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248" w:lineRule="exact"/>
        <w:rPr>
          <w:sz w:val="24"/>
          <w:szCs w:val="24"/>
          <w:color w:val="auto"/>
        </w:rPr>
      </w:pPr>
    </w:p>
    <w:p>
      <w:pPr>
        <w:jc w:val="center"/>
        <w:ind w:left="3780" w:right="1400" w:hanging="2379"/>
        <w:spacing w:after="0" w:line="260" w:lineRule="auto"/>
        <w:tabs>
          <w:tab w:leader="none" w:pos="159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September 30, 2021</w:t>
      </w:r>
    </w:p>
    <w:p>
      <w:pPr>
        <w:spacing w:after="0" w:line="168" w:lineRule="exact"/>
        <w:rPr>
          <w:sz w:val="24"/>
          <w:szCs w:val="24"/>
          <w:color w:val="auto"/>
        </w:rPr>
      </w:pPr>
    </w:p>
    <w:p>
      <w:pPr>
        <w:jc w:val="center"/>
        <w:ind w:left="3520" w:right="1400" w:hanging="2122"/>
        <w:spacing w:after="0" w:line="260" w:lineRule="auto"/>
        <w:tabs>
          <w:tab w:leader="none" w:pos="158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Incorporated in South Dakota IRS Identification Number 46-0458824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235" w:lineRule="exact"/>
        <w:rPr>
          <w:sz w:val="24"/>
          <w:szCs w:val="24"/>
          <w:color w:val="auto"/>
        </w:rPr>
      </w:pPr>
    </w:p>
    <w:p>
      <w:pPr>
        <w:jc w:val="both"/>
        <w:ind w:right="400"/>
        <w:spacing w:after="0" w:line="17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7" w:lineRule="exact"/>
        <w:rPr>
          <w:sz w:val="24"/>
          <w:szCs w:val="24"/>
          <w:color w:val="auto"/>
        </w:rPr>
      </w:pPr>
    </w:p>
    <w:p>
      <w:pPr>
        <w:ind w:right="4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40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Arial" w:cs="Arial" w:eastAsia="Arial" w:hAnsi="Arial"/>
                <w:sz w:val="16"/>
                <w:szCs w:val="16"/>
                <w:color w:val="auto"/>
              </w:rPr>
              <w:t>x</w:t>
            </w:r>
          </w:p>
        </w:tc>
        <w:tc>
          <w:tcPr>
            <w:tcW w:w="264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32"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320" w:space="720"/>
            <w:col w:w="1460" w:space="720"/>
            <w:col w:w="4020"/>
          </w:cols>
          <w:pgMar w:left="320" w:top="229"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600" w:space="720"/>
            <w:col w:w="3380"/>
          </w:cols>
          <w:pgMar w:left="320" w:top="229" w:right="339" w:bottom="1440" w:gutter="0" w:footer="0" w:header="0"/>
          <w:type w:val="continuous"/>
        </w:sectPr>
      </w:pP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ind w:left="3900"/>
              <w:spacing w:after="0"/>
              <w:rPr>
                <w:sz w:val="20"/>
                <w:szCs w:val="20"/>
                <w:color w:val="auto"/>
              </w:rPr>
            </w:pPr>
            <w:r>
              <w:rPr>
                <w:rFonts w:ascii="Arial" w:cs="Arial" w:eastAsia="Arial" w:hAnsi="Arial"/>
                <w:sz w:val="16"/>
                <w:szCs w:val="16"/>
                <w:color w:val="auto"/>
              </w:rPr>
              <w:t>Class</w:t>
            </w:r>
          </w:p>
        </w:tc>
        <w:tc>
          <w:tcPr>
            <w:tcW w:w="5400" w:type="dxa"/>
            <w:vAlign w:val="bottom"/>
          </w:tcPr>
          <w:p>
            <w:pPr>
              <w:ind w:left="280"/>
              <w:spacing w:after="0"/>
              <w:rPr>
                <w:sz w:val="20"/>
                <w:szCs w:val="20"/>
                <w:color w:val="auto"/>
              </w:rPr>
            </w:pPr>
            <w:r>
              <w:rPr>
                <w:rFonts w:ascii="Arial" w:cs="Arial" w:eastAsia="Arial" w:hAnsi="Arial"/>
                <w:sz w:val="16"/>
                <w:szCs w:val="16"/>
                <w:color w:val="auto"/>
              </w:rPr>
              <w:t>Outstanding at October 31, 2021</w:t>
            </w:r>
          </w:p>
        </w:tc>
      </w:tr>
      <w:tr>
        <w:trPr>
          <w:trHeight w:val="216"/>
        </w:trPr>
        <w:tc>
          <w:tcPr>
            <w:tcW w:w="5840" w:type="dxa"/>
            <w:vAlign w:val="bottom"/>
          </w:tcPr>
          <w:p>
            <w:pPr>
              <w:ind w:left="3260"/>
              <w:spacing w:after="0"/>
              <w:rPr>
                <w:sz w:val="20"/>
                <w:szCs w:val="20"/>
                <w:color w:val="auto"/>
              </w:rPr>
            </w:pPr>
            <w:r>
              <w:rPr>
                <w:rFonts w:ascii="Arial" w:cs="Arial" w:eastAsia="Arial" w:hAnsi="Arial"/>
                <w:sz w:val="16"/>
                <w:szCs w:val="16"/>
                <w:color w:val="auto"/>
              </w:rPr>
              <w:t>Common stock, $1.00 par value</w:t>
            </w:r>
          </w:p>
        </w:tc>
        <w:tc>
          <w:tcPr>
            <w:tcW w:w="5400" w:type="dxa"/>
            <w:vAlign w:val="bottom"/>
          </w:tcPr>
          <w:p>
            <w:pPr>
              <w:ind w:left="580"/>
              <w:spacing w:after="0"/>
              <w:rPr>
                <w:sz w:val="20"/>
                <w:szCs w:val="20"/>
                <w:color w:val="auto"/>
              </w:rPr>
            </w:pPr>
            <w:r>
              <w:rPr>
                <w:rFonts w:ascii="Arial" w:cs="Arial" w:eastAsia="Arial" w:hAnsi="Arial"/>
                <w:sz w:val="16"/>
                <w:szCs w:val="16"/>
                <w:color w:val="auto"/>
              </w:rPr>
              <w:t>63,820,271 shares</w:t>
            </w:r>
          </w:p>
        </w:tc>
      </w:tr>
      <w:tr>
        <w:trPr>
          <w:trHeight w:val="1012"/>
        </w:trPr>
        <w:tc>
          <w:tcPr>
            <w:tcW w:w="58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ind w:left="60"/>
              <w:spacing w:after="0"/>
              <w:rPr>
                <w:sz w:val="20"/>
                <w:szCs w:val="20"/>
                <w:color w:val="auto"/>
              </w:rPr>
            </w:pPr>
            <w:r>
              <w:rPr>
                <w:rFonts w:ascii="Arial" w:cs="Arial" w:eastAsia="Arial" w:hAnsi="Arial"/>
                <w:sz w:val="16"/>
                <w:szCs w:val="16"/>
                <w:b w:val="1"/>
                <w:bCs w:val="1"/>
                <w:color w:val="auto"/>
              </w:rPr>
              <w:t>TABLE OF CONTENTS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20" w:type="dxa"/>
            <w:vAlign w:val="bottom"/>
            <w:tcBorders>
              <w:bottom w:val="single" w:sz="8" w:color="CEFFE7"/>
            </w:tcBorders>
          </w:tcPr>
          <w:p>
            <w:pPr>
              <w:spacing w:after="0"/>
              <w:rPr>
                <w:sz w:val="19"/>
                <w:szCs w:val="19"/>
                <w:color w:val="auto"/>
              </w:rPr>
            </w:pPr>
          </w:p>
        </w:tc>
        <w:tc>
          <w:tcPr>
            <w:tcW w:w="20" w:type="dxa"/>
            <w:vAlign w:val="bottom"/>
            <w:tcBorders>
              <w:bottom w:val="single" w:sz="8" w:color="CEFFE7"/>
            </w:tcBorders>
          </w:tcPr>
          <w:p>
            <w:pPr>
              <w:spacing w:after="0"/>
              <w:rPr>
                <w:sz w:val="19"/>
                <w:szCs w:val="19"/>
                <w:color w:val="auto"/>
              </w:rPr>
            </w:pPr>
          </w:p>
        </w:tc>
        <w:tc>
          <w:tcPr>
            <w:tcW w:w="140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80" w:type="dxa"/>
            <w:vAlign w:val="bottom"/>
            <w:tcBorders>
              <w:bottom w:val="single" w:sz="8" w:color="CEFFE7"/>
            </w:tcBorders>
          </w:tcPr>
          <w:p>
            <w:pPr>
              <w:spacing w:after="0"/>
              <w:rPr>
                <w:sz w:val="19"/>
                <w:szCs w:val="19"/>
                <w:color w:val="auto"/>
              </w:rPr>
            </w:pPr>
          </w:p>
        </w:tc>
        <w:tc>
          <w:tcPr>
            <w:tcW w:w="460" w:type="dxa"/>
            <w:vAlign w:val="bottom"/>
            <w:tcBorders>
              <w:bottom w:val="single" w:sz="8" w:color="CEFFE7"/>
            </w:tcBorders>
          </w:tcPr>
          <w:p>
            <w:pPr>
              <w:spacing w:after="0"/>
              <w:rPr>
                <w:sz w:val="19"/>
                <w:szCs w:val="19"/>
                <w:color w:val="auto"/>
              </w:rPr>
            </w:pPr>
          </w:p>
        </w:tc>
        <w:tc>
          <w:tcPr>
            <w:tcW w:w="52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20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400" w:type="dxa"/>
            <w:vAlign w:val="bottom"/>
            <w:tcBorders>
              <w:bottom w:val="single" w:sz="8" w:color="CEFFE7"/>
            </w:tcBorders>
          </w:tcPr>
          <w:p>
            <w:pPr>
              <w:spacing w:after="0"/>
              <w:rPr>
                <w:sz w:val="19"/>
                <w:szCs w:val="19"/>
                <w:color w:val="auto"/>
              </w:rPr>
            </w:pPr>
          </w:p>
        </w:tc>
        <w:tc>
          <w:tcPr>
            <w:tcW w:w="28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80" w:type="dxa"/>
            <w:vAlign w:val="bottom"/>
            <w:tcBorders>
              <w:bottom w:val="single" w:sz="8" w:color="CEFFE7"/>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220" w:type="dxa"/>
            <w:vAlign w:val="bottom"/>
            <w:tcBorders>
              <w:bottom w:val="single" w:sz="8" w:color="CEFFE7"/>
            </w:tcBorders>
          </w:tcPr>
          <w:p>
            <w:pPr>
              <w:spacing w:after="0"/>
              <w:rPr>
                <w:sz w:val="19"/>
                <w:szCs w:val="19"/>
                <w:color w:val="auto"/>
              </w:rPr>
            </w:pPr>
          </w:p>
        </w:tc>
        <w:tc>
          <w:tcPr>
            <w:tcW w:w="20" w:type="dxa"/>
            <w:vAlign w:val="bottom"/>
            <w:tcBorders>
              <w:bottom w:val="single" w:sz="8" w:color="CEFFE7"/>
            </w:tcBorders>
          </w:tcPr>
          <w:p>
            <w:pPr>
              <w:spacing w:after="0"/>
              <w:rPr>
                <w:sz w:val="19"/>
                <w:szCs w:val="19"/>
                <w:color w:val="auto"/>
              </w:rPr>
            </w:pPr>
          </w:p>
        </w:tc>
        <w:tc>
          <w:tcPr>
            <w:tcW w:w="320" w:type="dxa"/>
            <w:vAlign w:val="bottom"/>
            <w:tcBorders>
              <w:bottom w:val="single" w:sz="8" w:color="CEFFE7"/>
            </w:tcBorders>
          </w:tcPr>
          <w:p>
            <w:pPr>
              <w:spacing w:after="0"/>
              <w:rPr>
                <w:sz w:val="19"/>
                <w:szCs w:val="19"/>
                <w:color w:val="auto"/>
              </w:rPr>
            </w:pPr>
          </w:p>
        </w:tc>
        <w:tc>
          <w:tcPr>
            <w:tcW w:w="140" w:type="dxa"/>
            <w:vAlign w:val="bottom"/>
            <w:tcBorders>
              <w:bottom w:val="single" w:sz="8" w:color="CEFFE7"/>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0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80" w:type="dxa"/>
            <w:vAlign w:val="bottom"/>
            <w:tcBorders>
              <w:bottom w:val="single" w:sz="8" w:color="CEFFE7"/>
            </w:tcBorders>
          </w:tcPr>
          <w:p>
            <w:pPr>
              <w:spacing w:after="0"/>
              <w:rPr>
                <w:sz w:val="19"/>
                <w:szCs w:val="19"/>
                <w:color w:val="auto"/>
              </w:rPr>
            </w:pPr>
          </w:p>
        </w:tc>
        <w:tc>
          <w:tcPr>
            <w:tcW w:w="320" w:type="dxa"/>
            <w:vAlign w:val="bottom"/>
            <w:tcBorders>
              <w:bottom w:val="single" w:sz="8" w:color="CEFFE7"/>
            </w:tcBorders>
          </w:tcPr>
          <w:p>
            <w:pPr>
              <w:spacing w:after="0"/>
              <w:rPr>
                <w:sz w:val="19"/>
                <w:szCs w:val="19"/>
                <w:color w:val="auto"/>
              </w:rPr>
            </w:pPr>
          </w:p>
        </w:tc>
        <w:tc>
          <w:tcPr>
            <w:tcW w:w="200" w:type="dxa"/>
            <w:vAlign w:val="bottom"/>
            <w:tcBorders>
              <w:bottom w:val="single" w:sz="8" w:color="CEFFE7"/>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600" w:type="dxa"/>
            <w:vAlign w:val="bottom"/>
            <w:tcBorders>
              <w:bottom w:val="single" w:sz="8" w:color="CEFFE7"/>
            </w:tcBorders>
          </w:tcPr>
          <w:p>
            <w:pPr>
              <w:spacing w:after="0"/>
              <w:rPr>
                <w:sz w:val="19"/>
                <w:szCs w:val="19"/>
                <w:color w:val="auto"/>
              </w:rPr>
            </w:pPr>
          </w:p>
        </w:tc>
        <w:tc>
          <w:tcPr>
            <w:tcW w:w="3520" w:type="dxa"/>
            <w:vAlign w:val="bottom"/>
            <w:tcBorders>
              <w:bottom w:val="single" w:sz="8" w:color="CEFFE7"/>
            </w:tcBorders>
          </w:tcPr>
          <w:p>
            <w:pPr>
              <w:spacing w:after="0"/>
              <w:rPr>
                <w:sz w:val="19"/>
                <w:szCs w:val="19"/>
                <w:color w:val="auto"/>
              </w:rPr>
            </w:pPr>
          </w:p>
        </w:tc>
        <w:tc>
          <w:tcPr>
            <w:tcW w:w="150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color w:val="auto"/>
              </w:rPr>
              <w:t>Page</w:t>
            </w:r>
          </w:p>
        </w:tc>
      </w:tr>
      <w:tr>
        <w:trPr>
          <w:trHeight w:val="193"/>
        </w:trPr>
        <w:tc>
          <w:tcPr>
            <w:tcW w:w="9700" w:type="dxa"/>
            <w:vAlign w:val="bottom"/>
            <w:gridSpan w:val="29"/>
            <w:shd w:val="clear" w:color="auto" w:fill="CEFFE7"/>
          </w:tcPr>
          <w:p>
            <w:pPr>
              <w:ind w:left="20"/>
              <w:spacing w:after="0" w:line="172" w:lineRule="exact"/>
              <w:rPr>
                <w:rFonts w:ascii="Arial" w:cs="Arial" w:eastAsia="Arial" w:hAnsi="Arial"/>
                <w:sz w:val="16"/>
                <w:szCs w:val="16"/>
                <w:color w:val="0000FF"/>
              </w:rPr>
            </w:pPr>
            <w:hyperlink w:anchor="page3">
              <w:r>
                <w:rPr>
                  <w:rFonts w:ascii="Arial" w:cs="Arial" w:eastAsia="Arial" w:hAnsi="Arial"/>
                  <w:sz w:val="16"/>
                  <w:szCs w:val="16"/>
                  <w:color w:val="0000FF"/>
                </w:rPr>
                <w:t>Glossary of Terms and Abbreviations</w:t>
              </w:r>
            </w:hyperlink>
          </w:p>
        </w:tc>
        <w:tc>
          <w:tcPr>
            <w:tcW w:w="840" w:type="dxa"/>
            <w:vAlign w:val="bottom"/>
            <w:tcBorders>
              <w:right w:val="single" w:sz="8" w:color="CEFFE7"/>
            </w:tcBorders>
            <w:gridSpan w:val="2"/>
            <w:shd w:val="clear" w:color="auto" w:fill="CEFFE7"/>
          </w:tcPr>
          <w:p>
            <w:pPr>
              <w:jc w:val="center"/>
              <w:ind w:left="579"/>
              <w:spacing w:after="0" w:line="172" w:lineRule="exact"/>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660" w:type="dxa"/>
            <w:vAlign w:val="bottom"/>
            <w:shd w:val="clear" w:color="auto" w:fill="CEFFE7"/>
          </w:tcPr>
          <w:p>
            <w:pPr>
              <w:spacing w:after="0"/>
              <w:rPr>
                <w:sz w:val="16"/>
                <w:szCs w:val="16"/>
                <w:color w:val="auto"/>
              </w:rPr>
            </w:pPr>
          </w:p>
        </w:tc>
      </w:tr>
      <w:tr>
        <w:trPr>
          <w:trHeight w:val="175"/>
        </w:trPr>
        <w:tc>
          <w:tcPr>
            <w:tcW w:w="20" w:type="dxa"/>
            <w:vAlign w:val="bottom"/>
            <w:tcBorders>
              <w:top w:val="single" w:sz="8" w:color="CEFFE7"/>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20" w:type="dxa"/>
            <w:vAlign w:val="bottom"/>
            <w:tcBorders>
              <w:top w:val="single" w:sz="8" w:color="0000FF"/>
            </w:tcBorders>
            <w:gridSpan w:val="6"/>
          </w:tcPr>
          <w:p>
            <w:pPr>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Forward-Looking Information</w:t>
              </w:r>
            </w:hyperlink>
          </w:p>
        </w:tc>
        <w:tc>
          <w:tcPr>
            <w:tcW w:w="7040" w:type="dxa"/>
            <w:vAlign w:val="bottom"/>
            <w:tcBorders>
              <w:top w:val="single" w:sz="8" w:color="CEFFE7"/>
            </w:tcBorders>
            <w:gridSpan w:val="21"/>
          </w:tcPr>
          <w:p>
            <w:pPr>
              <w:spacing w:after="0"/>
              <w:rPr>
                <w:sz w:val="15"/>
                <w:szCs w:val="15"/>
                <w:color w:val="auto"/>
              </w:rPr>
            </w:pPr>
          </w:p>
        </w:tc>
        <w:tc>
          <w:tcPr>
            <w:tcW w:w="700" w:type="dxa"/>
            <w:vAlign w:val="bottom"/>
            <w:tcBorders>
              <w:top w:val="single" w:sz="8" w:color="CEFFE7"/>
            </w:tcBorders>
          </w:tcPr>
          <w:p>
            <w:pPr>
              <w:spacing w:after="0"/>
              <w:rPr>
                <w:sz w:val="15"/>
                <w:szCs w:val="15"/>
                <w:color w:val="auto"/>
              </w:rPr>
            </w:pPr>
          </w:p>
        </w:tc>
        <w:tc>
          <w:tcPr>
            <w:tcW w:w="140" w:type="dxa"/>
            <w:vAlign w:val="bottom"/>
            <w:tcBorders>
              <w:top w:val="single" w:sz="8" w:color="0000FF"/>
            </w:tcBorders>
          </w:tcPr>
          <w:p>
            <w:pPr>
              <w:jc w:val="center"/>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660" w:type="dxa"/>
            <w:vAlign w:val="bottom"/>
            <w:tcBorders>
              <w:top w:val="single" w:sz="8" w:color="CEFFE7"/>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520" w:type="dxa"/>
            <w:vAlign w:val="bottom"/>
            <w:gridSpan w:val="2"/>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700" w:type="dxa"/>
            <w:vAlign w:val="bottom"/>
            <w:tcBorders>
              <w:right w:val="single" w:sz="8" w:color="CEFFE7"/>
            </w:tcBorders>
            <w:shd w:val="clear" w:color="auto" w:fill="CEFFE7"/>
          </w:tcPr>
          <w:p>
            <w:pPr>
              <w:spacing w:after="0"/>
              <w:rPr>
                <w:sz w:val="23"/>
                <w:szCs w:val="23"/>
                <w:color w:val="auto"/>
              </w:rPr>
            </w:pPr>
          </w:p>
        </w:tc>
        <w:tc>
          <w:tcPr>
            <w:tcW w:w="140" w:type="dxa"/>
            <w:vAlign w:val="bottom"/>
            <w:tcBorders>
              <w:right w:val="single" w:sz="8" w:color="CEFFE7"/>
            </w:tcBorders>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r>
      <w:tr>
        <w:trPr>
          <w:trHeight w:val="176"/>
        </w:trPr>
        <w:tc>
          <w:tcPr>
            <w:tcW w:w="9700" w:type="dxa"/>
            <w:vAlign w:val="bottom"/>
            <w:gridSpan w:val="29"/>
          </w:tcPr>
          <w:p>
            <w:pPr>
              <w:ind w:left="20"/>
              <w:spacing w:after="0" w:line="175" w:lineRule="exact"/>
              <w:rPr>
                <w:rFonts w:ascii="Arial" w:cs="Arial" w:eastAsia="Arial" w:hAnsi="Arial"/>
                <w:sz w:val="16"/>
                <w:szCs w:val="16"/>
                <w:color w:val="0000FF"/>
              </w:rPr>
            </w:pPr>
            <w:hyperlink w:anchor="page7">
              <w:r>
                <w:rPr>
                  <w:rFonts w:ascii="Arial" w:cs="Arial" w:eastAsia="Arial" w:hAnsi="Arial"/>
                  <w:sz w:val="16"/>
                  <w:szCs w:val="16"/>
                  <w:color w:val="0000FF"/>
                </w:rPr>
                <w:t>PART I. FINANCIAL INFORMATION</w:t>
              </w:r>
            </w:hyperlink>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700" w:type="dxa"/>
            <w:vAlign w:val="bottom"/>
            <w:tcBorders>
              <w:right w:val="single" w:sz="8" w:color="CEFFE7"/>
            </w:tcBorders>
            <w:shd w:val="clear" w:color="auto" w:fill="CEFFE7"/>
          </w:tcPr>
          <w:p>
            <w:pPr>
              <w:spacing w:after="0"/>
              <w:rPr>
                <w:sz w:val="23"/>
                <w:szCs w:val="23"/>
                <w:color w:val="auto"/>
              </w:rPr>
            </w:pPr>
          </w:p>
        </w:tc>
        <w:tc>
          <w:tcPr>
            <w:tcW w:w="140" w:type="dxa"/>
            <w:vAlign w:val="bottom"/>
            <w:tcBorders>
              <w:right w:val="single" w:sz="8" w:color="CEFFE7"/>
            </w:tcBorders>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r>
      <w:tr>
        <w:trPr>
          <w:trHeight w:val="176"/>
        </w:trPr>
        <w:tc>
          <w:tcPr>
            <w:tcW w:w="144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1.</w:t>
            </w:r>
          </w:p>
        </w:tc>
        <w:tc>
          <w:tcPr>
            <w:tcW w:w="8260" w:type="dxa"/>
            <w:vAlign w:val="bottom"/>
            <w:gridSpan w:val="26"/>
          </w:tcPr>
          <w:p>
            <w:pPr>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Financial Statements - unaudited</w:t>
              </w:r>
            </w:hyperlink>
          </w:p>
        </w:tc>
        <w:tc>
          <w:tcPr>
            <w:tcW w:w="840" w:type="dxa"/>
            <w:vAlign w:val="bottom"/>
            <w:gridSpan w:val="2"/>
          </w:tcPr>
          <w:p>
            <w:pPr>
              <w:jc w:val="center"/>
              <w:ind w:left="579"/>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6"/>
            <w:shd w:val="clear" w:color="auto" w:fill="CEFFE7"/>
          </w:tcPr>
          <w:p>
            <w:pPr>
              <w:ind w:left="120"/>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Income</w:t>
              </w:r>
            </w:hyperlink>
          </w:p>
        </w:tc>
        <w:tc>
          <w:tcPr>
            <w:tcW w:w="840" w:type="dxa"/>
            <w:vAlign w:val="bottom"/>
            <w:tcBorders>
              <w:right w:val="single" w:sz="8" w:color="CEFFE7"/>
            </w:tcBorders>
            <w:gridSpan w:val="2"/>
            <w:shd w:val="clear" w:color="auto" w:fill="CEFFE7"/>
          </w:tcPr>
          <w:p>
            <w:pPr>
              <w:jc w:val="center"/>
              <w:ind w:left="579"/>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660" w:type="dxa"/>
            <w:vAlign w:val="bottom"/>
            <w:shd w:val="clear" w:color="auto" w:fill="CEFFE7"/>
          </w:tcPr>
          <w:p>
            <w:pPr>
              <w:spacing w:after="0"/>
              <w:rPr>
                <w:sz w:val="15"/>
                <w:szCs w:val="15"/>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6"/>
          </w:tcPr>
          <w:p>
            <w:pPr>
              <w:ind w:left="120"/>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Comprehensive Income</w:t>
              </w:r>
            </w:hyperlink>
          </w:p>
        </w:tc>
        <w:tc>
          <w:tcPr>
            <w:tcW w:w="840" w:type="dxa"/>
            <w:vAlign w:val="bottom"/>
            <w:gridSpan w:val="2"/>
          </w:tcPr>
          <w:p>
            <w:pPr>
              <w:jc w:val="center"/>
              <w:ind w:left="579"/>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9</w:t>
              </w:r>
            </w:hyperlink>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6"/>
            <w:shd w:val="clear" w:color="auto" w:fill="CEFFE7"/>
          </w:tcPr>
          <w:p>
            <w:pPr>
              <w:ind w:left="120"/>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Condensed Consolidated Balance Sheets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10</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6"/>
          </w:tcPr>
          <w:p>
            <w:pPr>
              <w:ind w:left="120"/>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Condensed Consolidated Statements of Cash Flows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12</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6"/>
            <w:shd w:val="clear" w:color="auto" w:fill="CEFFE7"/>
          </w:tcPr>
          <w:p>
            <w:pPr>
              <w:ind w:left="120"/>
              <w:spacing w:after="0" w:line="175" w:lineRule="exact"/>
              <w:rPr>
                <w:rFonts w:ascii="Arial" w:cs="Arial" w:eastAsia="Arial" w:hAnsi="Arial"/>
                <w:sz w:val="16"/>
                <w:szCs w:val="16"/>
                <w:color w:val="0000FF"/>
              </w:rPr>
            </w:pPr>
            <w:hyperlink w:anchor="page12">
              <w:r>
                <w:rPr>
                  <w:rFonts w:ascii="Arial" w:cs="Arial" w:eastAsia="Arial" w:hAnsi="Arial"/>
                  <w:sz w:val="16"/>
                  <w:szCs w:val="16"/>
                  <w:color w:val="0000FF"/>
                </w:rPr>
                <w:t>Condensed Consolidated Statements of Equity</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12">
              <w:r>
                <w:rPr>
                  <w:rFonts w:ascii="Arial" w:cs="Arial" w:eastAsia="Arial" w:hAnsi="Arial"/>
                  <w:sz w:val="16"/>
                  <w:szCs w:val="16"/>
                  <w:color w:val="0000FF"/>
                </w:rPr>
                <w:t>13</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6"/>
          </w:tcPr>
          <w:p>
            <w:pPr>
              <w:ind w:left="120"/>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Notes to Condensed Consolidated Financial Statements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Note 1. Management’s Statement</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12"/>
          </w:tcPr>
          <w:p>
            <w:pPr>
              <w:spacing w:after="0" w:line="175" w:lineRule="exact"/>
              <w:rPr>
                <w:rFonts w:ascii="Arial" w:cs="Arial" w:eastAsia="Arial" w:hAnsi="Arial"/>
                <w:sz w:val="16"/>
                <w:szCs w:val="16"/>
                <w:color w:val="0000FF"/>
              </w:rPr>
            </w:pPr>
            <w:hyperlink w:anchor="page16">
              <w:r>
                <w:rPr>
                  <w:rFonts w:ascii="Arial" w:cs="Arial" w:eastAsia="Arial" w:hAnsi="Arial"/>
                  <w:sz w:val="16"/>
                  <w:szCs w:val="16"/>
                  <w:color w:val="0000FF"/>
                </w:rPr>
                <w:t>Note 2. Regulatory Matters</w:t>
              </w:r>
            </w:hyperlink>
          </w:p>
        </w:tc>
        <w:tc>
          <w:tcPr>
            <w:tcW w:w="5660" w:type="dxa"/>
            <w:vAlign w:val="bottom"/>
            <w:gridSpan w:val="12"/>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16">
              <w:r>
                <w:rPr>
                  <w:rFonts w:ascii="Arial" w:cs="Arial" w:eastAsia="Arial" w:hAnsi="Arial"/>
                  <w:sz w:val="16"/>
                  <w:szCs w:val="16"/>
                  <w:color w:val="0000FF"/>
                  <w:w w:val="78"/>
                </w:rPr>
                <w:t>16</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Note 3. Commitments, Contingencies and Guarantees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18</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80" w:type="dxa"/>
            <w:vAlign w:val="bottom"/>
            <w:gridSpan w:val="21"/>
          </w:tcPr>
          <w:p>
            <w:pP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Note 4. Revenue</w:t>
              </w:r>
            </w:hyperlink>
          </w:p>
        </w:tc>
        <w:tc>
          <w:tcPr>
            <w:tcW w:w="4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18">
              <w:r>
                <w:rPr>
                  <w:rFonts w:ascii="Arial" w:cs="Arial" w:eastAsia="Arial" w:hAnsi="Arial"/>
                  <w:sz w:val="16"/>
                  <w:szCs w:val="16"/>
                  <w:color w:val="0000FF"/>
                  <w:w w:val="78"/>
                </w:rPr>
                <w:t>18</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Note 5. Financing</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21</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60" w:type="dxa"/>
            <w:vAlign w:val="bottom"/>
            <w:gridSpan w:val="24"/>
          </w:tcPr>
          <w:p>
            <w:pPr>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Note 6. Earnings Per Share</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22</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3040" w:type="dxa"/>
            <w:vAlign w:val="bottom"/>
            <w:gridSpan w:val="16"/>
            <w:shd w:val="clear" w:color="auto" w:fill="CEFFE7"/>
          </w:tcPr>
          <w:p>
            <w:pPr>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Note 7. Risk Management and Derivatives</w:t>
              </w:r>
            </w:hyperlink>
          </w:p>
        </w:tc>
        <w:tc>
          <w:tcPr>
            <w:tcW w:w="5020" w:type="dxa"/>
            <w:vAlign w:val="bottom"/>
            <w:gridSpan w:val="8"/>
            <w:shd w:val="clear" w:color="auto" w:fill="CEFFE7"/>
          </w:tcPr>
          <w:p>
            <w:pPr>
              <w:spacing w:after="0"/>
              <w:rPr>
                <w:sz w:val="15"/>
                <w:szCs w:val="15"/>
                <w:color w:val="auto"/>
              </w:rPr>
            </w:pPr>
          </w:p>
        </w:tc>
        <w:tc>
          <w:tcPr>
            <w:tcW w:w="700" w:type="dxa"/>
            <w:vAlign w:val="bottom"/>
            <w:tcBorders>
              <w:right w:val="single" w:sz="8" w:color="CEFFE7"/>
            </w:tcBorders>
            <w:shd w:val="clear" w:color="auto" w:fill="CEFFE7"/>
          </w:tcPr>
          <w:p>
            <w:pPr>
              <w:spacing w:after="0"/>
              <w:rPr>
                <w:sz w:val="15"/>
                <w:szCs w:val="15"/>
                <w:color w:val="auto"/>
              </w:rPr>
            </w:pPr>
          </w:p>
        </w:tc>
        <w:tc>
          <w:tcPr>
            <w:tcW w:w="800" w:type="dxa"/>
            <w:vAlign w:val="bottom"/>
            <w:gridSpan w:val="2"/>
            <w:shd w:val="clear" w:color="auto" w:fill="CEFFE7"/>
          </w:tcPr>
          <w:p>
            <w:pPr>
              <w:jc w:val="center"/>
              <w:ind w:right="660"/>
              <w:spacing w:after="0" w:line="175" w:lineRule="exact"/>
              <w:rPr>
                <w:rFonts w:ascii="Arial" w:cs="Arial" w:eastAsia="Arial" w:hAnsi="Arial"/>
                <w:sz w:val="16"/>
                <w:szCs w:val="16"/>
                <w:color w:val="0000FF"/>
                <w:w w:val="78"/>
              </w:rPr>
            </w:pPr>
            <w:hyperlink w:anchor="page22">
              <w:r>
                <w:rPr>
                  <w:rFonts w:ascii="Arial" w:cs="Arial" w:eastAsia="Arial" w:hAnsi="Arial"/>
                  <w:sz w:val="16"/>
                  <w:szCs w:val="16"/>
                  <w:color w:val="0000FF"/>
                  <w:w w:val="78"/>
                </w:rPr>
                <w:t>22</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16"/>
          </w:tcPr>
          <w:p>
            <w:pPr>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Note 8. Fair Value Measurements</w:t>
              </w:r>
            </w:hyperlink>
          </w:p>
        </w:tc>
        <w:tc>
          <w:tcPr>
            <w:tcW w:w="502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26">
              <w:r>
                <w:rPr>
                  <w:rFonts w:ascii="Arial" w:cs="Arial" w:eastAsia="Arial" w:hAnsi="Arial"/>
                  <w:sz w:val="16"/>
                  <w:szCs w:val="16"/>
                  <w:color w:val="0000FF"/>
                  <w:w w:val="78"/>
                </w:rPr>
                <w:t>26</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Note 9. Other Comprehensive Income</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13"/>
          </w:tcPr>
          <w:p>
            <w:pPr>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Note 10. Employee Benefit Plans</w:t>
              </w:r>
            </w:hyperlink>
          </w:p>
        </w:tc>
        <w:tc>
          <w:tcPr>
            <w:tcW w:w="5340" w:type="dxa"/>
            <w:vAlign w:val="bottom"/>
            <w:gridSpan w:val="11"/>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29">
              <w:r>
                <w:rPr>
                  <w:rFonts w:ascii="Arial" w:cs="Arial" w:eastAsia="Arial" w:hAnsi="Arial"/>
                  <w:sz w:val="16"/>
                  <w:szCs w:val="16"/>
                  <w:color w:val="0000FF"/>
                  <w:w w:val="78"/>
                </w:rPr>
                <w:t>29</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1660" w:type="dxa"/>
            <w:vAlign w:val="bottom"/>
            <w:gridSpan w:val="6"/>
            <w:shd w:val="clear" w:color="auto" w:fill="CEFFE7"/>
          </w:tcPr>
          <w:p>
            <w:pPr>
              <w:spacing w:after="0" w:line="175" w:lineRule="exact"/>
              <w:rPr>
                <w:rFonts w:ascii="Arial" w:cs="Arial" w:eastAsia="Arial" w:hAnsi="Arial"/>
                <w:sz w:val="16"/>
                <w:szCs w:val="16"/>
                <w:color w:val="0000FF"/>
                <w:w w:val="99"/>
              </w:rPr>
            </w:pPr>
            <w:hyperlink w:anchor="page30">
              <w:r>
                <w:rPr>
                  <w:rFonts w:ascii="Arial" w:cs="Arial" w:eastAsia="Arial" w:hAnsi="Arial"/>
                  <w:sz w:val="16"/>
                  <w:szCs w:val="16"/>
                  <w:color w:val="0000FF"/>
                  <w:w w:val="99"/>
                </w:rPr>
                <w:t>Note 11. Income Taxes</w:t>
              </w:r>
            </w:hyperlink>
          </w:p>
        </w:tc>
        <w:tc>
          <w:tcPr>
            <w:tcW w:w="6400" w:type="dxa"/>
            <w:vAlign w:val="bottom"/>
            <w:gridSpan w:val="18"/>
            <w:shd w:val="clear" w:color="auto" w:fill="CEFFE7"/>
          </w:tcPr>
          <w:p>
            <w:pPr>
              <w:spacing w:after="0"/>
              <w:rPr>
                <w:sz w:val="15"/>
                <w:szCs w:val="15"/>
                <w:color w:val="auto"/>
              </w:rPr>
            </w:pPr>
          </w:p>
        </w:tc>
        <w:tc>
          <w:tcPr>
            <w:tcW w:w="700" w:type="dxa"/>
            <w:vAlign w:val="bottom"/>
            <w:tcBorders>
              <w:right w:val="single" w:sz="8" w:color="CEFFE7"/>
            </w:tcBorders>
            <w:shd w:val="clear" w:color="auto" w:fill="CEFFE7"/>
          </w:tcPr>
          <w:p>
            <w:pPr>
              <w:spacing w:after="0"/>
              <w:rPr>
                <w:sz w:val="15"/>
                <w:szCs w:val="15"/>
                <w:color w:val="auto"/>
              </w:rPr>
            </w:pPr>
          </w:p>
        </w:tc>
        <w:tc>
          <w:tcPr>
            <w:tcW w:w="800" w:type="dxa"/>
            <w:vAlign w:val="bottom"/>
            <w:gridSpan w:val="2"/>
            <w:shd w:val="clear" w:color="auto" w:fill="CEFFE7"/>
          </w:tcPr>
          <w:p>
            <w:pPr>
              <w:jc w:val="center"/>
              <w:ind w:right="660"/>
              <w:spacing w:after="0" w:line="175" w:lineRule="exact"/>
              <w:rPr>
                <w:rFonts w:ascii="Arial" w:cs="Arial" w:eastAsia="Arial" w:hAnsi="Arial"/>
                <w:sz w:val="16"/>
                <w:szCs w:val="16"/>
                <w:color w:val="0000FF"/>
                <w:w w:val="78"/>
              </w:rPr>
            </w:pPr>
            <w:hyperlink w:anchor="page30">
              <w:r>
                <w:rPr>
                  <w:rFonts w:ascii="Arial" w:cs="Arial" w:eastAsia="Arial" w:hAnsi="Arial"/>
                  <w:sz w:val="16"/>
                  <w:szCs w:val="16"/>
                  <w:color w:val="0000FF"/>
                  <w:w w:val="78"/>
                </w:rPr>
                <w:t>30</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60" w:type="dxa"/>
            <w:vAlign w:val="bottom"/>
            <w:gridSpan w:val="24"/>
          </w:tcPr>
          <w:p>
            <w:pPr>
              <w:spacing w:after="0" w:line="175" w:lineRule="exact"/>
              <w:rPr>
                <w:rFonts w:ascii="Arial" w:cs="Arial" w:eastAsia="Arial" w:hAnsi="Arial"/>
                <w:sz w:val="16"/>
                <w:szCs w:val="16"/>
                <w:color w:val="0000FF"/>
              </w:rPr>
            </w:pPr>
            <w:hyperlink w:anchor="page31">
              <w:r>
                <w:rPr>
                  <w:rFonts w:ascii="Arial" w:cs="Arial" w:eastAsia="Arial" w:hAnsi="Arial"/>
                  <w:sz w:val="16"/>
                  <w:szCs w:val="16"/>
                  <w:color w:val="0000FF"/>
                </w:rPr>
                <w:t>Note 12. Business Segment Information</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31">
              <w:r>
                <w:rPr>
                  <w:rFonts w:ascii="Arial" w:cs="Arial" w:eastAsia="Arial" w:hAnsi="Arial"/>
                  <w:sz w:val="16"/>
                  <w:szCs w:val="16"/>
                  <w:color w:val="0000FF"/>
                </w:rPr>
                <w:t>31</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Note 13. Selected Balance Sheet Information</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33</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17"/>
          </w:tcPr>
          <w:p>
            <w:pPr>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Note 14. Subsequent Events</w:t>
              </w:r>
            </w:hyperlink>
          </w:p>
        </w:tc>
        <w:tc>
          <w:tcPr>
            <w:tcW w:w="482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33">
              <w:r>
                <w:rPr>
                  <w:rFonts w:ascii="Arial" w:cs="Arial" w:eastAsia="Arial" w:hAnsi="Arial"/>
                  <w:sz w:val="16"/>
                  <w:szCs w:val="16"/>
                  <w:color w:val="0000FF"/>
                  <w:w w:val="78"/>
                </w:rPr>
                <w:t>33</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9"/>
        </w:trPr>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gridSpan w:val="6"/>
          </w:tcPr>
          <w:p>
            <w:pPr>
              <w:ind w:left="240"/>
              <w:spacing w:after="0"/>
              <w:rPr>
                <w:sz w:val="20"/>
                <w:szCs w:val="20"/>
                <w:color w:val="auto"/>
              </w:rPr>
            </w:pPr>
            <w:r>
              <w:rPr>
                <w:rFonts w:ascii="Arial" w:cs="Arial" w:eastAsia="Arial" w:hAnsi="Arial"/>
                <w:sz w:val="16"/>
                <w:szCs w:val="16"/>
                <w:b w:val="1"/>
                <w:bCs w:val="1"/>
                <w:color w:val="auto"/>
              </w:rPr>
              <w:t>TABLE OF CONTENTS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72"/>
        </w:trPr>
        <w:tc>
          <w:tcPr>
            <w:tcW w:w="40" w:type="dxa"/>
            <w:vAlign w:val="bottom"/>
            <w:tcBorders>
              <w:right w:val="single" w:sz="8" w:color="CEFFE7"/>
            </w:tcBorders>
          </w:tcPr>
          <w:p>
            <w:pPr>
              <w:spacing w:after="0"/>
              <w:rPr>
                <w:sz w:val="14"/>
                <w:szCs w:val="14"/>
                <w:color w:val="auto"/>
              </w:rPr>
            </w:pPr>
          </w:p>
        </w:tc>
        <w:tc>
          <w:tcPr>
            <w:tcW w:w="1420" w:type="dxa"/>
            <w:vAlign w:val="bottom"/>
            <w:tcBorders>
              <w:top w:val="single" w:sz="8" w:color="CEFFE7"/>
            </w:tcBorders>
            <w:gridSpan w:val="3"/>
            <w:shd w:val="clear" w:color="auto" w:fill="CEFFE7"/>
          </w:tcPr>
          <w:p>
            <w:pPr>
              <w:spacing w:after="0" w:line="172" w:lineRule="exact"/>
              <w:rPr>
                <w:sz w:val="20"/>
                <w:szCs w:val="20"/>
                <w:color w:val="auto"/>
              </w:rPr>
            </w:pPr>
            <w:r>
              <w:rPr>
                <w:rFonts w:ascii="Arial" w:cs="Arial" w:eastAsia="Arial" w:hAnsi="Arial"/>
                <w:sz w:val="16"/>
                <w:szCs w:val="16"/>
                <w:color w:val="auto"/>
              </w:rPr>
              <w:t>Item 2.</w:t>
            </w:r>
          </w:p>
        </w:tc>
        <w:tc>
          <w:tcPr>
            <w:tcW w:w="8260" w:type="dxa"/>
            <w:vAlign w:val="bottom"/>
            <w:tcBorders>
              <w:top w:val="single" w:sz="8" w:color="CEFFE7"/>
            </w:tcBorders>
            <w:gridSpan w:val="30"/>
            <w:shd w:val="clear" w:color="auto" w:fill="CEFFE7"/>
          </w:tcPr>
          <w:p>
            <w:pPr>
              <w:spacing w:after="0" w:line="172" w:lineRule="exact"/>
              <w:rPr>
                <w:rFonts w:ascii="Arial" w:cs="Arial" w:eastAsia="Arial" w:hAnsi="Arial"/>
                <w:sz w:val="16"/>
                <w:szCs w:val="16"/>
                <w:color w:val="0000FF"/>
              </w:rPr>
            </w:pPr>
            <w:hyperlink w:anchor="page33">
              <w:r>
                <w:rPr>
                  <w:rFonts w:ascii="Arial" w:cs="Arial" w:eastAsia="Arial" w:hAnsi="Arial"/>
                  <w:sz w:val="16"/>
                  <w:szCs w:val="16"/>
                  <w:color w:val="0000FF"/>
                </w:rPr>
                <w:t>Management’s Discussion and Analysis of Financial Condition and Results of Operations</w:t>
              </w:r>
            </w:hyperlink>
          </w:p>
        </w:tc>
        <w:tc>
          <w:tcPr>
            <w:tcW w:w="1500" w:type="dxa"/>
            <w:vAlign w:val="bottom"/>
            <w:tcBorders>
              <w:top w:val="single" w:sz="8" w:color="auto"/>
            </w:tcBorders>
            <w:gridSpan w:val="3"/>
            <w:shd w:val="clear" w:color="auto" w:fill="CEFFE7"/>
          </w:tcPr>
          <w:p>
            <w:pPr>
              <w:jc w:val="center"/>
              <w:spacing w:after="0" w:line="172" w:lineRule="exact"/>
              <w:rPr>
                <w:rFonts w:ascii="Arial" w:cs="Arial" w:eastAsia="Arial" w:hAnsi="Arial"/>
                <w:sz w:val="16"/>
                <w:szCs w:val="16"/>
                <w:color w:val="0000FF"/>
              </w:rPr>
            </w:pPr>
            <w:hyperlink w:anchor="page33">
              <w:r>
                <w:rPr>
                  <w:rFonts w:ascii="Arial" w:cs="Arial" w:eastAsia="Arial" w:hAnsi="Arial"/>
                  <w:sz w:val="16"/>
                  <w:szCs w:val="16"/>
                  <w:color w:val="0000FF"/>
                </w:rPr>
                <w:t>34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00" w:type="dxa"/>
            <w:vAlign w:val="bottom"/>
            <w:tcBorders>
              <w:top w:val="single" w:sz="8" w:color="0000FF"/>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60" w:type="dxa"/>
            <w:vAlign w:val="bottom"/>
            <w:gridSpan w:val="28"/>
          </w:tcPr>
          <w:p>
            <w:pPr>
              <w:ind w:left="12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Executive Summary</w:t>
              </w:r>
            </w:hyperlink>
          </w:p>
        </w:tc>
        <w:tc>
          <w:tcPr>
            <w:tcW w:w="19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30"/>
            <w:shd w:val="clear" w:color="auto" w:fill="CEFFE7"/>
          </w:tcPr>
          <w:p>
            <w:pPr>
              <w:ind w:left="12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Recent Developments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30"/>
          </w:tcPr>
          <w:p>
            <w:pPr>
              <w:ind w:left="120"/>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Results of Operations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ind w:left="20"/>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Consolidated Summary and Overview</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8"/>
          </w:tcPr>
          <w:p>
            <w:pPr>
              <w:ind w:left="20"/>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Non-GAAP Financial Measure</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100" w:type="dxa"/>
            <w:vAlign w:val="bottom"/>
            <w:gridSpan w:val="9"/>
            <w:shd w:val="clear" w:color="auto" w:fill="CEFFE7"/>
          </w:tcPr>
          <w:p>
            <w:pPr>
              <w:spacing w:after="0" w:line="175" w:lineRule="exact"/>
              <w:rPr>
                <w:rFonts w:ascii="Arial" w:cs="Arial" w:eastAsia="Arial" w:hAnsi="Arial"/>
                <w:sz w:val="16"/>
                <w:szCs w:val="16"/>
                <w:color w:val="0000FF"/>
                <w:w w:val="99"/>
              </w:rPr>
            </w:pPr>
            <w:hyperlink w:anchor="page37">
              <w:r>
                <w:rPr>
                  <w:rFonts w:ascii="Arial" w:cs="Arial" w:eastAsia="Arial" w:hAnsi="Arial"/>
                  <w:sz w:val="16"/>
                  <w:szCs w:val="16"/>
                  <w:color w:val="0000FF"/>
                  <w:w w:val="99"/>
                </w:rPr>
                <w:t>Electric Utilities</w:t>
              </w:r>
            </w:hyperlink>
          </w:p>
        </w:tc>
        <w:tc>
          <w:tcPr>
            <w:tcW w:w="6840" w:type="dxa"/>
            <w:vAlign w:val="bottom"/>
            <w:gridSpan w:val="19"/>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9"/>
          </w:tcPr>
          <w:p>
            <w:pPr>
              <w:spacing w:after="0" w:line="175" w:lineRule="exact"/>
              <w:rPr>
                <w:rFonts w:ascii="Arial" w:cs="Arial" w:eastAsia="Arial" w:hAnsi="Arial"/>
                <w:sz w:val="16"/>
                <w:szCs w:val="16"/>
                <w:color w:val="0000FF"/>
              </w:rPr>
            </w:pPr>
            <w:hyperlink w:anchor="page41">
              <w:r>
                <w:rPr>
                  <w:rFonts w:ascii="Arial" w:cs="Arial" w:eastAsia="Arial" w:hAnsi="Arial"/>
                  <w:sz w:val="16"/>
                  <w:szCs w:val="16"/>
                  <w:color w:val="0000FF"/>
                </w:rPr>
                <w:t>Gas Utilities</w:t>
              </w:r>
            </w:hyperlink>
          </w:p>
        </w:tc>
        <w:tc>
          <w:tcPr>
            <w:tcW w:w="6840" w:type="dxa"/>
            <w:vAlign w:val="bottom"/>
            <w:gridSpan w:val="19"/>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1">
              <w:r>
                <w:rPr>
                  <w:rFonts w:ascii="Arial" w:cs="Arial" w:eastAsia="Arial" w:hAnsi="Arial"/>
                  <w:sz w:val="16"/>
                  <w:szCs w:val="16"/>
                  <w:color w:val="0000FF"/>
                </w:rPr>
                <w:t>42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Regulatory Matters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13"/>
          </w:tcPr>
          <w:p>
            <w:pPr>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Power Generation</w:t>
              </w:r>
            </w:hyperlink>
          </w:p>
        </w:tc>
        <w:tc>
          <w:tcPr>
            <w:tcW w:w="6580" w:type="dxa"/>
            <w:vAlign w:val="bottom"/>
            <w:gridSpan w:val="15"/>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480" w:type="dxa"/>
            <w:vAlign w:val="bottom"/>
            <w:gridSpan w:val="3"/>
            <w:shd w:val="clear" w:color="auto" w:fill="CEFFE7"/>
          </w:tcPr>
          <w:p>
            <w:pPr>
              <w:spacing w:after="0" w:line="175" w:lineRule="exact"/>
              <w:rPr>
                <w:rFonts w:ascii="Arial" w:cs="Arial" w:eastAsia="Arial" w:hAnsi="Arial"/>
                <w:sz w:val="16"/>
                <w:szCs w:val="16"/>
                <w:color w:val="0000FF"/>
                <w:w w:val="97"/>
              </w:rPr>
            </w:pPr>
            <w:hyperlink w:anchor="page47">
              <w:r>
                <w:rPr>
                  <w:rFonts w:ascii="Arial" w:cs="Arial" w:eastAsia="Arial" w:hAnsi="Arial"/>
                  <w:sz w:val="16"/>
                  <w:szCs w:val="16"/>
                  <w:color w:val="0000FF"/>
                  <w:w w:val="97"/>
                </w:rPr>
                <w:t>Mining</w:t>
              </w:r>
            </w:hyperlink>
          </w:p>
        </w:tc>
        <w:tc>
          <w:tcPr>
            <w:tcW w:w="7460" w:type="dxa"/>
            <w:vAlign w:val="bottom"/>
            <w:gridSpan w:val="25"/>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8"/>
          </w:tcPr>
          <w:p>
            <w:pPr>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Corporate and Other</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Consolidated Interest Expense, Impairment of Investment, Other Income (Expense) and Income Tax</w:t>
              </w:r>
            </w:hyperlink>
          </w:p>
        </w:tc>
        <w:tc>
          <w:tcPr>
            <w:tcW w:w="660" w:type="dxa"/>
            <w:vAlign w:val="bottom"/>
            <w:vMerge w:val="restart"/>
            <w:shd w:val="clear" w:color="auto" w:fill="CEFFE7"/>
          </w:tcPr>
          <w:p>
            <w:pPr>
              <w:spacing w:after="0"/>
              <w:rPr>
                <w:sz w:val="15"/>
                <w:szCs w:val="15"/>
                <w:color w:val="auto"/>
              </w:rPr>
            </w:pPr>
          </w:p>
        </w:tc>
        <w:tc>
          <w:tcPr>
            <w:tcW w:w="840" w:type="dxa"/>
            <w:vAlign w:val="bottom"/>
            <w:gridSpan w:val="2"/>
            <w:vMerge w:val="restart"/>
            <w:shd w:val="clear" w:color="auto" w:fill="CEFFE7"/>
          </w:tcPr>
          <w:p>
            <w:pPr>
              <w:jc w:val="center"/>
              <w:ind w:right="66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Borders>
              <w:right w:val="single" w:sz="8" w:color="CEFFE7"/>
            </w:tcBorders>
          </w:tcPr>
          <w:p>
            <w:pPr>
              <w:spacing w:after="0"/>
              <w:rPr>
                <w:sz w:val="12"/>
                <w:szCs w:val="12"/>
                <w:color w:val="auto"/>
              </w:rPr>
            </w:pPr>
          </w:p>
        </w:tc>
        <w:tc>
          <w:tcPr>
            <w:tcW w:w="780" w:type="dxa"/>
            <w:vAlign w:val="bottom"/>
            <w:tcBorders>
              <w:top w:val="single" w:sz="8" w:color="CEFFE7"/>
            </w:tcBorders>
            <w:shd w:val="clear" w:color="auto" w:fill="CEFFE7"/>
          </w:tcPr>
          <w:p>
            <w:pPr>
              <w:spacing w:after="0"/>
              <w:rPr>
                <w:sz w:val="12"/>
                <w:szCs w:val="12"/>
                <w:color w:val="auto"/>
              </w:rPr>
            </w:pPr>
          </w:p>
        </w:tc>
        <w:tc>
          <w:tcPr>
            <w:tcW w:w="540" w:type="dxa"/>
            <w:vAlign w:val="bottom"/>
            <w:tcBorders>
              <w:top w:val="single" w:sz="8" w:color="CEFFE7"/>
            </w:tcBorders>
            <w:shd w:val="clear" w:color="auto" w:fill="CEFFE7"/>
          </w:tcPr>
          <w:p>
            <w:pPr>
              <w:spacing w:after="0"/>
              <w:rPr>
                <w:sz w:val="12"/>
                <w:szCs w:val="12"/>
                <w:color w:val="auto"/>
              </w:rPr>
            </w:pPr>
          </w:p>
        </w:tc>
        <w:tc>
          <w:tcPr>
            <w:tcW w:w="100" w:type="dxa"/>
            <w:vAlign w:val="bottom"/>
            <w:tcBorders>
              <w:top w:val="single" w:sz="8" w:color="CEFFE7"/>
            </w:tcBorders>
            <w:shd w:val="clear" w:color="auto" w:fill="CEFFE7"/>
          </w:tcPr>
          <w:p>
            <w:pPr>
              <w:spacing w:after="0"/>
              <w:rPr>
                <w:sz w:val="12"/>
                <w:szCs w:val="12"/>
                <w:color w:val="auto"/>
              </w:rPr>
            </w:pPr>
          </w:p>
        </w:tc>
        <w:tc>
          <w:tcPr>
            <w:tcW w:w="120" w:type="dxa"/>
            <w:vAlign w:val="bottom"/>
            <w:tcBorders>
              <w:top w:val="single" w:sz="8" w:color="CEFFE7"/>
            </w:tcBorders>
            <w:shd w:val="clear" w:color="auto" w:fill="CEFFE7"/>
          </w:tcPr>
          <w:p>
            <w:pPr>
              <w:spacing w:after="0"/>
              <w:rPr>
                <w:sz w:val="12"/>
                <w:szCs w:val="12"/>
                <w:color w:val="auto"/>
              </w:rPr>
            </w:pPr>
          </w:p>
        </w:tc>
        <w:tc>
          <w:tcPr>
            <w:tcW w:w="200" w:type="dxa"/>
            <w:vAlign w:val="bottom"/>
            <w:tcBorders>
              <w:top w:val="single" w:sz="8" w:color="CEFFE7"/>
            </w:tcBorders>
            <w:shd w:val="clear" w:color="auto" w:fill="CEFFE7"/>
          </w:tcPr>
          <w:p>
            <w:pPr>
              <w:spacing w:after="0"/>
              <w:rPr>
                <w:sz w:val="12"/>
                <w:szCs w:val="12"/>
                <w:color w:val="auto"/>
              </w:rPr>
            </w:pPr>
          </w:p>
        </w:tc>
        <w:tc>
          <w:tcPr>
            <w:tcW w:w="740" w:type="dxa"/>
            <w:vAlign w:val="bottom"/>
            <w:tcBorders>
              <w:top w:val="single" w:sz="8" w:color="0000FF"/>
            </w:tcBorders>
            <w:gridSpan w:val="6"/>
            <w:shd w:val="clear" w:color="auto" w:fill="CEFFE7"/>
          </w:tcPr>
          <w:p>
            <w:pPr>
              <w:spacing w:after="0" w:line="142" w:lineRule="exact"/>
              <w:rPr>
                <w:rFonts w:ascii="Arial" w:cs="Arial" w:eastAsia="Arial" w:hAnsi="Arial"/>
                <w:sz w:val="16"/>
                <w:szCs w:val="16"/>
                <w:color w:val="0000FF"/>
                <w:w w:val="98"/>
              </w:rPr>
            </w:pPr>
            <w:hyperlink w:anchor="page48">
              <w:r>
                <w:rPr>
                  <w:rFonts w:ascii="Arial" w:cs="Arial" w:eastAsia="Arial" w:hAnsi="Arial"/>
                  <w:sz w:val="16"/>
                  <w:szCs w:val="16"/>
                  <w:color w:val="0000FF"/>
                  <w:w w:val="98"/>
                </w:rPr>
                <w:t>(Expense)</w:t>
              </w:r>
            </w:hyperlink>
          </w:p>
        </w:tc>
        <w:tc>
          <w:tcPr>
            <w:tcW w:w="6420" w:type="dxa"/>
            <w:vAlign w:val="bottom"/>
            <w:tcBorders>
              <w:top w:val="single" w:sz="8" w:color="0000FF"/>
            </w:tcBorders>
            <w:gridSpan w:val="21"/>
            <w:shd w:val="clear" w:color="auto" w:fill="CEFFE7"/>
          </w:tcPr>
          <w:p>
            <w:pPr>
              <w:spacing w:after="0"/>
              <w:rPr>
                <w:sz w:val="12"/>
                <w:szCs w:val="12"/>
                <w:color w:val="auto"/>
              </w:rPr>
            </w:pPr>
          </w:p>
        </w:tc>
        <w:tc>
          <w:tcPr>
            <w:tcW w:w="780" w:type="dxa"/>
            <w:vAlign w:val="bottom"/>
            <w:tcBorders>
              <w:top w:val="single" w:sz="8" w:color="CEFFE7"/>
            </w:tcBorders>
            <w:shd w:val="clear" w:color="auto" w:fill="CEFFE7"/>
          </w:tcPr>
          <w:p>
            <w:pPr>
              <w:spacing w:after="0"/>
              <w:rPr>
                <w:sz w:val="12"/>
                <w:szCs w:val="12"/>
                <w:color w:val="auto"/>
              </w:rPr>
            </w:pPr>
          </w:p>
        </w:tc>
        <w:tc>
          <w:tcPr>
            <w:tcW w:w="660" w:type="dxa"/>
            <w:vAlign w:val="bottom"/>
            <w:tcBorders>
              <w:top w:val="single" w:sz="8" w:color="CEFFE7"/>
            </w:tcBorders>
            <w:vMerge w:val="continue"/>
            <w:shd w:val="clear" w:color="auto" w:fill="CEFFE7"/>
          </w:tcPr>
          <w:p>
            <w:pPr>
              <w:spacing w:after="0"/>
              <w:rPr>
                <w:sz w:val="12"/>
                <w:szCs w:val="12"/>
                <w:color w:val="auto"/>
              </w:rPr>
            </w:pPr>
          </w:p>
        </w:tc>
        <w:tc>
          <w:tcPr>
            <w:tcW w:w="840" w:type="dxa"/>
            <w:vAlign w:val="bottom"/>
            <w:tcBorders>
              <w:top w:val="single" w:sz="8" w:color="CEFFE7"/>
            </w:tcBorders>
            <w:gridSpan w:val="2"/>
            <w:vMerge w:val="continue"/>
            <w:shd w:val="clear" w:color="auto" w:fill="CEFFE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30"/>
          </w:tcPr>
          <w:p>
            <w:pPr>
              <w:ind w:left="120"/>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Liquidity and Capital Resources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49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460" w:type="dxa"/>
            <w:vAlign w:val="bottom"/>
            <w:gridSpan w:val="16"/>
            <w:shd w:val="clear" w:color="auto" w:fill="CEFFE7"/>
          </w:tcPr>
          <w:p>
            <w:pPr>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Cash Flow Activities</w:t>
              </w:r>
            </w:hyperlink>
          </w:p>
        </w:tc>
        <w:tc>
          <w:tcPr>
            <w:tcW w:w="6480" w:type="dxa"/>
            <w:vAlign w:val="bottom"/>
            <w:gridSpan w:val="12"/>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49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16"/>
          </w:tcPr>
          <w:p>
            <w:pP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Capital Sources</w:t>
              </w:r>
            </w:hyperlink>
          </w:p>
        </w:tc>
        <w:tc>
          <w:tcPr>
            <w:tcW w:w="648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Credit Ratings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8"/>
          </w:tcPr>
          <w:p>
            <w:pP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Capital Requirements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30"/>
            <w:shd w:val="clear" w:color="auto" w:fill="CEFFE7"/>
          </w:tcPr>
          <w:p>
            <w:pPr>
              <w:ind w:left="120"/>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Critical Accounting Policies Involving Significant Estimates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30"/>
          </w:tcPr>
          <w:p>
            <w:pPr>
              <w:ind w:left="120"/>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New Accounting Pronouncements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EFFE7"/>
            </w:tcBorders>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640" w:type="dxa"/>
            <w:vAlign w:val="bottom"/>
            <w:gridSpan w:val="2"/>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5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200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3.</w:t>
            </w:r>
          </w:p>
        </w:tc>
        <w:tc>
          <w:tcPr>
            <w:tcW w:w="8260" w:type="dxa"/>
            <w:vAlign w:val="bottom"/>
            <w:gridSpan w:val="30"/>
          </w:tcPr>
          <w:p>
            <w:pP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Quantitative and Qualitative Disclosures About Market Risk</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4.</w:t>
            </w:r>
          </w:p>
        </w:tc>
        <w:tc>
          <w:tcPr>
            <w:tcW w:w="8260" w:type="dxa"/>
            <w:vAlign w:val="bottom"/>
            <w:gridSpan w:val="30"/>
            <w:shd w:val="clear" w:color="auto" w:fill="CEFFE7"/>
          </w:tcPr>
          <w:p>
            <w:pP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Controls and Procedures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52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18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2000" w:type="dxa"/>
            <w:vAlign w:val="bottom"/>
            <w:tcBorders>
              <w:top w:val="single" w:sz="8" w:color="CEFFE7"/>
            </w:tcBorders>
          </w:tcPr>
          <w:p>
            <w:pPr>
              <w:spacing w:after="0"/>
              <w:rPr>
                <w:sz w:val="23"/>
                <w:szCs w:val="23"/>
                <w:color w:val="auto"/>
              </w:rPr>
            </w:pPr>
          </w:p>
        </w:tc>
        <w:tc>
          <w:tcPr>
            <w:tcW w:w="1120" w:type="dxa"/>
            <w:vAlign w:val="bottom"/>
            <w:tcBorders>
              <w:top w:val="single" w:sz="8" w:color="CEFFE7"/>
            </w:tcBorders>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9680" w:type="dxa"/>
            <w:vAlign w:val="bottom"/>
            <w:gridSpan w:val="33"/>
            <w:shd w:val="clear" w:color="auto" w:fill="CEFFE7"/>
          </w:tcPr>
          <w:p>
            <w:pP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PART II. OTHER INFORMATION</w:t>
              </w:r>
            </w:hyperlink>
          </w:p>
        </w:tc>
        <w:tc>
          <w:tcPr>
            <w:tcW w:w="66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0000FF"/>
            </w:tcBorders>
            <w:shd w:val="clear" w:color="auto" w:fill="CEFFE7"/>
          </w:tcPr>
          <w:p>
            <w:pPr>
              <w:spacing w:after="0" w:line="20" w:lineRule="exact"/>
              <w:rPr>
                <w:sz w:val="1"/>
                <w:szCs w:val="1"/>
                <w:color w:val="auto"/>
              </w:rPr>
            </w:pPr>
          </w:p>
        </w:tc>
        <w:tc>
          <w:tcPr>
            <w:tcW w:w="5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1.</w:t>
            </w:r>
          </w:p>
        </w:tc>
        <w:tc>
          <w:tcPr>
            <w:tcW w:w="8260" w:type="dxa"/>
            <w:vAlign w:val="bottom"/>
            <w:gridSpan w:val="30"/>
          </w:tcPr>
          <w:p>
            <w:pP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Legal Proceedings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53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1A.</w:t>
            </w:r>
          </w:p>
        </w:tc>
        <w:tc>
          <w:tcPr>
            <w:tcW w:w="900" w:type="dxa"/>
            <w:vAlign w:val="bottom"/>
            <w:gridSpan w:val="6"/>
            <w:shd w:val="clear" w:color="auto" w:fill="CEFFE7"/>
          </w:tcPr>
          <w:p>
            <w:pPr>
              <w:spacing w:after="0" w:line="175" w:lineRule="exact"/>
              <w:rPr>
                <w:rFonts w:ascii="Arial" w:cs="Arial" w:eastAsia="Arial" w:hAnsi="Arial"/>
                <w:sz w:val="16"/>
                <w:szCs w:val="16"/>
                <w:color w:val="0000FF"/>
                <w:w w:val="98"/>
              </w:rPr>
            </w:pPr>
            <w:hyperlink w:anchor="page53">
              <w:r>
                <w:rPr>
                  <w:rFonts w:ascii="Arial" w:cs="Arial" w:eastAsia="Arial" w:hAnsi="Arial"/>
                  <w:sz w:val="16"/>
                  <w:szCs w:val="16"/>
                  <w:color w:val="0000FF"/>
                  <w:w w:val="98"/>
                </w:rPr>
                <w:t>Risk Factors</w:t>
              </w:r>
            </w:hyperlink>
          </w:p>
        </w:tc>
        <w:tc>
          <w:tcPr>
            <w:tcW w:w="7360" w:type="dxa"/>
            <w:vAlign w:val="bottom"/>
            <w:gridSpan w:val="24"/>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53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2.</w:t>
            </w:r>
          </w:p>
        </w:tc>
        <w:tc>
          <w:tcPr>
            <w:tcW w:w="8260" w:type="dxa"/>
            <w:vAlign w:val="bottom"/>
            <w:gridSpan w:val="30"/>
          </w:tcPr>
          <w:p>
            <w:pP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Unregistered Sales of Equity Securities and Use of Proceeds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53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4.</w:t>
            </w:r>
          </w:p>
        </w:tc>
        <w:tc>
          <w:tcPr>
            <w:tcW w:w="1740" w:type="dxa"/>
            <w:vAlign w:val="bottom"/>
            <w:gridSpan w:val="17"/>
            <w:shd w:val="clear" w:color="auto" w:fill="CEFFE7"/>
          </w:tcPr>
          <w:p>
            <w:pP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Mine Safety Disclosures</w:t>
              </w:r>
            </w:hyperlink>
          </w:p>
        </w:tc>
        <w:tc>
          <w:tcPr>
            <w:tcW w:w="6520" w:type="dxa"/>
            <w:vAlign w:val="bottom"/>
            <w:gridSpan w:val="13"/>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53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6.</w:t>
            </w:r>
          </w:p>
        </w:tc>
        <w:tc>
          <w:tcPr>
            <w:tcW w:w="1740" w:type="dxa"/>
            <w:vAlign w:val="bottom"/>
            <w:gridSpan w:val="17"/>
          </w:tcPr>
          <w:p>
            <w:pP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Exhibits</w:t>
              </w:r>
            </w:hyperlink>
          </w:p>
        </w:tc>
        <w:tc>
          <w:tcPr>
            <w:tcW w:w="652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54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EFFE7"/>
            </w:tcBorders>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640" w:type="dxa"/>
            <w:vAlign w:val="bottom"/>
            <w:gridSpan w:val="2"/>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5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200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rFonts w:ascii="Arial" w:cs="Arial" w:eastAsia="Arial" w:hAnsi="Arial"/>
                <w:sz w:val="16"/>
                <w:szCs w:val="16"/>
                <w:color w:val="0000FF"/>
              </w:rPr>
            </w:pPr>
            <w:hyperlink w:anchor="page54">
              <w:r>
                <w:rPr>
                  <w:rFonts w:ascii="Arial" w:cs="Arial" w:eastAsia="Arial" w:hAnsi="Arial"/>
                  <w:sz w:val="16"/>
                  <w:szCs w:val="16"/>
                  <w:color w:val="0000FF"/>
                </w:rPr>
                <w:t>Signatures</w:t>
              </w:r>
            </w:hyperlink>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4">
              <w:r>
                <w:rPr>
                  <w:rFonts w:ascii="Arial" w:cs="Arial" w:eastAsia="Arial" w:hAnsi="Arial"/>
                  <w:sz w:val="16"/>
                  <w:szCs w:val="16"/>
                  <w:color w:val="0000FF"/>
                </w:rPr>
                <w:t>55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8"/>
        </w:trPr>
        <w:tc>
          <w:tcPr>
            <w:tcW w:w="4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gridSpan w:val="25"/>
          </w:tcPr>
          <w:p>
            <w:pPr>
              <w:ind w:left="412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8540" w:type="dxa"/>
            <w:vAlign w:val="bottom"/>
          </w:tcPr>
          <w:p>
            <w:pPr>
              <w:ind w:left="114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432"/>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14"/>
        </w:trPr>
        <w:tc>
          <w:tcPr>
            <w:tcW w:w="2700" w:type="dxa"/>
            <w:vAlign w:val="bottom"/>
          </w:tcPr>
          <w:p>
            <w:pPr>
              <w:spacing w:after="0"/>
              <w:rPr>
                <w:sz w:val="9"/>
                <w:szCs w:val="9"/>
                <w:color w:val="auto"/>
              </w:rPr>
            </w:pPr>
          </w:p>
        </w:tc>
        <w:tc>
          <w:tcPr>
            <w:tcW w:w="8540" w:type="dxa"/>
            <w:vAlign w:val="bottom"/>
          </w:tcPr>
          <w:p>
            <w:pPr>
              <w:spacing w:after="0"/>
              <w:rPr>
                <w:sz w:val="9"/>
                <w:szCs w:val="9"/>
                <w:color w:val="auto"/>
              </w:rPr>
            </w:pPr>
          </w:p>
        </w:tc>
      </w:tr>
      <w:tr>
        <w:trPr>
          <w:trHeight w:val="216"/>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AFUDC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Allowance for Funds Used During Construction</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ALJ</w:t>
            </w:r>
          </w:p>
        </w:tc>
        <w:tc>
          <w:tcPr>
            <w:tcW w:w="8540" w:type="dxa"/>
            <w:vAlign w:val="bottom"/>
          </w:tcPr>
          <w:p>
            <w:pPr>
              <w:ind w:left="160"/>
              <w:spacing w:after="0"/>
              <w:rPr>
                <w:sz w:val="20"/>
                <w:szCs w:val="20"/>
                <w:color w:val="auto"/>
              </w:rPr>
            </w:pPr>
            <w:r>
              <w:rPr>
                <w:rFonts w:ascii="Arial" w:cs="Arial" w:eastAsia="Arial" w:hAnsi="Arial"/>
                <w:sz w:val="16"/>
                <w:szCs w:val="16"/>
                <w:color w:val="auto"/>
              </w:rPr>
              <w:t>Administrative Law Judge</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AOCI</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Accumulated Other Comprehensive Income (Loss)</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Arkansas Gas</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Accounting Standards Codification</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ASU</w:t>
            </w:r>
          </w:p>
        </w:tc>
        <w:tc>
          <w:tcPr>
            <w:tcW w:w="8540" w:type="dxa"/>
            <w:vAlign w:val="bottom"/>
          </w:tcPr>
          <w:p>
            <w:pPr>
              <w:ind w:left="160"/>
              <w:spacing w:after="0"/>
              <w:rPr>
                <w:sz w:val="20"/>
                <w:szCs w:val="20"/>
                <w:color w:val="auto"/>
              </w:rPr>
            </w:pPr>
            <w:r>
              <w:rPr>
                <w:rFonts w:ascii="Arial" w:cs="Arial" w:eastAsia="Arial" w:hAnsi="Arial"/>
                <w:sz w:val="16"/>
                <w:szCs w:val="16"/>
                <w:color w:val="auto"/>
              </w:rPr>
              <w:t>Accounting Standards Update issued by the FASB</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ATM</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At-the-market equity offering program</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Availability</w:t>
            </w:r>
          </w:p>
        </w:tc>
        <w:tc>
          <w:tcPr>
            <w:tcW w:w="8540" w:type="dxa"/>
            <w:vAlign w:val="bottom"/>
          </w:tcPr>
          <w:p>
            <w:pPr>
              <w:ind w:left="16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BHC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Corporation; the Company</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Black Hills Colorado IPP</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Black Hills Electric Generation</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Black Hills Energy</w:t>
            </w:r>
          </w:p>
        </w:tc>
        <w:tc>
          <w:tcPr>
            <w:tcW w:w="8540" w:type="dxa"/>
            <w:vAlign w:val="bottom"/>
          </w:tcPr>
          <w:p>
            <w:pPr>
              <w:ind w:left="16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Black Hills Energy Services</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Energy Services Company, an indirect, wholly-owned subsidiary of Black Hills Utility Holdings, providing</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natural gas commodity supply for the Choice Gas Programs (doing business as Black Hills Energy).</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Black Hills Non-regulated Holdings</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Black Hills Power</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Power, Inc., a direct, wholly-owned subsidiary of Black Hills Corporation (doing business as Black Hills</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Energy). Also known as South Dakota Electric.</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Black Hills Utility Holdings</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Utility Holdings, Inc., a direct, wholly-owned subsidiary of Black Hills Corporation (doing business as</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Energy)</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Wyoming</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Cheyenne Light</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electric service in the Cheyenne, Wyoming area (doing business as Black Hills Energy). Also known as Wyoming</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Electric.</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Chief Operating Decision Maker</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Chief Executive Officer</w:t>
            </w:r>
          </w:p>
        </w:tc>
      </w:tr>
      <w:tr>
        <w:trPr>
          <w:trHeight w:val="201"/>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(CODM)</w:t>
            </w:r>
          </w:p>
        </w:tc>
        <w:tc>
          <w:tcPr>
            <w:tcW w:w="8540" w:type="dxa"/>
            <w:vAlign w:val="bottom"/>
            <w:shd w:val="clear" w:color="auto" w:fill="CEFFE7"/>
          </w:tcPr>
          <w:p>
            <w:pPr>
              <w:spacing w:after="0"/>
              <w:rPr>
                <w:sz w:val="17"/>
                <w:szCs w:val="17"/>
                <w:color w:val="auto"/>
              </w:rPr>
            </w:pP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Choice Gas Program</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Regulator-approved programs in Wyoming and Nebraska that allow certain utility customers to select their natural</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gas commodity supplier, providing for the unbundling of the commodity service from the distribution delivery service.</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City of Gillette</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Gillette, Wyoming</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Colorado Electric</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Colorado Electric, LLC, a direct, wholly-owned subsidiary of Black Hills Utility Holdings, providing electric</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service to customers in Colorado (doing business as Black Hills Energy).</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Colorado Gas</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Colorado Gas, Inc., an indirect, wholly-owned subsidiary of Black Hills Utility Holdings, providing natural</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gas services to customers in Colorado (doing business as Black Hills Energy).</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Consolidated Indebtedness to</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 net worth</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Capitalization Ratio</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(excluding non-controlling interest) plus consolidated indebtedness (including letters of credit and certain guarantees</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issued) as defined within the current Revolving Credit Facility.</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Cooling Degree Day (CDD)</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A cooling degree day is equivalent to each degree that the average of the high and low temperatures for a day is</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above 65 degrees. The warmer the climate, the greater the number of cooling degree days. Cooling degree days are</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used in the utility industry to measure the relative warmth and to compare relative temperatures between one</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locations.</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Corriedale</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The 52.5 MW wind farm near Cheyenne, Wyoming, jointly owned by South Dakota Electric and Wyoming Electric,</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serving as the dedicated wind energy supply to the Renewable Ready program.</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COVID-19</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The official name for the 2019 novel coronavirus disease announced on February 11, 2020 by the World Health</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Organization, that is causing a global pandemic.</w:t>
            </w:r>
          </w:p>
        </w:tc>
      </w:tr>
      <w:tr>
        <w:trPr>
          <w:trHeight w:val="615"/>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6"/>
                <w:szCs w:val="16"/>
                <w:color w:val="auto"/>
              </w:rPr>
              <w:t>4</w:t>
            </w:r>
          </w:p>
        </w:tc>
      </w:tr>
      <w:tr>
        <w:trPr>
          <w:trHeight w:val="351"/>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42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8820" w:type="dxa"/>
            <w:vAlign w:val="bottom"/>
          </w:tcPr>
          <w:p>
            <w:pPr>
              <w:spacing w:after="0"/>
              <w:rPr>
                <w:sz w:val="16"/>
                <w:szCs w:val="16"/>
                <w:color w:val="auto"/>
              </w:rPr>
            </w:pPr>
          </w:p>
        </w:tc>
      </w:tr>
      <w:tr>
        <w:trPr>
          <w:trHeight w:val="922"/>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CP Program</w:t>
            </w:r>
          </w:p>
        </w:tc>
        <w:tc>
          <w:tcPr>
            <w:tcW w:w="1060" w:type="dxa"/>
            <w:vAlign w:val="bottom"/>
          </w:tcPr>
          <w:p>
            <w:pPr>
              <w:spacing w:after="0"/>
              <w:rPr>
                <w:sz w:val="24"/>
                <w:szCs w:val="24"/>
                <w:color w:val="auto"/>
              </w:rPr>
            </w:pPr>
          </w:p>
        </w:tc>
        <w:tc>
          <w:tcPr>
            <w:tcW w:w="8820" w:type="dxa"/>
            <w:vAlign w:val="bottom"/>
          </w:tcPr>
          <w:p>
            <w:pPr>
              <w:ind w:left="440"/>
              <w:spacing w:after="0"/>
              <w:rPr>
                <w:sz w:val="20"/>
                <w:szCs w:val="20"/>
                <w:color w:val="auto"/>
              </w:rPr>
            </w:pPr>
            <w:r>
              <w:rPr>
                <w:rFonts w:ascii="Arial" w:cs="Arial" w:eastAsia="Arial" w:hAnsi="Arial"/>
                <w:sz w:val="16"/>
                <w:szCs w:val="16"/>
                <w:color w:val="auto"/>
              </w:rPr>
              <w:t>Commercial Paper Program</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CPUC</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Colorado Public Utilities Commission</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CVA</w:t>
            </w:r>
          </w:p>
        </w:tc>
        <w:tc>
          <w:tcPr>
            <w:tcW w:w="8820" w:type="dxa"/>
            <w:vAlign w:val="bottom"/>
          </w:tcPr>
          <w:p>
            <w:pPr>
              <w:ind w:left="440"/>
              <w:spacing w:after="0"/>
              <w:rPr>
                <w:sz w:val="20"/>
                <w:szCs w:val="20"/>
                <w:color w:val="auto"/>
              </w:rPr>
            </w:pPr>
            <w:r>
              <w:rPr>
                <w:rFonts w:ascii="Arial" w:cs="Arial" w:eastAsia="Arial" w:hAnsi="Arial"/>
                <w:sz w:val="16"/>
                <w:szCs w:val="16"/>
                <w:color w:val="auto"/>
              </w:rPr>
              <w:t>Credit Valuation Adjustment</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Dth</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Dekatherm. A unit of energy equal to 10 therms or approximately one million British thermal units (MMBtu)</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Economy Energy</w:t>
            </w:r>
          </w:p>
        </w:tc>
        <w:tc>
          <w:tcPr>
            <w:tcW w:w="8820" w:type="dxa"/>
            <w:vAlign w:val="bottom"/>
          </w:tcPr>
          <w:p>
            <w:pPr>
              <w:ind w:left="440"/>
              <w:spacing w:after="0"/>
              <w:rPr>
                <w:sz w:val="20"/>
                <w:szCs w:val="20"/>
                <w:color w:val="auto"/>
              </w:rPr>
            </w:pPr>
            <w:r>
              <w:rPr>
                <w:rFonts w:ascii="Arial" w:cs="Arial" w:eastAsia="Arial" w:hAnsi="Arial"/>
                <w:sz w:val="16"/>
                <w:szCs w:val="16"/>
                <w:color w:val="auto"/>
              </w:rPr>
              <w:t>Purchased energy that costs less than that produced with the utilities’ owned generation.</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FASB</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Financial Accounting Standards Board</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Fitch</w:t>
            </w:r>
          </w:p>
        </w:tc>
        <w:tc>
          <w:tcPr>
            <w:tcW w:w="8820" w:type="dxa"/>
            <w:vAlign w:val="bottom"/>
          </w:tcPr>
          <w:p>
            <w:pPr>
              <w:ind w:left="440"/>
              <w:spacing w:after="0"/>
              <w:rPr>
                <w:sz w:val="20"/>
                <w:szCs w:val="20"/>
                <w:color w:val="auto"/>
              </w:rPr>
            </w:pPr>
            <w:r>
              <w:rPr>
                <w:rFonts w:ascii="Arial" w:cs="Arial" w:eastAsia="Arial" w:hAnsi="Arial"/>
                <w:sz w:val="16"/>
                <w:szCs w:val="16"/>
                <w:color w:val="auto"/>
              </w:rPr>
              <w:t>Fitch Ratings Inc.</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GAAP</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7"/>
        </w:trPr>
        <w:tc>
          <w:tcPr>
            <w:tcW w:w="24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Global Settlement</w:t>
            </w:r>
          </w:p>
        </w:tc>
        <w:tc>
          <w:tcPr>
            <w:tcW w:w="8820" w:type="dxa"/>
            <w:vAlign w:val="bottom"/>
          </w:tcPr>
          <w:p>
            <w:pPr>
              <w:ind w:left="440"/>
              <w:spacing w:after="0" w:line="178" w:lineRule="exact"/>
              <w:rPr>
                <w:sz w:val="20"/>
                <w:szCs w:val="20"/>
                <w:color w:val="auto"/>
              </w:rPr>
            </w:pPr>
            <w:r>
              <w:rPr>
                <w:rFonts w:ascii="Arial" w:cs="Arial" w:eastAsia="Arial" w:hAnsi="Arial"/>
                <w:sz w:val="16"/>
                <w:szCs w:val="16"/>
                <w:color w:val="auto"/>
              </w:rPr>
              <w:t>Settlement with a utility’s commission where the revenue requirement is agreed upon, but the specific adjustments</w:t>
            </w:r>
          </w:p>
        </w:tc>
      </w:tr>
      <w:tr>
        <w:trPr>
          <w:trHeight w:val="198"/>
        </w:trPr>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ind w:left="440"/>
              <w:spacing w:after="0"/>
              <w:rPr>
                <w:sz w:val="20"/>
                <w:szCs w:val="20"/>
                <w:color w:val="auto"/>
              </w:rPr>
            </w:pPr>
            <w:r>
              <w:rPr>
                <w:rFonts w:ascii="Arial" w:cs="Arial" w:eastAsia="Arial" w:hAnsi="Arial"/>
                <w:sz w:val="16"/>
                <w:szCs w:val="16"/>
                <w:color w:val="auto"/>
              </w:rPr>
              <w:t>used by each party to arrive at the amount are not specified in public rate orders.</w:t>
            </w:r>
          </w:p>
        </w:tc>
      </w:tr>
      <w:tr>
        <w:trPr>
          <w:trHeight w:val="180"/>
        </w:trPr>
        <w:tc>
          <w:tcPr>
            <w:tcW w:w="24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Heating Degree Day (HDD)</w:t>
            </w:r>
          </w:p>
        </w:tc>
        <w:tc>
          <w:tcPr>
            <w:tcW w:w="8820" w:type="dxa"/>
            <w:vAlign w:val="bottom"/>
            <w:shd w:val="clear" w:color="auto" w:fill="CEFFE7"/>
          </w:tcPr>
          <w:p>
            <w:pPr>
              <w:ind w:left="440"/>
              <w:spacing w:after="0" w:line="181"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 for a day is</w:t>
            </w:r>
          </w:p>
        </w:tc>
      </w:tr>
      <w:tr>
        <w:trPr>
          <w:trHeight w:val="162"/>
        </w:trPr>
        <w:tc>
          <w:tcPr>
            <w:tcW w:w="136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8820" w:type="dxa"/>
            <w:vAlign w:val="bottom"/>
            <w:shd w:val="clear" w:color="auto" w:fill="CEFFE7"/>
          </w:tcPr>
          <w:p>
            <w:pPr>
              <w:ind w:left="440"/>
              <w:spacing w:after="0" w:line="162" w:lineRule="exact"/>
              <w:rPr>
                <w:sz w:val="20"/>
                <w:szCs w:val="20"/>
                <w:color w:val="auto"/>
              </w:rPr>
            </w:pPr>
            <w:r>
              <w:rPr>
                <w:rFonts w:ascii="Arial" w:cs="Arial" w:eastAsia="Arial" w:hAnsi="Arial"/>
                <w:sz w:val="16"/>
                <w:szCs w:val="16"/>
                <w:color w:val="auto"/>
              </w:rPr>
              <w:t>below 65 degrees. The colder the climate, the greater the number of heating degree days. Heating degree days are</w:t>
            </w:r>
          </w:p>
        </w:tc>
      </w:tr>
      <w:tr>
        <w:trPr>
          <w:trHeight w:val="162"/>
        </w:trPr>
        <w:tc>
          <w:tcPr>
            <w:tcW w:w="136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8820" w:type="dxa"/>
            <w:vAlign w:val="bottom"/>
            <w:shd w:val="clear" w:color="auto" w:fill="CEFFE7"/>
          </w:tcPr>
          <w:p>
            <w:pPr>
              <w:ind w:left="440"/>
              <w:spacing w:after="0" w:line="162" w:lineRule="exact"/>
              <w:rPr>
                <w:sz w:val="20"/>
                <w:szCs w:val="20"/>
                <w:color w:val="auto"/>
              </w:rPr>
            </w:pPr>
            <w:r>
              <w:rPr>
                <w:rFonts w:ascii="Arial" w:cs="Arial" w:eastAsia="Arial" w:hAnsi="Arial"/>
                <w:sz w:val="16"/>
                <w:szCs w:val="16"/>
                <w:color w:val="auto"/>
              </w:rPr>
              <w:t>used in the utility industry to measure the relative coldness and to compare relative temperatures between one</w:t>
            </w:r>
          </w:p>
        </w:tc>
      </w:tr>
      <w:tr>
        <w:trPr>
          <w:trHeight w:val="162"/>
        </w:trPr>
        <w:tc>
          <w:tcPr>
            <w:tcW w:w="136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8820" w:type="dxa"/>
            <w:vAlign w:val="bottom"/>
            <w:shd w:val="clear" w:color="auto" w:fill="CEFFE7"/>
          </w:tcPr>
          <w:p>
            <w:pPr>
              <w:ind w:left="44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01"/>
        </w:trPr>
        <w:tc>
          <w:tcPr>
            <w:tcW w:w="13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locations.</w:t>
            </w:r>
          </w:p>
        </w:tc>
      </w:tr>
      <w:tr>
        <w:trPr>
          <w:trHeight w:val="177"/>
        </w:trPr>
        <w:tc>
          <w:tcPr>
            <w:tcW w:w="24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Iowa Gas</w:t>
            </w:r>
          </w:p>
        </w:tc>
        <w:tc>
          <w:tcPr>
            <w:tcW w:w="8820" w:type="dxa"/>
            <w:vAlign w:val="bottom"/>
          </w:tcPr>
          <w:p>
            <w:pPr>
              <w:ind w:left="440"/>
              <w:spacing w:after="0" w:line="178" w:lineRule="exact"/>
              <w:rPr>
                <w:sz w:val="20"/>
                <w:szCs w:val="20"/>
                <w:color w:val="auto"/>
              </w:rPr>
            </w:pPr>
            <w:r>
              <w:rPr>
                <w:rFonts w:ascii="Arial" w:cs="Arial" w:eastAsia="Arial" w:hAnsi="Arial"/>
                <w:sz w:val="16"/>
                <w:szCs w:val="16"/>
                <w:color w:val="auto"/>
              </w:rPr>
              <w:t>Black Hills Iowa Gas Utility Company, LLC, a direct, wholly-owned subsidiary of Black Hills Utility Holdings, providing</w:t>
            </w:r>
          </w:p>
        </w:tc>
      </w:tr>
      <w:tr>
        <w:trPr>
          <w:trHeight w:val="198"/>
        </w:trPr>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ind w:left="440"/>
              <w:spacing w:after="0"/>
              <w:rPr>
                <w:sz w:val="20"/>
                <w:szCs w:val="20"/>
                <w:color w:val="auto"/>
              </w:rPr>
            </w:pPr>
            <w:r>
              <w:rPr>
                <w:rFonts w:ascii="Arial" w:cs="Arial" w:eastAsia="Arial" w:hAnsi="Arial"/>
                <w:sz w:val="16"/>
                <w:szCs w:val="16"/>
                <w:color w:val="auto"/>
              </w:rPr>
              <w:t>natural gas services to customers in Iowa (doing business as Black Hills Energy).</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IPP</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Independent Power Producer</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IRP</w:t>
            </w:r>
          </w:p>
        </w:tc>
        <w:tc>
          <w:tcPr>
            <w:tcW w:w="8820" w:type="dxa"/>
            <w:vAlign w:val="bottom"/>
          </w:tcPr>
          <w:p>
            <w:pPr>
              <w:ind w:left="440"/>
              <w:spacing w:after="0"/>
              <w:rPr>
                <w:sz w:val="20"/>
                <w:szCs w:val="20"/>
                <w:color w:val="auto"/>
              </w:rPr>
            </w:pPr>
            <w:r>
              <w:rPr>
                <w:rFonts w:ascii="Arial" w:cs="Arial" w:eastAsia="Arial" w:hAnsi="Arial"/>
                <w:sz w:val="16"/>
                <w:szCs w:val="16"/>
                <w:color w:val="auto"/>
              </w:rPr>
              <w:t>Integrated Resource Plan</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IRS</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United States Internal Revenue Service</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IUB</w:t>
            </w:r>
          </w:p>
        </w:tc>
        <w:tc>
          <w:tcPr>
            <w:tcW w:w="8820" w:type="dxa"/>
            <w:vAlign w:val="bottom"/>
          </w:tcPr>
          <w:p>
            <w:pPr>
              <w:ind w:left="440"/>
              <w:spacing w:after="0"/>
              <w:rPr>
                <w:sz w:val="20"/>
                <w:szCs w:val="20"/>
                <w:color w:val="auto"/>
              </w:rPr>
            </w:pPr>
            <w:r>
              <w:rPr>
                <w:rFonts w:ascii="Arial" w:cs="Arial" w:eastAsia="Arial" w:hAnsi="Arial"/>
                <w:sz w:val="16"/>
                <w:szCs w:val="16"/>
                <w:color w:val="auto"/>
              </w:rPr>
              <w:t>Iowa Utilities Board</w:t>
            </w:r>
          </w:p>
        </w:tc>
      </w:tr>
      <w:tr>
        <w:trPr>
          <w:trHeight w:val="180"/>
        </w:trPr>
        <w:tc>
          <w:tcPr>
            <w:tcW w:w="24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Kansas Gas</w:t>
            </w:r>
          </w:p>
        </w:tc>
        <w:tc>
          <w:tcPr>
            <w:tcW w:w="8820" w:type="dxa"/>
            <w:vAlign w:val="bottom"/>
            <w:shd w:val="clear" w:color="auto" w:fill="CEFFE7"/>
          </w:tcPr>
          <w:p>
            <w:pPr>
              <w:ind w:left="440"/>
              <w:spacing w:after="0" w:line="181" w:lineRule="exact"/>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201"/>
        </w:trPr>
        <w:tc>
          <w:tcPr>
            <w:tcW w:w="13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KCC</w:t>
            </w:r>
          </w:p>
        </w:tc>
        <w:tc>
          <w:tcPr>
            <w:tcW w:w="8820" w:type="dxa"/>
            <w:vAlign w:val="bottom"/>
          </w:tcPr>
          <w:p>
            <w:pPr>
              <w:ind w:left="440"/>
              <w:spacing w:after="0"/>
              <w:rPr>
                <w:sz w:val="20"/>
                <w:szCs w:val="20"/>
                <w:color w:val="auto"/>
              </w:rPr>
            </w:pPr>
            <w:r>
              <w:rPr>
                <w:rFonts w:ascii="Arial" w:cs="Arial" w:eastAsia="Arial" w:hAnsi="Arial"/>
                <w:sz w:val="16"/>
                <w:szCs w:val="16"/>
                <w:color w:val="auto"/>
              </w:rPr>
              <w:t>Kansas Corporation Commission</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LIBOR</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London Interbank Offered Rate</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MDU</w:t>
            </w:r>
          </w:p>
        </w:tc>
        <w:tc>
          <w:tcPr>
            <w:tcW w:w="8820" w:type="dxa"/>
            <w:vAlign w:val="bottom"/>
          </w:tcPr>
          <w:p>
            <w:pPr>
              <w:ind w:left="440"/>
              <w:spacing w:after="0"/>
              <w:rPr>
                <w:sz w:val="20"/>
                <w:szCs w:val="20"/>
                <w:color w:val="auto"/>
              </w:rPr>
            </w:pPr>
            <w:r>
              <w:rPr>
                <w:rFonts w:ascii="Arial" w:cs="Arial" w:eastAsia="Arial" w:hAnsi="Arial"/>
                <w:sz w:val="16"/>
                <w:szCs w:val="16"/>
                <w:color w:val="auto"/>
              </w:rPr>
              <w:t>Montana-Dakota Utilities Co., a subsidiary of MDU Resources Group, Inc.</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MMBtu</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Million British thermal units</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Moody’s</w:t>
            </w:r>
          </w:p>
        </w:tc>
        <w:tc>
          <w:tcPr>
            <w:tcW w:w="8820" w:type="dxa"/>
            <w:vAlign w:val="bottom"/>
          </w:tcPr>
          <w:p>
            <w:pPr>
              <w:ind w:left="440"/>
              <w:spacing w:after="0"/>
              <w:rPr>
                <w:sz w:val="20"/>
                <w:szCs w:val="20"/>
                <w:color w:val="auto"/>
              </w:rPr>
            </w:pPr>
            <w:r>
              <w:rPr>
                <w:rFonts w:ascii="Arial" w:cs="Arial" w:eastAsia="Arial" w:hAnsi="Arial"/>
                <w:sz w:val="16"/>
                <w:szCs w:val="16"/>
                <w:color w:val="auto"/>
              </w:rPr>
              <w:t>Moody’s Investors Service, Inc.</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MW</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Megawatts</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MWh</w:t>
            </w:r>
          </w:p>
        </w:tc>
        <w:tc>
          <w:tcPr>
            <w:tcW w:w="8820" w:type="dxa"/>
            <w:vAlign w:val="bottom"/>
          </w:tcPr>
          <w:p>
            <w:pPr>
              <w:ind w:left="440"/>
              <w:spacing w:after="0"/>
              <w:rPr>
                <w:sz w:val="20"/>
                <w:szCs w:val="20"/>
                <w:color w:val="auto"/>
              </w:rPr>
            </w:pPr>
            <w:r>
              <w:rPr>
                <w:rFonts w:ascii="Arial" w:cs="Arial" w:eastAsia="Arial" w:hAnsi="Arial"/>
                <w:sz w:val="16"/>
                <w:szCs w:val="16"/>
                <w:color w:val="auto"/>
              </w:rPr>
              <w:t>Megawatt-hours</w:t>
            </w:r>
          </w:p>
        </w:tc>
      </w:tr>
      <w:tr>
        <w:trPr>
          <w:trHeight w:val="180"/>
        </w:trPr>
        <w:tc>
          <w:tcPr>
            <w:tcW w:w="24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Nebraska Gas</w:t>
            </w:r>
          </w:p>
        </w:tc>
        <w:tc>
          <w:tcPr>
            <w:tcW w:w="8820" w:type="dxa"/>
            <w:vAlign w:val="bottom"/>
            <w:shd w:val="clear" w:color="auto" w:fill="CEFFE7"/>
          </w:tcPr>
          <w:p>
            <w:pPr>
              <w:ind w:left="440"/>
              <w:spacing w:after="0" w:line="181" w:lineRule="exact"/>
              <w:rPr>
                <w:sz w:val="20"/>
                <w:szCs w:val="20"/>
                <w:color w:val="auto"/>
              </w:rPr>
            </w:pPr>
            <w:r>
              <w:rPr>
                <w:rFonts w:ascii="Arial" w:cs="Arial" w:eastAsia="Arial" w:hAnsi="Arial"/>
                <w:sz w:val="16"/>
                <w:szCs w:val="16"/>
                <w:color w:val="auto"/>
              </w:rPr>
              <w:t>Black Hills Nebraska Gas, LLC, an indirect, wholly-owned subsidiary of Black Hills Utility Holdings, providing natural</w:t>
            </w:r>
          </w:p>
        </w:tc>
      </w:tr>
      <w:tr>
        <w:trPr>
          <w:trHeight w:val="201"/>
        </w:trPr>
        <w:tc>
          <w:tcPr>
            <w:tcW w:w="13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gas services to customers in Nebraska (doing business as Black Hills Energy).</w:t>
            </w:r>
          </w:p>
        </w:tc>
      </w:tr>
      <w:tr>
        <w:trPr>
          <w:trHeight w:val="177"/>
        </w:trPr>
        <w:tc>
          <w:tcPr>
            <w:tcW w:w="24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Neil Simpson II</w:t>
            </w:r>
          </w:p>
        </w:tc>
        <w:tc>
          <w:tcPr>
            <w:tcW w:w="8820" w:type="dxa"/>
            <w:vAlign w:val="bottom"/>
          </w:tcPr>
          <w:p>
            <w:pPr>
              <w:ind w:left="440"/>
              <w:spacing w:after="0" w:line="178" w:lineRule="exact"/>
              <w:rPr>
                <w:sz w:val="20"/>
                <w:szCs w:val="20"/>
                <w:color w:val="auto"/>
              </w:rPr>
            </w:pPr>
            <w:r>
              <w:rPr>
                <w:rFonts w:ascii="Arial" w:cs="Arial" w:eastAsia="Arial" w:hAnsi="Arial"/>
                <w:sz w:val="16"/>
                <w:szCs w:val="16"/>
                <w:color w:val="auto"/>
              </w:rPr>
              <w:t>A mine-mouth, coal-fired power plant owned and operated by South Dakota Electric with a total capacity of 90 MW</w:t>
            </w:r>
          </w:p>
        </w:tc>
      </w:tr>
      <w:tr>
        <w:trPr>
          <w:trHeight w:val="198"/>
        </w:trPr>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ind w:left="440"/>
              <w:spacing w:after="0"/>
              <w:rPr>
                <w:sz w:val="20"/>
                <w:szCs w:val="20"/>
                <w:color w:val="auto"/>
              </w:rPr>
            </w:pPr>
            <w:r>
              <w:rPr>
                <w:rFonts w:ascii="Arial" w:cs="Arial" w:eastAsia="Arial" w:hAnsi="Arial"/>
                <w:sz w:val="16"/>
                <w:szCs w:val="16"/>
                <w:color w:val="auto"/>
              </w:rPr>
              <w:t>located at our Gillette, Wyoming energy complex.</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NOL</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Net Operating Loss</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NPSC</w:t>
            </w:r>
          </w:p>
        </w:tc>
        <w:tc>
          <w:tcPr>
            <w:tcW w:w="8820" w:type="dxa"/>
            <w:vAlign w:val="bottom"/>
          </w:tcPr>
          <w:p>
            <w:pPr>
              <w:ind w:left="440"/>
              <w:spacing w:after="0"/>
              <w:rPr>
                <w:sz w:val="20"/>
                <w:szCs w:val="20"/>
                <w:color w:val="auto"/>
              </w:rPr>
            </w:pPr>
            <w:r>
              <w:rPr>
                <w:rFonts w:ascii="Arial" w:cs="Arial" w:eastAsia="Arial" w:hAnsi="Arial"/>
                <w:sz w:val="16"/>
                <w:szCs w:val="16"/>
                <w:color w:val="auto"/>
              </w:rPr>
              <w:t>Nebraska Public Service Commission</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OCI</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Other Comprehensive Income</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OSHA</w:t>
            </w:r>
          </w:p>
        </w:tc>
        <w:tc>
          <w:tcPr>
            <w:tcW w:w="8820" w:type="dxa"/>
            <w:vAlign w:val="bottom"/>
          </w:tcPr>
          <w:p>
            <w:pPr>
              <w:ind w:left="440"/>
              <w:spacing w:after="0"/>
              <w:rPr>
                <w:sz w:val="20"/>
                <w:szCs w:val="20"/>
                <w:color w:val="auto"/>
              </w:rPr>
            </w:pPr>
            <w:r>
              <w:rPr>
                <w:rFonts w:ascii="Arial" w:cs="Arial" w:eastAsia="Arial" w:hAnsi="Arial"/>
                <w:sz w:val="16"/>
                <w:szCs w:val="16"/>
                <w:color w:val="auto"/>
              </w:rPr>
              <w:t>Occupational Safety &amp; Health Administration</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PPA</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Power Purchase Agreement</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PSA</w:t>
            </w:r>
          </w:p>
        </w:tc>
        <w:tc>
          <w:tcPr>
            <w:tcW w:w="8820" w:type="dxa"/>
            <w:vAlign w:val="bottom"/>
          </w:tcPr>
          <w:p>
            <w:pPr>
              <w:ind w:left="440"/>
              <w:spacing w:after="0"/>
              <w:rPr>
                <w:sz w:val="20"/>
                <w:szCs w:val="20"/>
                <w:color w:val="auto"/>
              </w:rPr>
            </w:pPr>
            <w:r>
              <w:rPr>
                <w:rFonts w:ascii="Arial" w:cs="Arial" w:eastAsia="Arial" w:hAnsi="Arial"/>
                <w:sz w:val="16"/>
                <w:szCs w:val="16"/>
                <w:color w:val="auto"/>
              </w:rPr>
              <w:t>Power Sales Agreement</w:t>
            </w:r>
          </w:p>
        </w:tc>
      </w:tr>
      <w:tr>
        <w:trPr>
          <w:trHeight w:val="180"/>
        </w:trPr>
        <w:tc>
          <w:tcPr>
            <w:tcW w:w="24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Pueblo Airport Generation</w:t>
            </w:r>
          </w:p>
        </w:tc>
        <w:tc>
          <w:tcPr>
            <w:tcW w:w="8820" w:type="dxa"/>
            <w:vAlign w:val="bottom"/>
            <w:shd w:val="clear" w:color="auto" w:fill="CEFFE7"/>
          </w:tcPr>
          <w:p>
            <w:pPr>
              <w:ind w:left="440"/>
              <w:spacing w:after="0" w:line="181" w:lineRule="exact"/>
              <w:rPr>
                <w:sz w:val="20"/>
                <w:szCs w:val="20"/>
                <w:color w:val="auto"/>
              </w:rPr>
            </w:pPr>
            <w:r>
              <w:rPr>
                <w:rFonts w:ascii="Arial" w:cs="Arial" w:eastAsia="Arial" w:hAnsi="Arial"/>
                <w:sz w:val="16"/>
                <w:szCs w:val="16"/>
                <w:color w:val="auto"/>
              </w:rPr>
              <w:t>The 420 MW combined cycle gas-fired power generating plants jointly owned by Colorado Electric (220 MW) and</w:t>
            </w:r>
          </w:p>
        </w:tc>
      </w:tr>
      <w:tr>
        <w:trPr>
          <w:trHeight w:val="162"/>
        </w:trPr>
        <w:tc>
          <w:tcPr>
            <w:tcW w:w="136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8820" w:type="dxa"/>
            <w:vAlign w:val="bottom"/>
            <w:shd w:val="clear" w:color="auto" w:fill="CEFFE7"/>
          </w:tcPr>
          <w:p>
            <w:pPr>
              <w:ind w:left="440"/>
              <w:spacing w:after="0" w:line="162" w:lineRule="exact"/>
              <w:rPr>
                <w:sz w:val="20"/>
                <w:szCs w:val="20"/>
                <w:color w:val="auto"/>
              </w:rPr>
            </w:pPr>
            <w:r>
              <w:rPr>
                <w:rFonts w:ascii="Arial" w:cs="Arial" w:eastAsia="Arial" w:hAnsi="Arial"/>
                <w:sz w:val="16"/>
                <w:szCs w:val="16"/>
                <w:color w:val="auto"/>
              </w:rPr>
              <w:t>Black Hills Colorado IPP (200 MW). Black Hills Colorado IPP operates this facility. The plants commenced operation</w:t>
            </w:r>
          </w:p>
        </w:tc>
      </w:tr>
      <w:tr>
        <w:trPr>
          <w:trHeight w:val="201"/>
        </w:trPr>
        <w:tc>
          <w:tcPr>
            <w:tcW w:w="13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on January 1, 2012.</w:t>
            </w:r>
          </w:p>
        </w:tc>
      </w:tr>
      <w:tr>
        <w:trPr>
          <w:trHeight w:val="177"/>
        </w:trPr>
        <w:tc>
          <w:tcPr>
            <w:tcW w:w="2420" w:type="dxa"/>
            <w:vAlign w:val="bottom"/>
            <w:gridSpan w:val="2"/>
          </w:tcPr>
          <w:p>
            <w:pPr>
              <w:ind w:left="20"/>
              <w:spacing w:after="0" w:line="178" w:lineRule="exact"/>
              <w:rPr>
                <w:sz w:val="20"/>
                <w:szCs w:val="20"/>
                <w:color w:val="auto"/>
              </w:rPr>
            </w:pPr>
            <w:r>
              <w:rPr>
                <w:rFonts w:ascii="Arial" w:cs="Arial" w:eastAsia="Arial" w:hAnsi="Arial"/>
                <w:sz w:val="16"/>
                <w:szCs w:val="16"/>
                <w:i w:val="1"/>
                <w:iCs w:val="1"/>
                <w:color w:val="auto"/>
              </w:rPr>
              <w:t>Ready Wyoming</w:t>
            </w:r>
          </w:p>
        </w:tc>
        <w:tc>
          <w:tcPr>
            <w:tcW w:w="8820" w:type="dxa"/>
            <w:vAlign w:val="bottom"/>
          </w:tcPr>
          <w:p>
            <w:pPr>
              <w:ind w:left="440"/>
              <w:spacing w:after="0" w:line="178" w:lineRule="exact"/>
              <w:rPr>
                <w:sz w:val="20"/>
                <w:szCs w:val="20"/>
                <w:color w:val="auto"/>
              </w:rPr>
            </w:pPr>
            <w:r>
              <w:rPr>
                <w:rFonts w:ascii="Arial" w:cs="Arial" w:eastAsia="Arial" w:hAnsi="Arial"/>
                <w:sz w:val="16"/>
                <w:szCs w:val="16"/>
                <w:color w:val="auto"/>
              </w:rPr>
              <w:t>A 285-mile, multi-phase transmission expansion project in Wyoming. This transmission project will serve the growing</w:t>
            </w:r>
          </w:p>
        </w:tc>
      </w:tr>
      <w:tr>
        <w:trPr>
          <w:trHeight w:val="162"/>
        </w:trPr>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20" w:type="dxa"/>
            <w:vAlign w:val="bottom"/>
          </w:tcPr>
          <w:p>
            <w:pPr>
              <w:ind w:left="440"/>
              <w:spacing w:after="0" w:line="162" w:lineRule="exact"/>
              <w:rPr>
                <w:sz w:val="20"/>
                <w:szCs w:val="20"/>
                <w:color w:val="auto"/>
              </w:rPr>
            </w:pPr>
            <w:r>
              <w:rPr>
                <w:rFonts w:ascii="Arial" w:cs="Arial" w:eastAsia="Arial" w:hAnsi="Arial"/>
                <w:sz w:val="16"/>
                <w:szCs w:val="16"/>
                <w:color w:val="auto"/>
              </w:rPr>
              <w:t>needs of customers by enhancing resiliency of Wyoming Electric’s overall electric system and and expanding access</w:t>
            </w:r>
          </w:p>
        </w:tc>
      </w:tr>
      <w:tr>
        <w:trPr>
          <w:trHeight w:val="162"/>
        </w:trPr>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20" w:type="dxa"/>
            <w:vAlign w:val="bottom"/>
          </w:tcPr>
          <w:p>
            <w:pPr>
              <w:ind w:left="440"/>
              <w:spacing w:after="0" w:line="162" w:lineRule="exact"/>
              <w:rPr>
                <w:sz w:val="20"/>
                <w:szCs w:val="20"/>
                <w:color w:val="auto"/>
              </w:rPr>
            </w:pPr>
            <w:r>
              <w:rPr>
                <w:rFonts w:ascii="Arial" w:cs="Arial" w:eastAsia="Arial" w:hAnsi="Arial"/>
                <w:sz w:val="16"/>
                <w:szCs w:val="16"/>
                <w:color w:val="auto"/>
              </w:rPr>
              <w:t>to power markets and renewable resources. The project will help Wyoming Electric maintain top-quartile reliability</w:t>
            </w:r>
          </w:p>
        </w:tc>
      </w:tr>
      <w:tr>
        <w:trPr>
          <w:trHeight w:val="195"/>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20" w:type="dxa"/>
            <w:vAlign w:val="bottom"/>
          </w:tcPr>
          <w:p>
            <w:pPr>
              <w:ind w:left="440"/>
              <w:spacing w:after="0"/>
              <w:rPr>
                <w:sz w:val="20"/>
                <w:szCs w:val="20"/>
                <w:color w:val="auto"/>
              </w:rPr>
            </w:pPr>
            <w:r>
              <w:rPr>
                <w:rFonts w:ascii="Arial" w:cs="Arial" w:eastAsia="Arial" w:hAnsi="Arial"/>
                <w:sz w:val="16"/>
                <w:szCs w:val="16"/>
                <w:color w:val="auto"/>
              </w:rPr>
              <w:t>and enable economic development in the Cheyenne, Wyoming region.</w:t>
            </w:r>
          </w:p>
        </w:tc>
      </w:tr>
      <w:tr>
        <w:trPr>
          <w:trHeight w:val="621"/>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6"/>
                <w:szCs w:val="16"/>
                <w:color w:val="auto"/>
              </w:rPr>
              <w:t>5</w:t>
            </w:r>
          </w:p>
        </w:tc>
      </w:tr>
      <w:tr>
        <w:trPr>
          <w:trHeight w:val="351"/>
        </w:trPr>
        <w:tc>
          <w:tcPr>
            <w:tcW w:w="1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Renewable Advantage</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A 200 MW solar facility project to be constructed in Pueblo County, Colorado. The project aims to lower customer</w:t>
            </w:r>
          </w:p>
        </w:tc>
      </w:tr>
      <w:tr>
        <w:trPr>
          <w:trHeight w:val="162"/>
        </w:trPr>
        <w:tc>
          <w:tcPr>
            <w:tcW w:w="246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energy costs and provide economic and environmental benefits to Colorado Electric’s customers and communities.</w:t>
            </w:r>
          </w:p>
        </w:tc>
      </w:tr>
      <w:tr>
        <w:trPr>
          <w:trHeight w:val="162"/>
        </w:trPr>
        <w:tc>
          <w:tcPr>
            <w:tcW w:w="246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This project, which was approved by the CPUC in September 2020, will be owned by a third-party renewable energy</w:t>
            </w:r>
          </w:p>
        </w:tc>
      </w:tr>
      <w:tr>
        <w:trPr>
          <w:trHeight w:val="162"/>
        </w:trPr>
        <w:tc>
          <w:tcPr>
            <w:tcW w:w="246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developer with Colorado Electric purchasing all of the energy generated at the facility under the terms of a 15-year</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PPA. The project is expected to be placed in service in 2023.</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Renewable Ready</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Voluntary renewable energy subscription program for large commercial, industrial and governmental agency</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customers in South Dakota and Wyoming.</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Revolving Credit Facility</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 purposes,</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which was amended and restated on July 19, 2021, and now terminates on July 19, 2026.</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SDPUC</w:t>
            </w:r>
          </w:p>
        </w:tc>
        <w:tc>
          <w:tcPr>
            <w:tcW w:w="8780" w:type="dxa"/>
            <w:vAlign w:val="bottom"/>
          </w:tcPr>
          <w:p>
            <w:pPr>
              <w:ind w:left="400"/>
              <w:spacing w:after="0"/>
              <w:rPr>
                <w:sz w:val="20"/>
                <w:szCs w:val="20"/>
                <w:color w:val="auto"/>
              </w:rPr>
            </w:pPr>
            <w:r>
              <w:rPr>
                <w:rFonts w:ascii="Arial" w:cs="Arial" w:eastAsia="Arial" w:hAnsi="Arial"/>
                <w:sz w:val="16"/>
                <w:szCs w:val="16"/>
                <w:color w:val="auto"/>
              </w:rPr>
              <w:t>South Dakota Public Utilities Commission</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SEC</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United States Securities and Exchange Commission</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Service Guard Comfort Plan</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agreements to residential utility customers.</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S&amp;P</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S&amp;P Global Ratings, a division of S&amp;P Global Inc.</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South Dakota Electric</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 service to</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customers in Montana, South Dakota and Wyoming (doing business as Black Hills Energy).</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SSIR</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System Safety and Integrity Rider</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TCJA</w:t>
            </w:r>
          </w:p>
        </w:tc>
        <w:tc>
          <w:tcPr>
            <w:tcW w:w="8780" w:type="dxa"/>
            <w:vAlign w:val="bottom"/>
          </w:tcPr>
          <w:p>
            <w:pPr>
              <w:ind w:left="400"/>
              <w:spacing w:after="0"/>
              <w:rPr>
                <w:sz w:val="20"/>
                <w:szCs w:val="20"/>
                <w:color w:val="auto"/>
              </w:rPr>
            </w:pPr>
            <w:r>
              <w:rPr>
                <w:rFonts w:ascii="Arial" w:cs="Arial" w:eastAsia="Arial" w:hAnsi="Arial"/>
                <w:sz w:val="16"/>
                <w:szCs w:val="16"/>
                <w:color w:val="auto"/>
              </w:rPr>
              <w:t>Tax Cuts and Jobs Act</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Tech Services</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 services to large</w:t>
            </w:r>
          </w:p>
        </w:tc>
      </w:tr>
      <w:tr>
        <w:trPr>
          <w:trHeight w:val="162"/>
        </w:trPr>
        <w:tc>
          <w:tcPr>
            <w:tcW w:w="246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industrial customers of our electric utilities, and 2) serve gas transportation customers throughout its service territory</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by constructing and maintaining customer-owned gas infrastructure facilities, typically through one-time contracts.</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Utilities</w:t>
            </w:r>
          </w:p>
        </w:tc>
        <w:tc>
          <w:tcPr>
            <w:tcW w:w="8780" w:type="dxa"/>
            <w:vAlign w:val="bottom"/>
          </w:tcPr>
          <w:p>
            <w:pPr>
              <w:ind w:left="400"/>
              <w:spacing w:after="0"/>
              <w:rPr>
                <w:sz w:val="20"/>
                <w:szCs w:val="20"/>
                <w:color w:val="auto"/>
              </w:rPr>
            </w:pPr>
            <w:r>
              <w:rPr>
                <w:rFonts w:ascii="Arial" w:cs="Arial" w:eastAsia="Arial" w:hAnsi="Arial"/>
                <w:sz w:val="16"/>
                <w:szCs w:val="16"/>
                <w:color w:val="auto"/>
              </w:rPr>
              <w:t>Black Hills’ Electric and Gas Utilities</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 Capacity Factor</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 potential.</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Winter Storm Uri</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February 2021 winter weather event that caused extreme cold temperatures in the central United States and led to</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unprecedented fluctuations in customer demand and market pricing for natural gas and energy.</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WPSC</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Wyoming Public Service Commission</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WRDC</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Wyodak Resources Development Corporation, a direct, wholly-owned subsidiary of Black Hills Non-regulated</w:t>
            </w:r>
          </w:p>
        </w:tc>
      </w:tr>
      <w:tr>
        <w:trPr>
          <w:trHeight w:val="162"/>
        </w:trPr>
        <w:tc>
          <w:tcPr>
            <w:tcW w:w="246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Holdings, providing coal supply primarily to five on-site, mine-mouth generating facilities (doing business as Black</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Hills Energy)</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Wygen I</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A mine-mouth, coal-fired power plant with a total capacity of 90 MW located at our Gillette, Wyoming energy</w:t>
            </w:r>
          </w:p>
        </w:tc>
      </w:tr>
      <w:tr>
        <w:trPr>
          <w:trHeight w:val="162"/>
        </w:trPr>
        <w:tc>
          <w:tcPr>
            <w:tcW w:w="246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complex. Black Hills Wyoming owns 76.5% of the facility and Municipal Energy Agency of Nebraska (MEAN) owns</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the remaining 23.5%.</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Wygen II</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A mine-mouth, coal-fired power plant owned by Wyoming Electric with a total capacity of 95 MW located at our</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Gillette, Wyoming energy complex.</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Wygen III</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A mine-mouth, coal-fired power plant operated by South Dakota Electric with a total capacity of 110 MW located at</w:t>
            </w:r>
          </w:p>
        </w:tc>
      </w:tr>
      <w:tr>
        <w:trPr>
          <w:trHeight w:val="162"/>
        </w:trPr>
        <w:tc>
          <w:tcPr>
            <w:tcW w:w="246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our Gillette, Wyoming energy complex. South Dakota Electric owns 52% of the power plant, MDU owns 25% and the</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City of Gillette owns the remaining 23%.</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Wyodak Plant</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The 362 MW mine-mouth, coal-fired generating facility near Gillette, Wyoming, jointly owned by PacifiCorp (80%)</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and South Dakota Electric (20%). Our WRDC mine supplies all of the fuel for the facility.</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Wyoming Electric</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electric service to customers in the Cheyenne, Wyoming area (doing business as Black Hills Energy).</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Wyoming Gas</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Black Hills Wyoming Gas, LLC, an indirect and wholly-owned subsidiary of Black Hills Utility Holdings, providing</w:t>
            </w:r>
          </w:p>
        </w:tc>
      </w:tr>
      <w:tr>
        <w:trPr>
          <w:trHeight w:val="195"/>
        </w:trPr>
        <w:tc>
          <w:tcPr>
            <w:tcW w:w="2460" w:type="dxa"/>
            <w:vAlign w:val="bottom"/>
          </w:tcPr>
          <w:p>
            <w:pPr>
              <w:spacing w:after="0"/>
              <w:rPr>
                <w:sz w:val="16"/>
                <w:szCs w:val="16"/>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864"/>
        </w:trPr>
        <w:tc>
          <w:tcPr>
            <w:tcW w:w="246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Arial" w:cs="Arial" w:eastAsia="Arial" w:hAnsi="Arial"/>
                <w:sz w:val="16"/>
                <w:szCs w:val="16"/>
                <w:color w:val="auto"/>
              </w:rPr>
              <w:t>6</w:t>
            </w:r>
          </w:p>
        </w:tc>
      </w:tr>
      <w:tr>
        <w:trPr>
          <w:trHeight w:val="350"/>
        </w:trPr>
        <w:tc>
          <w:tcPr>
            <w:tcW w:w="246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268" w:lineRule="exact"/>
        <w:rPr>
          <w:sz w:val="20"/>
          <w:szCs w:val="20"/>
          <w:color w:val="auto"/>
        </w:rPr>
      </w:pPr>
    </w:p>
    <w:p>
      <w:pPr>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This Quarterly Report on Form 10-Q includes “forward-looking statements” as defined by the SEC. We make these forward-looking statements in reliance on the safe harbor protections provided under the Private Securities Litigation Reform Act of 1995. All statements, other than statements of historical facts, included in this presentation that address activities, events or developments that we expect, believe or anticipate will or may occur in the future are forward-looking statements.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2020 Annual Report on Form 10-K, Part II, </w:t>
      </w:r>
      <w:hyperlink w:anchor="page53">
        <w:r>
          <w:rPr>
            <w:rFonts w:ascii="Arial" w:cs="Arial" w:eastAsia="Arial" w:hAnsi="Arial"/>
            <w:sz w:val="16"/>
            <w:szCs w:val="16"/>
            <w:u w:val="single" w:color="auto"/>
            <w:color w:val="0000FF"/>
          </w:rPr>
          <w:t>Item 1A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Quarterly Report on Form 10-Q and other reports that we file with the SEC from time to time, and the following:</w:t>
      </w:r>
    </w:p>
    <w:p>
      <w:pPr>
        <w:spacing w:after="0" w:line="234" w:lineRule="exact"/>
        <w:rPr>
          <w:sz w:val="20"/>
          <w:szCs w:val="20"/>
          <w:color w:val="auto"/>
        </w:rPr>
      </w:pPr>
    </w:p>
    <w:p>
      <w:pPr>
        <w:ind w:left="340" w:right="300" w:hanging="332"/>
        <w:spacing w:after="0" w:line="253" w:lineRule="auto"/>
        <w:tabs>
          <w:tab w:leader="none" w:pos="32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22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on our strategy;</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execute our financing plans;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our greenhouse gas emissions intensity reduction goals;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Board of Directors’ approval of any future quarterly dividends;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future governmental regulation;</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inflation and volatile energy prices; and</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discussed from time to time in our filings with the SEC.</w:t>
      </w:r>
    </w:p>
    <w:p>
      <w:pPr>
        <w:spacing w:after="0" w:line="24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ind w:left="20"/>
              <w:spacing w:after="0"/>
              <w:rPr>
                <w:sz w:val="20"/>
                <w:szCs w:val="20"/>
                <w:color w:val="auto"/>
              </w:rPr>
            </w:pPr>
            <w:r>
              <w:rPr>
                <w:rFonts w:ascii="Arial" w:cs="Arial" w:eastAsia="Arial" w:hAnsi="Arial"/>
                <w:sz w:val="16"/>
                <w:szCs w:val="16"/>
                <w:color w:val="auto"/>
              </w:rPr>
              <w:t>(unaudited)</w:t>
            </w:r>
          </w:p>
        </w:tc>
        <w:tc>
          <w:tcPr>
            <w:tcW w:w="120" w:type="dxa"/>
            <w:vAlign w:val="bottom"/>
          </w:tcPr>
          <w:p>
            <w:pPr>
              <w:spacing w:after="0"/>
              <w:rPr>
                <w:sz w:val="16"/>
                <w:szCs w:val="16"/>
                <w:color w:val="auto"/>
              </w:rPr>
            </w:pPr>
          </w:p>
        </w:tc>
        <w:tc>
          <w:tcPr>
            <w:tcW w:w="2740" w:type="dxa"/>
            <w:vAlign w:val="bottom"/>
            <w:gridSpan w:val="3"/>
          </w:tcPr>
          <w:p>
            <w:pPr>
              <w:jc w:val="right"/>
              <w:ind w:right="39"/>
              <w:spacing w:after="0"/>
              <w:rPr>
                <w:sz w:val="20"/>
                <w:szCs w:val="20"/>
                <w:color w:val="auto"/>
              </w:rPr>
            </w:pPr>
            <w:r>
              <w:rPr>
                <w:rFonts w:ascii="Arial" w:cs="Arial" w:eastAsia="Arial" w:hAnsi="Arial"/>
                <w:sz w:val="16"/>
                <w:szCs w:val="16"/>
                <w:color w:val="auto"/>
              </w:rPr>
              <w:t>Three Months Ended September 30,</w:t>
            </w:r>
          </w:p>
        </w:tc>
        <w:tc>
          <w:tcPr>
            <w:tcW w:w="140" w:type="dxa"/>
            <w:vAlign w:val="bottom"/>
          </w:tcPr>
          <w:p>
            <w:pPr>
              <w:spacing w:after="0"/>
              <w:rPr>
                <w:sz w:val="16"/>
                <w:szCs w:val="16"/>
                <w:color w:val="auto"/>
              </w:rPr>
            </w:pPr>
          </w:p>
        </w:tc>
        <w:tc>
          <w:tcPr>
            <w:tcW w:w="2720" w:type="dxa"/>
            <w:vAlign w:val="bottom"/>
            <w:gridSpan w:val="3"/>
          </w:tcPr>
          <w:p>
            <w:pPr>
              <w:jc w:val="right"/>
              <w:ind w:right="7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5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07"/>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gridSpan w:val="6"/>
          </w:tcPr>
          <w:p>
            <w:pPr>
              <w:jc w:val="right"/>
              <w:ind w:right="179"/>
              <w:spacing w:after="0"/>
              <w:rPr>
                <w:sz w:val="20"/>
                <w:szCs w:val="20"/>
                <w:color w:val="auto"/>
              </w:rPr>
            </w:pPr>
            <w:r>
              <w:rPr>
                <w:rFonts w:ascii="Arial" w:cs="Arial" w:eastAsia="Arial" w:hAnsi="Arial"/>
                <w:sz w:val="16"/>
                <w:szCs w:val="16"/>
                <w:color w:val="auto"/>
              </w:rPr>
              <w:t>(in thousands, except per share amounts)</w:t>
            </w:r>
          </w:p>
        </w:tc>
        <w:tc>
          <w:tcPr>
            <w:tcW w:w="1100" w:type="dxa"/>
            <w:vAlign w:val="bottom"/>
          </w:tcPr>
          <w:p>
            <w:pPr>
              <w:spacing w:after="0"/>
              <w:rPr>
                <w:sz w:val="17"/>
                <w:szCs w:val="17"/>
                <w:color w:val="auto"/>
              </w:rPr>
            </w:pPr>
          </w:p>
        </w:tc>
      </w:tr>
      <w:tr>
        <w:trPr>
          <w:trHeight w:val="154"/>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3"/>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380,590</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346,590</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1,386,594</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1,210,554</w:t>
            </w:r>
          </w:p>
        </w:tc>
      </w:tr>
      <w:tr>
        <w:trPr>
          <w:trHeight w:val="132"/>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EFFE7"/>
          </w:tcPr>
          <w:p>
            <w:pPr>
              <w:spacing w:after="0"/>
              <w:rPr>
                <w:sz w:val="18"/>
                <w:szCs w:val="18"/>
                <w:color w:val="auto"/>
              </w:rPr>
            </w:pPr>
          </w:p>
        </w:tc>
        <w:tc>
          <w:tcPr>
            <w:tcW w:w="13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94,057</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71,686</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495,678</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331,194</w:t>
            </w:r>
          </w:p>
        </w:tc>
      </w:tr>
      <w:tr>
        <w:trPr>
          <w:trHeight w:val="219"/>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12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122,277</w:t>
            </w:r>
          </w:p>
        </w:tc>
        <w:tc>
          <w:tcPr>
            <w:tcW w:w="32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122,759</w:t>
            </w:r>
          </w:p>
        </w:tc>
        <w:tc>
          <w:tcPr>
            <w:tcW w:w="14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375,201</w:t>
            </w:r>
          </w:p>
        </w:tc>
        <w:tc>
          <w:tcPr>
            <w:tcW w:w="34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365,533</w:t>
            </w:r>
          </w:p>
        </w:tc>
      </w:tr>
      <w:tr>
        <w:trPr>
          <w:trHeight w:val="240"/>
        </w:trPr>
        <w:tc>
          <w:tcPr>
            <w:tcW w:w="552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59,159</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56,348</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174,871</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169,413</w:t>
            </w: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12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15,224</w:t>
            </w:r>
          </w:p>
        </w:tc>
        <w:tc>
          <w:tcPr>
            <w:tcW w:w="32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13,563</w:t>
            </w:r>
          </w:p>
        </w:tc>
        <w:tc>
          <w:tcPr>
            <w:tcW w:w="14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45,390</w:t>
            </w:r>
          </w:p>
        </w:tc>
        <w:tc>
          <w:tcPr>
            <w:tcW w:w="3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42,062</w:t>
            </w:r>
          </w:p>
        </w:tc>
      </w:tr>
      <w:tr>
        <w:trPr>
          <w:trHeight w:val="209"/>
        </w:trPr>
        <w:tc>
          <w:tcPr>
            <w:tcW w:w="5520" w:type="dxa"/>
            <w:vAlign w:val="bottom"/>
          </w:tcPr>
          <w:p>
            <w:pPr>
              <w:ind w:left="48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290,717</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264,356</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1,091,140</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908,202</w:t>
            </w:r>
          </w:p>
        </w:tc>
      </w:tr>
      <w:tr>
        <w:trPr>
          <w:trHeight w:val="152"/>
        </w:trPr>
        <w:tc>
          <w:tcPr>
            <w:tcW w:w="5520" w:type="dxa"/>
            <w:vAlign w:val="bottom"/>
            <w:shd w:val="clear" w:color="auto" w:fill="CEFFE7"/>
          </w:tcPr>
          <w:p>
            <w:pPr>
              <w:spacing w:after="0"/>
              <w:rPr>
                <w:sz w:val="13"/>
                <w:szCs w:val="13"/>
                <w:color w:val="auto"/>
              </w:rPr>
            </w:pPr>
          </w:p>
        </w:tc>
        <w:tc>
          <w:tcPr>
            <w:tcW w:w="120" w:type="dxa"/>
            <w:vAlign w:val="bottom"/>
            <w:shd w:val="clear" w:color="auto" w:fill="CEFFE7"/>
          </w:tcPr>
          <w:p>
            <w:pPr>
              <w:spacing w:after="0"/>
              <w:rPr>
                <w:sz w:val="13"/>
                <w:szCs w:val="13"/>
                <w:color w:val="auto"/>
              </w:rPr>
            </w:pPr>
          </w:p>
        </w:tc>
        <w:tc>
          <w:tcPr>
            <w:tcW w:w="1300" w:type="dxa"/>
            <w:vAlign w:val="bottom"/>
            <w:shd w:val="clear" w:color="auto" w:fill="CEFFE7"/>
          </w:tcPr>
          <w:p>
            <w:pPr>
              <w:spacing w:after="0"/>
              <w:rPr>
                <w:sz w:val="13"/>
                <w:szCs w:val="13"/>
                <w:color w:val="auto"/>
              </w:rPr>
            </w:pPr>
          </w:p>
        </w:tc>
        <w:tc>
          <w:tcPr>
            <w:tcW w:w="320" w:type="dxa"/>
            <w:vAlign w:val="bottom"/>
            <w:shd w:val="clear" w:color="auto" w:fill="CEFFE7"/>
          </w:tcPr>
          <w:p>
            <w:pPr>
              <w:spacing w:after="0"/>
              <w:rPr>
                <w:sz w:val="13"/>
                <w:szCs w:val="13"/>
                <w:color w:val="auto"/>
              </w:rPr>
            </w:pPr>
          </w:p>
        </w:tc>
        <w:tc>
          <w:tcPr>
            <w:tcW w:w="1120" w:type="dxa"/>
            <w:vAlign w:val="bottom"/>
            <w:shd w:val="clear" w:color="auto" w:fill="CEFFE7"/>
          </w:tcPr>
          <w:p>
            <w:pPr>
              <w:spacing w:after="0"/>
              <w:rPr>
                <w:sz w:val="13"/>
                <w:szCs w:val="13"/>
                <w:color w:val="auto"/>
              </w:rPr>
            </w:pPr>
          </w:p>
        </w:tc>
        <w:tc>
          <w:tcPr>
            <w:tcW w:w="140" w:type="dxa"/>
            <w:vAlign w:val="bottom"/>
            <w:shd w:val="clear" w:color="auto" w:fill="CEFFE7"/>
          </w:tcPr>
          <w:p>
            <w:pPr>
              <w:spacing w:after="0"/>
              <w:rPr>
                <w:sz w:val="13"/>
                <w:szCs w:val="13"/>
                <w:color w:val="auto"/>
              </w:rPr>
            </w:pPr>
          </w:p>
        </w:tc>
        <w:tc>
          <w:tcPr>
            <w:tcW w:w="1280" w:type="dxa"/>
            <w:vAlign w:val="bottom"/>
            <w:shd w:val="clear" w:color="auto" w:fill="CEFFE7"/>
          </w:tcPr>
          <w:p>
            <w:pPr>
              <w:spacing w:after="0"/>
              <w:rPr>
                <w:sz w:val="13"/>
                <w:szCs w:val="13"/>
                <w:color w:val="auto"/>
              </w:rPr>
            </w:pPr>
          </w:p>
        </w:tc>
        <w:tc>
          <w:tcPr>
            <w:tcW w:w="340" w:type="dxa"/>
            <w:vAlign w:val="bottom"/>
            <w:shd w:val="clear" w:color="auto" w:fill="CEFFE7"/>
          </w:tcPr>
          <w:p>
            <w:pPr>
              <w:spacing w:after="0"/>
              <w:rPr>
                <w:sz w:val="13"/>
                <w:szCs w:val="13"/>
                <w:color w:val="auto"/>
              </w:rPr>
            </w:pPr>
          </w:p>
        </w:tc>
        <w:tc>
          <w:tcPr>
            <w:tcW w:w="1100" w:type="dxa"/>
            <w:vAlign w:val="bottom"/>
            <w:shd w:val="clear" w:color="auto" w:fill="CEFFE7"/>
          </w:tcPr>
          <w:p>
            <w:pPr>
              <w:spacing w:after="0"/>
              <w:rPr>
                <w:sz w:val="13"/>
                <w:szCs w:val="13"/>
                <w:color w:val="auto"/>
              </w:rPr>
            </w:pPr>
          </w:p>
        </w:tc>
      </w:tr>
      <w:tr>
        <w:trPr>
          <w:trHeight w:val="213"/>
        </w:trPr>
        <w:tc>
          <w:tcPr>
            <w:tcW w:w="55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Operating income</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89,873</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82,234</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295,454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302,352</w:t>
            </w:r>
          </w:p>
        </w:tc>
      </w:tr>
      <w:tr>
        <w:trPr>
          <w:trHeight w:val="131"/>
        </w:trPr>
        <w:tc>
          <w:tcPr>
            <w:tcW w:w="5520" w:type="dxa"/>
            <w:vAlign w:val="bottom"/>
            <w:shd w:val="clear" w:color="auto" w:fill="CEFFE7"/>
          </w:tcPr>
          <w:p>
            <w:pPr>
              <w:spacing w:after="0"/>
              <w:rPr>
                <w:sz w:val="11"/>
                <w:szCs w:val="11"/>
                <w:color w:val="auto"/>
              </w:rPr>
            </w:pPr>
          </w:p>
        </w:tc>
        <w:tc>
          <w:tcPr>
            <w:tcW w:w="120" w:type="dxa"/>
            <w:vAlign w:val="bottom"/>
            <w:shd w:val="clear" w:color="auto" w:fill="CEFFE7"/>
          </w:tcPr>
          <w:p>
            <w:pPr>
              <w:spacing w:after="0"/>
              <w:rPr>
                <w:sz w:val="11"/>
                <w:szCs w:val="11"/>
                <w:color w:val="auto"/>
              </w:rPr>
            </w:pPr>
          </w:p>
        </w:tc>
        <w:tc>
          <w:tcPr>
            <w:tcW w:w="1300" w:type="dxa"/>
            <w:vAlign w:val="bottom"/>
            <w:shd w:val="clear" w:color="auto" w:fill="CEFFE7"/>
          </w:tcPr>
          <w:p>
            <w:pPr>
              <w:spacing w:after="0"/>
              <w:rPr>
                <w:sz w:val="11"/>
                <w:szCs w:val="11"/>
                <w:color w:val="auto"/>
              </w:rPr>
            </w:pPr>
          </w:p>
        </w:tc>
        <w:tc>
          <w:tcPr>
            <w:tcW w:w="320" w:type="dxa"/>
            <w:vAlign w:val="bottom"/>
            <w:shd w:val="clear" w:color="auto" w:fill="CEFFE7"/>
          </w:tcPr>
          <w:p>
            <w:pPr>
              <w:spacing w:after="0"/>
              <w:rPr>
                <w:sz w:val="11"/>
                <w:szCs w:val="11"/>
                <w:color w:val="auto"/>
              </w:rPr>
            </w:pPr>
          </w:p>
        </w:tc>
        <w:tc>
          <w:tcPr>
            <w:tcW w:w="1120" w:type="dxa"/>
            <w:vAlign w:val="bottom"/>
            <w:shd w:val="clear" w:color="auto" w:fill="CEFFE7"/>
          </w:tcPr>
          <w:p>
            <w:pPr>
              <w:spacing w:after="0"/>
              <w:rPr>
                <w:sz w:val="11"/>
                <w:szCs w:val="11"/>
                <w:color w:val="auto"/>
              </w:rPr>
            </w:pPr>
          </w:p>
        </w:tc>
        <w:tc>
          <w:tcPr>
            <w:tcW w:w="140" w:type="dxa"/>
            <w:vAlign w:val="bottom"/>
            <w:shd w:val="clear" w:color="auto" w:fill="CEFFE7"/>
          </w:tcPr>
          <w:p>
            <w:pPr>
              <w:spacing w:after="0"/>
              <w:rPr>
                <w:sz w:val="11"/>
                <w:szCs w:val="11"/>
                <w:color w:val="auto"/>
              </w:rPr>
            </w:pPr>
          </w:p>
        </w:tc>
        <w:tc>
          <w:tcPr>
            <w:tcW w:w="1280" w:type="dxa"/>
            <w:vAlign w:val="bottom"/>
            <w:shd w:val="clear" w:color="auto" w:fill="CEFFE7"/>
          </w:tcPr>
          <w:p>
            <w:pPr>
              <w:spacing w:after="0"/>
              <w:rPr>
                <w:sz w:val="11"/>
                <w:szCs w:val="11"/>
                <w:color w:val="auto"/>
              </w:rPr>
            </w:pPr>
          </w:p>
        </w:tc>
        <w:tc>
          <w:tcPr>
            <w:tcW w:w="340" w:type="dxa"/>
            <w:vAlign w:val="bottom"/>
            <w:shd w:val="clear" w:color="auto" w:fill="CEFFE7"/>
          </w:tcPr>
          <w:p>
            <w:pPr>
              <w:spacing w:after="0"/>
              <w:rPr>
                <w:sz w:val="11"/>
                <w:szCs w:val="11"/>
                <w:color w:val="auto"/>
              </w:rPr>
            </w:pPr>
          </w:p>
        </w:tc>
        <w:tc>
          <w:tcPr>
            <w:tcW w:w="1100" w:type="dxa"/>
            <w:vAlign w:val="bottom"/>
            <w:shd w:val="clear" w:color="auto" w:fill="CEFFE7"/>
          </w:tcPr>
          <w:p>
            <w:pPr>
              <w:spacing w:after="0"/>
              <w:rPr>
                <w:sz w:val="11"/>
                <w:szCs w:val="1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0"/>
        </w:trPr>
        <w:tc>
          <w:tcPr>
            <w:tcW w:w="55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Interest expense incurred net of amounts capitalized (including amortization</w:t>
            </w:r>
          </w:p>
        </w:tc>
        <w:tc>
          <w:tcPr>
            <w:tcW w:w="120" w:type="dxa"/>
            <w:vAlign w:val="bottom"/>
            <w:shd w:val="clear" w:color="auto" w:fill="CEFFE7"/>
          </w:tcPr>
          <w:p>
            <w:pPr>
              <w:spacing w:after="0"/>
              <w:rPr>
                <w:sz w:val="15"/>
                <w:szCs w:val="15"/>
                <w:color w:val="auto"/>
              </w:rPr>
            </w:pPr>
          </w:p>
        </w:tc>
        <w:tc>
          <w:tcPr>
            <w:tcW w:w="130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112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28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100" w:type="dxa"/>
            <w:vAlign w:val="bottom"/>
            <w:shd w:val="clear" w:color="auto" w:fill="CEFFE7"/>
          </w:tcPr>
          <w:p>
            <w:pPr>
              <w:spacing w:after="0"/>
              <w:rPr>
                <w:sz w:val="15"/>
                <w:szCs w:val="15"/>
                <w:color w:val="auto"/>
              </w:rPr>
            </w:pPr>
          </w:p>
        </w:tc>
      </w:tr>
      <w:tr>
        <w:trPr>
          <w:trHeight w:val="201"/>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of debt issuance costs, premiums and discounts)</w:t>
            </w:r>
          </w:p>
        </w:tc>
        <w:tc>
          <w:tcPr>
            <w:tcW w:w="120" w:type="dxa"/>
            <w:vAlign w:val="bottom"/>
            <w:shd w:val="clear" w:color="auto" w:fill="CEFFE7"/>
          </w:tcPr>
          <w:p>
            <w:pPr>
              <w:spacing w:after="0"/>
              <w:rPr>
                <w:sz w:val="17"/>
                <w:szCs w:val="17"/>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(38,604)</w:t>
            </w:r>
          </w:p>
        </w:tc>
        <w:tc>
          <w:tcPr>
            <w:tcW w:w="320" w:type="dxa"/>
            <w:vAlign w:val="bottom"/>
            <w:shd w:val="clear" w:color="auto" w:fill="CEFFE7"/>
          </w:tcPr>
          <w:p>
            <w:pPr>
              <w:spacing w:after="0"/>
              <w:rPr>
                <w:sz w:val="17"/>
                <w:szCs w:val="17"/>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(36,521)</w:t>
            </w:r>
          </w:p>
        </w:tc>
        <w:tc>
          <w:tcPr>
            <w:tcW w:w="140" w:type="dxa"/>
            <w:vAlign w:val="bottom"/>
            <w:shd w:val="clear" w:color="auto" w:fill="CEFFE7"/>
          </w:tcPr>
          <w:p>
            <w:pPr>
              <w:spacing w:after="0"/>
              <w:rPr>
                <w:sz w:val="17"/>
                <w:szCs w:val="17"/>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(115,098)</w:t>
            </w:r>
          </w:p>
        </w:tc>
        <w:tc>
          <w:tcPr>
            <w:tcW w:w="340" w:type="dxa"/>
            <w:vAlign w:val="bottom"/>
            <w:shd w:val="clear" w:color="auto" w:fill="CEFFE7"/>
          </w:tcPr>
          <w:p>
            <w:pPr>
              <w:spacing w:after="0"/>
              <w:rPr>
                <w:sz w:val="17"/>
                <w:szCs w:val="17"/>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(108,067)</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480</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1,278</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1,028</w:t>
            </w:r>
          </w:p>
        </w:tc>
      </w:tr>
      <w:tr>
        <w:trPr>
          <w:trHeight w:val="219"/>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Impairment of investment</w:t>
            </w:r>
          </w:p>
        </w:tc>
        <w:tc>
          <w:tcPr>
            <w:tcW w:w="12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(6,859)</w:t>
            </w:r>
          </w:p>
        </w:tc>
      </w:tr>
      <w:tr>
        <w:trPr>
          <w:trHeight w:val="213"/>
        </w:trPr>
        <w:tc>
          <w:tcPr>
            <w:tcW w:w="55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1,560</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r>
      <w:tr>
        <w:trPr>
          <w:trHeight w:val="210"/>
        </w:trPr>
        <w:tc>
          <w:tcPr>
            <w:tcW w:w="552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other income (expense)</w:t>
            </w:r>
          </w:p>
        </w:tc>
        <w:tc>
          <w:tcPr>
            <w:tcW w:w="12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(36,458)</w:t>
            </w:r>
          </w:p>
        </w:tc>
        <w:tc>
          <w:tcPr>
            <w:tcW w:w="32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(37,234)</w:t>
            </w:r>
          </w:p>
        </w:tc>
        <w:tc>
          <w:tcPr>
            <w:tcW w:w="14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(112,185)</w:t>
            </w:r>
          </w:p>
        </w:tc>
        <w:tc>
          <w:tcPr>
            <w:tcW w:w="3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(114,601)</w:t>
            </w:r>
          </w:p>
        </w:tc>
      </w:tr>
      <w:tr>
        <w:trPr>
          <w:trHeight w:val="131"/>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53,415</w:t>
            </w: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45,000</w:t>
            </w:r>
          </w:p>
        </w:tc>
        <w:tc>
          <w:tcPr>
            <w:tcW w:w="14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183,269</w:t>
            </w: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187,751</w:t>
            </w:r>
          </w:p>
        </w:tc>
      </w:tr>
      <w:tr>
        <w:trPr>
          <w:trHeight w:val="213"/>
        </w:trPr>
        <w:tc>
          <w:tcPr>
            <w:tcW w:w="55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(4,651)</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(6,333)</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(25,484)</w:t>
            </w:r>
          </w:p>
        </w:tc>
      </w:tr>
      <w:tr>
        <w:trPr>
          <w:trHeight w:val="213"/>
        </w:trPr>
        <w:tc>
          <w:tcPr>
            <w:tcW w:w="55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48,162</w:t>
            </w: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40,349</w:t>
            </w:r>
          </w:p>
        </w:tc>
        <w:tc>
          <w:tcPr>
            <w:tcW w:w="14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176,936</w:t>
            </w: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162,267</w:t>
            </w:r>
          </w:p>
        </w:tc>
      </w:tr>
      <w:tr>
        <w:trPr>
          <w:trHeight w:val="213"/>
        </w:trPr>
        <w:tc>
          <w:tcPr>
            <w:tcW w:w="55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(4,066)</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(11,844)</w:t>
            </w:r>
          </w:p>
        </w:tc>
      </w:tr>
      <w:tr>
        <w:trPr>
          <w:trHeight w:val="238"/>
        </w:trPr>
        <w:tc>
          <w:tcPr>
            <w:tcW w:w="5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44,112</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36,283</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165,589</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150,423</w:t>
            </w: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r>
      <w:tr>
        <w:trPr>
          <w:trHeight w:val="95"/>
        </w:trPr>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Earnings per share of common stock:</w:t>
            </w:r>
          </w:p>
        </w:tc>
        <w:tc>
          <w:tcPr>
            <w:tcW w:w="120" w:type="dxa"/>
            <w:vAlign w:val="bottom"/>
            <w:shd w:val="clear" w:color="auto" w:fill="CEFFE7"/>
          </w:tcPr>
          <w:p>
            <w:pPr>
              <w:spacing w:after="0"/>
              <w:rPr>
                <w:sz w:val="18"/>
                <w:szCs w:val="18"/>
                <w:color w:val="auto"/>
              </w:rPr>
            </w:pPr>
          </w:p>
        </w:tc>
        <w:tc>
          <w:tcPr>
            <w:tcW w:w="13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6"/>
                <w:szCs w:val="16"/>
                <w:color w:val="auto"/>
              </w:rPr>
              <w:t>Earnings per share,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r>
      <w:tr>
        <w:trPr>
          <w:trHeight w:val="20"/>
        </w:trPr>
        <w:tc>
          <w:tcPr>
            <w:tcW w:w="5520" w:type="dxa"/>
            <w:vAlign w:val="bottom"/>
            <w:tcBorders>
              <w:bottom w:val="single" w:sz="8" w:color="CEFFE7"/>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55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Earnings per share, Diluted</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0.70</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0.58</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2.63</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2.41</w:t>
            </w: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r>
      <w:tr>
        <w:trPr>
          <w:trHeight w:val="95"/>
        </w:trPr>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20" w:type="dxa"/>
            <w:vAlign w:val="bottom"/>
            <w:shd w:val="clear" w:color="auto" w:fill="CEFFE7"/>
          </w:tcPr>
          <w:p>
            <w:pPr>
              <w:spacing w:after="0"/>
              <w:rPr>
                <w:sz w:val="18"/>
                <w:szCs w:val="18"/>
                <w:color w:val="auto"/>
              </w:rPr>
            </w:pPr>
          </w:p>
        </w:tc>
        <w:tc>
          <w:tcPr>
            <w:tcW w:w="13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63,341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62,575</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62,310</w:t>
            </w:r>
          </w:p>
        </w:tc>
      </w:tr>
      <w:tr>
        <w:trPr>
          <w:trHeight w:val="20"/>
        </w:trPr>
        <w:tc>
          <w:tcPr>
            <w:tcW w:w="5520" w:type="dxa"/>
            <w:vAlign w:val="bottom"/>
            <w:tcBorders>
              <w:bottom w:val="single" w:sz="8" w:color="CEFFE7"/>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55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EFFE7"/>
          </w:tcPr>
          <w:p>
            <w:pPr>
              <w:spacing w:after="0"/>
              <w:rPr>
                <w:sz w:val="20"/>
                <w:szCs w:val="20"/>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63,436</w:t>
            </w:r>
          </w:p>
        </w:tc>
        <w:tc>
          <w:tcPr>
            <w:tcW w:w="320" w:type="dxa"/>
            <w:vAlign w:val="bottom"/>
            <w:tcBorders>
              <w:bottom w:val="single" w:sz="8" w:color="auto"/>
            </w:tcBorders>
            <w:shd w:val="clear" w:color="auto" w:fill="CEFFE7"/>
          </w:tcPr>
          <w:p>
            <w:pPr>
              <w:spacing w:after="0"/>
              <w:rPr>
                <w:sz w:val="20"/>
                <w:szCs w:val="20"/>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62,630</w:t>
            </w:r>
          </w:p>
        </w:tc>
        <w:tc>
          <w:tcPr>
            <w:tcW w:w="140" w:type="dxa"/>
            <w:vAlign w:val="bottom"/>
            <w:tcBorders>
              <w:bottom w:val="single" w:sz="8" w:color="auto"/>
            </w:tcBorders>
            <w:shd w:val="clear" w:color="auto" w:fill="CEFFE7"/>
          </w:tcPr>
          <w:p>
            <w:pPr>
              <w:spacing w:after="0"/>
              <w:rPr>
                <w:sz w:val="20"/>
                <w:szCs w:val="20"/>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63,046</w:t>
            </w:r>
          </w:p>
        </w:tc>
        <w:tc>
          <w:tcPr>
            <w:tcW w:w="340" w:type="dxa"/>
            <w:vAlign w:val="bottom"/>
            <w:tcBorders>
              <w:bottom w:val="single" w:sz="8" w:color="auto"/>
            </w:tcBorders>
            <w:shd w:val="clear" w:color="auto" w:fill="CEFFE7"/>
          </w:tcPr>
          <w:p>
            <w:pPr>
              <w:spacing w:after="0"/>
              <w:rPr>
                <w:sz w:val="20"/>
                <w:szCs w:val="20"/>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62,362</w:t>
            </w: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4">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39"/>
              <w:spacing w:after="0"/>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16"/>
                <w:szCs w:val="16"/>
                <w:color w:val="auto"/>
              </w:rPr>
            </w:pPr>
          </w:p>
        </w:tc>
        <w:tc>
          <w:tcPr>
            <w:tcW w:w="1920" w:type="dxa"/>
            <w:vAlign w:val="bottom"/>
            <w:gridSpan w:val="3"/>
          </w:tcPr>
          <w:p>
            <w:pPr>
              <w:jc w:val="right"/>
              <w:ind w:right="279"/>
              <w:spacing w:after="0"/>
              <w:rPr>
                <w:sz w:val="20"/>
                <w:szCs w:val="20"/>
                <w:color w:val="auto"/>
              </w:rPr>
            </w:pPr>
            <w:r>
              <w:rPr>
                <w:rFonts w:ascii="Arial" w:cs="Arial" w:eastAsia="Arial" w:hAnsi="Arial"/>
                <w:sz w:val="16"/>
                <w:szCs w:val="16"/>
                <w:color w:val="auto"/>
              </w:rPr>
              <w:t>Nine Months Ended</w:t>
            </w:r>
          </w:p>
        </w:tc>
      </w:tr>
      <w:tr>
        <w:trPr>
          <w:trHeight w:val="195"/>
        </w:trPr>
        <w:tc>
          <w:tcPr>
            <w:tcW w:w="6920" w:type="dxa"/>
            <w:vAlign w:val="bottom"/>
          </w:tcPr>
          <w:p>
            <w:pPr>
              <w:ind w:left="20"/>
              <w:spacing w:after="0"/>
              <w:rPr>
                <w:sz w:val="20"/>
                <w:szCs w:val="20"/>
                <w:color w:val="auto"/>
              </w:rPr>
            </w:pPr>
            <w:r>
              <w:rPr>
                <w:rFonts w:ascii="Arial" w:cs="Arial" w:eastAsia="Arial" w:hAnsi="Arial"/>
                <w:sz w:val="16"/>
                <w:szCs w:val="16"/>
                <w:color w:val="auto"/>
              </w:rPr>
              <w:t>(unaudited)</w:t>
            </w:r>
          </w:p>
        </w:tc>
        <w:tc>
          <w:tcPr>
            <w:tcW w:w="220" w:type="dxa"/>
            <w:vAlign w:val="bottom"/>
          </w:tcPr>
          <w:p>
            <w:pPr>
              <w:spacing w:after="0"/>
              <w:rPr>
                <w:sz w:val="16"/>
                <w:szCs w:val="16"/>
                <w:color w:val="auto"/>
              </w:rPr>
            </w:pPr>
          </w:p>
        </w:tc>
        <w:tc>
          <w:tcPr>
            <w:tcW w:w="1940" w:type="dxa"/>
            <w:vAlign w:val="bottom"/>
            <w:gridSpan w:val="3"/>
          </w:tcPr>
          <w:p>
            <w:pPr>
              <w:jc w:val="right"/>
              <w:ind w:right="459"/>
              <w:spacing w:after="0"/>
              <w:rPr>
                <w:sz w:val="20"/>
                <w:szCs w:val="20"/>
                <w:color w:val="auto"/>
              </w:rPr>
            </w:pPr>
            <w:r>
              <w:rPr>
                <w:rFonts w:ascii="Arial" w:cs="Arial" w:eastAsia="Arial" w:hAnsi="Arial"/>
                <w:sz w:val="16"/>
                <w:szCs w:val="16"/>
                <w:color w:val="auto"/>
              </w:rPr>
              <w:t>September 30,</w:t>
            </w:r>
          </w:p>
        </w:tc>
        <w:tc>
          <w:tcPr>
            <w:tcW w:w="240" w:type="dxa"/>
            <w:vAlign w:val="bottom"/>
          </w:tcPr>
          <w:p>
            <w:pPr>
              <w:spacing w:after="0"/>
              <w:rPr>
                <w:sz w:val="16"/>
                <w:szCs w:val="16"/>
                <w:color w:val="auto"/>
              </w:rPr>
            </w:pPr>
          </w:p>
        </w:tc>
        <w:tc>
          <w:tcPr>
            <w:tcW w:w="1920" w:type="dxa"/>
            <w:vAlign w:val="bottom"/>
            <w:gridSpan w:val="3"/>
          </w:tcPr>
          <w:p>
            <w:pPr>
              <w:jc w:val="right"/>
              <w:ind w:right="459"/>
              <w:spacing w:after="0"/>
              <w:rPr>
                <w:sz w:val="20"/>
                <w:szCs w:val="20"/>
                <w:color w:val="auto"/>
              </w:rPr>
            </w:pPr>
            <w:r>
              <w:rPr>
                <w:rFonts w:ascii="Arial" w:cs="Arial" w:eastAsia="Arial" w:hAnsi="Arial"/>
                <w:sz w:val="16"/>
                <w:szCs w:val="16"/>
                <w:color w:val="auto"/>
              </w:rPr>
              <w:t>September 30,</w:t>
            </w:r>
          </w:p>
        </w:tc>
      </w:tr>
      <w:tr>
        <w:trPr>
          <w:trHeight w:val="219"/>
        </w:trPr>
        <w:tc>
          <w:tcPr>
            <w:tcW w:w="6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r>
      <w:tr>
        <w:trPr>
          <w:trHeight w:val="209"/>
        </w:trPr>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ind w:right="479"/>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48,162</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40,349</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176,936</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162,267</w:t>
            </w:r>
          </w:p>
        </w:tc>
      </w:tr>
      <w:tr>
        <w:trPr>
          <w:trHeight w:val="253"/>
        </w:trPr>
        <w:tc>
          <w:tcPr>
            <w:tcW w:w="6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r>
      <w:tr>
        <w:trPr>
          <w:trHeight w:val="213"/>
        </w:trPr>
        <w:tc>
          <w:tcPr>
            <w:tcW w:w="6920" w:type="dxa"/>
            <w:vAlign w:val="bottom"/>
          </w:tcPr>
          <w:p>
            <w:pPr>
              <w:ind w:left="360"/>
              <w:spacing w:after="0"/>
              <w:rPr>
                <w:sz w:val="20"/>
                <w:szCs w:val="20"/>
                <w:color w:val="auto"/>
              </w:rPr>
            </w:pPr>
            <w:r>
              <w:rPr>
                <w:rFonts w:ascii="Arial" w:cs="Arial" w:eastAsia="Arial" w:hAnsi="Arial"/>
                <w:sz w:val="16"/>
                <w:szCs w:val="16"/>
                <w:color w:val="auto"/>
              </w:rPr>
              <w:t>Benefit plan liability adjustments - net gain (net of tax of $0, $0, $0 and $(17), respectively)</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180"/>
        </w:trPr>
        <w:tc>
          <w:tcPr>
            <w:tcW w:w="6920" w:type="dxa"/>
            <w:vAlign w:val="bottom"/>
            <w:shd w:val="clear" w:color="auto" w:fill="CEFFE7"/>
          </w:tcPr>
          <w:p>
            <w:pPr>
              <w:ind w:left="360"/>
              <w:spacing w:after="0" w:line="181" w:lineRule="exact"/>
              <w:rPr>
                <w:sz w:val="20"/>
                <w:szCs w:val="20"/>
                <w:color w:val="auto"/>
              </w:rPr>
            </w:pPr>
            <w:r>
              <w:rPr>
                <w:rFonts w:ascii="Arial" w:cs="Arial" w:eastAsia="Arial" w:hAnsi="Arial"/>
                <w:sz w:val="16"/>
                <w:szCs w:val="16"/>
                <w:color w:val="auto"/>
              </w:rPr>
              <w:t>Reclassification adjustments of benefit plan liability - prior service cost (net of tax of $6, $6,</w:t>
            </w:r>
          </w:p>
        </w:tc>
        <w:tc>
          <w:tcPr>
            <w:tcW w:w="22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r>
      <w:tr>
        <w:trPr>
          <w:trHeight w:val="201"/>
        </w:trPr>
        <w:tc>
          <w:tcPr>
            <w:tcW w:w="6920" w:type="dxa"/>
            <w:vAlign w:val="bottom"/>
            <w:shd w:val="clear" w:color="auto" w:fill="CEFFE7"/>
          </w:tcPr>
          <w:p>
            <w:pPr>
              <w:ind w:left="360"/>
              <w:spacing w:after="0"/>
              <w:rPr>
                <w:sz w:val="20"/>
                <w:szCs w:val="20"/>
                <w:color w:val="auto"/>
              </w:rPr>
            </w:pPr>
            <w:r>
              <w:rPr>
                <w:rFonts w:ascii="Arial" w:cs="Arial" w:eastAsia="Arial" w:hAnsi="Arial"/>
                <w:sz w:val="16"/>
                <w:szCs w:val="16"/>
                <w:color w:val="auto"/>
              </w:rPr>
              <w:t>$21 and $19, respectively)</w:t>
            </w:r>
          </w:p>
        </w:tc>
        <w:tc>
          <w:tcPr>
            <w:tcW w:w="22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w:t>
            </w:r>
          </w:p>
        </w:tc>
      </w:tr>
      <w:tr>
        <w:trPr>
          <w:trHeight w:val="177"/>
        </w:trPr>
        <w:tc>
          <w:tcPr>
            <w:tcW w:w="6920" w:type="dxa"/>
            <w:vAlign w:val="bottom"/>
          </w:tcPr>
          <w:p>
            <w:pPr>
              <w:ind w:left="360"/>
              <w:spacing w:after="0" w:line="178" w:lineRule="exact"/>
              <w:rPr>
                <w:sz w:val="20"/>
                <w:szCs w:val="20"/>
                <w:color w:val="auto"/>
              </w:rPr>
            </w:pPr>
            <w:r>
              <w:rPr>
                <w:rFonts w:ascii="Arial" w:cs="Arial" w:eastAsia="Arial" w:hAnsi="Arial"/>
                <w:sz w:val="16"/>
                <w:szCs w:val="16"/>
                <w:color w:val="auto"/>
              </w:rPr>
              <w:t>Reclassification adjustments of benefit plan liability - net loss (net of tax of $(139), $(149),</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6920" w:type="dxa"/>
            <w:vAlign w:val="bottom"/>
          </w:tcPr>
          <w:p>
            <w:pPr>
              <w:ind w:left="360"/>
              <w:spacing w:after="0"/>
              <w:rPr>
                <w:sz w:val="20"/>
                <w:szCs w:val="20"/>
                <w:color w:val="auto"/>
              </w:rPr>
            </w:pPr>
            <w:r>
              <w:rPr>
                <w:rFonts w:ascii="Arial" w:cs="Arial" w:eastAsia="Arial" w:hAnsi="Arial"/>
                <w:sz w:val="16"/>
                <w:szCs w:val="16"/>
                <w:color w:val="auto"/>
              </w:rPr>
              <w:t>$(513) and $(426), respectively)</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459</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448</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1,280</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1,365</w:t>
            </w:r>
          </w:p>
        </w:tc>
      </w:tr>
      <w:tr>
        <w:trPr>
          <w:trHeight w:val="219"/>
        </w:trPr>
        <w:tc>
          <w:tcPr>
            <w:tcW w:w="69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22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r>
      <w:tr>
        <w:trPr>
          <w:trHeight w:val="177"/>
        </w:trPr>
        <w:tc>
          <w:tcPr>
            <w:tcW w:w="6920" w:type="dxa"/>
            <w:vAlign w:val="bottom"/>
          </w:tcPr>
          <w:p>
            <w:pPr>
              <w:ind w:left="360"/>
              <w:spacing w:after="0" w:line="178" w:lineRule="exact"/>
              <w:rPr>
                <w:sz w:val="20"/>
                <w:szCs w:val="20"/>
                <w:color w:val="auto"/>
              </w:rPr>
            </w:pPr>
            <w:r>
              <w:rPr>
                <w:rFonts w:ascii="Arial" w:cs="Arial" w:eastAsia="Arial" w:hAnsi="Arial"/>
                <w:sz w:val="16"/>
                <w:szCs w:val="16"/>
                <w:color w:val="auto"/>
              </w:rPr>
              <w:t>Reclassification of net realized losses on settled/amortized interest rate swaps (net of tax of</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6920" w:type="dxa"/>
            <w:vAlign w:val="bottom"/>
          </w:tcPr>
          <w:p>
            <w:pPr>
              <w:ind w:left="360"/>
              <w:spacing w:after="0"/>
              <w:rPr>
                <w:sz w:val="20"/>
                <w:szCs w:val="20"/>
                <w:color w:val="auto"/>
              </w:rPr>
            </w:pPr>
            <w:r>
              <w:rPr>
                <w:rFonts w:ascii="Arial" w:cs="Arial" w:eastAsia="Arial" w:hAnsi="Arial"/>
                <w:sz w:val="16"/>
                <w:szCs w:val="16"/>
                <w:color w:val="auto"/>
              </w:rPr>
              <w:t>$(55), $(168), $(395) and $(508), respectively)</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657</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544</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1,743</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1,630</w:t>
            </w:r>
          </w:p>
        </w:tc>
      </w:tr>
      <w:tr>
        <w:trPr>
          <w:trHeight w:val="180"/>
        </w:trPr>
        <w:tc>
          <w:tcPr>
            <w:tcW w:w="6920" w:type="dxa"/>
            <w:vAlign w:val="bottom"/>
            <w:shd w:val="clear" w:color="auto" w:fill="CEFFE7"/>
          </w:tcPr>
          <w:p>
            <w:pPr>
              <w:ind w:left="360"/>
              <w:spacing w:after="0" w:line="181" w:lineRule="exact"/>
              <w:rPr>
                <w:sz w:val="20"/>
                <w:szCs w:val="20"/>
                <w:color w:val="auto"/>
              </w:rPr>
            </w:pPr>
            <w:r>
              <w:rPr>
                <w:rFonts w:ascii="Arial" w:cs="Arial" w:eastAsia="Arial" w:hAnsi="Arial"/>
                <w:sz w:val="16"/>
                <w:szCs w:val="16"/>
                <w:color w:val="auto"/>
              </w:rPr>
              <w:t>Net unrealized gains (losses) on commodity derivatives (net of tax of $(1,437), $(112),</w:t>
            </w:r>
          </w:p>
        </w:tc>
        <w:tc>
          <w:tcPr>
            <w:tcW w:w="22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r>
      <w:tr>
        <w:trPr>
          <w:trHeight w:val="201"/>
        </w:trPr>
        <w:tc>
          <w:tcPr>
            <w:tcW w:w="6920" w:type="dxa"/>
            <w:vAlign w:val="bottom"/>
            <w:shd w:val="clear" w:color="auto" w:fill="CEFFE7"/>
          </w:tcPr>
          <w:p>
            <w:pPr>
              <w:ind w:left="360"/>
              <w:spacing w:after="0"/>
              <w:rPr>
                <w:sz w:val="20"/>
                <w:szCs w:val="20"/>
                <w:color w:val="auto"/>
              </w:rPr>
            </w:pPr>
            <w:r>
              <w:rPr>
                <w:rFonts w:ascii="Arial" w:cs="Arial" w:eastAsia="Arial" w:hAnsi="Arial"/>
                <w:sz w:val="16"/>
                <w:szCs w:val="16"/>
                <w:color w:val="auto"/>
              </w:rPr>
              <w:t>$(1,776) and $(44), respectively)</w:t>
            </w:r>
          </w:p>
        </w:tc>
        <w:tc>
          <w:tcPr>
            <w:tcW w:w="22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4,430</w:t>
            </w:r>
          </w:p>
        </w:tc>
        <w:tc>
          <w:tcPr>
            <w:tcW w:w="24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401</w:t>
            </w:r>
          </w:p>
        </w:tc>
        <w:tc>
          <w:tcPr>
            <w:tcW w:w="24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5,476</w:t>
            </w:r>
          </w:p>
        </w:tc>
        <w:tc>
          <w:tcPr>
            <w:tcW w:w="24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w:t>
            </w:r>
          </w:p>
        </w:tc>
      </w:tr>
      <w:tr>
        <w:trPr>
          <w:trHeight w:val="177"/>
        </w:trPr>
        <w:tc>
          <w:tcPr>
            <w:tcW w:w="6920" w:type="dxa"/>
            <w:vAlign w:val="bottom"/>
          </w:tcPr>
          <w:p>
            <w:pPr>
              <w:ind w:left="360"/>
              <w:spacing w:after="0" w:line="178" w:lineRule="exact"/>
              <w:rPr>
                <w:sz w:val="20"/>
                <w:szCs w:val="20"/>
                <w:color w:val="auto"/>
              </w:rPr>
            </w:pPr>
            <w:r>
              <w:rPr>
                <w:rFonts w:ascii="Arial" w:cs="Arial" w:eastAsia="Arial" w:hAnsi="Arial"/>
                <w:sz w:val="16"/>
                <w:szCs w:val="16"/>
                <w:color w:val="auto"/>
              </w:rPr>
              <w:t>Reclassification of net realized (gains) losses on settled commodity derivatives (net of tax</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6920" w:type="dxa"/>
            <w:vAlign w:val="bottom"/>
            <w:tcBorders>
              <w:bottom w:val="single" w:sz="8" w:color="CEFFE7"/>
            </w:tcBorders>
          </w:tcPr>
          <w:p>
            <w:pPr>
              <w:ind w:left="360"/>
              <w:spacing w:after="0"/>
              <w:rPr>
                <w:sz w:val="20"/>
                <w:szCs w:val="20"/>
                <w:color w:val="auto"/>
              </w:rPr>
            </w:pPr>
            <w:r>
              <w:rPr>
                <w:rFonts w:ascii="Arial" w:cs="Arial" w:eastAsia="Arial" w:hAnsi="Arial"/>
                <w:sz w:val="16"/>
                <w:szCs w:val="16"/>
                <w:color w:val="auto"/>
              </w:rPr>
              <w:t>of $81, $(41), $87 and $(172), respectively)</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r>
      <w:tr>
        <w:trPr>
          <w:trHeight w:val="210"/>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comprehensive income, net of tax</w:t>
            </w:r>
          </w:p>
        </w:tc>
        <w:tc>
          <w:tcPr>
            <w:tcW w:w="22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5,277</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1,512</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8,177</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3,733</w:t>
            </w:r>
          </w:p>
        </w:tc>
      </w:tr>
      <w:tr>
        <w:trPr>
          <w:trHeight w:val="253"/>
        </w:trPr>
        <w:tc>
          <w:tcPr>
            <w:tcW w:w="6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Comprehensive income</w:t>
            </w:r>
          </w:p>
        </w:tc>
        <w:tc>
          <w:tcPr>
            <w:tcW w:w="22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53,439</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41,861</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185,113</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166,000</w:t>
            </w:r>
          </w:p>
        </w:tc>
      </w:tr>
      <w:tr>
        <w:trPr>
          <w:trHeight w:val="213"/>
        </w:trPr>
        <w:tc>
          <w:tcPr>
            <w:tcW w:w="69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(4,066)</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(11,347)</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(11,844)</w:t>
            </w:r>
          </w:p>
        </w:tc>
      </w:tr>
      <w:tr>
        <w:trPr>
          <w:trHeight w:val="238"/>
        </w:trPr>
        <w:tc>
          <w:tcPr>
            <w:tcW w:w="69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49,389</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37,795</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173,766</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154,156</w:t>
            </w:r>
          </w:p>
        </w:tc>
      </w:tr>
      <w:tr>
        <w:trPr>
          <w:trHeight w:val="20"/>
        </w:trPr>
        <w:tc>
          <w:tcPr>
            <w:tcW w:w="69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See </w:t>
      </w:r>
      <w:hyperlink w:anchor="page28">
        <w:r>
          <w:rPr>
            <w:rFonts w:ascii="Arial" w:cs="Arial" w:eastAsia="Arial" w:hAnsi="Arial"/>
            <w:sz w:val="14"/>
            <w:szCs w:val="14"/>
            <w:u w:val="single" w:color="auto"/>
            <w:color w:val="0000FF"/>
          </w:rPr>
          <w:t>Note 9</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additional disclosures.</w:t>
      </w:r>
    </w:p>
    <w:p>
      <w:pPr>
        <w:spacing w:after="0" w:line="244"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4">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ectPr>
          <w:pgSz w:w="11900" w:h="16838" w:orient="portrait"/>
          <w:cols w:equalWidth="0" w:num="1">
            <w:col w:w="11240"/>
          </w:cols>
          <w:pgMar w:left="320" w:top="121" w:right="339" w:bottom="1440" w:gutter="0" w:footer="0" w:header="0"/>
        </w:sect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8" w:lineRule="exact"/>
        <w:rPr>
          <w:sz w:val="20"/>
          <w:szCs w:val="20"/>
          <w:color w:val="auto"/>
        </w:rPr>
      </w:pPr>
    </w:p>
    <w:p>
      <w:pPr>
        <w:jc w:val="center"/>
        <w:ind w:left="720"/>
        <w:spacing w:after="0"/>
        <w:rPr>
          <w:sz w:val="20"/>
          <w:szCs w:val="20"/>
          <w:color w:val="auto"/>
        </w:rPr>
      </w:pPr>
      <w:r>
        <w:rPr>
          <w:rFonts w:ascii="Arial" w:cs="Arial" w:eastAsia="Arial" w:hAnsi="Arial"/>
          <w:sz w:val="15"/>
          <w:szCs w:val="15"/>
          <w:b w:val="1"/>
          <w:bCs w:val="1"/>
          <w:color w:val="auto"/>
        </w:rPr>
        <w:t>ASSETS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Restricted cash and equivalents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Materials, supplies and fuel</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Derivative assets, 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receivable,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Regulatory assets, 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16"/>
                <w:szCs w:val="16"/>
                <w:color w:val="auto"/>
              </w:rPr>
            </w:pPr>
          </w:p>
        </w:tc>
      </w:tr>
      <w:tr>
        <w:trPr>
          <w:trHeight w:val="219"/>
        </w:trPr>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September 30, 2021</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07"/>
        </w:trPr>
        <w:tc>
          <w:tcPr>
            <w:tcW w:w="180" w:type="dxa"/>
            <w:vAlign w:val="bottom"/>
          </w:tcPr>
          <w:p>
            <w:pPr>
              <w:spacing w:after="0"/>
              <w:rPr>
                <w:sz w:val="17"/>
                <w:szCs w:val="17"/>
                <w:color w:val="auto"/>
              </w:rPr>
            </w:pPr>
          </w:p>
        </w:tc>
        <w:tc>
          <w:tcPr>
            <w:tcW w:w="3900" w:type="dxa"/>
            <w:vAlign w:val="bottom"/>
            <w:gridSpan w:val="3"/>
          </w:tcPr>
          <w:p>
            <w:pPr>
              <w:jc w:val="right"/>
              <w:ind w:right="1439"/>
              <w:spacing w:after="0"/>
              <w:rPr>
                <w:sz w:val="20"/>
                <w:szCs w:val="20"/>
                <w:color w:val="auto"/>
              </w:rPr>
            </w:pPr>
            <w:r>
              <w:rPr>
                <w:rFonts w:ascii="Arial" w:cs="Arial" w:eastAsia="Arial" w:hAnsi="Arial"/>
                <w:sz w:val="16"/>
                <w:szCs w:val="16"/>
                <w:color w:val="auto"/>
              </w:rPr>
              <w:t>(in thousands)</w:t>
            </w:r>
          </w:p>
        </w:tc>
      </w:tr>
      <w:tr>
        <w:trPr>
          <w:trHeight w:val="648"/>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10,181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6,356</w:t>
            </w:r>
          </w:p>
        </w:tc>
      </w:tr>
      <w:tr>
        <w:trPr>
          <w:trHeight w:val="216"/>
        </w:trPr>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4,753</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4,383</w:t>
            </w:r>
          </w:p>
        </w:tc>
      </w:tr>
      <w:tr>
        <w:trPr>
          <w:trHeight w:val="216"/>
        </w:trPr>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181,956</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265,961</w:t>
            </w:r>
          </w:p>
        </w:tc>
      </w:tr>
      <w:tr>
        <w:trPr>
          <w:trHeight w:val="216"/>
        </w:trPr>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145,743</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117,400</w:t>
            </w:r>
          </w:p>
        </w:tc>
      </w:tr>
      <w:tr>
        <w:trPr>
          <w:trHeight w:val="216"/>
        </w:trPr>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12,316</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1,848</w:t>
            </w:r>
          </w:p>
        </w:tc>
      </w:tr>
      <w:tr>
        <w:trPr>
          <w:trHeight w:val="216"/>
        </w:trPr>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17,472</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19,446</w:t>
            </w:r>
          </w:p>
        </w:tc>
      </w:tr>
      <w:tr>
        <w:trPr>
          <w:trHeight w:val="216"/>
        </w:trPr>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213,031</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51,676</w:t>
            </w:r>
          </w:p>
        </w:tc>
      </w:tr>
      <w:tr>
        <w:trPr>
          <w:trHeight w:val="219"/>
        </w:trPr>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42,274</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26,221</w:t>
            </w:r>
          </w:p>
        </w:tc>
      </w:tr>
      <w:tr>
        <w:trPr>
          <w:trHeight w:val="210"/>
        </w:trPr>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627,726</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-1250950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-976630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-702310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-427990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-153670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080"/>
          </w:cols>
          <w:pgMar w:left="320" w:top="121"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Property, plant and equipment</w:t>
            </w:r>
          </w:p>
        </w:tc>
        <w:tc>
          <w:tcPr>
            <w:tcW w:w="62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7,697,880</w:t>
            </w:r>
          </w:p>
        </w:tc>
        <w:tc>
          <w:tcPr>
            <w:tcW w:w="680" w:type="dxa"/>
            <w:vAlign w:val="bottom"/>
            <w:shd w:val="clear" w:color="auto" w:fill="CEFFE7"/>
          </w:tcPr>
          <w:p>
            <w:pPr>
              <w:spacing w:after="0"/>
              <w:rPr>
                <w:sz w:val="18"/>
                <w:szCs w:val="18"/>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7,305,530</w:t>
            </w:r>
          </w:p>
        </w:tc>
      </w:tr>
      <w:tr>
        <w:trPr>
          <w:trHeight w:val="213"/>
        </w:trPr>
        <w:tc>
          <w:tcPr>
            <w:tcW w:w="7160" w:type="dxa"/>
            <w:vAlign w:val="bottom"/>
            <w:tcBorders>
              <w:bottom w:val="single" w:sz="8" w:color="CEFFE7"/>
            </w:tcBorders>
          </w:tcPr>
          <w:p>
            <w:pPr>
              <w:ind w:left="180"/>
              <w:spacing w:after="0"/>
              <w:rPr>
                <w:sz w:val="20"/>
                <w:szCs w:val="20"/>
                <w:color w:val="auto"/>
              </w:rPr>
            </w:pPr>
            <w:r>
              <w:rPr>
                <w:rFonts w:ascii="Arial" w:cs="Arial" w:eastAsia="Arial" w:hAnsi="Arial"/>
                <w:sz w:val="16"/>
                <w:szCs w:val="16"/>
                <w:color w:val="auto"/>
              </w:rPr>
              <w:t>Less: accumulated depreciation and depletion</w:t>
            </w: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(1,380,304)</w:t>
            </w:r>
          </w:p>
        </w:tc>
        <w:tc>
          <w:tcPr>
            <w:tcW w:w="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(1,285,816)</w:t>
            </w:r>
          </w:p>
        </w:tc>
      </w:tr>
      <w:tr>
        <w:trPr>
          <w:trHeight w:val="209"/>
        </w:trPr>
        <w:tc>
          <w:tcPr>
            <w:tcW w:w="7160" w:type="dxa"/>
            <w:vAlign w:val="bottom"/>
            <w:shd w:val="clear" w:color="auto" w:fill="CEFFE7"/>
          </w:tcPr>
          <w:p>
            <w:pPr>
              <w:ind w:left="560"/>
              <w:spacing w:after="0"/>
              <w:rPr>
                <w:sz w:val="20"/>
                <w:szCs w:val="20"/>
                <w:color w:val="auto"/>
              </w:rPr>
            </w:pPr>
            <w:r>
              <w:rPr>
                <w:rFonts w:ascii="Arial" w:cs="Arial" w:eastAsia="Arial" w:hAnsi="Arial"/>
                <w:sz w:val="16"/>
                <w:szCs w:val="16"/>
                <w:color w:val="auto"/>
              </w:rPr>
              <w:t>Total property, plant and equipment, net</w:t>
            </w:r>
          </w:p>
        </w:tc>
        <w:tc>
          <w:tcPr>
            <w:tcW w:w="62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6,317,576</w:t>
            </w:r>
          </w:p>
        </w:tc>
        <w:tc>
          <w:tcPr>
            <w:tcW w:w="680" w:type="dxa"/>
            <w:vAlign w:val="bottom"/>
            <w:tcBorders>
              <w:bottom w:val="single" w:sz="8" w:color="auto"/>
            </w:tcBorders>
            <w:shd w:val="clear" w:color="auto" w:fill="CEFFE7"/>
          </w:tcPr>
          <w:p>
            <w:pPr>
              <w:spacing w:after="0"/>
              <w:rPr>
                <w:sz w:val="18"/>
                <w:szCs w:val="18"/>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6,019,714</w:t>
            </w:r>
          </w:p>
        </w:tc>
      </w:tr>
      <w:tr>
        <w:trPr>
          <w:trHeight w:val="240"/>
        </w:trPr>
        <w:tc>
          <w:tcPr>
            <w:tcW w:w="7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w:t>
            </w:r>
          </w:p>
        </w:tc>
        <w:tc>
          <w:tcPr>
            <w:tcW w:w="620" w:type="dxa"/>
            <w:vAlign w:val="bottom"/>
            <w:shd w:val="clear" w:color="auto" w:fill="CEFFE7"/>
          </w:tcPr>
          <w:p>
            <w:pPr>
              <w:spacing w:after="0"/>
              <w:rPr>
                <w:sz w:val="18"/>
                <w:szCs w:val="18"/>
                <w:color w:val="auto"/>
              </w:rPr>
            </w:pPr>
          </w:p>
        </w:tc>
        <w:tc>
          <w:tcPr>
            <w:tcW w:w="1420" w:type="dxa"/>
            <w:vAlign w:val="bottom"/>
            <w:shd w:val="clear" w:color="auto" w:fill="CEFFE7"/>
          </w:tcPr>
          <w:p>
            <w:pPr>
              <w:spacing w:after="0"/>
              <w:rPr>
                <w:sz w:val="18"/>
                <w:szCs w:val="18"/>
                <w:color w:val="auto"/>
              </w:rPr>
            </w:pPr>
          </w:p>
        </w:tc>
        <w:tc>
          <w:tcPr>
            <w:tcW w:w="680" w:type="dxa"/>
            <w:vAlign w:val="bottom"/>
            <w:shd w:val="clear" w:color="auto" w:fill="CEFFE7"/>
          </w:tcPr>
          <w:p>
            <w:pPr>
              <w:spacing w:after="0"/>
              <w:rPr>
                <w:sz w:val="18"/>
                <w:szCs w:val="18"/>
                <w:color w:val="auto"/>
              </w:rPr>
            </w:pPr>
          </w:p>
        </w:tc>
        <w:tc>
          <w:tcPr>
            <w:tcW w:w="1360" w:type="dxa"/>
            <w:vAlign w:val="bottom"/>
            <w:shd w:val="clear" w:color="auto" w:fill="CEFFE7"/>
          </w:tcPr>
          <w:p>
            <w:pPr>
              <w:spacing w:after="0"/>
              <w:rPr>
                <w:sz w:val="18"/>
                <w:szCs w:val="18"/>
                <w:color w:val="auto"/>
              </w:rPr>
            </w:pPr>
          </w:p>
        </w:tc>
      </w:tr>
      <w:tr>
        <w:trPr>
          <w:trHeight w:val="213"/>
        </w:trPr>
        <w:tc>
          <w:tcPr>
            <w:tcW w:w="71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1,299,454</w:t>
            </w: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1,299,454</w:t>
            </w:r>
          </w:p>
        </w:tc>
      </w:tr>
      <w:tr>
        <w:trPr>
          <w:trHeight w:val="219"/>
        </w:trPr>
        <w:tc>
          <w:tcPr>
            <w:tcW w:w="7160" w:type="dxa"/>
            <w:vAlign w:val="bottom"/>
            <w:shd w:val="clear" w:color="auto" w:fill="CEFFE7"/>
          </w:tcPr>
          <w:p>
            <w:pPr>
              <w:ind w:left="180"/>
              <w:spacing w:after="0"/>
              <w:rPr>
                <w:sz w:val="20"/>
                <w:szCs w:val="20"/>
                <w:color w:val="auto"/>
              </w:rPr>
            </w:pPr>
            <w:r>
              <w:rPr>
                <w:rFonts w:ascii="Arial" w:cs="Arial" w:eastAsia="Arial" w:hAnsi="Arial"/>
                <w:sz w:val="16"/>
                <w:szCs w:val="16"/>
                <w:color w:val="auto"/>
              </w:rPr>
              <w:t>Intangible assets, net</w:t>
            </w:r>
          </w:p>
        </w:tc>
        <w:tc>
          <w:tcPr>
            <w:tcW w:w="62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11,063</w:t>
            </w:r>
          </w:p>
        </w:tc>
        <w:tc>
          <w:tcPr>
            <w:tcW w:w="680" w:type="dxa"/>
            <w:vAlign w:val="bottom"/>
            <w:shd w:val="clear" w:color="auto" w:fill="CEFFE7"/>
          </w:tcPr>
          <w:p>
            <w:pPr>
              <w:spacing w:after="0"/>
              <w:rPr>
                <w:sz w:val="19"/>
                <w:szCs w:val="19"/>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11,944</w:t>
            </w:r>
          </w:p>
        </w:tc>
      </w:tr>
      <w:tr>
        <w:trPr>
          <w:trHeight w:val="213"/>
        </w:trPr>
        <w:tc>
          <w:tcPr>
            <w:tcW w:w="7160" w:type="dxa"/>
            <w:vAlign w:val="bottom"/>
          </w:tcPr>
          <w:p>
            <w:pPr>
              <w:ind w:left="180"/>
              <w:spacing w:after="0"/>
              <w:rPr>
                <w:sz w:val="20"/>
                <w:szCs w:val="20"/>
                <w:color w:val="auto"/>
              </w:rPr>
            </w:pPr>
            <w:r>
              <w:rPr>
                <w:rFonts w:ascii="Arial" w:cs="Arial" w:eastAsia="Arial" w:hAnsi="Arial"/>
                <w:sz w:val="16"/>
                <w:szCs w:val="16"/>
                <w:color w:val="auto"/>
              </w:rPr>
              <w:t>Regulatory assets, non-current</w:t>
            </w:r>
          </w:p>
        </w:tc>
        <w:tc>
          <w:tcPr>
            <w:tcW w:w="6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617,024</w:t>
            </w: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226,582</w:t>
            </w:r>
          </w:p>
        </w:tc>
      </w:tr>
      <w:tr>
        <w:trPr>
          <w:trHeight w:val="216"/>
        </w:trPr>
        <w:tc>
          <w:tcPr>
            <w:tcW w:w="7160" w:type="dxa"/>
            <w:vAlign w:val="bottom"/>
            <w:shd w:val="clear" w:color="auto" w:fill="CEFFE7"/>
          </w:tcPr>
          <w:p>
            <w:pPr>
              <w:ind w:left="180"/>
              <w:spacing w:after="0"/>
              <w:rPr>
                <w:sz w:val="20"/>
                <w:szCs w:val="20"/>
                <w:color w:val="auto"/>
              </w:rPr>
            </w:pPr>
            <w:r>
              <w:rPr>
                <w:rFonts w:ascii="Arial" w:cs="Arial" w:eastAsia="Arial" w:hAnsi="Arial"/>
                <w:sz w:val="16"/>
                <w:szCs w:val="16"/>
                <w:color w:val="auto"/>
              </w:rPr>
              <w:t>Other assets, non-current</w:t>
            </w:r>
          </w:p>
        </w:tc>
        <w:tc>
          <w:tcPr>
            <w:tcW w:w="62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37,547</w:t>
            </w:r>
          </w:p>
        </w:tc>
        <w:tc>
          <w:tcPr>
            <w:tcW w:w="680" w:type="dxa"/>
            <w:vAlign w:val="bottom"/>
            <w:tcBorders>
              <w:bottom w:val="single" w:sz="8" w:color="auto"/>
            </w:tcBorders>
            <w:shd w:val="clear" w:color="auto" w:fill="CEFFE7"/>
          </w:tcPr>
          <w:p>
            <w:pPr>
              <w:spacing w:after="0"/>
              <w:rPr>
                <w:sz w:val="18"/>
                <w:szCs w:val="18"/>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37,801</w:t>
            </w:r>
          </w:p>
        </w:tc>
      </w:tr>
      <w:tr>
        <w:trPr>
          <w:trHeight w:val="209"/>
        </w:trPr>
        <w:tc>
          <w:tcPr>
            <w:tcW w:w="716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other assets, non-current</w:t>
            </w: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1,965,088</w:t>
            </w:r>
          </w:p>
        </w:tc>
        <w:tc>
          <w:tcPr>
            <w:tcW w:w="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1,575,781</w:t>
            </w:r>
          </w:p>
        </w:tc>
      </w:tr>
      <w:tr>
        <w:trPr>
          <w:trHeight w:val="240"/>
        </w:trPr>
        <w:tc>
          <w:tcPr>
            <w:tcW w:w="7160" w:type="dxa"/>
            <w:vAlign w:val="bottom"/>
            <w:shd w:val="clear" w:color="auto" w:fill="CEFFE7"/>
          </w:tcPr>
          <w:p>
            <w:pPr>
              <w:spacing w:after="0"/>
              <w:rPr>
                <w:sz w:val="20"/>
                <w:szCs w:val="20"/>
                <w:color w:val="auto"/>
              </w:rPr>
            </w:pPr>
          </w:p>
        </w:tc>
        <w:tc>
          <w:tcPr>
            <w:tcW w:w="620" w:type="dxa"/>
            <w:vAlign w:val="bottom"/>
            <w:shd w:val="clear" w:color="auto" w:fill="CEFFE7"/>
          </w:tcPr>
          <w:p>
            <w:pPr>
              <w:spacing w:after="0"/>
              <w:rPr>
                <w:sz w:val="20"/>
                <w:szCs w:val="20"/>
                <w:color w:val="auto"/>
              </w:rPr>
            </w:pPr>
          </w:p>
        </w:tc>
        <w:tc>
          <w:tcPr>
            <w:tcW w:w="1420" w:type="dxa"/>
            <w:vAlign w:val="bottom"/>
            <w:shd w:val="clear" w:color="auto" w:fill="CEFFE7"/>
          </w:tcPr>
          <w:p>
            <w:pPr>
              <w:spacing w:after="0"/>
              <w:rPr>
                <w:sz w:val="20"/>
                <w:szCs w:val="20"/>
                <w:color w:val="auto"/>
              </w:rPr>
            </w:pPr>
          </w:p>
        </w:tc>
        <w:tc>
          <w:tcPr>
            <w:tcW w:w="680" w:type="dxa"/>
            <w:vAlign w:val="bottom"/>
            <w:shd w:val="clear" w:color="auto" w:fill="CEFFE7"/>
          </w:tcPr>
          <w:p>
            <w:pPr>
              <w:spacing w:after="0"/>
              <w:rPr>
                <w:sz w:val="20"/>
                <w:szCs w:val="20"/>
                <w:color w:val="auto"/>
              </w:rPr>
            </w:pPr>
          </w:p>
        </w:tc>
        <w:tc>
          <w:tcPr>
            <w:tcW w:w="1360" w:type="dxa"/>
            <w:vAlign w:val="bottom"/>
            <w:shd w:val="clear" w:color="auto" w:fill="CEFFE7"/>
          </w:tcPr>
          <w:p>
            <w:pPr>
              <w:spacing w:after="0"/>
              <w:rPr>
                <w:sz w:val="20"/>
                <w:szCs w:val="20"/>
                <w:color w:val="auto"/>
              </w:rPr>
            </w:pPr>
          </w:p>
        </w:tc>
      </w:tr>
      <w:tr>
        <w:trPr>
          <w:trHeight w:val="216"/>
        </w:trPr>
        <w:tc>
          <w:tcPr>
            <w:tcW w:w="71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8,910,390</w:t>
            </w:r>
          </w:p>
        </w:tc>
        <w:tc>
          <w:tcPr>
            <w:tcW w:w="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8,088,786</w:t>
            </w:r>
          </w:p>
        </w:tc>
      </w:tr>
      <w:tr>
        <w:trPr>
          <w:trHeight w:val="20"/>
        </w:trPr>
        <w:tc>
          <w:tcPr>
            <w:tcW w:w="7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4">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Pr>
          <w:p>
            <w:pPr>
              <w:ind w:left="20"/>
              <w:spacing w:after="0"/>
              <w:rPr>
                <w:sz w:val="20"/>
                <w:szCs w:val="20"/>
                <w:color w:val="auto"/>
              </w:rPr>
            </w:pPr>
            <w:r>
              <w:rPr>
                <w:rFonts w:ascii="Arial" w:cs="Arial" w:eastAsia="Arial" w:hAnsi="Arial"/>
                <w:sz w:val="16"/>
                <w:szCs w:val="16"/>
                <w:color w:val="auto"/>
              </w:rPr>
              <w:t>(unaudited)</w:t>
            </w:r>
          </w:p>
        </w:tc>
        <w:tc>
          <w:tcPr>
            <w:tcW w:w="18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16"/>
                <w:szCs w:val="16"/>
                <w:color w:val="auto"/>
              </w:rPr>
            </w:pPr>
          </w:p>
        </w:tc>
      </w:tr>
      <w:tr>
        <w:trPr>
          <w:trHeight w:val="219"/>
        </w:trPr>
        <w:tc>
          <w:tcPr>
            <w:tcW w:w="7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September 30, 2021</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07"/>
        </w:trPr>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gridSpan w:val="3"/>
          </w:tcPr>
          <w:p>
            <w:pPr>
              <w:jc w:val="right"/>
              <w:ind w:right="599"/>
              <w:spacing w:after="0"/>
              <w:rPr>
                <w:sz w:val="20"/>
                <w:szCs w:val="20"/>
                <w:color w:val="auto"/>
              </w:rPr>
            </w:pPr>
            <w:r>
              <w:rPr>
                <w:rFonts w:ascii="Arial" w:cs="Arial" w:eastAsia="Arial" w:hAnsi="Arial"/>
                <w:sz w:val="16"/>
                <w:szCs w:val="16"/>
                <w:color w:val="auto"/>
              </w:rPr>
              <w:t>(in thousands, except share amounts)</w:t>
            </w:r>
          </w:p>
        </w:tc>
      </w:tr>
      <w:tr>
        <w:trPr>
          <w:trHeight w:val="216"/>
        </w:trPr>
        <w:tc>
          <w:tcPr>
            <w:tcW w:w="7160" w:type="dxa"/>
            <w:vAlign w:val="bottom"/>
          </w:tcPr>
          <w:p>
            <w:pPr>
              <w:ind w:left="260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71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9"/>
        </w:trPr>
        <w:tc>
          <w:tcPr>
            <w:tcW w:w="716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142,130</w:t>
            </w:r>
          </w:p>
        </w:tc>
        <w:tc>
          <w:tcPr>
            <w:tcW w:w="2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183,340</w:t>
            </w:r>
          </w:p>
        </w:tc>
      </w:tr>
      <w:tr>
        <w:trPr>
          <w:trHeight w:val="213"/>
        </w:trPr>
        <w:tc>
          <w:tcPr>
            <w:tcW w:w="716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249,835</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243,612</w:t>
            </w:r>
          </w:p>
        </w:tc>
      </w:tr>
      <w:tr>
        <w:trPr>
          <w:trHeight w:val="219"/>
        </w:trPr>
        <w:tc>
          <w:tcPr>
            <w:tcW w:w="7160" w:type="dxa"/>
            <w:vAlign w:val="bottom"/>
            <w:shd w:val="clear" w:color="auto" w:fill="CEFFE7"/>
          </w:tcPr>
          <w:p>
            <w:pPr>
              <w:ind w:left="180"/>
              <w:spacing w:after="0"/>
              <w:rPr>
                <w:sz w:val="20"/>
                <w:szCs w:val="20"/>
                <w:color w:val="auto"/>
              </w:rPr>
            </w:pPr>
            <w:r>
              <w:rPr>
                <w:rFonts w:ascii="Arial" w:cs="Arial" w:eastAsia="Arial" w:hAnsi="Arial"/>
                <w:sz w:val="16"/>
                <w:szCs w:val="16"/>
                <w:color w:val="auto"/>
              </w:rPr>
              <w:t>Derivative liabilities, current</w:t>
            </w:r>
          </w:p>
        </w:tc>
        <w:tc>
          <w:tcPr>
            <w:tcW w:w="180" w:type="dxa"/>
            <w:vAlign w:val="bottom"/>
            <w:shd w:val="clear" w:color="auto" w:fill="CEFFE7"/>
          </w:tcPr>
          <w:p>
            <w:pPr>
              <w:spacing w:after="0"/>
              <w:rPr>
                <w:sz w:val="19"/>
                <w:szCs w:val="19"/>
                <w:color w:val="auto"/>
              </w:rPr>
            </w:pPr>
          </w:p>
        </w:tc>
        <w:tc>
          <w:tcPr>
            <w:tcW w:w="1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3,471</w:t>
            </w:r>
          </w:p>
        </w:tc>
        <w:tc>
          <w:tcPr>
            <w:tcW w:w="2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2,044</w:t>
            </w:r>
          </w:p>
        </w:tc>
      </w:tr>
      <w:tr>
        <w:trPr>
          <w:trHeight w:val="213"/>
        </w:trPr>
        <w:tc>
          <w:tcPr>
            <w:tcW w:w="7160" w:type="dxa"/>
            <w:vAlign w:val="bottom"/>
          </w:tcPr>
          <w:p>
            <w:pPr>
              <w:ind w:left="180"/>
              <w:spacing w:after="0"/>
              <w:rPr>
                <w:sz w:val="20"/>
                <w:szCs w:val="20"/>
                <w:color w:val="auto"/>
              </w:rPr>
            </w:pPr>
            <w:r>
              <w:rPr>
                <w:rFonts w:ascii="Arial" w:cs="Arial" w:eastAsia="Arial" w:hAnsi="Arial"/>
                <w:sz w:val="16"/>
                <w:szCs w:val="16"/>
                <w:color w:val="auto"/>
              </w:rPr>
              <w:t>Regulatory liabilities, current</w:t>
            </w:r>
          </w:p>
        </w:tc>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30,156</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25,061</w:t>
            </w:r>
          </w:p>
        </w:tc>
      </w:tr>
      <w:tr>
        <w:trPr>
          <w:trHeight w:val="219"/>
        </w:trPr>
        <w:tc>
          <w:tcPr>
            <w:tcW w:w="7160" w:type="dxa"/>
            <w:vAlign w:val="bottom"/>
            <w:shd w:val="clear" w:color="auto" w:fill="CEFFE7"/>
          </w:tcPr>
          <w:p>
            <w:pPr>
              <w:ind w:left="180"/>
              <w:spacing w:after="0"/>
              <w:rPr>
                <w:sz w:val="20"/>
                <w:szCs w:val="20"/>
                <w:color w:val="auto"/>
              </w:rPr>
            </w:pPr>
            <w:r>
              <w:rPr>
                <w:rFonts w:ascii="Arial" w:cs="Arial" w:eastAsia="Arial" w:hAnsi="Arial"/>
                <w:sz w:val="16"/>
                <w:szCs w:val="16"/>
                <w:color w:val="auto"/>
              </w:rPr>
              <w:t>Notes payable</w:t>
            </w:r>
          </w:p>
        </w:tc>
        <w:tc>
          <w:tcPr>
            <w:tcW w:w="180" w:type="dxa"/>
            <w:vAlign w:val="bottom"/>
            <w:shd w:val="clear" w:color="auto" w:fill="CEFFE7"/>
          </w:tcPr>
          <w:p>
            <w:pPr>
              <w:spacing w:after="0"/>
              <w:rPr>
                <w:sz w:val="19"/>
                <w:szCs w:val="19"/>
                <w:color w:val="auto"/>
              </w:rPr>
            </w:pPr>
          </w:p>
        </w:tc>
        <w:tc>
          <w:tcPr>
            <w:tcW w:w="1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332,525</w:t>
            </w:r>
          </w:p>
        </w:tc>
        <w:tc>
          <w:tcPr>
            <w:tcW w:w="2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234,040</w:t>
            </w:r>
          </w:p>
        </w:tc>
      </w:tr>
      <w:tr>
        <w:trPr>
          <w:trHeight w:val="213"/>
        </w:trPr>
        <w:tc>
          <w:tcPr>
            <w:tcW w:w="7160" w:type="dxa"/>
            <w:vAlign w:val="bottom"/>
            <w:tcBorders>
              <w:bottom w:val="single" w:sz="8" w:color="CEFFE7"/>
            </w:tcBorders>
          </w:tcPr>
          <w:p>
            <w:pPr>
              <w:ind w:left="18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8,436</w:t>
            </w:r>
          </w:p>
        </w:tc>
      </w:tr>
      <w:tr>
        <w:trPr>
          <w:trHeight w:val="209"/>
        </w:trPr>
        <w:tc>
          <w:tcPr>
            <w:tcW w:w="7160" w:type="dxa"/>
            <w:vAlign w:val="bottom"/>
            <w:shd w:val="clear" w:color="auto" w:fill="CEFFE7"/>
          </w:tcPr>
          <w:p>
            <w:pPr>
              <w:ind w:left="5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EFFE7"/>
          </w:tcPr>
          <w:p>
            <w:pPr>
              <w:spacing w:after="0"/>
              <w:rPr>
                <w:sz w:val="18"/>
                <w:szCs w:val="18"/>
                <w:color w:val="auto"/>
              </w:rPr>
            </w:pPr>
          </w:p>
        </w:tc>
        <w:tc>
          <w:tcPr>
            <w:tcW w:w="1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758,117</w:t>
            </w:r>
          </w:p>
        </w:tc>
        <w:tc>
          <w:tcPr>
            <w:tcW w:w="2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696,533</w:t>
            </w:r>
          </w:p>
        </w:tc>
      </w:tr>
      <w:tr>
        <w:trPr>
          <w:trHeight w:val="240"/>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13"/>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0" w:type="dxa"/>
            <w:vAlign w:val="bottom"/>
            <w:tcBorders>
              <w:bottom w:val="single" w:sz="8" w:color="auto"/>
            </w:tcBorders>
            <w:shd w:val="clear" w:color="auto" w:fill="CEFFE7"/>
          </w:tcPr>
          <w:p>
            <w:pPr>
              <w:spacing w:after="0"/>
              <w:rPr>
                <w:sz w:val="18"/>
                <w:szCs w:val="18"/>
                <w:color w:val="auto"/>
              </w:rPr>
            </w:pPr>
          </w:p>
        </w:tc>
        <w:tc>
          <w:tcPr>
            <w:tcW w:w="1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4,125,571</w:t>
            </w:r>
          </w:p>
        </w:tc>
        <w:tc>
          <w:tcPr>
            <w:tcW w:w="2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3,528,100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credits and other liabilities: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 liabilities,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Regulatory liabilities, non-current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Benefit plan liabilities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deferred credits and other liabilities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445,036</w:t>
            </w:r>
          </w:p>
        </w:tc>
        <w:tc>
          <w:tcPr>
            <w:tcW w:w="1480" w:type="dxa"/>
            <w:vAlign w:val="bottom"/>
          </w:tcPr>
          <w:p>
            <w:pPr>
              <w:jc w:val="right"/>
              <w:spacing w:after="0"/>
              <w:rPr>
                <w:sz w:val="20"/>
                <w:szCs w:val="20"/>
                <w:color w:val="auto"/>
              </w:rPr>
            </w:pPr>
            <w:r>
              <w:rPr>
                <w:rFonts w:ascii="Arial" w:cs="Arial" w:eastAsia="Arial" w:hAnsi="Arial"/>
                <w:sz w:val="16"/>
                <w:szCs w:val="16"/>
                <w:color w:val="auto"/>
              </w:rPr>
              <w:t>408,624</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496,261</w:t>
            </w:r>
          </w:p>
        </w:tc>
        <w:tc>
          <w:tcPr>
            <w:tcW w:w="1480" w:type="dxa"/>
            <w:vAlign w:val="bottom"/>
          </w:tcPr>
          <w:p>
            <w:pPr>
              <w:jc w:val="right"/>
              <w:spacing w:after="0"/>
              <w:rPr>
                <w:sz w:val="20"/>
                <w:szCs w:val="20"/>
                <w:color w:val="auto"/>
              </w:rPr>
            </w:pPr>
            <w:r>
              <w:rPr>
                <w:rFonts w:ascii="Arial" w:cs="Arial" w:eastAsia="Arial" w:hAnsi="Arial"/>
                <w:sz w:val="16"/>
                <w:szCs w:val="16"/>
                <w:color w:val="auto"/>
              </w:rPr>
              <w:t>507,659</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150,727</w:t>
            </w:r>
          </w:p>
        </w:tc>
        <w:tc>
          <w:tcPr>
            <w:tcW w:w="1480" w:type="dxa"/>
            <w:vAlign w:val="bottom"/>
          </w:tcPr>
          <w:p>
            <w:pPr>
              <w:jc w:val="right"/>
              <w:spacing w:after="0"/>
              <w:rPr>
                <w:sz w:val="20"/>
                <w:szCs w:val="20"/>
                <w:color w:val="auto"/>
              </w:rPr>
            </w:pPr>
            <w:r>
              <w:rPr>
                <w:rFonts w:ascii="Arial" w:cs="Arial" w:eastAsia="Arial" w:hAnsi="Arial"/>
                <w:sz w:val="16"/>
                <w:szCs w:val="16"/>
                <w:color w:val="auto"/>
              </w:rPr>
              <w:t>150,556</w:t>
            </w:r>
          </w:p>
        </w:tc>
      </w:tr>
      <w:tr>
        <w:trPr>
          <w:trHeight w:val="219"/>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134,776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134,667</w:t>
            </w:r>
          </w:p>
        </w:tc>
      </w:tr>
      <w:tr>
        <w:trPr>
          <w:trHeight w:val="209"/>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1,226,800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-565150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-290830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-7620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080"/>
          </w:cols>
          <w:pgMar w:left="320" w:top="121" w:right="339" w:bottom="1440" w:gutter="0" w:footer="0" w:header="0"/>
          <w:type w:val="continuous"/>
        </w:sectPr>
      </w:pPr>
    </w:p>
    <w:p>
      <w:pPr>
        <w:spacing w:after="0" w:line="58"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Commitments, contingencies and guarantees (</w:t>
      </w:r>
      <w:hyperlink w:anchor="page18">
        <w:r>
          <w:rPr>
            <w:rFonts w:ascii="Arial" w:cs="Arial" w:eastAsia="Arial" w:hAnsi="Arial"/>
            <w:sz w:val="16"/>
            <w:szCs w:val="16"/>
            <w:u w:val="single" w:color="auto"/>
            <w:color w:val="0000FF"/>
          </w:rPr>
          <w:t>Note 3</w:t>
        </w:r>
      </w:hyperlink>
      <w:r>
        <w:rPr>
          <w:rFonts w:ascii="Arial" w:cs="Arial" w:eastAsia="Arial" w:hAnsi="Arial"/>
          <w:sz w:val="16"/>
          <w:szCs w:val="16"/>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60" w:type="dxa"/>
            <w:vAlign w:val="bottom"/>
            <w:shd w:val="clear" w:color="auto" w:fill="CEFFE7"/>
          </w:tcPr>
          <w:p>
            <w:pPr>
              <w:spacing w:after="0"/>
              <w:rPr>
                <w:sz w:val="21"/>
                <w:szCs w:val="21"/>
                <w:color w:val="auto"/>
              </w:rPr>
            </w:pPr>
          </w:p>
        </w:tc>
        <w:tc>
          <w:tcPr>
            <w:tcW w:w="660" w:type="dxa"/>
            <w:vAlign w:val="bottom"/>
            <w:shd w:val="clear" w:color="auto" w:fill="CEFFE7"/>
          </w:tcPr>
          <w:p>
            <w:pPr>
              <w:spacing w:after="0"/>
              <w:rPr>
                <w:sz w:val="21"/>
                <w:szCs w:val="21"/>
                <w:color w:val="auto"/>
              </w:rPr>
            </w:pPr>
          </w:p>
        </w:tc>
        <w:tc>
          <w:tcPr>
            <w:tcW w:w="1380" w:type="dxa"/>
            <w:vAlign w:val="bottom"/>
            <w:shd w:val="clear" w:color="auto" w:fill="CEFFE7"/>
          </w:tcPr>
          <w:p>
            <w:pPr>
              <w:spacing w:after="0"/>
              <w:rPr>
                <w:sz w:val="21"/>
                <w:szCs w:val="21"/>
                <w:color w:val="auto"/>
              </w:rPr>
            </w:pPr>
          </w:p>
        </w:tc>
        <w:tc>
          <w:tcPr>
            <w:tcW w:w="700" w:type="dxa"/>
            <w:vAlign w:val="bottom"/>
            <w:shd w:val="clear" w:color="auto" w:fill="CEFFE7"/>
          </w:tcPr>
          <w:p>
            <w:pPr>
              <w:spacing w:after="0"/>
              <w:rPr>
                <w:sz w:val="21"/>
                <w:szCs w:val="21"/>
                <w:color w:val="auto"/>
              </w:rPr>
            </w:pPr>
          </w:p>
        </w:tc>
        <w:tc>
          <w:tcPr>
            <w:tcW w:w="1340" w:type="dxa"/>
            <w:vAlign w:val="bottom"/>
            <w:shd w:val="clear" w:color="auto" w:fill="CEFFE7"/>
          </w:tcPr>
          <w:p>
            <w:pPr>
              <w:spacing w:after="0"/>
              <w:rPr>
                <w:sz w:val="21"/>
                <w:szCs w:val="21"/>
                <w:color w:val="auto"/>
              </w:rPr>
            </w:pP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Equity:</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160" w:type="dxa"/>
            <w:vAlign w:val="bottom"/>
            <w:shd w:val="clear" w:color="auto" w:fill="CEFFE7"/>
          </w:tcPr>
          <w:p>
            <w:pPr>
              <w:jc w:val="center"/>
              <w:ind w:right="5059"/>
              <w:spacing w:after="0"/>
              <w:rPr>
                <w:sz w:val="20"/>
                <w:szCs w:val="20"/>
                <w:color w:val="auto"/>
              </w:rPr>
            </w:pPr>
            <w:r>
              <w:rPr>
                <w:rFonts w:ascii="Arial" w:cs="Arial" w:eastAsia="Arial" w:hAnsi="Arial"/>
                <w:sz w:val="16"/>
                <w:szCs w:val="16"/>
                <w:color w:val="auto"/>
              </w:rPr>
              <w:t>Stockholders’ equity —</w:t>
            </w:r>
          </w:p>
        </w:tc>
        <w:tc>
          <w:tcPr>
            <w:tcW w:w="66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7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r>
      <w:tr>
        <w:trPr>
          <w:trHeight w:val="177"/>
        </w:trPr>
        <w:tc>
          <w:tcPr>
            <w:tcW w:w="7160" w:type="dxa"/>
            <w:vAlign w:val="bottom"/>
          </w:tcPr>
          <w:p>
            <w:pPr>
              <w:ind w:left="220"/>
              <w:spacing w:after="0" w:line="178" w:lineRule="exact"/>
              <w:rPr>
                <w:sz w:val="20"/>
                <w:szCs w:val="20"/>
                <w:color w:val="auto"/>
              </w:rPr>
            </w:pPr>
            <w:r>
              <w:rPr>
                <w:rFonts w:ascii="Arial" w:cs="Arial" w:eastAsia="Arial" w:hAnsi="Arial"/>
                <w:sz w:val="16"/>
                <w:szCs w:val="16"/>
                <w:color w:val="auto"/>
              </w:rPr>
              <w:t>Common stock $1 par value; 100,000,000 shares authorized; issued 63,865,151 and</w:t>
            </w:r>
          </w:p>
        </w:tc>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8"/>
        </w:trPr>
        <w:tc>
          <w:tcPr>
            <w:tcW w:w="7160" w:type="dxa"/>
            <w:vAlign w:val="bottom"/>
          </w:tcPr>
          <w:p>
            <w:pPr>
              <w:ind w:left="220"/>
              <w:spacing w:after="0"/>
              <w:rPr>
                <w:sz w:val="20"/>
                <w:szCs w:val="20"/>
                <w:color w:val="auto"/>
              </w:rPr>
            </w:pPr>
            <w:r>
              <w:rPr>
                <w:rFonts w:ascii="Arial" w:cs="Arial" w:eastAsia="Arial" w:hAnsi="Arial"/>
                <w:sz w:val="16"/>
                <w:szCs w:val="16"/>
                <w:color w:val="auto"/>
              </w:rPr>
              <w:t>62,827,179 shares, respectively</w:t>
            </w:r>
          </w:p>
        </w:tc>
        <w:tc>
          <w:tcPr>
            <w:tcW w:w="66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63,865</w:t>
            </w:r>
          </w:p>
        </w:tc>
        <w:tc>
          <w:tcPr>
            <w:tcW w:w="7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62,827</w:t>
            </w:r>
          </w:p>
        </w:tc>
      </w:tr>
      <w:tr>
        <w:trPr>
          <w:trHeight w:val="219"/>
        </w:trPr>
        <w:tc>
          <w:tcPr>
            <w:tcW w:w="71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Additional paid-in capital</w:t>
            </w:r>
          </w:p>
        </w:tc>
        <w:tc>
          <w:tcPr>
            <w:tcW w:w="660" w:type="dxa"/>
            <w:vAlign w:val="bottom"/>
            <w:shd w:val="clear" w:color="auto" w:fill="CEFFE7"/>
          </w:tcPr>
          <w:p>
            <w:pPr>
              <w:spacing w:after="0"/>
              <w:rPr>
                <w:sz w:val="19"/>
                <w:szCs w:val="19"/>
                <w:color w:val="auto"/>
              </w:rPr>
            </w:pPr>
          </w:p>
        </w:tc>
        <w:tc>
          <w:tcPr>
            <w:tcW w:w="13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1,726,277</w:t>
            </w:r>
          </w:p>
        </w:tc>
        <w:tc>
          <w:tcPr>
            <w:tcW w:w="7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1,657,285</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6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929,369</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870,738</w:t>
            </w:r>
          </w:p>
        </w:tc>
      </w:tr>
      <w:tr>
        <w:trPr>
          <w:trHeight w:val="219"/>
        </w:trPr>
        <w:tc>
          <w:tcPr>
            <w:tcW w:w="71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Treasury stock, at cost – 43,885 and 32,492 shares, respectively</w:t>
            </w:r>
          </w:p>
        </w:tc>
        <w:tc>
          <w:tcPr>
            <w:tcW w:w="660" w:type="dxa"/>
            <w:vAlign w:val="bottom"/>
            <w:shd w:val="clear" w:color="auto" w:fill="CEFFE7"/>
          </w:tcPr>
          <w:p>
            <w:pPr>
              <w:spacing w:after="0"/>
              <w:rPr>
                <w:sz w:val="19"/>
                <w:szCs w:val="19"/>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(2,819)</w:t>
            </w:r>
          </w:p>
        </w:tc>
        <w:tc>
          <w:tcPr>
            <w:tcW w:w="7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(2,119)</w:t>
            </w:r>
          </w:p>
        </w:tc>
      </w:tr>
      <w:tr>
        <w:trPr>
          <w:trHeight w:val="213"/>
        </w:trPr>
        <w:tc>
          <w:tcPr>
            <w:tcW w:w="7160" w:type="dxa"/>
            <w:vAlign w:val="bottom"/>
            <w:tcBorders>
              <w:bottom w:val="single" w:sz="8" w:color="CEFFE7"/>
            </w:tcBorders>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(19,169)</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(27,346)</w:t>
            </w:r>
          </w:p>
        </w:tc>
      </w:tr>
      <w:tr>
        <w:trPr>
          <w:trHeight w:val="212"/>
        </w:trPr>
        <w:tc>
          <w:tcPr>
            <w:tcW w:w="7160" w:type="dxa"/>
            <w:vAlign w:val="bottom"/>
            <w:shd w:val="clear" w:color="auto" w:fill="CEFFE7"/>
          </w:tcPr>
          <w:p>
            <w:pPr>
              <w:ind w:left="600"/>
              <w:spacing w:after="0"/>
              <w:rPr>
                <w:sz w:val="20"/>
                <w:szCs w:val="20"/>
                <w:color w:val="auto"/>
              </w:rPr>
            </w:pPr>
            <w:r>
              <w:rPr>
                <w:rFonts w:ascii="Arial" w:cs="Arial" w:eastAsia="Arial" w:hAnsi="Arial"/>
                <w:sz w:val="16"/>
                <w:szCs w:val="16"/>
                <w:color w:val="auto"/>
              </w:rPr>
              <w:t>Total stockholders’ equity</w:t>
            </w:r>
          </w:p>
        </w:tc>
        <w:tc>
          <w:tcPr>
            <w:tcW w:w="660" w:type="dxa"/>
            <w:vAlign w:val="bottom"/>
            <w:shd w:val="clear" w:color="auto" w:fill="CEFFE7"/>
          </w:tcPr>
          <w:p>
            <w:pPr>
              <w:spacing w:after="0"/>
              <w:rPr>
                <w:sz w:val="18"/>
                <w:szCs w:val="18"/>
                <w:color w:val="auto"/>
              </w:rPr>
            </w:pPr>
          </w:p>
        </w:tc>
        <w:tc>
          <w:tcPr>
            <w:tcW w:w="13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2,697,523</w:t>
            </w:r>
          </w:p>
        </w:tc>
        <w:tc>
          <w:tcPr>
            <w:tcW w:w="700" w:type="dxa"/>
            <w:vAlign w:val="bottom"/>
            <w:shd w:val="clear" w:color="auto" w:fill="CEFFE7"/>
          </w:tcPr>
          <w:p>
            <w:pPr>
              <w:spacing w:after="0"/>
              <w:rPr>
                <w:sz w:val="18"/>
                <w:szCs w:val="18"/>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2,561,385</w:t>
            </w:r>
          </w:p>
        </w:tc>
      </w:tr>
      <w:tr>
        <w:trPr>
          <w:trHeight w:val="213"/>
        </w:trPr>
        <w:tc>
          <w:tcPr>
            <w:tcW w:w="7160" w:type="dxa"/>
            <w:vAlign w:val="bottom"/>
            <w:tcBorders>
              <w:bottom w:val="single" w:sz="8" w:color="CEFFE7"/>
            </w:tcBorders>
          </w:tcPr>
          <w:p>
            <w:pPr>
              <w:jc w:val="center"/>
              <w:ind w:right="5039"/>
              <w:spacing w:after="0"/>
              <w:rPr>
                <w:sz w:val="20"/>
                <w:szCs w:val="20"/>
                <w:color w:val="auto"/>
              </w:rPr>
            </w:pPr>
            <w:r>
              <w:rPr>
                <w:rFonts w:ascii="Arial" w:cs="Arial" w:eastAsia="Arial" w:hAnsi="Arial"/>
                <w:sz w:val="16"/>
                <w:szCs w:val="16"/>
                <w:color w:val="auto"/>
              </w:rPr>
              <w:t>Non-controlling interest</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102,379</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101,262</w:t>
            </w:r>
          </w:p>
        </w:tc>
      </w:tr>
      <w:tr>
        <w:trPr>
          <w:trHeight w:val="210"/>
        </w:trPr>
        <w:tc>
          <w:tcPr>
            <w:tcW w:w="7160" w:type="dxa"/>
            <w:vAlign w:val="bottom"/>
            <w:shd w:val="clear" w:color="auto" w:fill="CEFFE7"/>
          </w:tcPr>
          <w:p>
            <w:pPr>
              <w:jc w:val="center"/>
              <w:ind w:right="5059"/>
              <w:spacing w:after="0"/>
              <w:rPr>
                <w:sz w:val="20"/>
                <w:szCs w:val="20"/>
                <w:color w:val="auto"/>
              </w:rPr>
            </w:pPr>
            <w:r>
              <w:rPr>
                <w:rFonts w:ascii="Arial" w:cs="Arial" w:eastAsia="Arial" w:hAnsi="Arial"/>
                <w:sz w:val="16"/>
                <w:szCs w:val="16"/>
                <w:color w:val="auto"/>
                <w:w w:val="99"/>
              </w:rPr>
              <w:t>Total equity</w:t>
            </w:r>
          </w:p>
        </w:tc>
        <w:tc>
          <w:tcPr>
            <w:tcW w:w="66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2,799,902</w:t>
            </w:r>
          </w:p>
        </w:tc>
        <w:tc>
          <w:tcPr>
            <w:tcW w:w="7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2,662,647</w:t>
            </w:r>
          </w:p>
        </w:tc>
      </w:tr>
      <w:tr>
        <w:trPr>
          <w:trHeight w:val="239"/>
        </w:trPr>
        <w:tc>
          <w:tcPr>
            <w:tcW w:w="7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1"/>
        </w:trPr>
        <w:tc>
          <w:tcPr>
            <w:tcW w:w="71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LIABILITIES AND TOTAL EQUITY</w:t>
            </w:r>
          </w:p>
        </w:tc>
        <w:tc>
          <w:tcPr>
            <w:tcW w:w="66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8,910,390</w:t>
            </w:r>
          </w:p>
        </w:tc>
        <w:tc>
          <w:tcPr>
            <w:tcW w:w="70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8,088,786</w:t>
            </w:r>
          </w:p>
        </w:tc>
      </w:tr>
      <w:tr>
        <w:trPr>
          <w:trHeight w:val="20"/>
        </w:trPr>
        <w:tc>
          <w:tcPr>
            <w:tcW w:w="7160" w:type="dxa"/>
            <w:vAlign w:val="bottom"/>
            <w:tcBorders>
              <w:top w:val="single" w:sz="8" w:color="CEFFE7"/>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3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4">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40" w:type="dxa"/>
            <w:vAlign w:val="bottom"/>
          </w:tcPr>
          <w:p>
            <w:pPr>
              <w:ind w:left="20"/>
              <w:spacing w:after="0"/>
              <w:rPr>
                <w:sz w:val="20"/>
                <w:szCs w:val="20"/>
                <w:color w:val="auto"/>
              </w:rPr>
            </w:pPr>
            <w:r>
              <w:rPr>
                <w:rFonts w:ascii="Arial" w:cs="Arial" w:eastAsia="Arial" w:hAnsi="Arial"/>
                <w:sz w:val="14"/>
                <w:szCs w:val="14"/>
                <w:color w:val="auto"/>
              </w:rPr>
              <w:t>(unaudited)</w:t>
            </w:r>
          </w:p>
        </w:tc>
        <w:tc>
          <w:tcPr>
            <w:tcW w:w="320" w:type="dxa"/>
            <w:vAlign w:val="bottom"/>
          </w:tcPr>
          <w:p>
            <w:pPr>
              <w:spacing w:after="0"/>
              <w:rPr>
                <w:sz w:val="14"/>
                <w:szCs w:val="14"/>
                <w:color w:val="auto"/>
              </w:rPr>
            </w:pPr>
          </w:p>
        </w:tc>
        <w:tc>
          <w:tcPr>
            <w:tcW w:w="2980" w:type="dxa"/>
            <w:vAlign w:val="bottom"/>
            <w:gridSpan w:val="3"/>
          </w:tcPr>
          <w:p>
            <w:pPr>
              <w:jc w:val="right"/>
              <w:ind w:right="448"/>
              <w:spacing w:after="0"/>
              <w:rPr>
                <w:sz w:val="20"/>
                <w:szCs w:val="20"/>
                <w:color w:val="auto"/>
              </w:rPr>
            </w:pPr>
            <w:r>
              <w:rPr>
                <w:rFonts w:ascii="Arial" w:cs="Arial" w:eastAsia="Arial" w:hAnsi="Arial"/>
                <w:sz w:val="14"/>
                <w:szCs w:val="14"/>
                <w:color w:val="auto"/>
              </w:rPr>
              <w:t>Nine Months Ended September 30,</w:t>
            </w:r>
          </w:p>
        </w:tc>
      </w:tr>
      <w:tr>
        <w:trPr>
          <w:trHeight w:val="188"/>
        </w:trPr>
        <w:tc>
          <w:tcPr>
            <w:tcW w:w="7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2020</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20" w:type="dxa"/>
            <w:vAlign w:val="bottom"/>
          </w:tcPr>
          <w:p>
            <w:pPr>
              <w:spacing w:after="0"/>
              <w:rPr>
                <w:sz w:val="15"/>
                <w:szCs w:val="15"/>
                <w:color w:val="auto"/>
              </w:rPr>
            </w:pPr>
          </w:p>
        </w:tc>
        <w:tc>
          <w:tcPr>
            <w:tcW w:w="1900" w:type="dxa"/>
            <w:vAlign w:val="bottom"/>
            <w:gridSpan w:val="2"/>
          </w:tcPr>
          <w:p>
            <w:pPr>
              <w:jc w:val="right"/>
              <w:ind w:right="48"/>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5"/>
                <w:szCs w:val="15"/>
                <w:color w:val="auto"/>
              </w:rPr>
            </w:pPr>
          </w:p>
        </w:tc>
      </w:tr>
      <w:tr>
        <w:trPr>
          <w:trHeight w:val="189"/>
        </w:trPr>
        <w:tc>
          <w:tcPr>
            <w:tcW w:w="794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EFFE7"/>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176,936</w:t>
            </w:r>
          </w:p>
        </w:tc>
        <w:tc>
          <w:tcPr>
            <w:tcW w:w="580" w:type="dxa"/>
            <w:vAlign w:val="bottom"/>
            <w:shd w:val="clear" w:color="auto" w:fill="CEFFE7"/>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162,267</w:t>
            </w:r>
          </w:p>
        </w:tc>
      </w:tr>
      <w:tr>
        <w:trPr>
          <w:trHeight w:val="189"/>
        </w:trPr>
        <w:tc>
          <w:tcPr>
            <w:tcW w:w="7940" w:type="dxa"/>
            <w:vAlign w:val="bottom"/>
          </w:tcPr>
          <w:p>
            <w:pPr>
              <w:ind w:left="10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174,871</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169,413</w:t>
            </w:r>
          </w:p>
        </w:tc>
      </w:tr>
      <w:tr>
        <w:trPr>
          <w:trHeight w:val="189"/>
        </w:trPr>
        <w:tc>
          <w:tcPr>
            <w:tcW w:w="7940" w:type="dxa"/>
            <w:vAlign w:val="bottom"/>
          </w:tcPr>
          <w:p>
            <w:pPr>
              <w:ind w:left="360"/>
              <w:spacing w:after="0"/>
              <w:rPr>
                <w:sz w:val="20"/>
                <w:szCs w:val="20"/>
                <w:color w:val="auto"/>
              </w:rPr>
            </w:pPr>
            <w:r>
              <w:rPr>
                <w:rFonts w:ascii="Arial" w:cs="Arial" w:eastAsia="Arial" w:hAnsi="Arial"/>
                <w:sz w:val="14"/>
                <w:szCs w:val="14"/>
                <w:color w:val="auto"/>
              </w:rPr>
              <w:t>Deferred financing cost amortization</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3,892</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5,523</w:t>
            </w:r>
          </w:p>
        </w:tc>
      </w:tr>
      <w:tr>
        <w:trPr>
          <w:trHeight w:val="189"/>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Impairment of investment</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6,859</w:t>
            </w:r>
          </w:p>
        </w:tc>
      </w:tr>
      <w:tr>
        <w:trPr>
          <w:trHeight w:val="189"/>
        </w:trPr>
        <w:tc>
          <w:tcPr>
            <w:tcW w:w="7940" w:type="dxa"/>
            <w:vAlign w:val="bottom"/>
          </w:tcPr>
          <w:p>
            <w:pPr>
              <w:ind w:left="360"/>
              <w:spacing w:after="0"/>
              <w:rPr>
                <w:sz w:val="20"/>
                <w:szCs w:val="20"/>
                <w:color w:val="auto"/>
              </w:rPr>
            </w:pPr>
            <w:r>
              <w:rPr>
                <w:rFonts w:ascii="Arial" w:cs="Arial" w:eastAsia="Arial" w:hAnsi="Arial"/>
                <w:sz w:val="14"/>
                <w:szCs w:val="14"/>
                <w:color w:val="auto"/>
              </w:rPr>
              <w:t>Stock compensation</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7,245</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2,696</w:t>
            </w:r>
          </w:p>
        </w:tc>
      </w:tr>
      <w:tr>
        <w:trPr>
          <w:trHeight w:val="189"/>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5,844</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28,502</w:t>
            </w:r>
          </w:p>
        </w:tc>
      </w:tr>
      <w:tr>
        <w:trPr>
          <w:trHeight w:val="189"/>
        </w:trPr>
        <w:tc>
          <w:tcPr>
            <w:tcW w:w="7940" w:type="dxa"/>
            <w:vAlign w:val="bottom"/>
          </w:tcPr>
          <w:p>
            <w:pPr>
              <w:ind w:left="360"/>
              <w:spacing w:after="0"/>
              <w:rPr>
                <w:sz w:val="20"/>
                <w:szCs w:val="20"/>
                <w:color w:val="auto"/>
              </w:rPr>
            </w:pPr>
            <w:r>
              <w:rPr>
                <w:rFonts w:ascii="Arial" w:cs="Arial" w:eastAsia="Arial" w:hAnsi="Arial"/>
                <w:sz w:val="14"/>
                <w:szCs w:val="14"/>
                <w:color w:val="auto"/>
              </w:rPr>
              <w:t>Employee benefit plans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6,779</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9,294</w:t>
            </w:r>
          </w:p>
        </w:tc>
      </w:tr>
      <w:tr>
        <w:trPr>
          <w:trHeight w:val="189"/>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Other adjustments, net</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2,708</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7,910</w:t>
            </w:r>
          </w:p>
        </w:tc>
      </w:tr>
      <w:tr>
        <w:trPr>
          <w:trHeight w:val="189"/>
        </w:trPr>
        <w:tc>
          <w:tcPr>
            <w:tcW w:w="7940" w:type="dxa"/>
            <w:vAlign w:val="bottom"/>
          </w:tcPr>
          <w:p>
            <w:pPr>
              <w:ind w:left="100"/>
              <w:spacing w:after="0"/>
              <w:rPr>
                <w:sz w:val="20"/>
                <w:szCs w:val="20"/>
                <w:color w:val="auto"/>
              </w:rPr>
            </w:pPr>
            <w:r>
              <w:rPr>
                <w:rFonts w:ascii="Arial" w:cs="Arial" w:eastAsia="Arial" w:hAnsi="Arial"/>
                <w:sz w:val="14"/>
                <w:szCs w:val="14"/>
                <w:color w:val="auto"/>
              </w:rPr>
              <w:t>Changes in certain operating assets and liabilities: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Materials, supplies and fuel</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(29,948)</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(10,905)</w:t>
            </w:r>
          </w:p>
        </w:tc>
      </w:tr>
      <w:tr>
        <w:trPr>
          <w:trHeight w:val="189"/>
        </w:trPr>
        <w:tc>
          <w:tcPr>
            <w:tcW w:w="7940" w:type="dxa"/>
            <w:vAlign w:val="bottom"/>
          </w:tcPr>
          <w:p>
            <w:pPr>
              <w:ind w:left="360"/>
              <w:spacing w:after="0"/>
              <w:rPr>
                <w:sz w:val="20"/>
                <w:szCs w:val="20"/>
                <w:color w:val="auto"/>
              </w:rPr>
            </w:pPr>
            <w:r>
              <w:rPr>
                <w:rFonts w:ascii="Arial" w:cs="Arial" w:eastAsia="Arial" w:hAnsi="Arial"/>
                <w:sz w:val="14"/>
                <w:szCs w:val="14"/>
                <w:color w:val="auto"/>
              </w:rPr>
              <w:t>Accounts receivable and other current assets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97,348</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75,960</w:t>
            </w:r>
          </w:p>
        </w:tc>
      </w:tr>
      <w:tr>
        <w:trPr>
          <w:trHeight w:val="189"/>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Accounts payable and other current liabilities</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(20,094)</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(11,136)</w:t>
            </w:r>
          </w:p>
        </w:tc>
      </w:tr>
      <w:tr>
        <w:trPr>
          <w:trHeight w:val="189"/>
        </w:trPr>
        <w:tc>
          <w:tcPr>
            <w:tcW w:w="7940" w:type="dxa"/>
            <w:vAlign w:val="bottom"/>
          </w:tcPr>
          <w:p>
            <w:pPr>
              <w:ind w:left="360"/>
              <w:spacing w:after="0"/>
              <w:rPr>
                <w:sz w:val="20"/>
                <w:szCs w:val="20"/>
                <w:color w:val="auto"/>
              </w:rPr>
            </w:pPr>
            <w:r>
              <w:rPr>
                <w:rFonts w:ascii="Arial" w:cs="Arial" w:eastAsia="Arial" w:hAnsi="Arial"/>
                <w:sz w:val="14"/>
                <w:szCs w:val="14"/>
                <w:color w:val="auto"/>
              </w:rPr>
              <w:t>Regulatory assets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(559,389)</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1,954</w:t>
            </w:r>
          </w:p>
        </w:tc>
      </w:tr>
      <w:tr>
        <w:trPr>
          <w:trHeight w:val="189"/>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Regulatory liabilities</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(9,533)</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(17,686)</w:t>
            </w:r>
          </w:p>
        </w:tc>
      </w:tr>
      <w:tr>
        <w:trPr>
          <w:trHeight w:val="189"/>
        </w:trPr>
        <w:tc>
          <w:tcPr>
            <w:tcW w:w="7940" w:type="dxa"/>
            <w:vAlign w:val="bottom"/>
          </w:tcPr>
          <w:p>
            <w:pPr>
              <w:ind w:left="140"/>
              <w:spacing w:after="0"/>
              <w:rPr>
                <w:sz w:val="20"/>
                <w:szCs w:val="20"/>
                <w:color w:val="auto"/>
              </w:rPr>
            </w:pPr>
            <w:r>
              <w:rPr>
                <w:rFonts w:ascii="Arial" w:cs="Arial" w:eastAsia="Arial" w:hAnsi="Arial"/>
                <w:sz w:val="14"/>
                <w:szCs w:val="14"/>
                <w:color w:val="auto"/>
              </w:rPr>
              <w:t>Contributions to defined benefit pension plans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(12,700)</w:t>
            </w:r>
          </w:p>
        </w:tc>
      </w:tr>
      <w:tr>
        <w:trPr>
          <w:trHeight w:val="189"/>
        </w:trPr>
        <w:tc>
          <w:tcPr>
            <w:tcW w:w="794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operating activities, net</w:t>
            </w:r>
          </w:p>
        </w:tc>
        <w:tc>
          <w:tcPr>
            <w:tcW w:w="320" w:type="dxa"/>
            <w:vAlign w:val="bottom"/>
            <w:tcBorders>
              <w:bottom w:val="single" w:sz="8" w:color="auto"/>
            </w:tcBorders>
            <w:shd w:val="clear" w:color="auto" w:fill="CEFFE7"/>
          </w:tcPr>
          <w:p>
            <w:pPr>
              <w:spacing w:after="0"/>
              <w:rPr>
                <w:sz w:val="16"/>
                <w:szCs w:val="16"/>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(1,419)</w:t>
            </w:r>
          </w:p>
        </w:tc>
        <w:tc>
          <w:tcPr>
            <w:tcW w:w="580" w:type="dxa"/>
            <w:vAlign w:val="bottom"/>
            <w:tcBorders>
              <w:bottom w:val="single" w:sz="8" w:color="auto"/>
            </w:tcBorders>
            <w:shd w:val="clear" w:color="auto" w:fill="CEFFE7"/>
          </w:tcPr>
          <w:p>
            <w:pPr>
              <w:spacing w:after="0"/>
              <w:rPr>
                <w:sz w:val="16"/>
                <w:szCs w:val="16"/>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1,508</w:t>
            </w:r>
          </w:p>
        </w:tc>
      </w:tr>
      <w:tr>
        <w:trPr>
          <w:trHeight w:val="182"/>
        </w:trPr>
        <w:tc>
          <w:tcPr>
            <w:tcW w:w="79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(144,760)</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419,459</w:t>
            </w:r>
          </w:p>
        </w:tc>
      </w:tr>
      <w:tr>
        <w:trPr>
          <w:trHeight w:val="196"/>
        </w:trPr>
        <w:tc>
          <w:tcPr>
            <w:tcW w:w="7940" w:type="dxa"/>
            <w:vAlign w:val="bottom"/>
            <w:shd w:val="clear" w:color="auto" w:fill="CEFFE7"/>
          </w:tcPr>
          <w:p>
            <w:pPr>
              <w:spacing w:after="0"/>
              <w:rPr>
                <w:sz w:val="17"/>
                <w:szCs w:val="17"/>
                <w:color w:val="auto"/>
              </w:rPr>
            </w:pPr>
          </w:p>
        </w:tc>
        <w:tc>
          <w:tcPr>
            <w:tcW w:w="320" w:type="dxa"/>
            <w:vAlign w:val="bottom"/>
            <w:shd w:val="clear" w:color="auto" w:fill="CEFFE7"/>
          </w:tcPr>
          <w:p>
            <w:pPr>
              <w:spacing w:after="0"/>
              <w:rPr>
                <w:sz w:val="17"/>
                <w:szCs w:val="17"/>
                <w:color w:val="auto"/>
              </w:rPr>
            </w:pPr>
          </w:p>
        </w:tc>
        <w:tc>
          <w:tcPr>
            <w:tcW w:w="132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40" w:type="dxa"/>
            <w:vAlign w:val="bottom"/>
            <w:shd w:val="clear" w:color="auto" w:fill="CEFFE7"/>
          </w:tcPr>
          <w:p>
            <w:pPr>
              <w:ind w:left="180"/>
              <w:spacing w:after="0"/>
              <w:rPr>
                <w:sz w:val="20"/>
                <w:szCs w:val="20"/>
                <w:color w:val="auto"/>
              </w:rPr>
            </w:pPr>
            <w:r>
              <w:rPr>
                <w:rFonts w:ascii="Arial" w:cs="Arial" w:eastAsia="Arial" w:hAnsi="Arial"/>
                <w:sz w:val="14"/>
                <w:szCs w:val="14"/>
                <w:color w:val="auto"/>
              </w:rPr>
              <w:t>Property, plant and equipment additions</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(497,849)</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(535,993)</w:t>
            </w:r>
          </w:p>
        </w:tc>
      </w:tr>
      <w:tr>
        <w:trPr>
          <w:trHeight w:val="189"/>
        </w:trPr>
        <w:tc>
          <w:tcPr>
            <w:tcW w:w="7940" w:type="dxa"/>
            <w:vAlign w:val="bottom"/>
            <w:tcBorders>
              <w:bottom w:val="single" w:sz="8" w:color="CEFFE7"/>
            </w:tcBorders>
          </w:tcPr>
          <w:p>
            <w:pPr>
              <w:ind w:left="180"/>
              <w:spacing w:after="0"/>
              <w:rPr>
                <w:sz w:val="20"/>
                <w:szCs w:val="20"/>
                <w:color w:val="auto"/>
              </w:rPr>
            </w:pPr>
            <w:r>
              <w:rPr>
                <w:rFonts w:ascii="Arial" w:cs="Arial" w:eastAsia="Arial" w:hAnsi="Arial"/>
                <w:sz w:val="14"/>
                <w:szCs w:val="14"/>
                <w:color w:val="auto"/>
              </w:rPr>
              <w:t>Other investing activities</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13,743</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6,269</w:t>
            </w:r>
          </w:p>
        </w:tc>
      </w:tr>
      <w:tr>
        <w:trPr>
          <w:trHeight w:val="183"/>
        </w:trPr>
        <w:tc>
          <w:tcPr>
            <w:tcW w:w="794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EFFE7"/>
          </w:tcPr>
          <w:p>
            <w:pPr>
              <w:spacing w:after="0"/>
              <w:rPr>
                <w:sz w:val="15"/>
                <w:szCs w:val="15"/>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(484,106)</w:t>
            </w:r>
          </w:p>
        </w:tc>
        <w:tc>
          <w:tcPr>
            <w:tcW w:w="580" w:type="dxa"/>
            <w:vAlign w:val="bottom"/>
            <w:tcBorders>
              <w:bottom w:val="single" w:sz="8" w:color="auto"/>
            </w:tcBorders>
            <w:shd w:val="clear" w:color="auto" w:fill="CEFFE7"/>
          </w:tcPr>
          <w:p>
            <w:pPr>
              <w:spacing w:after="0"/>
              <w:rPr>
                <w:sz w:val="15"/>
                <w:szCs w:val="15"/>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(529,724)</w:t>
            </w:r>
          </w:p>
        </w:tc>
      </w:tr>
      <w:tr>
        <w:trPr>
          <w:trHeight w:val="196"/>
        </w:trPr>
        <w:tc>
          <w:tcPr>
            <w:tcW w:w="7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9"/>
        </w:trPr>
        <w:tc>
          <w:tcPr>
            <w:tcW w:w="7940" w:type="dxa"/>
            <w:vAlign w:val="bottom"/>
            <w:shd w:val="clear" w:color="auto" w:fill="CEFFE7"/>
          </w:tcPr>
          <w:p>
            <w:pPr>
              <w:ind w:left="20"/>
              <w:spacing w:after="0"/>
              <w:rPr>
                <w:sz w:val="20"/>
                <w:szCs w:val="20"/>
                <w:color w:val="auto"/>
              </w:rPr>
            </w:pPr>
            <w:r>
              <w:rPr>
                <w:rFonts w:ascii="Arial" w:cs="Arial" w:eastAsia="Arial" w:hAnsi="Arial"/>
                <w:sz w:val="14"/>
                <w:szCs w:val="14"/>
                <w:color w:val="auto"/>
              </w:rPr>
              <w:t>Financing activities:</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spacing w:after="0"/>
              <w:rPr>
                <w:sz w:val="16"/>
                <w:szCs w:val="16"/>
                <w:color w:val="auto"/>
              </w:rPr>
            </w:pP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spacing w:after="0"/>
              <w:rPr>
                <w:sz w:val="16"/>
                <w:szCs w:val="16"/>
                <w:color w:val="auto"/>
              </w:rPr>
            </w:pPr>
          </w:p>
        </w:tc>
      </w:tr>
      <w:tr>
        <w:trPr>
          <w:trHeight w:val="189"/>
        </w:trPr>
        <w:tc>
          <w:tcPr>
            <w:tcW w:w="7940" w:type="dxa"/>
            <w:vAlign w:val="bottom"/>
          </w:tcPr>
          <w:p>
            <w:pPr>
              <w:ind w:left="220"/>
              <w:spacing w:after="0"/>
              <w:rPr>
                <w:sz w:val="20"/>
                <w:szCs w:val="20"/>
                <w:color w:val="auto"/>
              </w:rPr>
            </w:pPr>
            <w:r>
              <w:rPr>
                <w:rFonts w:ascii="Arial" w:cs="Arial" w:eastAsia="Arial" w:hAnsi="Arial"/>
                <w:sz w:val="14"/>
                <w:szCs w:val="14"/>
                <w:color w:val="auto"/>
              </w:rPr>
              <w:t>Dividends paid on common stock</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(106,957)</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(99,999)</w:t>
            </w:r>
          </w:p>
        </w:tc>
      </w:tr>
      <w:tr>
        <w:trPr>
          <w:trHeight w:val="189"/>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Common stock issued</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62,977</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99,316</w:t>
            </w:r>
          </w:p>
        </w:tc>
      </w:tr>
      <w:tr>
        <w:trPr>
          <w:trHeight w:val="189"/>
        </w:trPr>
        <w:tc>
          <w:tcPr>
            <w:tcW w:w="7940" w:type="dxa"/>
            <w:vAlign w:val="bottom"/>
          </w:tcPr>
          <w:p>
            <w:pPr>
              <w:ind w:left="220"/>
              <w:spacing w:after="0"/>
              <w:rPr>
                <w:sz w:val="20"/>
                <w:szCs w:val="20"/>
                <w:color w:val="auto"/>
              </w:rPr>
            </w:pPr>
            <w:r>
              <w:rPr>
                <w:rFonts w:ascii="Arial" w:cs="Arial" w:eastAsia="Arial" w:hAnsi="Arial"/>
                <w:sz w:val="14"/>
                <w:szCs w:val="14"/>
                <w:color w:val="auto"/>
              </w:rPr>
              <w:t>Term loan - borrowings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800,000</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Term loan - repayments</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(800,000)</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tcPr>
          <w:p>
            <w:pPr>
              <w:ind w:left="220"/>
              <w:spacing w:after="0"/>
              <w:rPr>
                <w:sz w:val="20"/>
                <w:szCs w:val="20"/>
                <w:color w:val="auto"/>
              </w:rPr>
            </w:pPr>
            <w:r>
              <w:rPr>
                <w:rFonts w:ascii="Arial" w:cs="Arial" w:eastAsia="Arial" w:hAnsi="Arial"/>
                <w:sz w:val="14"/>
                <w:szCs w:val="14"/>
                <w:color w:val="auto"/>
              </w:rPr>
              <w:t>Net borrowings (payments) of Revolving Credit Facility and CP Program</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98,485</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(265,180)</w:t>
            </w:r>
          </w:p>
        </w:tc>
      </w:tr>
      <w:tr>
        <w:trPr>
          <w:trHeight w:val="189"/>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Long-term debt - issuances</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600,000</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400,000</w:t>
            </w:r>
          </w:p>
        </w:tc>
      </w:tr>
      <w:tr>
        <w:trPr>
          <w:trHeight w:val="189"/>
        </w:trPr>
        <w:tc>
          <w:tcPr>
            <w:tcW w:w="7940" w:type="dxa"/>
            <w:vAlign w:val="bottom"/>
          </w:tcPr>
          <w:p>
            <w:pPr>
              <w:ind w:left="220"/>
              <w:spacing w:after="0"/>
              <w:rPr>
                <w:sz w:val="20"/>
                <w:szCs w:val="20"/>
                <w:color w:val="auto"/>
              </w:rPr>
            </w:pPr>
            <w:r>
              <w:rPr>
                <w:rFonts w:ascii="Arial" w:cs="Arial" w:eastAsia="Arial" w:hAnsi="Arial"/>
                <w:sz w:val="14"/>
                <w:szCs w:val="14"/>
                <w:color w:val="auto"/>
              </w:rPr>
              <w:t>Long-term debt - repayments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(8,436)</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(7,163)</w:t>
            </w:r>
          </w:p>
        </w:tc>
      </w:tr>
      <w:tr>
        <w:trPr>
          <w:trHeight w:val="189"/>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Distributions to non-controlling interest</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(10,230)</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(12,636)</w:t>
            </w:r>
          </w:p>
        </w:tc>
      </w:tr>
      <w:tr>
        <w:trPr>
          <w:trHeight w:val="189"/>
        </w:trPr>
        <w:tc>
          <w:tcPr>
            <w:tcW w:w="7940" w:type="dxa"/>
            <w:vAlign w:val="bottom"/>
            <w:tcBorders>
              <w:bottom w:val="single" w:sz="8" w:color="CEFFE7"/>
            </w:tcBorders>
          </w:tcPr>
          <w:p>
            <w:pPr>
              <w:ind w:left="220"/>
              <w:spacing w:after="0"/>
              <w:rPr>
                <w:sz w:val="20"/>
                <w:szCs w:val="20"/>
                <w:color w:val="auto"/>
              </w:rPr>
            </w:pPr>
            <w:r>
              <w:rPr>
                <w:rFonts w:ascii="Arial" w:cs="Arial" w:eastAsia="Arial" w:hAnsi="Arial"/>
                <w:sz w:val="14"/>
                <w:szCs w:val="14"/>
                <w:color w:val="auto"/>
              </w:rPr>
              <w:t>Other financing activities</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(2,778)</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(6,519)</w:t>
            </w:r>
          </w:p>
        </w:tc>
      </w:tr>
      <w:tr>
        <w:trPr>
          <w:trHeight w:val="183"/>
        </w:trPr>
        <w:tc>
          <w:tcPr>
            <w:tcW w:w="794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shd w:val="clear" w:color="auto" w:fill="CEFFE7"/>
          </w:tcPr>
          <w:p>
            <w:pPr>
              <w:spacing w:after="0"/>
              <w:rPr>
                <w:sz w:val="15"/>
                <w:szCs w:val="15"/>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633,061</w:t>
            </w:r>
          </w:p>
        </w:tc>
        <w:tc>
          <w:tcPr>
            <w:tcW w:w="580" w:type="dxa"/>
            <w:vAlign w:val="bottom"/>
            <w:tcBorders>
              <w:bottom w:val="single" w:sz="8" w:color="auto"/>
            </w:tcBorders>
            <w:shd w:val="clear" w:color="auto" w:fill="CEFFE7"/>
          </w:tcPr>
          <w:p>
            <w:pPr>
              <w:spacing w:after="0"/>
              <w:rPr>
                <w:sz w:val="15"/>
                <w:szCs w:val="15"/>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107,819</w:t>
            </w:r>
          </w:p>
        </w:tc>
      </w:tr>
      <w:tr>
        <w:trPr>
          <w:trHeight w:val="196"/>
        </w:trPr>
        <w:tc>
          <w:tcPr>
            <w:tcW w:w="7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9"/>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Net change in cash, restricted cash and cash equivalents</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4,195</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(2,446)</w:t>
            </w:r>
          </w:p>
        </w:tc>
      </w:tr>
      <w:tr>
        <w:trPr>
          <w:trHeight w:val="216"/>
        </w:trPr>
        <w:tc>
          <w:tcPr>
            <w:tcW w:w="7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9"/>
        </w:trPr>
        <w:tc>
          <w:tcPr>
            <w:tcW w:w="7940" w:type="dxa"/>
            <w:vAlign w:val="bottom"/>
            <w:shd w:val="clear" w:color="auto" w:fill="CEFFE7"/>
          </w:tcPr>
          <w:p>
            <w:pPr>
              <w:ind w:left="20"/>
              <w:spacing w:after="0"/>
              <w:rPr>
                <w:sz w:val="20"/>
                <w:szCs w:val="20"/>
                <w:color w:val="auto"/>
              </w:rPr>
            </w:pPr>
            <w:r>
              <w:rPr>
                <w:rFonts w:ascii="Arial" w:cs="Arial" w:eastAsia="Arial" w:hAnsi="Arial"/>
                <w:sz w:val="14"/>
                <w:szCs w:val="14"/>
                <w:color w:val="auto"/>
              </w:rPr>
              <w:t>Cash, restricted cash and cash equivalents at beginning of period</w:t>
            </w:r>
          </w:p>
        </w:tc>
        <w:tc>
          <w:tcPr>
            <w:tcW w:w="320" w:type="dxa"/>
            <w:vAlign w:val="bottom"/>
            <w:tcBorders>
              <w:bottom w:val="single" w:sz="8" w:color="auto"/>
            </w:tcBorders>
            <w:shd w:val="clear" w:color="auto" w:fill="CEFFE7"/>
          </w:tcPr>
          <w:p>
            <w:pPr>
              <w:spacing w:after="0"/>
              <w:rPr>
                <w:sz w:val="16"/>
                <w:szCs w:val="16"/>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10,739</w:t>
            </w:r>
          </w:p>
        </w:tc>
        <w:tc>
          <w:tcPr>
            <w:tcW w:w="580" w:type="dxa"/>
            <w:vAlign w:val="bottom"/>
            <w:tcBorders>
              <w:bottom w:val="single" w:sz="8" w:color="auto"/>
            </w:tcBorders>
            <w:shd w:val="clear" w:color="auto" w:fill="CEFFE7"/>
          </w:tcPr>
          <w:p>
            <w:pPr>
              <w:spacing w:after="0"/>
              <w:rPr>
                <w:sz w:val="16"/>
                <w:szCs w:val="16"/>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13,658</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color w:val="auto"/>
              </w:rPr>
              <w:t>Cash, restricted cash and cash equivalents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14,934</w:t>
            </w:r>
          </w:p>
        </w:tc>
        <w:tc>
          <w:tcPr>
            <w:tcW w:w="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11,212</w:t>
            </w:r>
          </w:p>
        </w:tc>
      </w:tr>
      <w:tr>
        <w:trPr>
          <w:trHeight w:val="20"/>
        </w:trPr>
        <w:tc>
          <w:tcPr>
            <w:tcW w:w="7940" w:type="dxa"/>
            <w:vAlign w:val="bottom"/>
            <w:tcBorders>
              <w:bottom w:val="single" w:sz="8" w:color="CEFFE7"/>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94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580" w:type="dxa"/>
            <w:vAlign w:val="bottom"/>
            <w:shd w:val="clear" w:color="auto" w:fill="CEFFE7"/>
          </w:tcPr>
          <w:p>
            <w:pPr>
              <w:spacing w:after="0"/>
              <w:rPr>
                <w:sz w:val="15"/>
                <w:szCs w:val="15"/>
                <w:color w:val="auto"/>
              </w:rPr>
            </w:pPr>
          </w:p>
        </w:tc>
        <w:tc>
          <w:tcPr>
            <w:tcW w:w="1080" w:type="dxa"/>
            <w:vAlign w:val="bottom"/>
            <w:shd w:val="clear" w:color="auto" w:fill="CEFFE7"/>
          </w:tcPr>
          <w:p>
            <w:pPr>
              <w:spacing w:after="0"/>
              <w:rPr>
                <w:sz w:val="15"/>
                <w:szCs w:val="15"/>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Supplemental cash flow information:</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40" w:type="dxa"/>
            <w:vAlign w:val="bottom"/>
            <w:shd w:val="clear" w:color="auto" w:fill="CEFFE7"/>
          </w:tcPr>
          <w:p>
            <w:pPr>
              <w:ind w:left="140"/>
              <w:spacing w:after="0"/>
              <w:rPr>
                <w:sz w:val="20"/>
                <w:szCs w:val="20"/>
                <w:color w:val="auto"/>
              </w:rPr>
            </w:pPr>
            <w:r>
              <w:rPr>
                <w:rFonts w:ascii="Arial" w:cs="Arial" w:eastAsia="Arial" w:hAnsi="Arial"/>
                <w:sz w:val="14"/>
                <w:szCs w:val="14"/>
                <w:color w:val="auto"/>
              </w:rPr>
              <w:t>Cash (paid) refunded during the period:</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spacing w:after="0"/>
              <w:rPr>
                <w:sz w:val="16"/>
                <w:szCs w:val="16"/>
                <w:color w:val="auto"/>
              </w:rPr>
            </w:pP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spacing w:after="0"/>
              <w:rPr>
                <w:sz w:val="16"/>
                <w:szCs w:val="16"/>
                <w:color w:val="auto"/>
              </w:rPr>
            </w:pPr>
          </w:p>
        </w:tc>
      </w:tr>
      <w:tr>
        <w:trPr>
          <w:trHeight w:val="189"/>
        </w:trPr>
        <w:tc>
          <w:tcPr>
            <w:tcW w:w="7940" w:type="dxa"/>
            <w:vAlign w:val="bottom"/>
          </w:tcPr>
          <w:p>
            <w:pPr>
              <w:ind w:left="220"/>
              <w:spacing w:after="0"/>
              <w:rPr>
                <w:sz w:val="20"/>
                <w:szCs w:val="20"/>
                <w:color w:val="auto"/>
              </w:rPr>
            </w:pPr>
            <w:r>
              <w:rPr>
                <w:rFonts w:ascii="Arial" w:cs="Arial" w:eastAsia="Arial" w:hAnsi="Arial"/>
                <w:sz w:val="14"/>
                <w:szCs w:val="14"/>
                <w:color w:val="auto"/>
              </w:rPr>
              <w:t>Interest, net of amounts capitalized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(93,325)</w:t>
            </w:r>
          </w:p>
        </w:tc>
        <w:tc>
          <w:tcPr>
            <w:tcW w:w="5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(87,453)</w:t>
            </w:r>
          </w:p>
        </w:tc>
      </w:tr>
      <w:tr>
        <w:trPr>
          <w:trHeight w:val="189"/>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Income taxes</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1,486</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1,256</w:t>
            </w:r>
          </w:p>
        </w:tc>
      </w:tr>
      <w:tr>
        <w:trPr>
          <w:trHeight w:val="189"/>
        </w:trPr>
        <w:tc>
          <w:tcPr>
            <w:tcW w:w="7940" w:type="dxa"/>
            <w:vAlign w:val="bottom"/>
          </w:tcPr>
          <w:p>
            <w:pPr>
              <w:ind w:left="1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Accrued property, plant and equipment purchases at September 30</w:t>
            </w:r>
          </w:p>
        </w:tc>
        <w:tc>
          <w:tcPr>
            <w:tcW w:w="320" w:type="dxa"/>
            <w:vAlign w:val="bottom"/>
            <w:shd w:val="clear" w:color="auto" w:fill="CEFFE7"/>
          </w:tcPr>
          <w:p>
            <w:pPr>
              <w:spacing w:after="0"/>
              <w:rPr>
                <w:sz w:val="16"/>
                <w:szCs w:val="16"/>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55,619</w:t>
            </w:r>
          </w:p>
        </w:tc>
        <w:tc>
          <w:tcPr>
            <w:tcW w:w="58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86,474</w:t>
            </w:r>
          </w:p>
        </w:tc>
      </w:tr>
    </w:tbl>
    <w:p>
      <w:pPr>
        <w:spacing w:after="0" w:line="315"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4">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3"/>
                <w:szCs w:val="13"/>
                <w:color w:val="auto"/>
              </w:rPr>
              <w:t>(unaudited)</w:t>
            </w:r>
          </w:p>
        </w:tc>
        <w:tc>
          <w:tcPr>
            <w:tcW w:w="184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Common Stock</w:t>
            </w:r>
          </w:p>
        </w:tc>
        <w:tc>
          <w:tcPr>
            <w:tcW w:w="15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00" w:type="dxa"/>
            <w:vAlign w:val="bottom"/>
            <w:vMerge w:val="restart"/>
          </w:tcPr>
          <w:p>
            <w:pPr>
              <w:spacing w:after="0"/>
              <w:rPr>
                <w:sz w:val="20"/>
                <w:szCs w:val="20"/>
                <w:color w:val="auto"/>
              </w:rPr>
            </w:pPr>
            <w:r>
              <w:rPr>
                <w:rFonts w:ascii="Arial" w:cs="Arial" w:eastAsia="Arial" w:hAnsi="Arial"/>
                <w:sz w:val="13"/>
                <w:szCs w:val="13"/>
                <w:color w:val="auto"/>
              </w:rPr>
              <w:t>(in thousands except share amounts)</w:t>
            </w:r>
          </w:p>
        </w:tc>
        <w:tc>
          <w:tcPr>
            <w:tcW w:w="960" w:type="dxa"/>
            <w:vAlign w:val="bottom"/>
            <w:vMerge w:val="restart"/>
          </w:tcPr>
          <w:p>
            <w:pPr>
              <w:jc w:val="right"/>
              <w:ind w:right="2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color w:val="auto"/>
              </w:rPr>
              <w:t>Value</w:t>
            </w: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Arial" w:cs="Arial" w:eastAsia="Arial" w:hAnsi="Arial"/>
                <w:sz w:val="13"/>
                <w:szCs w:val="13"/>
                <w:color w:val="auto"/>
              </w:rPr>
              <w:t>Value</w:t>
            </w:r>
          </w:p>
        </w:tc>
        <w:tc>
          <w:tcPr>
            <w:tcW w:w="900" w:type="dxa"/>
            <w:vAlign w:val="bottom"/>
            <w:gridSpan w:val="2"/>
          </w:tcPr>
          <w:p>
            <w:pPr>
              <w:ind w:left="20"/>
              <w:spacing w:after="0" w:line="116" w:lineRule="exact"/>
              <w:rPr>
                <w:sz w:val="20"/>
                <w:szCs w:val="20"/>
                <w:color w:val="auto"/>
              </w:rPr>
            </w:pPr>
            <w:r>
              <w:rPr>
                <w:rFonts w:ascii="Arial" w:cs="Arial" w:eastAsia="Arial" w:hAnsi="Arial"/>
                <w:sz w:val="13"/>
                <w:szCs w:val="13"/>
                <w:color w:val="auto"/>
                <w:w w:val="99"/>
              </w:rPr>
              <w:t>Additional Paid</w:t>
            </w:r>
          </w:p>
        </w:tc>
        <w:tc>
          <w:tcPr>
            <w:tcW w:w="140" w:type="dxa"/>
            <w:vAlign w:val="bottom"/>
          </w:tcPr>
          <w:p>
            <w:pPr>
              <w:spacing w:after="0"/>
              <w:rPr>
                <w:sz w:val="10"/>
                <w:szCs w:val="10"/>
                <w:color w:val="auto"/>
              </w:rPr>
            </w:pPr>
          </w:p>
        </w:tc>
        <w:tc>
          <w:tcPr>
            <w:tcW w:w="720" w:type="dxa"/>
            <w:vAlign w:val="bottom"/>
          </w:tcPr>
          <w:p>
            <w:pPr>
              <w:jc w:val="right"/>
              <w:ind w:right="117"/>
              <w:spacing w:after="0" w:line="116" w:lineRule="exact"/>
              <w:rPr>
                <w:sz w:val="20"/>
                <w:szCs w:val="20"/>
                <w:color w:val="auto"/>
              </w:rPr>
            </w:pPr>
            <w:r>
              <w:rPr>
                <w:rFonts w:ascii="Arial" w:cs="Arial" w:eastAsia="Arial" w:hAnsi="Arial"/>
                <w:sz w:val="13"/>
                <w:szCs w:val="13"/>
                <w:color w:val="auto"/>
                <w:w w:val="99"/>
              </w:rPr>
              <w:t>Retained</w:t>
            </w:r>
          </w:p>
        </w:tc>
        <w:tc>
          <w:tcPr>
            <w:tcW w:w="180" w:type="dxa"/>
            <w:vAlign w:val="bottom"/>
          </w:tcPr>
          <w:p>
            <w:pPr>
              <w:spacing w:after="0"/>
              <w:rPr>
                <w:sz w:val="10"/>
                <w:szCs w:val="10"/>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color w:val="auto"/>
              </w:rPr>
              <w:t>AOCI</w:t>
            </w:r>
          </w:p>
        </w:tc>
        <w:tc>
          <w:tcPr>
            <w:tcW w:w="920" w:type="dxa"/>
            <w:vAlign w:val="bottom"/>
            <w:gridSpan w:val="2"/>
          </w:tcPr>
          <w:p>
            <w:pPr>
              <w:ind w:left="40"/>
              <w:spacing w:after="0" w:line="116" w:lineRule="exact"/>
              <w:rPr>
                <w:sz w:val="20"/>
                <w:szCs w:val="20"/>
                <w:color w:val="auto"/>
              </w:rPr>
            </w:pPr>
            <w:r>
              <w:rPr>
                <w:rFonts w:ascii="Arial" w:cs="Arial" w:eastAsia="Arial" w:hAnsi="Arial"/>
                <w:sz w:val="13"/>
                <w:szCs w:val="13"/>
                <w:color w:val="auto"/>
                <w:w w:val="98"/>
              </w:rPr>
              <w:t>Non-controlling</w:t>
            </w:r>
          </w:p>
        </w:tc>
        <w:tc>
          <w:tcPr>
            <w:tcW w:w="240" w:type="dxa"/>
            <w:vAlign w:val="bottom"/>
          </w:tcPr>
          <w:p>
            <w:pPr>
              <w:spacing w:after="0"/>
              <w:rPr>
                <w:sz w:val="10"/>
                <w:szCs w:val="10"/>
                <w:color w:val="auto"/>
              </w:rPr>
            </w:pP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CEFFE7"/>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in Capital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Interest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EFFE7"/>
          </w:tcPr>
          <w:p>
            <w:pPr>
              <w:spacing w:after="0"/>
              <w:rPr>
                <w:sz w:val="20"/>
                <w:szCs w:val="20"/>
                <w:color w:val="auto"/>
              </w:rPr>
            </w:pPr>
            <w:r>
              <w:rPr>
                <w:rFonts w:ascii="Arial" w:cs="Arial" w:eastAsia="Arial" w:hAnsi="Arial"/>
                <w:sz w:val="13"/>
                <w:szCs w:val="13"/>
                <w:b w:val="1"/>
                <w:bCs w:val="1"/>
                <w:color w:val="auto"/>
              </w:rPr>
              <w:t>December 31, 2020</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62,827,179</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62,827</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32,492</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(2,119)</w:t>
            </w:r>
          </w:p>
        </w:tc>
        <w:tc>
          <w:tcPr>
            <w:tcW w:w="120" w:type="dxa"/>
            <w:vAlign w:val="bottom"/>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1,657,285</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870,738</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(27,346)</w:t>
            </w:r>
          </w:p>
        </w:tc>
        <w:tc>
          <w:tcPr>
            <w:tcW w:w="180" w:type="dxa"/>
            <w:vAlign w:val="bottom"/>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101,262</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2,662,647</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Net income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96,316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4,171</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100,487</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Dividends on common stock ($0.565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(35,514)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(35,514)</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82,794</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83</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7,448</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1,672</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1,310</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Other</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7"/>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4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24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20"/>
                <w:szCs w:val="20"/>
                <w:color w:val="auto"/>
              </w:rPr>
            </w:pPr>
            <w:r>
              <w:rPr>
                <w:rFonts w:ascii="Arial" w:cs="Arial" w:eastAsia="Arial" w:hAnsi="Arial"/>
                <w:sz w:val="13"/>
                <w:szCs w:val="13"/>
                <w:b w:val="1"/>
                <w:bCs w:val="1"/>
                <w:color w:val="auto"/>
              </w:rPr>
              <w:t>March 31,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62,909,973</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62,910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39,940</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(2,564)</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1,658,957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931,538</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(26,328)</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100,789</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2,725,302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EFFE7"/>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4"/>
                <w:szCs w:val="14"/>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4"/>
                <w:szCs w:val="14"/>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25,161</w:t>
            </w:r>
          </w:p>
        </w:tc>
        <w:tc>
          <w:tcPr>
            <w:tcW w:w="180" w:type="dxa"/>
            <w:vAlign w:val="bottom"/>
            <w:shd w:val="clear" w:color="auto" w:fill="CEFFE7"/>
          </w:tcPr>
          <w:p>
            <w:pPr>
              <w:spacing w:after="0"/>
              <w:rPr>
                <w:sz w:val="14"/>
                <w:szCs w:val="14"/>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3,126</w:t>
            </w:r>
          </w:p>
        </w:tc>
        <w:tc>
          <w:tcPr>
            <w:tcW w:w="240" w:type="dxa"/>
            <w:vAlign w:val="bottom"/>
            <w:shd w:val="clear" w:color="auto" w:fill="CEFFE7"/>
          </w:tcPr>
          <w:p>
            <w:pPr>
              <w:spacing w:after="0"/>
              <w:rPr>
                <w:sz w:val="14"/>
                <w:szCs w:val="14"/>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28,287</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1,882</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1,882</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Dividends on common stock ($0.565 per share)</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(35,578)</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(35,578)</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3"/>
                <w:szCs w:val="13"/>
                <w:color w:val="auto"/>
              </w:rPr>
              <w:t>20,905</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720" w:type="dxa"/>
            <w:vAlign w:val="bottom"/>
          </w:tcPr>
          <w:p>
            <w:pPr>
              <w:jc w:val="right"/>
              <w:spacing w:after="0"/>
              <w:rPr>
                <w:sz w:val="20"/>
                <w:szCs w:val="20"/>
                <w:color w:val="auto"/>
              </w:rPr>
            </w:pPr>
            <w:r>
              <w:rPr>
                <w:rFonts w:ascii="Arial" w:cs="Arial" w:eastAsia="Arial" w:hAnsi="Arial"/>
                <w:sz w:val="13"/>
                <w:szCs w:val="13"/>
                <w:color w:val="auto"/>
              </w:rPr>
              <w:t>6,588</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3,698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3,295</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Issuance of common stock</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596,035</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596</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39,636</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40,232</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Issuance costs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3300" w:type="dxa"/>
            <w:vAlign w:val="bottom"/>
            <w:tcBorders>
              <w:bottom w:val="single" w:sz="8" w:color="CEFFE7"/>
            </w:tcBorders>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(4,061)</w:t>
            </w:r>
          </w:p>
        </w:tc>
        <w:tc>
          <w:tcPr>
            <w:tcW w:w="0" w:type="dxa"/>
            <w:vAlign w:val="bottom"/>
          </w:tcPr>
          <w:p>
            <w:pPr>
              <w:spacing w:after="0"/>
              <w:rPr>
                <w:sz w:val="1"/>
                <w:szCs w:val="1"/>
                <w:color w:val="auto"/>
              </w:rPr>
            </w:pPr>
          </w:p>
        </w:tc>
      </w:tr>
      <w:tr>
        <w:trPr>
          <w:trHeight w:val="201"/>
        </w:trPr>
        <w:tc>
          <w:tcPr>
            <w:tcW w:w="33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3"/>
                <w:szCs w:val="13"/>
                <w:b w:val="1"/>
                <w:bCs w:val="1"/>
                <w:color w:val="auto"/>
              </w:rPr>
              <w:t>June 30, 2021</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63,526,913</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63,527</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46,528</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(2,988)</w:t>
            </w:r>
          </w:p>
        </w:tc>
        <w:tc>
          <w:tcPr>
            <w:tcW w:w="120" w:type="dxa"/>
            <w:vAlign w:val="bottom"/>
            <w:tcBorders>
              <w:bottom w:val="single" w:sz="8" w:color="auto"/>
            </w:tcBorders>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1,701,825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921,122</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(24,446)</w:t>
            </w:r>
          </w:p>
        </w:tc>
        <w:tc>
          <w:tcPr>
            <w:tcW w:w="1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99,854</w:t>
            </w:r>
          </w:p>
        </w:tc>
        <w:tc>
          <w:tcPr>
            <w:tcW w:w="24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2,758,894</w:t>
            </w:r>
          </w:p>
        </w:tc>
        <w:tc>
          <w:tcPr>
            <w:tcW w:w="0" w:type="dxa"/>
            <w:vAlign w:val="bottom"/>
          </w:tcPr>
          <w:p>
            <w:pPr>
              <w:spacing w:after="0"/>
              <w:rPr>
                <w:sz w:val="1"/>
                <w:szCs w:val="1"/>
                <w:color w:val="auto"/>
              </w:rPr>
            </w:pPr>
          </w:p>
        </w:tc>
      </w:tr>
      <w:tr>
        <w:trPr>
          <w:trHeight w:val="20"/>
        </w:trPr>
        <w:tc>
          <w:tcPr>
            <w:tcW w:w="330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3"/>
                <w:szCs w:val="13"/>
                <w:color w:val="auto"/>
              </w:rPr>
              <w:t>Net income</w:t>
            </w: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300" w:type="dxa"/>
            <w:vAlign w:val="bottom"/>
            <w:vMerge w:val="continue"/>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44,112</w:t>
            </w: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4,050</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48,162</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5,277</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5,277</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Dividends on common stock ($0.565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(35,865)</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(35,865)</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17</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(2,643)</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1,849</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Arial" w:cs="Arial" w:eastAsia="Arial" w:hAnsi="Arial"/>
                <w:sz w:val="13"/>
                <w:szCs w:val="13"/>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3"/>
                <w:szCs w:val="13"/>
                <w:color w:val="auto"/>
              </w:rPr>
              <w:t>338,221</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338</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22,834</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23,172</w:t>
            </w:r>
          </w:p>
        </w:tc>
        <w:tc>
          <w:tcPr>
            <w:tcW w:w="0" w:type="dxa"/>
            <w:vAlign w:val="bottom"/>
          </w:tcPr>
          <w:p>
            <w:pPr>
              <w:spacing w:after="0"/>
              <w:rPr>
                <w:sz w:val="1"/>
                <w:szCs w:val="1"/>
                <w:color w:val="auto"/>
              </w:rPr>
            </w:pPr>
          </w:p>
        </w:tc>
      </w:tr>
      <w:tr>
        <w:trPr>
          <w:trHeight w:val="184"/>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(231)</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69"/>
        </w:trPr>
        <w:tc>
          <w:tcPr>
            <w:tcW w:w="3300" w:type="dxa"/>
            <w:vAlign w:val="bottom"/>
            <w:tcBorders>
              <w:bottom w:val="single" w:sz="8" w:color="CEFFE7"/>
            </w:tcBorders>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(1,525)</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(1,525)</w:t>
            </w:r>
          </w:p>
        </w:tc>
        <w:tc>
          <w:tcPr>
            <w:tcW w:w="0" w:type="dxa"/>
            <w:vAlign w:val="bottom"/>
          </w:tcPr>
          <w:p>
            <w:pPr>
              <w:spacing w:after="0"/>
              <w:rPr>
                <w:sz w:val="1"/>
                <w:szCs w:val="1"/>
                <w:color w:val="auto"/>
              </w:rPr>
            </w:pPr>
          </w:p>
        </w:tc>
      </w:tr>
      <w:tr>
        <w:trPr>
          <w:trHeight w:val="200"/>
        </w:trPr>
        <w:tc>
          <w:tcPr>
            <w:tcW w:w="33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3"/>
                <w:szCs w:val="13"/>
                <w:b w:val="1"/>
                <w:bCs w:val="1"/>
                <w:color w:val="auto"/>
              </w:rPr>
              <w:t>September 30, 2021</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63,865,151</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63,865</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43,885</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(2,819)</w:t>
            </w:r>
          </w:p>
        </w:tc>
        <w:tc>
          <w:tcPr>
            <w:tcW w:w="120" w:type="dxa"/>
            <w:vAlign w:val="bottom"/>
            <w:tcBorders>
              <w:bottom w:val="single" w:sz="8" w:color="auto"/>
            </w:tcBorders>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1,726,277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929,369</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(19,169)</w:t>
            </w:r>
          </w:p>
        </w:tc>
        <w:tc>
          <w:tcPr>
            <w:tcW w:w="1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102,379</w:t>
            </w:r>
          </w:p>
        </w:tc>
        <w:tc>
          <w:tcPr>
            <w:tcW w:w="24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2,799,902</w:t>
            </w:r>
          </w:p>
        </w:tc>
        <w:tc>
          <w:tcPr>
            <w:tcW w:w="0" w:type="dxa"/>
            <w:vAlign w:val="bottom"/>
          </w:tcPr>
          <w:p>
            <w:pPr>
              <w:spacing w:after="0"/>
              <w:rPr>
                <w:sz w:val="1"/>
                <w:szCs w:val="1"/>
                <w:color w:val="auto"/>
              </w:rPr>
            </w:pPr>
          </w:p>
        </w:tc>
      </w:tr>
      <w:tr>
        <w:trPr>
          <w:trHeight w:val="20"/>
        </w:trPr>
        <w:tc>
          <w:tcPr>
            <w:tcW w:w="330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3"/>
                <w:szCs w:val="13"/>
                <w:color w:val="auto"/>
              </w:rPr>
              <w:t>(unaudited)</w:t>
            </w:r>
          </w:p>
        </w:tc>
        <w:tc>
          <w:tcPr>
            <w:tcW w:w="184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Common Stock</w:t>
            </w:r>
          </w:p>
        </w:tc>
        <w:tc>
          <w:tcPr>
            <w:tcW w:w="15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00" w:type="dxa"/>
            <w:vAlign w:val="bottom"/>
            <w:vMerge w:val="restart"/>
          </w:tcPr>
          <w:p>
            <w:pPr>
              <w:spacing w:after="0"/>
              <w:rPr>
                <w:sz w:val="20"/>
                <w:szCs w:val="20"/>
                <w:color w:val="auto"/>
              </w:rPr>
            </w:pPr>
            <w:r>
              <w:rPr>
                <w:rFonts w:ascii="Arial" w:cs="Arial" w:eastAsia="Arial" w:hAnsi="Arial"/>
                <w:sz w:val="13"/>
                <w:szCs w:val="13"/>
                <w:color w:val="auto"/>
              </w:rPr>
              <w:t>(in thousands except share amounts)</w:t>
            </w:r>
          </w:p>
        </w:tc>
        <w:tc>
          <w:tcPr>
            <w:tcW w:w="960" w:type="dxa"/>
            <w:vAlign w:val="bottom"/>
            <w:vMerge w:val="restart"/>
          </w:tcPr>
          <w:p>
            <w:pPr>
              <w:jc w:val="right"/>
              <w:ind w:right="2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color w:val="auto"/>
              </w:rPr>
              <w:t>Value</w:t>
            </w: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Arial" w:cs="Arial" w:eastAsia="Arial" w:hAnsi="Arial"/>
                <w:sz w:val="13"/>
                <w:szCs w:val="13"/>
                <w:color w:val="auto"/>
              </w:rPr>
              <w:t>Value</w:t>
            </w:r>
          </w:p>
        </w:tc>
        <w:tc>
          <w:tcPr>
            <w:tcW w:w="900" w:type="dxa"/>
            <w:vAlign w:val="bottom"/>
            <w:gridSpan w:val="2"/>
          </w:tcPr>
          <w:p>
            <w:pPr>
              <w:ind w:left="20"/>
              <w:spacing w:after="0" w:line="116" w:lineRule="exact"/>
              <w:rPr>
                <w:sz w:val="20"/>
                <w:szCs w:val="20"/>
                <w:color w:val="auto"/>
              </w:rPr>
            </w:pPr>
            <w:r>
              <w:rPr>
                <w:rFonts w:ascii="Arial" w:cs="Arial" w:eastAsia="Arial" w:hAnsi="Arial"/>
                <w:sz w:val="13"/>
                <w:szCs w:val="13"/>
                <w:color w:val="auto"/>
                <w:w w:val="99"/>
              </w:rPr>
              <w:t>Additional Paid</w:t>
            </w:r>
          </w:p>
        </w:tc>
        <w:tc>
          <w:tcPr>
            <w:tcW w:w="140" w:type="dxa"/>
            <w:vAlign w:val="bottom"/>
          </w:tcPr>
          <w:p>
            <w:pPr>
              <w:spacing w:after="0"/>
              <w:rPr>
                <w:sz w:val="10"/>
                <w:szCs w:val="10"/>
                <w:color w:val="auto"/>
              </w:rPr>
            </w:pPr>
          </w:p>
        </w:tc>
        <w:tc>
          <w:tcPr>
            <w:tcW w:w="720" w:type="dxa"/>
            <w:vAlign w:val="bottom"/>
          </w:tcPr>
          <w:p>
            <w:pPr>
              <w:jc w:val="right"/>
              <w:ind w:right="117"/>
              <w:spacing w:after="0" w:line="116" w:lineRule="exact"/>
              <w:rPr>
                <w:sz w:val="20"/>
                <w:szCs w:val="20"/>
                <w:color w:val="auto"/>
              </w:rPr>
            </w:pPr>
            <w:r>
              <w:rPr>
                <w:rFonts w:ascii="Arial" w:cs="Arial" w:eastAsia="Arial" w:hAnsi="Arial"/>
                <w:sz w:val="13"/>
                <w:szCs w:val="13"/>
                <w:color w:val="auto"/>
                <w:w w:val="99"/>
              </w:rPr>
              <w:t>Retained</w:t>
            </w:r>
          </w:p>
        </w:tc>
        <w:tc>
          <w:tcPr>
            <w:tcW w:w="180" w:type="dxa"/>
            <w:vAlign w:val="bottom"/>
          </w:tcPr>
          <w:p>
            <w:pPr>
              <w:spacing w:after="0"/>
              <w:rPr>
                <w:sz w:val="10"/>
                <w:szCs w:val="10"/>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color w:val="auto"/>
              </w:rPr>
              <w:t>AOCI</w:t>
            </w:r>
          </w:p>
        </w:tc>
        <w:tc>
          <w:tcPr>
            <w:tcW w:w="920" w:type="dxa"/>
            <w:vAlign w:val="bottom"/>
            <w:gridSpan w:val="2"/>
          </w:tcPr>
          <w:p>
            <w:pPr>
              <w:ind w:left="40"/>
              <w:spacing w:after="0" w:line="116" w:lineRule="exact"/>
              <w:rPr>
                <w:sz w:val="20"/>
                <w:szCs w:val="20"/>
                <w:color w:val="auto"/>
              </w:rPr>
            </w:pPr>
            <w:r>
              <w:rPr>
                <w:rFonts w:ascii="Arial" w:cs="Arial" w:eastAsia="Arial" w:hAnsi="Arial"/>
                <w:sz w:val="13"/>
                <w:szCs w:val="13"/>
                <w:color w:val="auto"/>
                <w:w w:val="98"/>
              </w:rPr>
              <w:t>Non-controlling</w:t>
            </w:r>
          </w:p>
        </w:tc>
        <w:tc>
          <w:tcPr>
            <w:tcW w:w="240" w:type="dxa"/>
            <w:vAlign w:val="bottom"/>
          </w:tcPr>
          <w:p>
            <w:pPr>
              <w:spacing w:after="0"/>
              <w:rPr>
                <w:sz w:val="10"/>
                <w:szCs w:val="10"/>
                <w:color w:val="auto"/>
              </w:rPr>
            </w:pP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CEFFE7"/>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in Capital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Interest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EFFE7"/>
          </w:tcPr>
          <w:p>
            <w:pPr>
              <w:spacing w:after="0"/>
              <w:rPr>
                <w:sz w:val="20"/>
                <w:szCs w:val="20"/>
                <w:color w:val="auto"/>
              </w:rPr>
            </w:pPr>
            <w:r>
              <w:rPr>
                <w:rFonts w:ascii="Arial" w:cs="Arial" w:eastAsia="Arial" w:hAnsi="Arial"/>
                <w:sz w:val="13"/>
                <w:szCs w:val="13"/>
                <w:b w:val="1"/>
                <w:bCs w:val="1"/>
                <w:color w:val="auto"/>
              </w:rPr>
              <w:t>December 31, 2019</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61,480,658</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61,481</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3,956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1,552,788</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778,776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(30,655)</w:t>
            </w:r>
          </w:p>
        </w:tc>
        <w:tc>
          <w:tcPr>
            <w:tcW w:w="180" w:type="dxa"/>
            <w:vAlign w:val="bottom"/>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101,946</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2,464,069</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Net income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93,174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4,050</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97,224</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 comprehensive income (loss),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1,273</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1,273</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Dividends on common stock ($0.535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(32,902)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(32,902)</w:t>
            </w:r>
          </w:p>
        </w:tc>
        <w:tc>
          <w:tcPr>
            <w:tcW w:w="0" w:type="dxa"/>
            <w:vAlign w:val="bottom"/>
          </w:tcPr>
          <w:p>
            <w:pPr>
              <w:spacing w:after="0"/>
              <w:rPr>
                <w:sz w:val="1"/>
                <w:szCs w:val="1"/>
                <w:color w:val="auto"/>
              </w:rPr>
            </w:pPr>
          </w:p>
        </w:tc>
      </w:tr>
      <w:tr>
        <w:trPr>
          <w:trHeight w:val="184"/>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69,378</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69</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20,700</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(1,658)</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2,263</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3"/>
                <w:szCs w:val="13"/>
                <w:color w:val="auto"/>
              </w:rPr>
              <w:t>1,222,942</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1,223</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98,777</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(967)</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129"/>
        </w:trPr>
        <w:tc>
          <w:tcPr>
            <w:tcW w:w="3300" w:type="dxa"/>
            <w:vAlign w:val="bottom"/>
          </w:tcPr>
          <w:p>
            <w:pPr>
              <w:spacing w:after="0" w:line="129" w:lineRule="exact"/>
              <w:rPr>
                <w:sz w:val="20"/>
                <w:szCs w:val="20"/>
                <w:color w:val="auto"/>
              </w:rPr>
            </w:pPr>
            <w:r>
              <w:rPr>
                <w:rFonts w:ascii="Arial" w:cs="Arial" w:eastAsia="Arial" w:hAnsi="Arial"/>
                <w:sz w:val="13"/>
                <w:szCs w:val="13"/>
                <w:color w:val="auto"/>
              </w:rPr>
              <w:t>Implementation of ASU 2016-13 Financial Instruments -</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(207)</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60"/>
        </w:trPr>
        <w:tc>
          <w:tcPr>
            <w:tcW w:w="3300" w:type="dxa"/>
            <w:vAlign w:val="bottom"/>
          </w:tcPr>
          <w:p>
            <w:pPr>
              <w:spacing w:after="0"/>
              <w:rPr>
                <w:sz w:val="20"/>
                <w:szCs w:val="20"/>
                <w:color w:val="auto"/>
              </w:rPr>
            </w:pPr>
            <w:r>
              <w:rPr>
                <w:rFonts w:ascii="Arial" w:cs="Arial" w:eastAsia="Arial" w:hAnsi="Arial"/>
                <w:sz w:val="13"/>
                <w:szCs w:val="13"/>
                <w:color w:val="auto"/>
              </w:rPr>
              <w:t>Credit Losses</w:t>
            </w: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4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(4,741)</w:t>
            </w:r>
          </w:p>
        </w:tc>
        <w:tc>
          <w:tcPr>
            <w:tcW w:w="24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(4,741)</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Arial" w:cs="Arial" w:eastAsia="Arial" w:hAnsi="Arial"/>
                <w:sz w:val="13"/>
                <w:szCs w:val="13"/>
                <w:b w:val="1"/>
                <w:bCs w:val="1"/>
                <w:color w:val="auto"/>
              </w:rPr>
              <w:t>March 31,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62,772,978</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62,773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24,656</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(1,925)</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1,652,861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838,841</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(29,382)</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101,255</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2,624,423</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EFFE7"/>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4"/>
                <w:szCs w:val="14"/>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4"/>
                <w:szCs w:val="14"/>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20,966</w:t>
            </w:r>
          </w:p>
        </w:tc>
        <w:tc>
          <w:tcPr>
            <w:tcW w:w="180" w:type="dxa"/>
            <w:vAlign w:val="bottom"/>
            <w:shd w:val="clear" w:color="auto" w:fill="CEFFE7"/>
          </w:tcPr>
          <w:p>
            <w:pPr>
              <w:spacing w:after="0"/>
              <w:rPr>
                <w:sz w:val="14"/>
                <w:szCs w:val="14"/>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3,728</w:t>
            </w:r>
          </w:p>
        </w:tc>
        <w:tc>
          <w:tcPr>
            <w:tcW w:w="240" w:type="dxa"/>
            <w:vAlign w:val="bottom"/>
            <w:shd w:val="clear" w:color="auto" w:fill="CEFFE7"/>
          </w:tcPr>
          <w:p>
            <w:pPr>
              <w:spacing w:after="0"/>
              <w:rPr>
                <w:sz w:val="14"/>
                <w:szCs w:val="14"/>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24,694</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Other comprehensive income (loss), net of tax</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948</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Dividends on common stock ($0.535 per share)</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(33,538)</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(33,538)</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1,743</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1,781</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9"/>
        </w:trPr>
        <w:tc>
          <w:tcPr>
            <w:tcW w:w="3300" w:type="dxa"/>
            <w:vAlign w:val="bottom"/>
            <w:tcBorders>
              <w:bottom w:val="single" w:sz="8" w:color="CEFFE7"/>
            </w:tcBorders>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(3,779)</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(3,779)</w:t>
            </w:r>
          </w:p>
        </w:tc>
        <w:tc>
          <w:tcPr>
            <w:tcW w:w="0" w:type="dxa"/>
            <w:vAlign w:val="bottom"/>
          </w:tcPr>
          <w:p>
            <w:pPr>
              <w:spacing w:after="0"/>
              <w:rPr>
                <w:sz w:val="1"/>
                <w:szCs w:val="1"/>
                <w:color w:val="auto"/>
              </w:rPr>
            </w:pPr>
          </w:p>
        </w:tc>
      </w:tr>
      <w:tr>
        <w:trPr>
          <w:trHeight w:val="201"/>
        </w:trPr>
        <w:tc>
          <w:tcPr>
            <w:tcW w:w="33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3"/>
                <w:szCs w:val="13"/>
                <w:b w:val="1"/>
                <w:bCs w:val="1"/>
                <w:color w:val="auto"/>
              </w:rPr>
              <w:t>June 30, 2020</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62,772,996</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62,773</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26,399</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(1,879)</w:t>
            </w:r>
          </w:p>
        </w:tc>
        <w:tc>
          <w:tcPr>
            <w:tcW w:w="120" w:type="dxa"/>
            <w:vAlign w:val="bottom"/>
            <w:tcBorders>
              <w:bottom w:val="single" w:sz="8" w:color="auto"/>
            </w:tcBorders>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1,654,563</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826,269</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(28,434)</w:t>
            </w:r>
          </w:p>
        </w:tc>
        <w:tc>
          <w:tcPr>
            <w:tcW w:w="1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101,204</w:t>
            </w:r>
          </w:p>
        </w:tc>
        <w:tc>
          <w:tcPr>
            <w:tcW w:w="24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2,614,496</w:t>
            </w:r>
          </w:p>
        </w:tc>
        <w:tc>
          <w:tcPr>
            <w:tcW w:w="0" w:type="dxa"/>
            <w:vAlign w:val="bottom"/>
          </w:tcPr>
          <w:p>
            <w:pPr>
              <w:spacing w:after="0"/>
              <w:rPr>
                <w:sz w:val="1"/>
                <w:szCs w:val="1"/>
                <w:color w:val="auto"/>
              </w:rPr>
            </w:pPr>
          </w:p>
        </w:tc>
      </w:tr>
      <w:tr>
        <w:trPr>
          <w:trHeight w:val="20"/>
        </w:trPr>
        <w:tc>
          <w:tcPr>
            <w:tcW w:w="330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3"/>
                <w:szCs w:val="13"/>
                <w:color w:val="auto"/>
              </w:rPr>
              <w:t>Net income</w:t>
            </w: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00" w:type="dxa"/>
            <w:vAlign w:val="bottom"/>
            <w:vMerge w:val="continue"/>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36,283</w:t>
            </w: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4,066</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40,349</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 comprehensive income (loss),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1,512</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1,512</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Arial" w:cs="Arial" w:eastAsia="Arial" w:hAnsi="Arial"/>
                <w:sz w:val="13"/>
                <w:szCs w:val="13"/>
                <w:color w:val="auto"/>
              </w:rPr>
              <w:t>Dividends on common stock ($0.535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(33,559)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(33,559)</w:t>
            </w:r>
          </w:p>
        </w:tc>
        <w:tc>
          <w:tcPr>
            <w:tcW w:w="0" w:type="dxa"/>
            <w:vAlign w:val="bottom"/>
          </w:tcPr>
          <w:p>
            <w:pPr>
              <w:spacing w:after="0"/>
              <w:rPr>
                <w:sz w:val="1"/>
                <w:szCs w:val="1"/>
                <w:color w:val="auto"/>
              </w:rPr>
            </w:pPr>
          </w:p>
        </w:tc>
      </w:tr>
      <w:tr>
        <w:trPr>
          <w:trHeight w:val="184"/>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19</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(1,502)</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1,468</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1,637</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Issuance costs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(119)</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77"/>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4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(4,116)</w:t>
            </w:r>
          </w:p>
        </w:tc>
        <w:tc>
          <w:tcPr>
            <w:tcW w:w="24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(4,116)</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Arial" w:cs="Arial" w:eastAsia="Arial" w:hAnsi="Arial"/>
                <w:sz w:val="13"/>
                <w:szCs w:val="13"/>
                <w:b w:val="1"/>
                <w:bCs w:val="1"/>
                <w:color w:val="auto"/>
              </w:rPr>
              <w:t>September 30,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62,773,015</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62,773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24,897</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(1,710)</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1,655,912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828,993</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(26,922)</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101,154</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2,620,200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included in the Company’s 2020 Annual Report on Form 10-K)</w:t>
      </w:r>
    </w:p>
    <w:p>
      <w:pPr>
        <w:spacing w:after="0" w:line="200" w:lineRule="exact"/>
        <w:rPr>
          <w:sz w:val="20"/>
          <w:szCs w:val="20"/>
          <w:color w:val="auto"/>
        </w:rPr>
      </w:pPr>
    </w:p>
    <w:p>
      <w:pPr>
        <w:spacing w:after="0" w:line="271"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26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included in our 2020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w:t>
      </w:r>
    </w:p>
    <w:p>
      <w:pPr>
        <w:spacing w:after="0" w:line="268" w:lineRule="exact"/>
        <w:rPr>
          <w:sz w:val="20"/>
          <w:szCs w:val="20"/>
          <w:color w:val="auto"/>
        </w:rPr>
      </w:pPr>
    </w:p>
    <w:p>
      <w:pPr>
        <w:ind w:right="640"/>
        <w:spacing w:after="0" w:line="253" w:lineRule="auto"/>
        <w:rPr>
          <w:sz w:val="20"/>
          <w:szCs w:val="20"/>
          <w:color w:val="auto"/>
        </w:rPr>
      </w:pPr>
      <w:r>
        <w:rPr>
          <w:rFonts w:ascii="Arial" w:cs="Arial" w:eastAsia="Arial" w:hAnsi="Arial"/>
          <w:sz w:val="16"/>
          <w:szCs w:val="16"/>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68"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The information furnished in the accompanying Condensed Consolidated Financial Statements reflects certain estimates required and all adjustments, including accruals, which are, in the opinion of management, necessary for a fair presentation of the September 30, 2021, December 31, 2020 and September 30, 2020 financial information. Certain lines of business in which we operate are highly seasonal, and our interim results of operations are not necessarily indicative of the results of operations to be expected for an entire year.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outbreak a national emergency. The U.S. government has deemed the electric and natural gas utilities to be critical infrastructure sectors that provide essential services during this emergency. As a provider of essential services, the Company has an obligation to provide services to our customers. The Company remains focused on protecting the health of our customers, employees and the communities in which we operate while assuring the continuity of our business operations.</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Condensed Consolidated Financial Statements reflect estimates and assumptions made by management that affect the reported amounts of assets and liabilities and disclosure of contingent assets and liabilities at the date of the Condensed Consolidated Financial Statements and reported amounts of revenue and expenses during the reporting periods presented. The Company considered the impacts of COVID-19 on the assumptions and estimates used and determined that for the three and nine months ended September 30, 2021, there were no material adverse impacts on the Company’s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Facilitation of the Effects of Reference Rate Reform on Financial Reporting, ASU 2020-04</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which was subsequently amended by ASU 2021-01. The standard provides relief for companies preparing for discontinuation of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2022. We are currently evaluating whether we will apply the optional guidance as we assess the impact of the discontinuance of LIBOR on our current arrangements and the potential impact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Simplifying the Accounting for Income Taxes, ASU 2019-12</w:t>
      </w:r>
    </w:p>
    <w:p>
      <w:pPr>
        <w:spacing w:after="0" w:line="23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 part of its overall simplification initiative to reduce costs and complexity in applying accounting standards while maintaining or improving the usefulness of the information provided to users of the financial statements. Amendments include removal of certain exceptions to the general principles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simplification in several other areas such as accounting for a franchise tax (or similar tax) that is partially based on income. We adopted this standard prospectively on January 1, 2021. Adoption of this standard did not have an impact on our financial position, results of operations or cash flows.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20"/>
                <w:szCs w:val="20"/>
                <w:color w:val="auto"/>
              </w:rPr>
            </w:pPr>
            <w:r>
              <w:rPr>
                <w:rFonts w:ascii="Arial" w:cs="Arial" w:eastAsia="Arial" w:hAnsi="Arial"/>
                <w:sz w:val="16"/>
                <w:szCs w:val="16"/>
                <w:b w:val="1"/>
                <w:bCs w:val="1"/>
                <w:color w:val="auto"/>
              </w:rPr>
              <w:t>(2)  Regulatory Matters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32"/>
        </w:trPr>
        <w:tc>
          <w:tcPr>
            <w:tcW w:w="7240" w:type="dxa"/>
            <w:vAlign w:val="bottom"/>
          </w:tcPr>
          <w:p>
            <w:pPr>
              <w:spacing w:after="0"/>
              <w:rPr>
                <w:sz w:val="20"/>
                <w:szCs w:val="20"/>
                <w:color w:val="auto"/>
              </w:rPr>
            </w:pPr>
            <w:r>
              <w:rPr>
                <w:rFonts w:ascii="Arial" w:cs="Arial" w:eastAsia="Arial" w:hAnsi="Arial"/>
                <w:sz w:val="16"/>
                <w:szCs w:val="16"/>
                <w:color w:val="auto"/>
              </w:rPr>
              <w:t>We had the following regulatory assets and liabilities (in thousands):</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719"/>
              <w:spacing w:after="0"/>
              <w:rPr>
                <w:sz w:val="20"/>
                <w:szCs w:val="20"/>
                <w:color w:val="auto"/>
              </w:rPr>
            </w:pPr>
            <w:r>
              <w:rPr>
                <w:rFonts w:ascii="Arial" w:cs="Arial" w:eastAsia="Arial" w:hAnsi="Arial"/>
                <w:sz w:val="16"/>
                <w:szCs w:val="16"/>
                <w:color w:val="auto"/>
              </w:rPr>
              <w:t>As of</w:t>
            </w:r>
          </w:p>
        </w:tc>
        <w:tc>
          <w:tcPr>
            <w:tcW w:w="200" w:type="dxa"/>
            <w:vAlign w:val="bottom"/>
          </w:tcPr>
          <w:p>
            <w:pPr>
              <w:spacing w:after="0"/>
              <w:rPr>
                <w:sz w:val="19"/>
                <w:szCs w:val="19"/>
                <w:color w:val="auto"/>
              </w:rPr>
            </w:pP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As of</w:t>
            </w:r>
          </w:p>
        </w:tc>
      </w:tr>
      <w:tr>
        <w:trPr>
          <w:trHeight w:val="216"/>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September 30, 2021</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199"/>
        </w:trPr>
        <w:tc>
          <w:tcPr>
            <w:tcW w:w="7240" w:type="dxa"/>
            <w:vAlign w:val="bottom"/>
          </w:tcPr>
          <w:p>
            <w:pPr>
              <w:ind w:left="20"/>
              <w:spacing w:after="0"/>
              <w:rPr>
                <w:sz w:val="20"/>
                <w:szCs w:val="20"/>
                <w:color w:val="auto"/>
              </w:rPr>
            </w:pPr>
            <w:r>
              <w:rPr>
                <w:rFonts w:ascii="Arial" w:cs="Arial" w:eastAsia="Arial" w:hAnsi="Arial"/>
                <w:sz w:val="16"/>
                <w:szCs w:val="16"/>
                <w:color w:val="auto"/>
              </w:rPr>
              <w:t>Regulatory assets</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9"/>
        </w:trPr>
        <w:tc>
          <w:tcPr>
            <w:tcW w:w="724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532,766</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59,741</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39,035</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6,076</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3,200</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2,226</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(c)</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7,537</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7,491</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(d)</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114,234</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116,598</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1,395</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1,413</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21,460</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22,864</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flow through accounting </w:t>
            </w:r>
            <w:r>
              <w:rPr>
                <w:rFonts w:ascii="Arial" w:cs="Arial" w:eastAsia="Arial" w:hAnsi="Arial"/>
                <w:sz w:val="21"/>
                <w:szCs w:val="21"/>
                <w:color w:val="auto"/>
                <w:vertAlign w:val="superscript"/>
              </w:rPr>
              <w:t>(d)</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54,199</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47,515</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6,583</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8,988</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Gas supply contract termination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2,524</w:t>
            </w:r>
          </w:p>
        </w:tc>
      </w:tr>
      <w:tr>
        <w:trPr>
          <w:trHeight w:val="216"/>
        </w:trPr>
        <w:tc>
          <w:tcPr>
            <w:tcW w:w="7240" w:type="dxa"/>
            <w:vAlign w:val="bottom"/>
            <w:tcBorders>
              <w:bottom w:val="single" w:sz="8" w:color="CEFFE7"/>
            </w:tcBorders>
          </w:tcPr>
          <w:p>
            <w:pPr>
              <w:ind w:left="14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26,064</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26,404</w:t>
            </w:r>
          </w:p>
        </w:tc>
      </w:tr>
      <w:tr>
        <w:trPr>
          <w:trHeight w:val="210"/>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regulatory assets</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830,055</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278,258</w:t>
            </w:r>
          </w:p>
        </w:tc>
      </w:tr>
      <w:tr>
        <w:trPr>
          <w:trHeight w:val="213"/>
        </w:trPr>
        <w:tc>
          <w:tcPr>
            <w:tcW w:w="724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Less current regulatory assets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(213,031)</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(51,676)</w:t>
            </w:r>
          </w:p>
        </w:tc>
      </w:tr>
      <w:tr>
        <w:trPr>
          <w:trHeight w:val="238"/>
        </w:trPr>
        <w:tc>
          <w:tcPr>
            <w:tcW w:w="7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Regulatory assets, non-current</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617,024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226,582</w:t>
            </w:r>
          </w:p>
        </w:tc>
      </w:tr>
      <w:tr>
        <w:trPr>
          <w:trHeight w:val="20"/>
        </w:trPr>
        <w:tc>
          <w:tcPr>
            <w:tcW w:w="724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r>
      <w:tr>
        <w:trPr>
          <w:trHeight w:val="149"/>
        </w:trPr>
        <w:tc>
          <w:tcPr>
            <w:tcW w:w="7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16"/>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Regulatory liabilities</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spacing w:after="0"/>
              <w:rPr>
                <w:sz w:val="18"/>
                <w:szCs w:val="18"/>
                <w:color w:val="auto"/>
              </w:rPr>
            </w:pP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9,408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13,253</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13,234</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Employee benefit plan costs and related deferred taxes </w:t>
            </w:r>
            <w:r>
              <w:rPr>
                <w:rFonts w:ascii="Arial" w:cs="Arial" w:eastAsia="Arial" w:hAnsi="Arial"/>
                <w:sz w:val="21"/>
                <w:szCs w:val="21"/>
                <w:color w:val="auto"/>
                <w:vertAlign w:val="superscript"/>
              </w:rPr>
              <w:t>(d)</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39,203</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40,256</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181,180</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172,902</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(d)</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266,477</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285,259</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(d)</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16,915</w:t>
            </w:r>
          </w:p>
        </w:tc>
        <w:tc>
          <w:tcPr>
            <w:tcW w:w="20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21,050</w:t>
            </w:r>
          </w:p>
        </w:tc>
      </w:tr>
      <w:tr>
        <w:trPr>
          <w:trHeight w:val="206"/>
        </w:trPr>
        <w:tc>
          <w:tcPr>
            <w:tcW w:w="7240" w:type="dxa"/>
            <w:vAlign w:val="bottom"/>
          </w:tcPr>
          <w:p>
            <w:pPr>
              <w:ind w:left="20"/>
              <w:spacing w:after="0"/>
              <w:rPr>
                <w:sz w:val="20"/>
                <w:szCs w:val="20"/>
                <w:color w:val="auto"/>
              </w:rPr>
            </w:pPr>
            <w:r>
              <w:rPr>
                <w:rFonts w:ascii="Arial" w:cs="Arial" w:eastAsia="Arial" w:hAnsi="Arial"/>
                <w:sz w:val="16"/>
                <w:szCs w:val="16"/>
                <w:color w:val="auto"/>
              </w:rPr>
              <w:t>Total regulatory liabilities</w:t>
            </w:r>
          </w:p>
        </w:tc>
        <w:tc>
          <w:tcPr>
            <w:tcW w:w="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526,417</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532,720</w:t>
            </w:r>
          </w:p>
        </w:tc>
      </w:tr>
      <w:tr>
        <w:trPr>
          <w:trHeight w:val="216"/>
        </w:trPr>
        <w:tc>
          <w:tcPr>
            <w:tcW w:w="72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Less current regulatory liabilities</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(30,156)</w:t>
            </w:r>
          </w:p>
        </w:tc>
        <w:tc>
          <w:tcPr>
            <w:tcW w:w="20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(25,061)</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Regulatory liabilities, non-current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507,659</w:t>
            </w: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0" w:hanging="332"/>
        <w:spacing w:after="0" w:line="241" w:lineRule="auto"/>
        <w:tabs>
          <w:tab w:leader="none" w:pos="349" w:val="left"/>
        </w:tabs>
        <w:numPr>
          <w:ilvl w:val="0"/>
          <w:numId w:val="5"/>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are subject to pending applications with our utility commissions. See further information below.</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Recovery of costs, but we are not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recovery of costs, we are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Except as discussed below, there have been no other significant changes to our Regulatory Matters from those previously disclosed in Note 2 of the Notes to the Consolidated Financial Statements in our 2020 Annual Report on Form 10-K.</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Winter Storm Uri</w:t>
      </w:r>
    </w:p>
    <w:p>
      <w:pPr>
        <w:spacing w:after="0" w:line="264"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substantial increase in heating and energy demand and contributed to unforeseeable and unprecedented market prices for natural gas and electricity. As a result of Winter Storm Uri, we incurred significant incremental fuel, purchased power and natural gas costs.</w:t>
      </w:r>
    </w:p>
    <w:p>
      <w:pPr>
        <w:spacing w:after="0" w:line="22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Utilities submitted Winter Storm Uri cost recovery applications in our state jurisdictions seeking to recover $546 million of these incremental costs through separate tracking mechanisms over a weighted-average recovery period of 3.7 years. These incremental cost estimates are subject to adjustments as final decisions are issued by the respective utility commissions. In these applications, we seek approval to recover carrying costs. For the nine months ended September 30, 2021, $1.8 million of carrying costs were accrued and recorded to a regulatory asset. We are also seeking recovery of $13 million of previously disclosed Winter Storm Uri incremental costs through our existing regulatory mechanisms.</w:t>
      </w:r>
    </w:p>
    <w:p>
      <w:pPr>
        <w:spacing w:after="0" w:line="23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To date, Nebraska Gas and South Dakota Electric received commission approval of their Winter Storm Uri cost recovery applications. Additionally, Arkansas Gas, Iowa Gas and Wyoming Gas received approval for interim cost recovery subject to a final decision on carrying costs and recovery periods at a later date. In October 2021, Wyoming Gas filed a settlement agreement for their application with final rates to be implemented January 1, 2022. The settlement is subject to final approval by the commission. For the nine months ended September 30, 2021, our Utilities collected $15 million of Winter Storm Uri incremental costs and carrying costs from customers.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TCJA</w:t>
      </w:r>
    </w:p>
    <w:p>
      <w:pPr>
        <w:spacing w:after="0" w:line="26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30, 2020, an administrative law judge approved a settlement of Colorado Electric’s plan to provide $9.3 million of TCJA-related bill credits to its customers. The bill credits, which represent a disposition of excess deferred income tax benefits resulting from the TCJA, were delivered to customers in February 2021. The settlement agreement further provided for Colorado Electric to deliver annual bill credits to customers, starting in April 2021, until remaining excess deferred income tax regulatory liabilities associated with the TCJA are fully amortized. In April 2021, Colorado Electric delivered $0.9 million of TCJA-related bill credits to customers.</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On January 26, 2021, the NPSC approved Nebraska Gas’s plan to provide $2.9 million of TCJA-related bill credits to its customers. The bill credits, which represent a disposition of excess deferred income tax benefits resulting from the TCJA, were delivered to customers in June 2021.</w:t>
      </w:r>
    </w:p>
    <w:p>
      <w:pPr>
        <w:spacing w:after="0" w:line="22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These Colorado Electric and Nebraska Gas bill credits, which resulted in a reduction in revenue, were offset by a reduction in income tax expense and resulted in a minimal impact to Net income for the three and nine months ended September 30, 2021.</w:t>
      </w:r>
    </w:p>
    <w:p>
      <w:pPr>
        <w:spacing w:after="0" w:line="222"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As part of the settlement agreement discussed further below, Kansas Gas will deliver $3.0 million of TCJA and state tax reform benefits to customers, annually, for each of the next three years starting in 2022 (approximately $9.1 million of total benefits expected to be delivered).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264"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 xml:space="preserve">On June 1, 2021, Colorado Gas filed a rate review with the CPUC seeking recovery of significant infrastructure investments in its 7,000-mile natural gas pipeline system. On October 5, 2021, Colorado Gas reached a settlement agreement with the CPUC Staff and various intervenors for a general rate increase. </w:t>
      </w:r>
      <w:r>
        <w:rPr>
          <w:rFonts w:ascii="Arial" w:cs="Arial" w:eastAsia="Arial" w:hAnsi="Arial"/>
          <w:sz w:val="16"/>
          <w:szCs w:val="16"/>
          <w:color w:val="242424"/>
        </w:rPr>
        <w:t>The settlement agreement is subject to review and approval by an ALJ and the CPUC. If approved, the settlement is expected to generate</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42424"/>
        </w:rPr>
        <w:t>$6.5 million of new annual revenue with new rates effective January 1, 2022. The new revenue is based on a return on equity of 9.2% and a capital structure of 50.3% equity and 49.7% debt.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SSIR</w:t>
      </w:r>
    </w:p>
    <w:p>
      <w:pPr>
        <w:spacing w:after="0" w:line="26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September 11, 2020, in accordance with the final Order from an earlier rate review filed on February 1, 2019, Colorado Gas filed a SSIR proposal with the CPUC that would recover safety and integrity focused investments in its system for five years. On July 6, 2021, Colorado Gas received approval from the CPUC for its SSIR proposal that will recover safety and integrity focused system investments for three years effective January 1, 2022. The return on SSIR investments will be the current weighted-average cost of long-term debt.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26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On June 1, 2021, Iowa Gas filed a rate review with the IUB seeking recovery of significant infrastructure investments in its 5,000-mile natural gas pipeline system. The rate review requests shifting $2.2 million of rider revenue to base rates and $8.3 million in additional new annual revenue with a </w:t>
      </w:r>
      <w:r>
        <w:rPr>
          <w:rFonts w:ascii="Arial" w:cs="Arial" w:eastAsia="Arial" w:hAnsi="Arial"/>
          <w:sz w:val="16"/>
          <w:szCs w:val="16"/>
          <w:color w:val="242424"/>
        </w:rPr>
        <w:t>capital structure</w:t>
      </w:r>
      <w:r>
        <w:rPr>
          <w:rFonts w:ascii="Arial" w:cs="Arial" w:eastAsia="Arial" w:hAnsi="Arial"/>
          <w:sz w:val="16"/>
          <w:szCs w:val="16"/>
          <w:color w:val="auto"/>
        </w:rPr>
        <w:t xml:space="preserve"> </w:t>
      </w:r>
      <w:r>
        <w:rPr>
          <w:rFonts w:ascii="Arial" w:cs="Arial" w:eastAsia="Arial" w:hAnsi="Arial"/>
          <w:sz w:val="16"/>
          <w:szCs w:val="16"/>
          <w:color w:val="242424"/>
        </w:rPr>
        <w:t xml:space="preserve">of 50% equity and 50% debt and a return on equity of 10.15%. Iowa </w:t>
      </w:r>
      <w:r>
        <w:rPr>
          <w:rFonts w:ascii="Arial" w:cs="Arial" w:eastAsia="Arial" w:hAnsi="Arial"/>
          <w:sz w:val="16"/>
          <w:szCs w:val="16"/>
          <w:color w:val="000000"/>
        </w:rPr>
        <w:t>statute allows implementation of interim rates 10 days after filing a rate review and Iowa</w:t>
      </w:r>
      <w:r>
        <w:rPr>
          <w:rFonts w:ascii="Arial" w:cs="Arial" w:eastAsia="Arial" w:hAnsi="Arial"/>
          <w:sz w:val="16"/>
          <w:szCs w:val="16"/>
          <w:color w:val="242424"/>
        </w:rPr>
        <w:t xml:space="preserve"> </w:t>
      </w:r>
      <w:r>
        <w:rPr>
          <w:rFonts w:ascii="Arial" w:cs="Arial" w:eastAsia="Arial" w:hAnsi="Arial"/>
          <w:sz w:val="16"/>
          <w:szCs w:val="16"/>
          <w:color w:val="000000"/>
        </w:rPr>
        <w:t xml:space="preserve">Gas implemented interim rates effective on June 11, 2021. </w:t>
      </w:r>
      <w:r>
        <w:rPr>
          <w:rFonts w:ascii="Arial" w:cs="Arial" w:eastAsia="Arial" w:hAnsi="Arial"/>
          <w:sz w:val="16"/>
          <w:szCs w:val="16"/>
          <w:color w:val="242424"/>
        </w:rPr>
        <w:t>The request seeks to finalize rates in the first quarter of 2022.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Kansas Gas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26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May 7, 2021, Kansas Gas filed a rate review and rider renewal with the KCC seeking recovery of significant infrastructure investments in its 4,600-mile natural gas pipeline system. On October 8, 2021, Kansas Gas reached a Global Settlement agreement with KCC Staff and various intervenors for a general rate increase and renewal of its safety and integrity rider. The settlement agreement is subject to review and approval by the KCC. If approved, the settlement will shift $6.6 million of rider revenue to base rates, which are expected to be effective January 1, 2022, and also allow rider renewal for at least five more years.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Nebraska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Jurisdictional Consolidation and Rate Review</w:t>
      </w:r>
    </w:p>
    <w:p>
      <w:pPr>
        <w:spacing w:after="0" w:line="26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January 26, 2021, Nebraska Gas received approval from the NPSC to consolidate rate schedules into a new, single statewide structure and recover infrastructure investments in its 13,000-mile natural gas pipeline system. Final rates were enacted on March 1, 2021, which replaced interim rates effective September 1, 2020. The approval shifted $4.6 million of SSIR revenue to base rates and is expected to generate $6.5 million in new annual revenue with a capital structure of 50% equity and 50% debt and an authorized return on equity of 9.5%. The approval also includes an extension of the SSIR for five years and an expansion of this mechanism across the consolidated jurisdictions.</w:t>
      </w: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26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2020 Annual Report on Form 10-K except for those described below.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Power Purchase Agreement - Colorado Electric Renewable Advantage</w:t>
      </w:r>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February 19, 2021, Colorado Electric entered into a PPA with TC Colorado Solar, LLC to purchase up to 200 MW of renewable energy upon construction of a new solar facility, to be owned by TC Colorado Solar, LLC, which is expected to be completed by the end of 2023. This agreement will expire 15 years after construction completion. The solar project represents Colorado Electric’s preferred bid in a competitive solicitation process completed in September 2020 through its Renewable Advantage plan.</w:t>
      </w:r>
    </w:p>
    <w:p>
      <w:pPr>
        <w:spacing w:after="0" w:line="200" w:lineRule="exact"/>
        <w:rPr>
          <w:sz w:val="20"/>
          <w:szCs w:val="20"/>
          <w:color w:val="auto"/>
        </w:rPr>
      </w:pPr>
    </w:p>
    <w:p>
      <w:pPr>
        <w:spacing w:after="0" w:line="252"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6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The following tables depict the disaggregation of revenue, including intercompany revenue, from contracts with customers by customer type and timing of revenue recognition for each of the reportable segments for the three and nine months ended September 30, 2021 and 2020. Sales tax and other similar taxes are excluded from revenues.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428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792"/>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Electric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Power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Three Months Ended September 30, 2021</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Utilities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Gas Utilities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Generation</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Mining</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Total</w:t>
            </w:r>
          </w:p>
        </w:tc>
      </w:tr>
      <w:tr>
        <w:trPr>
          <w:trHeight w:val="192"/>
        </w:trPr>
        <w:tc>
          <w:tcPr>
            <w:tcW w:w="20" w:type="dxa"/>
            <w:vAlign w:val="bottom"/>
            <w:shd w:val="clear" w:color="auto" w:fill="CEFFE7"/>
          </w:tcPr>
          <w:p>
            <w:pPr>
              <w:spacing w:after="0"/>
              <w:rPr>
                <w:sz w:val="16"/>
                <w:szCs w:val="16"/>
                <w:color w:val="auto"/>
              </w:rPr>
            </w:pPr>
          </w:p>
        </w:tc>
        <w:tc>
          <w:tcPr>
            <w:tcW w:w="4260" w:type="dxa"/>
            <w:vAlign w:val="bottom"/>
            <w:gridSpan w:val="3"/>
            <w:shd w:val="clear" w:color="auto" w:fill="CEFFE7"/>
          </w:tcPr>
          <w:p>
            <w:pPr>
              <w:spacing w:after="0" w:line="172" w:lineRule="exact"/>
              <w:rPr>
                <w:sz w:val="20"/>
                <w:szCs w:val="20"/>
                <w:color w:val="auto"/>
              </w:rPr>
            </w:pPr>
            <w:r>
              <w:rPr>
                <w:rFonts w:ascii="Arial" w:cs="Arial" w:eastAsia="Arial" w:hAnsi="Arial"/>
                <w:sz w:val="16"/>
                <w:szCs w:val="16"/>
                <w:color w:val="auto"/>
              </w:rPr>
              <w:t>Customer types:</w:t>
            </w:r>
          </w:p>
        </w:tc>
        <w:tc>
          <w:tcPr>
            <w:tcW w:w="200" w:type="dxa"/>
            <w:vAlign w:val="bottom"/>
            <w:shd w:val="clear" w:color="auto" w:fill="CEFFE7"/>
          </w:tcPr>
          <w:p>
            <w:pPr>
              <w:spacing w:after="0"/>
              <w:rPr>
                <w:sz w:val="16"/>
                <w:szCs w:val="16"/>
                <w:color w:val="auto"/>
              </w:rPr>
            </w:pPr>
          </w:p>
        </w:tc>
        <w:tc>
          <w:tcPr>
            <w:tcW w:w="90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2220" w:type="dxa"/>
            <w:vAlign w:val="bottom"/>
            <w:gridSpan w:val="3"/>
            <w:shd w:val="clear" w:color="auto" w:fill="CEFFE7"/>
          </w:tcPr>
          <w:p>
            <w:pPr>
              <w:jc w:val="right"/>
              <w:ind w:right="579"/>
              <w:spacing w:after="0" w:line="172" w:lineRule="exact"/>
              <w:rPr>
                <w:sz w:val="20"/>
                <w:szCs w:val="20"/>
                <w:color w:val="auto"/>
              </w:rPr>
            </w:pPr>
            <w:r>
              <w:rPr>
                <w:rFonts w:ascii="Arial" w:cs="Arial" w:eastAsia="Arial" w:hAnsi="Arial"/>
                <w:sz w:val="16"/>
                <w:szCs w:val="16"/>
                <w:color w:val="auto"/>
              </w:rPr>
              <w:t>(in thousands)</w:t>
            </w:r>
          </w:p>
        </w:tc>
        <w:tc>
          <w:tcPr>
            <w:tcW w:w="180" w:type="dxa"/>
            <w:vAlign w:val="bottom"/>
            <w:shd w:val="clear" w:color="auto" w:fill="CEFFE7"/>
          </w:tcPr>
          <w:p>
            <w:pPr>
              <w:spacing w:after="0"/>
              <w:rPr>
                <w:sz w:val="16"/>
                <w:szCs w:val="16"/>
                <w:color w:val="auto"/>
              </w:rPr>
            </w:pPr>
          </w:p>
        </w:tc>
        <w:tc>
          <w:tcPr>
            <w:tcW w:w="98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r>
      <w:tr>
        <w:trPr>
          <w:trHeight w:val="213"/>
        </w:trPr>
        <w:tc>
          <w:tcPr>
            <w:tcW w:w="20" w:type="dxa"/>
            <w:vAlign w:val="bottom"/>
            <w:tcBorders>
              <w:top w:val="single" w:sz="8" w:color="CEFFE7"/>
            </w:tcBorders>
          </w:tcPr>
          <w:p>
            <w:pPr>
              <w:spacing w:after="0"/>
              <w:rPr>
                <w:sz w:val="18"/>
                <w:szCs w:val="18"/>
                <w:color w:val="auto"/>
              </w:rPr>
            </w:pPr>
          </w:p>
        </w:tc>
        <w:tc>
          <w:tcPr>
            <w:tcW w:w="11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Retail</w:t>
            </w:r>
          </w:p>
        </w:tc>
        <w:tc>
          <w:tcPr>
            <w:tcW w:w="3080" w:type="dxa"/>
            <w:vAlign w:val="bottom"/>
            <w:tcBorders>
              <w:top w:val="single" w:sz="8" w:color="CEFFE7"/>
            </w:tcBorders>
            <w:gridSpan w:val="2"/>
          </w:tcPr>
          <w:p>
            <w:pPr>
              <w:spacing w:after="0"/>
              <w:rPr>
                <w:sz w:val="18"/>
                <w:szCs w:val="18"/>
                <w:color w:val="auto"/>
              </w:rPr>
            </w:pPr>
          </w:p>
        </w:tc>
        <w:tc>
          <w:tcPr>
            <w:tcW w:w="20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179,982</w:t>
            </w:r>
          </w:p>
        </w:tc>
        <w:tc>
          <w:tcPr>
            <w:tcW w:w="1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115,908</w:t>
            </w:r>
          </w:p>
        </w:tc>
        <w:tc>
          <w:tcPr>
            <w:tcW w:w="2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CEFFE7"/>
            </w:tcBorders>
            <w:gridSpan w:val="2"/>
          </w:tcPr>
          <w:p>
            <w:pPr>
              <w:jc w:val="right"/>
              <w:ind w:right="39"/>
              <w:spacing w:after="0"/>
              <w:rPr>
                <w:sz w:val="20"/>
                <w:szCs w:val="20"/>
                <w:color w:val="auto"/>
              </w:rPr>
            </w:pPr>
            <w:r>
              <w:rPr>
                <w:rFonts w:ascii="Arial" w:cs="Arial" w:eastAsia="Arial" w:hAnsi="Arial"/>
                <w:sz w:val="16"/>
                <w:szCs w:val="16"/>
                <w:color w:val="auto"/>
              </w:rPr>
              <w:t>— $</w:t>
            </w:r>
          </w:p>
        </w:tc>
        <w:tc>
          <w:tcPr>
            <w:tcW w:w="8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15,814</w:t>
            </w:r>
          </w:p>
        </w:tc>
        <w:tc>
          <w:tcPr>
            <w:tcW w:w="1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(8,846)</w:t>
            </w:r>
          </w:p>
        </w:tc>
        <w:tc>
          <w:tcPr>
            <w:tcW w:w="260" w:type="dxa"/>
            <w:vAlign w:val="bottom"/>
            <w:tcBorders>
              <w:top w:val="single" w:sz="8" w:color="CEFFE7"/>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302,858</w:t>
            </w:r>
          </w:p>
        </w:tc>
      </w:tr>
      <w:tr>
        <w:trPr>
          <w:trHeight w:val="219"/>
        </w:trPr>
        <w:tc>
          <w:tcPr>
            <w:tcW w:w="20" w:type="dxa"/>
            <w:vAlign w:val="bottom"/>
            <w:shd w:val="clear" w:color="auto" w:fill="CEFFE7"/>
          </w:tcPr>
          <w:p>
            <w:pPr>
              <w:spacing w:after="0"/>
              <w:rPr>
                <w:sz w:val="19"/>
                <w:szCs w:val="19"/>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Transportation</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37,651</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(110)</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37,541</w:t>
            </w:r>
          </w:p>
        </w:tc>
      </w:tr>
      <w:tr>
        <w:trPr>
          <w:trHeight w:val="213"/>
        </w:trPr>
        <w:tc>
          <w:tcPr>
            <w:tcW w:w="2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Wholesale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3,856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26,058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(23,725)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6,189</w:t>
            </w:r>
          </w:p>
        </w:tc>
      </w:tr>
      <w:tr>
        <w:trPr>
          <w:trHeight w:val="219"/>
        </w:trPr>
        <w:tc>
          <w:tcPr>
            <w:tcW w:w="20" w:type="dxa"/>
            <w:vAlign w:val="bottom"/>
            <w:shd w:val="clear" w:color="auto" w:fill="CEFFE7"/>
          </w:tcPr>
          <w:p>
            <w:pPr>
              <w:spacing w:after="0"/>
              <w:rPr>
                <w:sz w:val="19"/>
                <w:szCs w:val="19"/>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Market - off-system sales</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15,149</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(1,638)</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13,586</w:t>
            </w:r>
          </w:p>
        </w:tc>
      </w:tr>
      <w:tr>
        <w:trPr>
          <w:trHeight w:val="213"/>
        </w:trPr>
        <w:tc>
          <w:tcPr>
            <w:tcW w:w="20" w:type="dxa"/>
            <w:vAlign w:val="bottom"/>
            <w:tcBorders>
              <w:bottom w:val="single" w:sz="8" w:color="CEFFE7"/>
            </w:tcBorders>
          </w:tcPr>
          <w:p>
            <w:pPr>
              <w:spacing w:after="0"/>
              <w:rPr>
                <w:sz w:val="18"/>
                <w:szCs w:val="18"/>
                <w:color w:val="auto"/>
              </w:rPr>
            </w:pPr>
          </w:p>
        </w:tc>
        <w:tc>
          <w:tcPr>
            <w:tcW w:w="4260" w:type="dxa"/>
            <w:vAlign w:val="bottom"/>
            <w:tcBorders>
              <w:bottom w:val="single" w:sz="8" w:color="CEFFE7"/>
            </w:tcBorders>
            <w:gridSpan w:val="3"/>
          </w:tcPr>
          <w:p>
            <w:pPr>
              <w:ind w:left="120"/>
              <w:spacing w:after="0"/>
              <w:rPr>
                <w:sz w:val="20"/>
                <w:szCs w:val="20"/>
                <w:color w:val="auto"/>
              </w:rPr>
            </w:pPr>
            <w:r>
              <w:rPr>
                <w:rFonts w:ascii="Arial" w:cs="Arial" w:eastAsia="Arial" w:hAnsi="Arial"/>
                <w:sz w:val="16"/>
                <w:szCs w:val="16"/>
                <w:color w:val="auto"/>
              </w:rPr>
              <w:t>Transmission/Other</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13,913</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9,863</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18,479</w:t>
            </w:r>
          </w:p>
        </w:tc>
      </w:tr>
      <w:tr>
        <w:trPr>
          <w:trHeight w:val="213"/>
        </w:trPr>
        <w:tc>
          <w:tcPr>
            <w:tcW w:w="20" w:type="dxa"/>
            <w:vAlign w:val="bottom"/>
            <w:shd w:val="clear" w:color="auto" w:fill="CEFFE7"/>
          </w:tcPr>
          <w:p>
            <w:pPr>
              <w:spacing w:after="0"/>
              <w:rPr>
                <w:sz w:val="18"/>
                <w:szCs w:val="18"/>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212,900</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163,497</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26,058</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15,814</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(39,616)</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378,653</w:t>
            </w:r>
          </w:p>
        </w:tc>
      </w:tr>
      <w:tr>
        <w:trPr>
          <w:trHeight w:val="213"/>
        </w:trPr>
        <w:tc>
          <w:tcPr>
            <w:tcW w:w="20" w:type="dxa"/>
            <w:vAlign w:val="bottom"/>
            <w:tcBorders>
              <w:bottom w:val="single" w:sz="8" w:color="CEFFE7"/>
            </w:tcBorders>
          </w:tcPr>
          <w:p>
            <w:pPr>
              <w:spacing w:after="0"/>
              <w:rPr>
                <w:sz w:val="18"/>
                <w:szCs w:val="18"/>
                <w:color w:val="auto"/>
              </w:rPr>
            </w:pPr>
          </w:p>
        </w:tc>
        <w:tc>
          <w:tcPr>
            <w:tcW w:w="4260" w:type="dxa"/>
            <w:vAlign w:val="bottom"/>
            <w:tcBorders>
              <w:bottom w:val="single" w:sz="8" w:color="CEFFE7"/>
            </w:tcBorders>
            <w:gridSpan w:val="3"/>
          </w:tcPr>
          <w:p>
            <w:pPr>
              <w:ind w:left="12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w:t>
            </w:r>
          </w:p>
        </w:tc>
      </w:tr>
      <w:tr>
        <w:trPr>
          <w:trHeight w:val="237"/>
        </w:trPr>
        <w:tc>
          <w:tcPr>
            <w:tcW w:w="20" w:type="dxa"/>
            <w:vAlign w:val="bottom"/>
            <w:tcBorders>
              <w:bottom w:val="single" w:sz="8" w:color="CEFFE7"/>
            </w:tcBorders>
            <w:shd w:val="clear" w:color="auto" w:fill="CEFFE7"/>
          </w:tcPr>
          <w:p>
            <w:pPr>
              <w:spacing w:after="0"/>
              <w:rPr>
                <w:sz w:val="20"/>
                <w:szCs w:val="20"/>
                <w:color w:val="auto"/>
              </w:rPr>
            </w:pPr>
          </w:p>
        </w:tc>
        <w:tc>
          <w:tcPr>
            <w:tcW w:w="426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213,103</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164,683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26,520</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16,388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(40,104)</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380,590</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18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29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517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1240" w:type="dxa"/>
            <w:vAlign w:val="bottom"/>
            <w:gridSpan w:val="2"/>
          </w:tcPr>
          <w:p>
            <w:pPr>
              <w:jc w:val="right"/>
              <w:ind w:right="219"/>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15,814</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(8,846)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6,968</w:t>
            </w:r>
          </w:p>
        </w:tc>
      </w:tr>
      <w:tr>
        <w:trPr>
          <w:trHeight w:val="219"/>
        </w:trPr>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212,900</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163,497</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26,058</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(30,770)</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371,685</w:t>
            </w:r>
          </w:p>
        </w:tc>
      </w:tr>
      <w:tr>
        <w:trPr>
          <w:trHeight w:val="209"/>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212,900</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163,497</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26,058</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15,814</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378,653</w:t>
            </w:r>
          </w:p>
        </w:tc>
      </w:tr>
      <w:tr>
        <w:trPr>
          <w:trHeight w:val="23"/>
        </w:trPr>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-316230</wp:posOffset>
            </wp:positionV>
            <wp:extent cx="711517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40"/>
          </w:cols>
          <w:pgMar w:left="320" w:top="118" w:right="359" w:bottom="1440" w:gutter="0" w:footer="0" w:header="0"/>
          <w:type w:val="continuous"/>
        </w:sectPr>
      </w:pP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Electric</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Power</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42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Three Months Ended September 30, 2020</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Utilities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Gas Utilities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Generation</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Mining</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Total</w:t>
            </w:r>
          </w:p>
        </w:tc>
      </w:tr>
      <w:tr>
        <w:trPr>
          <w:trHeight w:val="192"/>
        </w:trPr>
        <w:tc>
          <w:tcPr>
            <w:tcW w:w="4260" w:type="dxa"/>
            <w:vAlign w:val="bottom"/>
            <w:gridSpan w:val="3"/>
            <w:shd w:val="clear" w:color="auto" w:fill="CEFFE7"/>
          </w:tcPr>
          <w:p>
            <w:pPr>
              <w:ind w:left="20"/>
              <w:spacing w:after="0" w:line="172" w:lineRule="exact"/>
              <w:rPr>
                <w:sz w:val="20"/>
                <w:szCs w:val="20"/>
                <w:color w:val="auto"/>
              </w:rPr>
            </w:pPr>
            <w:r>
              <w:rPr>
                <w:rFonts w:ascii="Arial" w:cs="Arial" w:eastAsia="Arial" w:hAnsi="Arial"/>
                <w:sz w:val="16"/>
                <w:szCs w:val="16"/>
                <w:color w:val="auto"/>
              </w:rPr>
              <w:t>Customer Types:</w:t>
            </w:r>
          </w:p>
        </w:tc>
        <w:tc>
          <w:tcPr>
            <w:tcW w:w="220" w:type="dxa"/>
            <w:vAlign w:val="bottom"/>
            <w:shd w:val="clear" w:color="auto" w:fill="CEFFE7"/>
          </w:tcPr>
          <w:p>
            <w:pPr>
              <w:spacing w:after="0"/>
              <w:rPr>
                <w:sz w:val="16"/>
                <w:szCs w:val="16"/>
                <w:color w:val="auto"/>
              </w:rPr>
            </w:pPr>
          </w:p>
        </w:tc>
        <w:tc>
          <w:tcPr>
            <w:tcW w:w="90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2220" w:type="dxa"/>
            <w:vAlign w:val="bottom"/>
            <w:gridSpan w:val="3"/>
            <w:shd w:val="clear" w:color="auto" w:fill="CEFFE7"/>
          </w:tcPr>
          <w:p>
            <w:pPr>
              <w:jc w:val="right"/>
              <w:ind w:right="579"/>
              <w:spacing w:after="0" w:line="172" w:lineRule="exact"/>
              <w:rPr>
                <w:sz w:val="20"/>
                <w:szCs w:val="20"/>
                <w:color w:val="auto"/>
              </w:rPr>
            </w:pPr>
            <w:r>
              <w:rPr>
                <w:rFonts w:ascii="Arial" w:cs="Arial" w:eastAsia="Arial" w:hAnsi="Arial"/>
                <w:sz w:val="16"/>
                <w:szCs w:val="16"/>
                <w:color w:val="auto"/>
              </w:rPr>
              <w:t>(in thousands)</w:t>
            </w:r>
          </w:p>
        </w:tc>
        <w:tc>
          <w:tcPr>
            <w:tcW w:w="18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r>
      <w:tr>
        <w:trPr>
          <w:trHeight w:val="213"/>
        </w:trPr>
        <w:tc>
          <w:tcPr>
            <w:tcW w:w="20" w:type="dxa"/>
            <w:vAlign w:val="bottom"/>
            <w:tcBorders>
              <w:top w:val="single" w:sz="8" w:color="CEFFE7"/>
            </w:tcBorders>
          </w:tcPr>
          <w:p>
            <w:pPr>
              <w:spacing w:after="0"/>
              <w:rPr>
                <w:sz w:val="18"/>
                <w:szCs w:val="18"/>
                <w:color w:val="auto"/>
              </w:rPr>
            </w:pPr>
          </w:p>
        </w:tc>
        <w:tc>
          <w:tcPr>
            <w:tcW w:w="122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Retail</w:t>
            </w:r>
          </w:p>
        </w:tc>
        <w:tc>
          <w:tcPr>
            <w:tcW w:w="3020" w:type="dxa"/>
            <w:vAlign w:val="bottom"/>
            <w:tcBorders>
              <w:top w:val="single" w:sz="8" w:color="CEFFE7"/>
            </w:tcBorders>
          </w:tcPr>
          <w:p>
            <w:pPr>
              <w:spacing w:after="0"/>
              <w:rPr>
                <w:sz w:val="18"/>
                <w:szCs w:val="18"/>
                <w:color w:val="auto"/>
              </w:rPr>
            </w:pPr>
          </w:p>
        </w:tc>
        <w:tc>
          <w:tcPr>
            <w:tcW w:w="22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169,505</w:t>
            </w:r>
          </w:p>
        </w:tc>
        <w:tc>
          <w:tcPr>
            <w:tcW w:w="1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94,367</w:t>
            </w:r>
          </w:p>
        </w:tc>
        <w:tc>
          <w:tcPr>
            <w:tcW w:w="2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CEFFE7"/>
            </w:tcBorders>
            <w:gridSpan w:val="2"/>
          </w:tcPr>
          <w:p>
            <w:pPr>
              <w:jc w:val="right"/>
              <w:ind w:right="39"/>
              <w:spacing w:after="0"/>
              <w:rPr>
                <w:sz w:val="20"/>
                <w:szCs w:val="20"/>
                <w:color w:val="auto"/>
              </w:rPr>
            </w:pPr>
            <w:r>
              <w:rPr>
                <w:rFonts w:ascii="Arial" w:cs="Arial" w:eastAsia="Arial" w:hAnsi="Arial"/>
                <w:sz w:val="16"/>
                <w:szCs w:val="16"/>
                <w:color w:val="auto"/>
              </w:rPr>
              <w:t>— $</w:t>
            </w:r>
          </w:p>
        </w:tc>
        <w:tc>
          <w:tcPr>
            <w:tcW w:w="8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14,668</w:t>
            </w:r>
          </w:p>
        </w:tc>
        <w:tc>
          <w:tcPr>
            <w:tcW w:w="1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(8,100)</w:t>
            </w:r>
          </w:p>
        </w:tc>
        <w:tc>
          <w:tcPr>
            <w:tcW w:w="260" w:type="dxa"/>
            <w:vAlign w:val="bottom"/>
            <w:tcBorders>
              <w:top w:val="single" w:sz="8" w:color="CEFFE7"/>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270,440</w:t>
            </w:r>
          </w:p>
        </w:tc>
      </w:tr>
      <w:tr>
        <w:trPr>
          <w:trHeight w:val="219"/>
        </w:trPr>
        <w:tc>
          <w:tcPr>
            <w:tcW w:w="20" w:type="dxa"/>
            <w:vAlign w:val="bottom"/>
            <w:shd w:val="clear" w:color="auto" w:fill="CEFFE7"/>
          </w:tcPr>
          <w:p>
            <w:pPr>
              <w:spacing w:after="0"/>
              <w:rPr>
                <w:sz w:val="19"/>
                <w:szCs w:val="19"/>
                <w:color w:val="auto"/>
              </w:rPr>
            </w:pPr>
          </w:p>
        </w:tc>
        <w:tc>
          <w:tcPr>
            <w:tcW w:w="42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38,196</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38,057</w:t>
            </w:r>
          </w:p>
        </w:tc>
      </w:tr>
      <w:tr>
        <w:trPr>
          <w:trHeight w:val="213"/>
        </w:trPr>
        <w:tc>
          <w:tcPr>
            <w:tcW w:w="20" w:type="dxa"/>
            <w:vAlign w:val="bottom"/>
          </w:tcPr>
          <w:p>
            <w:pPr>
              <w:spacing w:after="0"/>
              <w:rPr>
                <w:sz w:val="18"/>
                <w:szCs w:val="18"/>
                <w:color w:val="auto"/>
              </w:rPr>
            </w:pPr>
          </w:p>
        </w:tc>
        <w:tc>
          <w:tcPr>
            <w:tcW w:w="4240" w:type="dxa"/>
            <w:vAlign w:val="bottom"/>
            <w:gridSpan w:val="2"/>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5,925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26,049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(24,521)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7,453</w:t>
            </w:r>
          </w:p>
        </w:tc>
      </w:tr>
      <w:tr>
        <w:trPr>
          <w:trHeight w:val="219"/>
        </w:trPr>
        <w:tc>
          <w:tcPr>
            <w:tcW w:w="20" w:type="dxa"/>
            <w:vAlign w:val="bottom"/>
            <w:shd w:val="clear" w:color="auto" w:fill="CEFFE7"/>
          </w:tcPr>
          <w:p>
            <w:pPr>
              <w:spacing w:after="0"/>
              <w:rPr>
                <w:sz w:val="19"/>
                <w:szCs w:val="19"/>
                <w:color w:val="auto"/>
              </w:rPr>
            </w:pPr>
          </w:p>
        </w:tc>
        <w:tc>
          <w:tcPr>
            <w:tcW w:w="42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9,535</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(1,904)</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7,667</w:t>
            </w:r>
          </w:p>
        </w:tc>
      </w:tr>
      <w:tr>
        <w:trPr>
          <w:trHeight w:val="213"/>
        </w:trPr>
        <w:tc>
          <w:tcPr>
            <w:tcW w:w="20" w:type="dxa"/>
            <w:vAlign w:val="bottom"/>
            <w:tcBorders>
              <w:bottom w:val="single" w:sz="8" w:color="CEFFE7"/>
            </w:tcBorders>
          </w:tcPr>
          <w:p>
            <w:pPr>
              <w:spacing w:after="0"/>
              <w:rPr>
                <w:sz w:val="18"/>
                <w:szCs w:val="18"/>
                <w:color w:val="auto"/>
              </w:rPr>
            </w:pPr>
          </w:p>
        </w:tc>
        <w:tc>
          <w:tcPr>
            <w:tcW w:w="424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15,653</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10,277</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(5,235)</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20,695</w:t>
            </w:r>
          </w:p>
        </w:tc>
      </w:tr>
      <w:tr>
        <w:trPr>
          <w:trHeight w:val="213"/>
        </w:trPr>
        <w:tc>
          <w:tcPr>
            <w:tcW w:w="20" w:type="dxa"/>
            <w:vAlign w:val="bottom"/>
            <w:shd w:val="clear" w:color="auto" w:fill="CEFFE7"/>
          </w:tcPr>
          <w:p>
            <w:pPr>
              <w:spacing w:after="0"/>
              <w:rPr>
                <w:sz w:val="18"/>
                <w:szCs w:val="18"/>
                <w:color w:val="auto"/>
              </w:rPr>
            </w:pPr>
          </w:p>
        </w:tc>
        <w:tc>
          <w:tcPr>
            <w:tcW w:w="42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200,618</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142,876</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26,049</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14,668</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(39,899)</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344,312</w:t>
            </w:r>
          </w:p>
        </w:tc>
      </w:tr>
      <w:tr>
        <w:trPr>
          <w:trHeight w:val="213"/>
        </w:trPr>
        <w:tc>
          <w:tcPr>
            <w:tcW w:w="20" w:type="dxa"/>
            <w:vAlign w:val="bottom"/>
            <w:tcBorders>
              <w:bottom w:val="single" w:sz="8" w:color="CEFFE7"/>
            </w:tcBorders>
          </w:tcPr>
          <w:p>
            <w:pPr>
              <w:spacing w:after="0"/>
              <w:rPr>
                <w:sz w:val="18"/>
                <w:szCs w:val="18"/>
                <w:color w:val="auto"/>
              </w:rPr>
            </w:pPr>
          </w:p>
        </w:tc>
        <w:tc>
          <w:tcPr>
            <w:tcW w:w="424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w:t>
            </w:r>
          </w:p>
        </w:tc>
      </w:tr>
      <w:tr>
        <w:trPr>
          <w:trHeight w:val="238"/>
        </w:trPr>
        <w:tc>
          <w:tcPr>
            <w:tcW w:w="42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200,842</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143,929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26,518</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15,236</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(39,935)</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346,590</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220" w:type="dxa"/>
            <w:vAlign w:val="bottom"/>
            <w:tcBorders>
              <w:top w:val="single" w:sz="8" w:color="CEFFE7"/>
            </w:tcBorders>
          </w:tcPr>
          <w:p>
            <w:pPr>
              <w:spacing w:after="0" w:line="20" w:lineRule="exact"/>
              <w:rPr>
                <w:sz w:val="1"/>
                <w:szCs w:val="1"/>
                <w:color w:val="auto"/>
              </w:rPr>
            </w:pPr>
          </w:p>
        </w:tc>
        <w:tc>
          <w:tcPr>
            <w:tcW w:w="30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p>
      <w:pPr>
        <w:spacing w:after="0" w:line="258" w:lineRule="exact"/>
        <w:rPr>
          <w:sz w:val="20"/>
          <w:szCs w:val="20"/>
          <w:color w:val="auto"/>
        </w:rPr>
      </w:pPr>
    </w:p>
    <w:p>
      <w:pPr>
        <w:ind w:left="160" w:right="720" w:hanging="121"/>
        <w:spacing w:after="0" w:line="288" w:lineRule="auto"/>
        <w:rPr>
          <w:sz w:val="20"/>
          <w:szCs w:val="20"/>
          <w:color w:val="auto"/>
        </w:rPr>
      </w:pPr>
      <w:r>
        <w:rPr>
          <w:rFonts w:ascii="Arial" w:cs="Arial" w:eastAsia="Arial" w:hAnsi="Arial"/>
          <w:sz w:val="16"/>
          <w:szCs w:val="16"/>
          <w:u w:val="single" w:color="auto"/>
          <w:color w:val="auto"/>
        </w:rPr>
        <w:t xml:space="preserve">Timing of Revenue Recognition: </w:t>
      </w:r>
      <w:r>
        <w:rPr>
          <w:rFonts w:ascii="Arial" w:cs="Arial" w:eastAsia="Arial" w:hAnsi="Arial"/>
          <w:sz w:val="16"/>
          <w:szCs w:val="16"/>
          <w:color w:val="auto"/>
        </w:rPr>
        <w:t>Services transferred at a point in time Services transferred over time</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1260" w:type="dxa"/>
            <w:vAlign w:val="bottom"/>
            <w:gridSpan w:val="2"/>
          </w:tcPr>
          <w:p>
            <w:pPr>
              <w:jc w:val="right"/>
              <w:ind w:right="219"/>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14,668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(8,100)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6,568</w:t>
            </w:r>
          </w:p>
        </w:tc>
      </w:tr>
      <w:tr>
        <w:trPr>
          <w:trHeight w:val="219"/>
        </w:trPr>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200,618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142,876</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26,049</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(31,799)</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337,744</w:t>
            </w:r>
          </w:p>
        </w:tc>
      </w:tr>
      <w:tr>
        <w:trPr>
          <w:trHeight w:val="210"/>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200,618</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142,876</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26,049</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14,668</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(39,899)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344,312</w:t>
            </w:r>
          </w:p>
        </w:tc>
      </w:tr>
      <w:tr>
        <w:trPr>
          <w:trHeight w:val="23"/>
        </w:trPr>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-316865</wp:posOffset>
            </wp:positionV>
            <wp:extent cx="711517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40"/>
          </w:cols>
          <w:pgMar w:left="320" w:top="118" w:right="359" w:bottom="1440" w:gutter="0" w:footer="0" w:header="0"/>
          <w:type w:val="continuous"/>
        </w:sect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432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92"/>
        </w:trPr>
        <w:tc>
          <w:tcPr>
            <w:tcW w:w="6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Electric</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Power</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60" w:type="dxa"/>
            <w:vAlign w:val="bottom"/>
          </w:tcPr>
          <w:p>
            <w:pPr>
              <w:spacing w:after="0"/>
              <w:rPr>
                <w:sz w:val="17"/>
                <w:szCs w:val="17"/>
                <w:color w:val="auto"/>
              </w:rPr>
            </w:pPr>
          </w:p>
        </w:tc>
        <w:tc>
          <w:tcPr>
            <w:tcW w:w="4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Nine Months Ended September 30, 2021</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Utilities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Gas Utilities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Generation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Mining</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Total</w:t>
            </w:r>
          </w:p>
        </w:tc>
      </w:tr>
      <w:tr>
        <w:trPr>
          <w:trHeight w:val="172"/>
        </w:trPr>
        <w:tc>
          <w:tcPr>
            <w:tcW w:w="60" w:type="dxa"/>
            <w:vAlign w:val="bottom"/>
          </w:tcPr>
          <w:p>
            <w:pPr>
              <w:spacing w:after="0"/>
              <w:rPr>
                <w:sz w:val="14"/>
                <w:szCs w:val="14"/>
                <w:color w:val="auto"/>
              </w:rPr>
            </w:pPr>
          </w:p>
        </w:tc>
        <w:tc>
          <w:tcPr>
            <w:tcW w:w="4260" w:type="dxa"/>
            <w:vAlign w:val="bottom"/>
            <w:gridSpan w:val="3"/>
          </w:tcPr>
          <w:p>
            <w:pPr>
              <w:spacing w:after="0" w:line="172"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3"/>
          </w:tcPr>
          <w:p>
            <w:pPr>
              <w:jc w:val="right"/>
              <w:ind w:right="539"/>
              <w:spacing w:after="0" w:line="172"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60" w:type="dxa"/>
            <w:vAlign w:val="bottom"/>
            <w:tcBorders>
              <w:right w:val="single" w:sz="8" w:color="CEFFE7"/>
            </w:tcBorders>
          </w:tcPr>
          <w:p>
            <w:pPr>
              <w:spacing w:after="0"/>
              <w:rPr>
                <w:sz w:val="18"/>
                <w:szCs w:val="18"/>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536,952</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601,358</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EFFE7"/>
          </w:tcPr>
          <w:p>
            <w:pPr>
              <w:jc w:val="right"/>
              <w:ind w:right="39"/>
              <w:spacing w:after="0"/>
              <w:rPr>
                <w:sz w:val="20"/>
                <w:szCs w:val="20"/>
                <w:color w:val="auto"/>
              </w:rPr>
            </w:pPr>
            <w:r>
              <w:rPr>
                <w:rFonts w:ascii="Arial" w:cs="Arial" w:eastAsia="Arial" w:hAnsi="Arial"/>
                <w:sz w:val="16"/>
                <w:szCs w:val="16"/>
                <w:color w:val="auto"/>
              </w:rPr>
              <w:t>— $</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43,751</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(23,093)</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1,158,968</w:t>
            </w:r>
          </w:p>
        </w:tc>
      </w:tr>
      <w:tr>
        <w:trPr>
          <w:trHeight w:val="213"/>
        </w:trPr>
        <w:tc>
          <w:tcPr>
            <w:tcW w:w="6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117,251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116,922</w:t>
            </w:r>
          </w:p>
        </w:tc>
      </w:tr>
      <w:tr>
        <w:trPr>
          <w:trHeight w:val="219"/>
        </w:trPr>
        <w:tc>
          <w:tcPr>
            <w:tcW w:w="60" w:type="dxa"/>
            <w:vAlign w:val="bottom"/>
            <w:tcBorders>
              <w:right w:val="single" w:sz="8" w:color="CEFFE7"/>
            </w:tcBorders>
          </w:tcPr>
          <w:p>
            <w:pPr>
              <w:spacing w:after="0"/>
              <w:rPr>
                <w:sz w:val="19"/>
                <w:szCs w:val="19"/>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12,788</w:t>
            </w:r>
          </w:p>
        </w:tc>
        <w:tc>
          <w:tcPr>
            <w:tcW w:w="18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79,662</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(71,656)</w:t>
            </w:r>
          </w:p>
        </w:tc>
        <w:tc>
          <w:tcPr>
            <w:tcW w:w="24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20,794</w:t>
            </w:r>
          </w:p>
        </w:tc>
      </w:tr>
      <w:tr>
        <w:trPr>
          <w:trHeight w:val="213"/>
        </w:trPr>
        <w:tc>
          <w:tcPr>
            <w:tcW w:w="6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31,746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(6,197)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25,784</w:t>
            </w:r>
          </w:p>
        </w:tc>
      </w:tr>
      <w:tr>
        <w:trPr>
          <w:trHeight w:val="216"/>
        </w:trPr>
        <w:tc>
          <w:tcPr>
            <w:tcW w:w="60" w:type="dxa"/>
            <w:vAlign w:val="bottom"/>
            <w:tcBorders>
              <w:right w:val="single" w:sz="8" w:color="CEFFE7"/>
            </w:tcBorders>
          </w:tcPr>
          <w:p>
            <w:pPr>
              <w:spacing w:after="0"/>
              <w:rPr>
                <w:sz w:val="18"/>
                <w:szCs w:val="18"/>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41,339</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29,378</w:t>
            </w: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(15,892)</w:t>
            </w:r>
          </w:p>
        </w:tc>
        <w:tc>
          <w:tcPr>
            <w:tcW w:w="24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54,825</w:t>
            </w:r>
          </w:p>
        </w:tc>
      </w:tr>
      <w:tr>
        <w:trPr>
          <w:trHeight w:val="210"/>
        </w:trPr>
        <w:tc>
          <w:tcPr>
            <w:tcW w:w="6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622,825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748,222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79,662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43,751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(117,167)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1,377,293</w:t>
            </w:r>
          </w:p>
        </w:tc>
      </w:tr>
      <w:tr>
        <w:trPr>
          <w:trHeight w:val="216"/>
        </w:trPr>
        <w:tc>
          <w:tcPr>
            <w:tcW w:w="60" w:type="dxa"/>
            <w:vAlign w:val="bottom"/>
            <w:tcBorders>
              <w:right w:val="single" w:sz="8" w:color="CEFFE7"/>
            </w:tcBorders>
          </w:tcPr>
          <w:p>
            <w:pPr>
              <w:spacing w:after="0"/>
              <w:rPr>
                <w:sz w:val="18"/>
                <w:szCs w:val="18"/>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2,619</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5,030</w:t>
            </w: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1,369</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1,738</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(1,455)</w:t>
            </w:r>
          </w:p>
        </w:tc>
        <w:tc>
          <w:tcPr>
            <w:tcW w:w="24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9,301</w:t>
            </w:r>
          </w:p>
        </w:tc>
      </w:tr>
      <w:tr>
        <w:trPr>
          <w:trHeight w:val="213"/>
        </w:trPr>
        <w:tc>
          <w:tcPr>
            <w:tcW w:w="6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625,444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753,252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81,031</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(118,622)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1,386,594</w:t>
            </w:r>
          </w:p>
        </w:tc>
      </w:tr>
      <w:tr>
        <w:trPr>
          <w:trHeight w:val="20"/>
        </w:trPr>
        <w:tc>
          <w:tcPr>
            <w:tcW w:w="60" w:type="dxa"/>
            <w:vAlign w:val="bottom"/>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20" w:type="dxa"/>
            <w:vAlign w:val="bottom"/>
            <w:tcBorders>
              <w:bottom w:val="single" w:sz="8" w:color="CEFFE7"/>
            </w:tcBorders>
          </w:tcPr>
          <w:p>
            <w:pPr>
              <w:spacing w:after="0" w:line="20" w:lineRule="exact"/>
              <w:rPr>
                <w:sz w:val="1"/>
                <w:szCs w:val="1"/>
                <w:color w:val="auto"/>
              </w:rPr>
            </w:pPr>
          </w:p>
        </w:tc>
        <w:tc>
          <w:tcPr>
            <w:tcW w:w="296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60" w:type="dxa"/>
            <w:vAlign w:val="bottom"/>
            <w:tcBorders>
              <w:right w:val="single" w:sz="8" w:color="CEFFE7"/>
            </w:tcBorders>
          </w:tcPr>
          <w:p>
            <w:pPr>
              <w:spacing w:after="0"/>
              <w:rPr>
                <w:sz w:val="10"/>
                <w:szCs w:val="10"/>
                <w:color w:val="auto"/>
              </w:rPr>
            </w:pPr>
          </w:p>
        </w:tc>
        <w:tc>
          <w:tcPr>
            <w:tcW w:w="1180" w:type="dxa"/>
            <w:vAlign w:val="bottom"/>
            <w:shd w:val="clear" w:color="auto" w:fill="CEFFE7"/>
          </w:tcPr>
          <w:p>
            <w:pPr>
              <w:spacing w:after="0"/>
              <w:rPr>
                <w:sz w:val="10"/>
                <w:szCs w:val="10"/>
                <w:color w:val="auto"/>
              </w:rPr>
            </w:pPr>
          </w:p>
        </w:tc>
        <w:tc>
          <w:tcPr>
            <w:tcW w:w="120" w:type="dxa"/>
            <w:vAlign w:val="bottom"/>
            <w:shd w:val="clear" w:color="auto" w:fill="CEFFE7"/>
          </w:tcPr>
          <w:p>
            <w:pPr>
              <w:spacing w:after="0"/>
              <w:rPr>
                <w:sz w:val="10"/>
                <w:szCs w:val="10"/>
                <w:color w:val="auto"/>
              </w:rPr>
            </w:pPr>
          </w:p>
        </w:tc>
        <w:tc>
          <w:tcPr>
            <w:tcW w:w="296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90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98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980" w:type="dxa"/>
            <w:vAlign w:val="bottom"/>
            <w:shd w:val="clear" w:color="auto" w:fill="CEFFE7"/>
          </w:tcPr>
          <w:p>
            <w:pPr>
              <w:spacing w:after="0"/>
              <w:rPr>
                <w:sz w:val="10"/>
                <w:szCs w:val="10"/>
                <w:color w:val="auto"/>
              </w:rPr>
            </w:pPr>
          </w:p>
        </w:tc>
        <w:tc>
          <w:tcPr>
            <w:tcW w:w="260" w:type="dxa"/>
            <w:vAlign w:val="bottom"/>
            <w:shd w:val="clear" w:color="auto" w:fill="CEFFE7"/>
          </w:tcPr>
          <w:p>
            <w:pPr>
              <w:spacing w:after="0"/>
              <w:rPr>
                <w:sz w:val="10"/>
                <w:szCs w:val="10"/>
                <w:color w:val="auto"/>
              </w:rPr>
            </w:pPr>
          </w:p>
        </w:tc>
        <w:tc>
          <w:tcPr>
            <w:tcW w:w="90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98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920" w:type="dxa"/>
            <w:vAlign w:val="bottom"/>
            <w:shd w:val="clear" w:color="auto" w:fill="CEFFE7"/>
          </w:tcPr>
          <w:p>
            <w:pPr>
              <w:spacing w:after="0"/>
              <w:rPr>
                <w:sz w:val="10"/>
                <w:szCs w:val="10"/>
                <w:color w:val="auto"/>
              </w:rPr>
            </w:pPr>
          </w:p>
        </w:tc>
      </w:tr>
    </w:tbl>
    <w:p>
      <w:pPr>
        <w:spacing w:after="0" w:line="15" w:lineRule="exact"/>
        <w:rPr>
          <w:sz w:val="20"/>
          <w:szCs w:val="20"/>
          <w:color w:val="auto"/>
        </w:rPr>
      </w:pPr>
    </w:p>
    <w:p>
      <w:pPr>
        <w:sectPr>
          <w:pgSz w:w="11900" w:h="16838" w:orient="portrait"/>
          <w:cols w:equalWidth="0" w:num="1">
            <w:col w:w="11220"/>
          </w:cols>
          <w:pgMar w:left="320" w:top="118" w:right="359" w:bottom="1440" w:gutter="0" w:footer="0" w:header="0"/>
        </w:sectPr>
      </w:pPr>
    </w:p>
    <w:p>
      <w:pPr>
        <w:ind w:left="6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19"/>
              <w:spacing w:after="0"/>
              <w:rPr>
                <w:sz w:val="20"/>
                <w:szCs w:val="20"/>
                <w:color w:val="auto"/>
              </w:rPr>
            </w:pPr>
            <w:r>
              <w:rPr>
                <w:rFonts w:ascii="Arial" w:cs="Arial" w:eastAsia="Arial" w:hAnsi="Arial"/>
                <w:sz w:val="16"/>
                <w:szCs w:val="16"/>
                <w:color w:val="auto"/>
              </w:rPr>
              <w:t>— $</w:t>
            </w:r>
          </w:p>
        </w:tc>
        <w:tc>
          <w:tcPr>
            <w:tcW w:w="11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1160" w:type="dxa"/>
            <w:vAlign w:val="bottom"/>
            <w:gridSpan w:val="2"/>
          </w:tcPr>
          <w:p>
            <w:pPr>
              <w:jc w:val="right"/>
              <w:ind w:right="159"/>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43,751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(23,093)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20,658</w:t>
            </w:r>
          </w:p>
        </w:tc>
      </w:tr>
      <w:tr>
        <w:trPr>
          <w:trHeight w:val="219"/>
        </w:trPr>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622,825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748,222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79,662</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(94,074)</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1,356,635</w:t>
            </w:r>
          </w:p>
        </w:tc>
      </w:tr>
      <w:tr>
        <w:trPr>
          <w:trHeight w:val="209"/>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622,825</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748,222</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79,662</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(117,167)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1,377,293</w:t>
            </w:r>
          </w:p>
        </w:tc>
      </w:tr>
      <w:tr>
        <w:trPr>
          <w:trHeight w:val="23"/>
        </w:trPr>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-453390</wp:posOffset>
            </wp:positionV>
            <wp:extent cx="70980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-179070</wp:posOffset>
            </wp:positionV>
            <wp:extent cx="709803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6900"/>
          </w:cols>
          <w:pgMar w:left="320" w:top="118" w:right="359" w:bottom="1440" w:gutter="0" w:footer="0" w:header="0"/>
          <w:type w:val="continuous"/>
        </w:sectPr>
      </w:pP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Electric</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Power</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Nine Months Ended September 30, 2020</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Utilities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Gas Utilities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Generation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Mining</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Total</w:t>
            </w:r>
          </w:p>
        </w:tc>
      </w:tr>
      <w:tr>
        <w:trPr>
          <w:trHeight w:val="172"/>
        </w:trPr>
        <w:tc>
          <w:tcPr>
            <w:tcW w:w="20" w:type="dxa"/>
            <w:vAlign w:val="bottom"/>
          </w:tcPr>
          <w:p>
            <w:pPr>
              <w:spacing w:after="0"/>
              <w:rPr>
                <w:sz w:val="14"/>
                <w:szCs w:val="14"/>
                <w:color w:val="auto"/>
              </w:rPr>
            </w:pPr>
          </w:p>
        </w:tc>
        <w:tc>
          <w:tcPr>
            <w:tcW w:w="4260" w:type="dxa"/>
            <w:vAlign w:val="bottom"/>
            <w:gridSpan w:val="3"/>
          </w:tcPr>
          <w:p>
            <w:pPr>
              <w:spacing w:after="0" w:line="172"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3"/>
          </w:tcPr>
          <w:p>
            <w:pPr>
              <w:jc w:val="right"/>
              <w:ind w:right="539"/>
              <w:spacing w:after="0" w:line="172"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459,949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513,208</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EFFE7"/>
          </w:tcPr>
          <w:p>
            <w:pPr>
              <w:jc w:val="right"/>
              <w:ind w:right="39"/>
              <w:spacing w:after="0"/>
              <w:rPr>
                <w:sz w:val="20"/>
                <w:szCs w:val="20"/>
                <w:color w:val="auto"/>
              </w:rPr>
            </w:pPr>
            <w:r>
              <w:rPr>
                <w:rFonts w:ascii="Arial" w:cs="Arial" w:eastAsia="Arial" w:hAnsi="Arial"/>
                <w:sz w:val="16"/>
                <w:szCs w:val="16"/>
                <w:color w:val="auto"/>
              </w:rPr>
              <w:t>— $</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43,917</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(23,855)</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993,219</w:t>
            </w:r>
          </w:p>
        </w:tc>
      </w:tr>
      <w:tr>
        <w:trPr>
          <w:trHeight w:val="213"/>
        </w:trPr>
        <w:tc>
          <w:tcPr>
            <w:tcW w:w="2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113,096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112,680</w:t>
            </w:r>
          </w:p>
        </w:tc>
      </w:tr>
      <w:tr>
        <w:trPr>
          <w:trHeight w:val="219"/>
        </w:trPr>
        <w:tc>
          <w:tcPr>
            <w:tcW w:w="20" w:type="dxa"/>
            <w:vAlign w:val="bottom"/>
            <w:shd w:val="clear" w:color="auto" w:fill="CEFFE7"/>
          </w:tcPr>
          <w:p>
            <w:pPr>
              <w:spacing w:after="0"/>
              <w:rPr>
                <w:sz w:val="19"/>
                <w:szCs w:val="19"/>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14,947</w:t>
            </w:r>
          </w:p>
        </w:tc>
        <w:tc>
          <w:tcPr>
            <w:tcW w:w="18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77,234</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(72,609)</w:t>
            </w:r>
          </w:p>
        </w:tc>
        <w:tc>
          <w:tcPr>
            <w:tcW w:w="24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19,572</w:t>
            </w:r>
          </w:p>
        </w:tc>
      </w:tr>
      <w:tr>
        <w:trPr>
          <w:trHeight w:val="213"/>
        </w:trPr>
        <w:tc>
          <w:tcPr>
            <w:tcW w:w="2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17,940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(6,123)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12,014</w:t>
            </w:r>
          </w:p>
        </w:tc>
      </w:tr>
      <w:tr>
        <w:trPr>
          <w:trHeight w:val="216"/>
        </w:trPr>
        <w:tc>
          <w:tcPr>
            <w:tcW w:w="20" w:type="dxa"/>
            <w:vAlign w:val="bottom"/>
            <w:shd w:val="clear" w:color="auto" w:fill="CEFFE7"/>
          </w:tcPr>
          <w:p>
            <w:pPr>
              <w:spacing w:after="0"/>
              <w:rPr>
                <w:sz w:val="18"/>
                <w:szCs w:val="18"/>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43,271</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32,038</w:t>
            </w: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(14,080)</w:t>
            </w:r>
          </w:p>
        </w:tc>
        <w:tc>
          <w:tcPr>
            <w:tcW w:w="24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61,229</w:t>
            </w:r>
          </w:p>
        </w:tc>
      </w:tr>
      <w:tr>
        <w:trPr>
          <w:trHeight w:val="209"/>
        </w:trPr>
        <w:tc>
          <w:tcPr>
            <w:tcW w:w="2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536,107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658,539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77,234</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43,917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(117,083)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1,198,714</w:t>
            </w:r>
          </w:p>
        </w:tc>
      </w:tr>
      <w:tr>
        <w:trPr>
          <w:trHeight w:val="216"/>
        </w:trPr>
        <w:tc>
          <w:tcPr>
            <w:tcW w:w="20" w:type="dxa"/>
            <w:vAlign w:val="bottom"/>
            <w:shd w:val="clear" w:color="auto" w:fill="CEFFE7"/>
          </w:tcPr>
          <w:p>
            <w:pPr>
              <w:spacing w:after="0"/>
              <w:rPr>
                <w:sz w:val="18"/>
                <w:szCs w:val="18"/>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2,074</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7,273</w:t>
            </w: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1,372</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1,940</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(819)</w:t>
            </w:r>
          </w:p>
        </w:tc>
        <w:tc>
          <w:tcPr>
            <w:tcW w:w="24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11,840</w:t>
            </w:r>
          </w:p>
        </w:tc>
      </w:tr>
      <w:tr>
        <w:trPr>
          <w:trHeight w:val="213"/>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665,812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78,606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(117,902)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1,210,554</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220" w:type="dxa"/>
            <w:vAlign w:val="bottom"/>
            <w:tcBorders>
              <w:bottom w:val="single" w:sz="8" w:color="CEFFE7"/>
            </w:tcBorders>
          </w:tcPr>
          <w:p>
            <w:pPr>
              <w:spacing w:after="0" w:line="20" w:lineRule="exact"/>
              <w:rPr>
                <w:sz w:val="1"/>
                <w:szCs w:val="1"/>
                <w:color w:val="auto"/>
              </w:rPr>
            </w:pPr>
          </w:p>
        </w:tc>
        <w:tc>
          <w:tcPr>
            <w:tcW w:w="1080" w:type="dxa"/>
            <w:vAlign w:val="bottom"/>
            <w:tcBorders>
              <w:bottom w:val="single" w:sz="8" w:color="CEFFE7"/>
            </w:tcBorders>
          </w:tcPr>
          <w:p>
            <w:pPr>
              <w:spacing w:after="0" w:line="20" w:lineRule="exact"/>
              <w:rPr>
                <w:sz w:val="1"/>
                <w:szCs w:val="1"/>
                <w:color w:val="auto"/>
              </w:rPr>
            </w:pPr>
          </w:p>
        </w:tc>
        <w:tc>
          <w:tcPr>
            <w:tcW w:w="196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EFFE7"/>
          </w:tcPr>
          <w:p>
            <w:pPr>
              <w:spacing w:after="0"/>
              <w:rPr>
                <w:sz w:val="10"/>
                <w:szCs w:val="10"/>
                <w:color w:val="auto"/>
              </w:rPr>
            </w:pPr>
          </w:p>
        </w:tc>
        <w:tc>
          <w:tcPr>
            <w:tcW w:w="1220" w:type="dxa"/>
            <w:vAlign w:val="bottom"/>
            <w:shd w:val="clear" w:color="auto" w:fill="CEFFE7"/>
          </w:tcPr>
          <w:p>
            <w:pPr>
              <w:spacing w:after="0"/>
              <w:rPr>
                <w:sz w:val="10"/>
                <w:szCs w:val="10"/>
                <w:color w:val="auto"/>
              </w:rPr>
            </w:pPr>
          </w:p>
        </w:tc>
        <w:tc>
          <w:tcPr>
            <w:tcW w:w="1080" w:type="dxa"/>
            <w:vAlign w:val="bottom"/>
            <w:shd w:val="clear" w:color="auto" w:fill="CEFFE7"/>
          </w:tcPr>
          <w:p>
            <w:pPr>
              <w:spacing w:after="0"/>
              <w:rPr>
                <w:sz w:val="10"/>
                <w:szCs w:val="10"/>
                <w:color w:val="auto"/>
              </w:rPr>
            </w:pPr>
          </w:p>
        </w:tc>
        <w:tc>
          <w:tcPr>
            <w:tcW w:w="196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90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98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980" w:type="dxa"/>
            <w:vAlign w:val="bottom"/>
            <w:shd w:val="clear" w:color="auto" w:fill="CEFFE7"/>
          </w:tcPr>
          <w:p>
            <w:pPr>
              <w:spacing w:after="0"/>
              <w:rPr>
                <w:sz w:val="10"/>
                <w:szCs w:val="10"/>
                <w:color w:val="auto"/>
              </w:rPr>
            </w:pPr>
          </w:p>
        </w:tc>
        <w:tc>
          <w:tcPr>
            <w:tcW w:w="260" w:type="dxa"/>
            <w:vAlign w:val="bottom"/>
            <w:shd w:val="clear" w:color="auto" w:fill="CEFFE7"/>
          </w:tcPr>
          <w:p>
            <w:pPr>
              <w:spacing w:after="0"/>
              <w:rPr>
                <w:sz w:val="10"/>
                <w:szCs w:val="10"/>
                <w:color w:val="auto"/>
              </w:rPr>
            </w:pPr>
          </w:p>
        </w:tc>
        <w:tc>
          <w:tcPr>
            <w:tcW w:w="90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98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920" w:type="dxa"/>
            <w:vAlign w:val="bottom"/>
            <w:shd w:val="clear" w:color="auto" w:fill="CEFFE7"/>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260" w:type="dxa"/>
            <w:vAlign w:val="bottom"/>
            <w:gridSpan w:val="3"/>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43,917</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(23,855)</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20,062</w:t>
            </w:r>
          </w:p>
        </w:tc>
      </w:tr>
      <w:tr>
        <w:trPr>
          <w:trHeight w:val="213"/>
        </w:trPr>
        <w:tc>
          <w:tcPr>
            <w:tcW w:w="20" w:type="dxa"/>
            <w:vAlign w:val="bottom"/>
            <w:tcBorders>
              <w:bottom w:val="single" w:sz="8" w:color="CEFFE7"/>
            </w:tcBorders>
          </w:tcPr>
          <w:p>
            <w:pPr>
              <w:spacing w:after="0"/>
              <w:rPr>
                <w:sz w:val="18"/>
                <w:szCs w:val="18"/>
                <w:color w:val="auto"/>
              </w:rPr>
            </w:pPr>
          </w:p>
        </w:tc>
        <w:tc>
          <w:tcPr>
            <w:tcW w:w="4260" w:type="dxa"/>
            <w:vAlign w:val="bottom"/>
            <w:tcBorders>
              <w:bottom w:val="single" w:sz="8" w:color="CEFFE7"/>
            </w:tcBorders>
            <w:gridSpan w:val="3"/>
          </w:tcPr>
          <w:p>
            <w:pPr>
              <w:ind w:left="120"/>
              <w:spacing w:after="0"/>
              <w:rPr>
                <w:sz w:val="20"/>
                <w:szCs w:val="20"/>
                <w:color w:val="auto"/>
              </w:rPr>
            </w:pPr>
            <w:r>
              <w:rPr>
                <w:rFonts w:ascii="Arial" w:cs="Arial" w:eastAsia="Arial" w:hAnsi="Arial"/>
                <w:sz w:val="16"/>
                <w:szCs w:val="16"/>
                <w:color w:val="auto"/>
              </w:rPr>
              <w:t>Services transferred over time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536,107</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658,539</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77,234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(93,228)</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1,178,652</w:t>
            </w:r>
          </w:p>
        </w:tc>
      </w:tr>
      <w:tr>
        <w:trPr>
          <w:trHeight w:val="238"/>
        </w:trPr>
        <w:tc>
          <w:tcPr>
            <w:tcW w:w="20" w:type="dxa"/>
            <w:vAlign w:val="bottom"/>
            <w:tcBorders>
              <w:bottom w:val="single" w:sz="8" w:color="CEFFE7"/>
            </w:tcBorders>
            <w:shd w:val="clear" w:color="auto" w:fill="CEFFE7"/>
          </w:tcPr>
          <w:p>
            <w:pPr>
              <w:spacing w:after="0"/>
              <w:rPr>
                <w:sz w:val="20"/>
                <w:szCs w:val="20"/>
                <w:color w:val="auto"/>
              </w:rPr>
            </w:pPr>
          </w:p>
        </w:tc>
        <w:tc>
          <w:tcPr>
            <w:tcW w:w="426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536,107</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658,539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77,234</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43,917</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(117,083)</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1,198,714</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220" w:type="dxa"/>
            <w:vAlign w:val="bottom"/>
            <w:tcBorders>
              <w:top w:val="single" w:sz="8" w:color="CEFFE7"/>
            </w:tcBorders>
          </w:tcPr>
          <w:p>
            <w:pPr>
              <w:spacing w:after="0" w:line="20" w:lineRule="exact"/>
              <w:rPr>
                <w:sz w:val="1"/>
                <w:szCs w:val="1"/>
                <w:color w:val="auto"/>
              </w:rPr>
            </w:pPr>
          </w:p>
        </w:tc>
        <w:tc>
          <w:tcPr>
            <w:tcW w:w="1080" w:type="dxa"/>
            <w:vAlign w:val="bottom"/>
            <w:tcBorders>
              <w:top w:val="single" w:sz="8" w:color="CEFFE7"/>
            </w:tcBorders>
          </w:tcPr>
          <w:p>
            <w:pPr>
              <w:spacing w:after="0" w:line="20" w:lineRule="exact"/>
              <w:rPr>
                <w:sz w:val="1"/>
                <w:szCs w:val="1"/>
                <w:color w:val="auto"/>
              </w:rPr>
            </w:pPr>
          </w:p>
        </w:tc>
        <w:tc>
          <w:tcPr>
            <w:tcW w:w="196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264" w:lineRule="exact"/>
        <w:rPr>
          <w:sz w:val="20"/>
          <w:szCs w:val="20"/>
          <w:color w:val="auto"/>
        </w:rPr>
      </w:pPr>
    </w:p>
    <w:p>
      <w:pPr>
        <w:jc w:val="both"/>
        <w:ind w:right="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w:t>
      </w:r>
      <w:hyperlink w:anchor="page32">
        <w:r>
          <w:rPr>
            <w:rFonts w:ascii="Arial" w:cs="Arial" w:eastAsia="Arial" w:hAnsi="Arial"/>
            <w:sz w:val="16"/>
            <w:szCs w:val="16"/>
            <w:u w:val="single" w:color="auto"/>
            <w:color w:val="0000FF"/>
          </w:rPr>
          <w:t>Note 13</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right="10000" w:firstLine="8"/>
        <w:spacing w:after="0" w:line="567" w:lineRule="auto"/>
        <w:tabs>
          <w:tab w:leader="none" w:pos="37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had the following Notes payable outstanding in the accompanying Condensed Consolidated Balance Sheets (in thousands)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September 30, 2021</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319"/>
              <w:spacing w:after="0" w:line="174" w:lineRule="exact"/>
              <w:rPr>
                <w:sz w:val="20"/>
                <w:szCs w:val="20"/>
                <w:color w:val="auto"/>
              </w:rPr>
            </w:pPr>
            <w:r>
              <w:rPr>
                <w:rFonts w:ascii="Arial" w:cs="Arial" w:eastAsia="Arial" w:hAnsi="Arial"/>
                <w:sz w:val="16"/>
                <w:szCs w:val="16"/>
                <w:color w:val="auto"/>
              </w:rPr>
              <w:t>Balance</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200" w:type="dxa"/>
            <w:vAlign w:val="bottom"/>
          </w:tcPr>
          <w:p>
            <w:pPr>
              <w:spacing w:after="0"/>
              <w:rPr>
                <w:sz w:val="15"/>
                <w:szCs w:val="15"/>
                <w:color w:val="auto"/>
              </w:rPr>
            </w:pPr>
          </w:p>
        </w:tc>
        <w:tc>
          <w:tcPr>
            <w:tcW w:w="1220" w:type="dxa"/>
            <w:vAlign w:val="bottom"/>
          </w:tcPr>
          <w:p>
            <w:pPr>
              <w:jc w:val="right"/>
              <w:ind w:right="319"/>
              <w:spacing w:after="0" w:line="174" w:lineRule="exact"/>
              <w:rPr>
                <w:sz w:val="20"/>
                <w:szCs w:val="20"/>
                <w:color w:val="auto"/>
              </w:rPr>
            </w:pPr>
            <w:r>
              <w:rPr>
                <w:rFonts w:ascii="Arial" w:cs="Arial" w:eastAsia="Arial" w:hAnsi="Arial"/>
                <w:sz w:val="16"/>
                <w:szCs w:val="16"/>
                <w:color w:val="auto"/>
              </w:rPr>
              <w:t>Balance</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01"/>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Outstanding</w:t>
            </w:r>
          </w:p>
        </w:tc>
        <w:tc>
          <w:tcPr>
            <w:tcW w:w="1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Outstanding</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Revolving Credit Facility</w:t>
            </w:r>
          </w:p>
        </w:tc>
        <w:tc>
          <w:tcPr>
            <w:tcW w:w="2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spacing w:after="0"/>
              <w:rPr>
                <w:sz w:val="18"/>
                <w:szCs w:val="18"/>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23,255</w:t>
            </w:r>
          </w:p>
        </w:tc>
        <w:tc>
          <w:tcPr>
            <w:tcW w:w="2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24,730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CP Program</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332,525</w:t>
            </w: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234,040</w:t>
            </w: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 Notes payable</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332,525</w:t>
            </w:r>
          </w:p>
        </w:tc>
        <w:tc>
          <w:tcPr>
            <w:tcW w:w="840" w:type="dxa"/>
            <w:vAlign w:val="bottom"/>
            <w:tcBorders>
              <w:bottom w:val="single" w:sz="8" w:color="auto"/>
            </w:tcBorders>
            <w:shd w:val="clear" w:color="auto" w:fill="CEFFE7"/>
          </w:tcPr>
          <w:p>
            <w:pPr>
              <w:jc w:val="right"/>
              <w:ind w:right="6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23,255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234,040</w:t>
            </w:r>
          </w:p>
        </w:tc>
        <w:tc>
          <w:tcPr>
            <w:tcW w:w="82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24,730</w:t>
            </w:r>
          </w:p>
        </w:tc>
        <w:tc>
          <w:tcPr>
            <w:tcW w:w="0" w:type="dxa"/>
            <w:vAlign w:val="bottom"/>
          </w:tcPr>
          <w:p>
            <w:pPr>
              <w:spacing w:after="0"/>
              <w:rPr>
                <w:sz w:val="1"/>
                <w:szCs w:val="1"/>
                <w:color w:val="auto"/>
              </w:rPr>
            </w:pPr>
          </w:p>
        </w:tc>
      </w:tr>
      <w:tr>
        <w:trPr>
          <w:trHeight w:val="20"/>
        </w:trPr>
        <w:tc>
          <w:tcPr>
            <w:tcW w:w="54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Letters of credit are off-balance sheet commitments that reduce the borrowing capacity available on our corporate Revolving Credit Facility.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On July 19, 2021, we amended and restated our corporate Revolving Credit Facility, maintaining total commitments of $750 million and extending the term through July 19, 2026 with two one 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Based on our current credit ratings, the margins for base rate borrowings, Eurodollar borrowings and letters of credit will be 0.125%, 1.125% and 1.125%, respectively, and a 0.175% commitment fee will be charged on unused amounts.</w:t>
      </w:r>
    </w:p>
    <w:p>
      <w:pPr>
        <w:spacing w:after="0" w:line="232"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Our net short-term borrowings related to our Revolving Credit Facility and CP Program during the nine months ended September 30, 2021 were $98.5 million. The weighted average interest rate on short-term borrowings related to our Revolving Credit Facility and CP Program at September 30, 2021 was 0.19%.</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Loan</w:t>
      </w:r>
    </w:p>
    <w:p>
      <w:pPr>
        <w:spacing w:after="0" w:line="24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On February 24, 2021, we entered into a nine-month, $800 million unsecured term loan to provide additional liquidity and to meet our cash needs related to the incremental fuel, purchased power and natural gas costs from Winter Storm Uri. The term loan, carried no prepayment penalty and was subject to the same covenant requirements as our Revolving Credit Facility. We repaid $200 million of this term loan in the first quarter of 2021. Proceeds from the August 26, 2021 public debt offering (discussed below) were used to repay the remaining balance on this term loan.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6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On August 26, 2021, we completed a public debt offering which consisted of $600 million, 1.037% three year senior unsecured notes due August 23, 2024. The notes include an optional redemption provision and may be redeemed, in whole or in part, without premium, on or after February 23, 2022. The proceeds from the offering, which were net of $3.7 million of deferred financing costs, were used to repay amounts outstanding under our term loan entered into on February 24, 2021.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68"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color w:val="auto"/>
        </w:rPr>
        <w:t>Under our Revolving Credit Facility, we are required to maintain a Consolidated Indebtedness to Capitalization Ratio not to exceed 0.65 to 1.00. Our Consolidated Indebtedness to Capitalization Ratio was calculated by dividing (i) consolidated indebtedness, which includes letters of credit and certain guarantees issued, by (ii) capital, which includes consolidated indebtedness plus consolidated net worth, which excludes non-controlling interest in subsidiaries. Subject to applicable cure periods, a violation of any of these covenants would constitute an event of default that entitles the lenders to terminate their remaining commitments and accelerate all principal and interest outstanding.</w:t>
      </w:r>
    </w:p>
    <w:p>
      <w:pPr>
        <w:spacing w:after="0" w:line="230"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Revolving Credit Facility and term loans require compliance with the following financial covenant, which we were in compliance with at September 30,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560" w:type="dxa"/>
            <w:vAlign w:val="bottom"/>
            <w:tcBorders>
              <w:bottom w:val="single" w:sz="8" w:color="CEFFE7"/>
            </w:tcBorders>
          </w:tcPr>
          <w:p>
            <w:pPr>
              <w:spacing w:after="0"/>
              <w:rPr>
                <w:sz w:val="17"/>
                <w:szCs w:val="17"/>
                <w:color w:val="auto"/>
              </w:rPr>
            </w:pPr>
          </w:p>
        </w:tc>
        <w:tc>
          <w:tcPr>
            <w:tcW w:w="1580" w:type="dxa"/>
            <w:vAlign w:val="bottom"/>
            <w:tcBorders>
              <w:bottom w:val="single" w:sz="8" w:color="CEFFE7"/>
            </w:tcBorders>
          </w:tcPr>
          <w:p>
            <w:pPr>
              <w:spacing w:after="0"/>
              <w:rPr>
                <w:sz w:val="17"/>
                <w:szCs w:val="17"/>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As of September 30, 2021</w:t>
            </w:r>
          </w:p>
        </w:tc>
        <w:tc>
          <w:tcPr>
            <w:tcW w:w="24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Covenant Requirement</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Consolidated Indebtedness to Capitalization Ratio</w:t>
            </w:r>
          </w:p>
        </w:tc>
        <w:tc>
          <w:tcPr>
            <w:tcW w:w="4220" w:type="dxa"/>
            <w:vAlign w:val="bottom"/>
            <w:gridSpan w:val="2"/>
            <w:shd w:val="clear" w:color="auto" w:fill="CEFFE7"/>
          </w:tcPr>
          <w:p>
            <w:pPr>
              <w:jc w:val="right"/>
              <w:ind w:right="1039"/>
              <w:spacing w:after="0"/>
              <w:rPr>
                <w:sz w:val="20"/>
                <w:szCs w:val="20"/>
                <w:color w:val="auto"/>
              </w:rPr>
            </w:pPr>
            <w:r>
              <w:rPr>
                <w:rFonts w:ascii="Arial" w:cs="Arial" w:eastAsia="Arial" w:hAnsi="Arial"/>
                <w:sz w:val="16"/>
                <w:szCs w:val="16"/>
                <w:color w:val="auto"/>
              </w:rPr>
              <w:t>62.4%</w:t>
            </w:r>
          </w:p>
        </w:tc>
        <w:tc>
          <w:tcPr>
            <w:tcW w:w="1400" w:type="dxa"/>
            <w:vAlign w:val="bottom"/>
            <w:shd w:val="clear" w:color="auto" w:fill="CEFFE7"/>
          </w:tcPr>
          <w:p>
            <w:pPr>
              <w:ind w:left="460"/>
              <w:spacing w:after="0"/>
              <w:rPr>
                <w:sz w:val="20"/>
                <w:szCs w:val="20"/>
                <w:color w:val="auto"/>
              </w:rPr>
            </w:pPr>
            <w:r>
              <w:rPr>
                <w:rFonts w:ascii="Arial" w:cs="Arial" w:eastAsia="Arial" w:hAnsi="Arial"/>
                <w:sz w:val="16"/>
                <w:szCs w:val="16"/>
                <w:color w:val="auto"/>
              </w:rPr>
              <w:t>Less than</w:t>
            </w:r>
          </w:p>
        </w:tc>
        <w:tc>
          <w:tcPr>
            <w:tcW w:w="10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8"/>
                <w:szCs w:val="18"/>
                <w:color w:val="auto"/>
              </w:rPr>
            </w:pPr>
          </w:p>
        </w:tc>
      </w:tr>
      <w:tr>
        <w:trPr>
          <w:trHeight w:val="87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21</w:t>
            </w:r>
          </w:p>
        </w:tc>
        <w:tc>
          <w:tcPr>
            <w:tcW w:w="2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24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During the three months ended September 30, 2021, we issued a total of 0.3 million shares of common stock under the ATM for proceeds of $23 million, net of $0.2 million in issuance costs. During the nine months ended September 30, 2021, we issued a total of 0.9 million shares of common stock under the ATM for proceeds of $63 million, net of $0.6 million in issuance costs.</w:t>
      </w:r>
    </w:p>
    <w:p>
      <w:pPr>
        <w:spacing w:after="0" w:line="200" w:lineRule="exact"/>
        <w:rPr>
          <w:sz w:val="20"/>
          <w:szCs w:val="20"/>
          <w:color w:val="auto"/>
        </w:rPr>
      </w:pPr>
    </w:p>
    <w:p>
      <w:pPr>
        <w:spacing w:after="0" w:line="238"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5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 reconciliation of share amounts used to compute earnings per share in the accompanying Condensed Consolidated Statements of Income was as follows (in thousands,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4"/>
          </w:tcPr>
          <w:p>
            <w:pPr>
              <w:spacing w:after="0"/>
              <w:rPr>
                <w:sz w:val="20"/>
                <w:szCs w:val="20"/>
                <w:color w:val="auto"/>
              </w:rPr>
            </w:pPr>
            <w:r>
              <w:rPr>
                <w:rFonts w:ascii="Arial" w:cs="Arial" w:eastAsia="Arial" w:hAnsi="Arial"/>
                <w:sz w:val="16"/>
                <w:szCs w:val="16"/>
                <w:color w:val="auto"/>
              </w:rPr>
              <w:t>Three Months Ended September 30,</w:t>
            </w:r>
          </w:p>
        </w:tc>
        <w:tc>
          <w:tcPr>
            <w:tcW w:w="140" w:type="dxa"/>
            <w:vAlign w:val="bottom"/>
          </w:tcPr>
          <w:p>
            <w:pPr>
              <w:spacing w:after="0"/>
              <w:rPr>
                <w:sz w:val="16"/>
                <w:szCs w:val="16"/>
                <w:color w:val="auto"/>
              </w:rPr>
            </w:pPr>
          </w:p>
        </w:tc>
        <w:tc>
          <w:tcPr>
            <w:tcW w:w="2740" w:type="dxa"/>
            <w:vAlign w:val="bottom"/>
            <w:gridSpan w:val="3"/>
          </w:tcPr>
          <w:p>
            <w:pPr>
              <w:jc w:val="right"/>
              <w:ind w:right="9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5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145"/>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41"/>
        </w:trPr>
        <w:tc>
          <w:tcPr>
            <w:tcW w:w="5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44,112</w:t>
            </w:r>
          </w:p>
        </w:tc>
        <w:tc>
          <w:tcPr>
            <w:tcW w:w="3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36,283</w:t>
            </w:r>
          </w:p>
        </w:tc>
        <w:tc>
          <w:tcPr>
            <w:tcW w:w="14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165,589</w:t>
            </w:r>
          </w:p>
        </w:tc>
        <w:tc>
          <w:tcPr>
            <w:tcW w:w="3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150,423</w:t>
            </w:r>
          </w:p>
        </w:tc>
      </w:tr>
      <w:tr>
        <w:trPr>
          <w:trHeight w:val="20"/>
        </w:trPr>
        <w:tc>
          <w:tcPr>
            <w:tcW w:w="534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r>
      <w:tr>
        <w:trPr>
          <w:trHeight w:val="109"/>
        </w:trPr>
        <w:tc>
          <w:tcPr>
            <w:tcW w:w="5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5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shares - basic</w:t>
            </w:r>
          </w:p>
        </w:tc>
        <w:tc>
          <w:tcPr>
            <w:tcW w:w="12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63,341</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62,575</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62,950</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62,310</w:t>
            </w: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Equity compensation</w:t>
            </w:r>
          </w:p>
        </w:tc>
        <w:tc>
          <w:tcPr>
            <w:tcW w:w="12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95</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63,436</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62,630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63,046</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62,362</w:t>
            </w:r>
          </w:p>
        </w:tc>
      </w:tr>
      <w:tr>
        <w:trPr>
          <w:trHeight w:val="20"/>
        </w:trPr>
        <w:tc>
          <w:tcPr>
            <w:tcW w:w="5340" w:type="dxa"/>
            <w:vAlign w:val="bottom"/>
            <w:tcBorders>
              <w:bottom w:val="single" w:sz="8" w:color="CEFFE7"/>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EFFE7"/>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5340" w:type="dxa"/>
            <w:vAlign w:val="bottom"/>
            <w:shd w:val="clear" w:color="auto" w:fill="CEFFE7"/>
          </w:tcPr>
          <w:p>
            <w:pPr>
              <w:spacing w:after="0"/>
              <w:rPr>
                <w:sz w:val="11"/>
                <w:szCs w:val="11"/>
                <w:color w:val="auto"/>
              </w:rPr>
            </w:pPr>
          </w:p>
        </w:tc>
        <w:tc>
          <w:tcPr>
            <w:tcW w:w="120" w:type="dxa"/>
            <w:vAlign w:val="bottom"/>
            <w:shd w:val="clear" w:color="auto" w:fill="CEFFE7"/>
          </w:tcPr>
          <w:p>
            <w:pPr>
              <w:spacing w:after="0"/>
              <w:rPr>
                <w:sz w:val="11"/>
                <w:szCs w:val="11"/>
                <w:color w:val="auto"/>
              </w:rPr>
            </w:pPr>
          </w:p>
        </w:tc>
        <w:tc>
          <w:tcPr>
            <w:tcW w:w="1280" w:type="dxa"/>
            <w:vAlign w:val="bottom"/>
            <w:shd w:val="clear" w:color="auto" w:fill="CEFFE7"/>
          </w:tcPr>
          <w:p>
            <w:pPr>
              <w:spacing w:after="0"/>
              <w:rPr>
                <w:sz w:val="11"/>
                <w:szCs w:val="11"/>
                <w:color w:val="auto"/>
              </w:rPr>
            </w:pPr>
          </w:p>
        </w:tc>
        <w:tc>
          <w:tcPr>
            <w:tcW w:w="360" w:type="dxa"/>
            <w:vAlign w:val="bottom"/>
            <w:shd w:val="clear" w:color="auto" w:fill="CEFFE7"/>
          </w:tcPr>
          <w:p>
            <w:pPr>
              <w:spacing w:after="0"/>
              <w:rPr>
                <w:sz w:val="11"/>
                <w:szCs w:val="11"/>
                <w:color w:val="auto"/>
              </w:rPr>
            </w:pPr>
          </w:p>
        </w:tc>
        <w:tc>
          <w:tcPr>
            <w:tcW w:w="1120" w:type="dxa"/>
            <w:vAlign w:val="bottom"/>
            <w:shd w:val="clear" w:color="auto" w:fill="CEFFE7"/>
          </w:tcPr>
          <w:p>
            <w:pPr>
              <w:spacing w:after="0"/>
              <w:rPr>
                <w:sz w:val="11"/>
                <w:szCs w:val="11"/>
                <w:color w:val="auto"/>
              </w:rPr>
            </w:pPr>
          </w:p>
        </w:tc>
        <w:tc>
          <w:tcPr>
            <w:tcW w:w="140" w:type="dxa"/>
            <w:vAlign w:val="bottom"/>
            <w:shd w:val="clear" w:color="auto" w:fill="CEFFE7"/>
          </w:tcPr>
          <w:p>
            <w:pPr>
              <w:spacing w:after="0"/>
              <w:rPr>
                <w:sz w:val="11"/>
                <w:szCs w:val="11"/>
                <w:color w:val="auto"/>
              </w:rPr>
            </w:pPr>
          </w:p>
        </w:tc>
        <w:tc>
          <w:tcPr>
            <w:tcW w:w="140" w:type="dxa"/>
            <w:vAlign w:val="bottom"/>
            <w:shd w:val="clear" w:color="auto" w:fill="CEFFE7"/>
          </w:tcPr>
          <w:p>
            <w:pPr>
              <w:spacing w:after="0"/>
              <w:rPr>
                <w:sz w:val="11"/>
                <w:szCs w:val="11"/>
                <w:color w:val="auto"/>
              </w:rPr>
            </w:pPr>
          </w:p>
        </w:tc>
        <w:tc>
          <w:tcPr>
            <w:tcW w:w="1260" w:type="dxa"/>
            <w:vAlign w:val="bottom"/>
            <w:shd w:val="clear" w:color="auto" w:fill="CEFFE7"/>
          </w:tcPr>
          <w:p>
            <w:pPr>
              <w:spacing w:after="0"/>
              <w:rPr>
                <w:sz w:val="11"/>
                <w:szCs w:val="11"/>
                <w:color w:val="auto"/>
              </w:rPr>
            </w:pPr>
          </w:p>
        </w:tc>
        <w:tc>
          <w:tcPr>
            <w:tcW w:w="360" w:type="dxa"/>
            <w:vAlign w:val="bottom"/>
            <w:shd w:val="clear" w:color="auto" w:fill="CEFFE7"/>
          </w:tcPr>
          <w:p>
            <w:pPr>
              <w:spacing w:after="0"/>
              <w:rPr>
                <w:sz w:val="11"/>
                <w:szCs w:val="11"/>
                <w:color w:val="auto"/>
              </w:rPr>
            </w:pPr>
          </w:p>
        </w:tc>
        <w:tc>
          <w:tcPr>
            <w:tcW w:w="1120" w:type="dxa"/>
            <w:vAlign w:val="bottom"/>
            <w:shd w:val="clear" w:color="auto" w:fill="CEFFE7"/>
          </w:tcPr>
          <w:p>
            <w:pPr>
              <w:spacing w:after="0"/>
              <w:rPr>
                <w:sz w:val="11"/>
                <w:szCs w:val="11"/>
                <w:color w:val="auto"/>
              </w:rPr>
            </w:pP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3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Earnings per share, Basic</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0.70</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0.58</w:t>
            </w: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2.63</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2.41</w:t>
            </w:r>
          </w:p>
        </w:tc>
      </w:tr>
      <w:tr>
        <w:trPr>
          <w:trHeight w:val="210"/>
        </w:trPr>
        <w:tc>
          <w:tcPr>
            <w:tcW w:w="5340" w:type="dxa"/>
            <w:vAlign w:val="bottom"/>
          </w:tcPr>
          <w:p>
            <w:pPr>
              <w:ind w:left="140"/>
              <w:spacing w:after="0"/>
              <w:rPr>
                <w:sz w:val="20"/>
                <w:szCs w:val="20"/>
                <w:color w:val="auto"/>
              </w:rPr>
            </w:pPr>
            <w:r>
              <w:rPr>
                <w:rFonts w:ascii="Arial" w:cs="Arial" w:eastAsia="Arial" w:hAnsi="Arial"/>
                <w:sz w:val="16"/>
                <w:szCs w:val="16"/>
                <w:color w:val="auto"/>
              </w:rPr>
              <w:t>Earnings per share, 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0.70</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0.58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2.63</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2.41</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2980" w:type="dxa"/>
            <w:vAlign w:val="bottom"/>
            <w:gridSpan w:val="4"/>
          </w:tcPr>
          <w:p>
            <w:pPr>
              <w:ind w:left="120"/>
              <w:spacing w:after="0"/>
              <w:rPr>
                <w:sz w:val="20"/>
                <w:szCs w:val="20"/>
                <w:color w:val="auto"/>
              </w:rPr>
            </w:pPr>
            <w:r>
              <w:rPr>
                <w:rFonts w:ascii="Arial" w:cs="Arial" w:eastAsia="Arial" w:hAnsi="Arial"/>
                <w:sz w:val="16"/>
                <w:szCs w:val="16"/>
                <w:color w:val="auto"/>
              </w:rPr>
              <w:t>Three Months Ended September 30,</w:t>
            </w:r>
          </w:p>
        </w:tc>
        <w:tc>
          <w:tcPr>
            <w:tcW w:w="2860" w:type="dxa"/>
            <w:vAlign w:val="bottom"/>
            <w:gridSpan w:val="2"/>
          </w:tcPr>
          <w:p>
            <w:pPr>
              <w:jc w:val="right"/>
              <w:ind w:right="7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6460" w:type="dxa"/>
            <w:vAlign w:val="bottom"/>
            <w:gridSpan w:val="2"/>
          </w:tcPr>
          <w:p>
            <w:pPr>
              <w:jc w:val="right"/>
              <w:ind w:right="79"/>
              <w:spacing w:after="0"/>
              <w:rPr>
                <w:sz w:val="20"/>
                <w:szCs w:val="20"/>
                <w:color w:val="auto"/>
              </w:rPr>
            </w:pPr>
            <w:r>
              <w:rPr>
                <w:rFonts w:ascii="Arial" w:cs="Arial" w:eastAsia="Arial" w:hAnsi="Arial"/>
                <w:sz w:val="16"/>
                <w:szCs w:val="16"/>
                <w:color w:val="auto"/>
              </w:rPr>
              <w:t>2021</w:t>
            </w:r>
          </w:p>
        </w:tc>
        <w:tc>
          <w:tcPr>
            <w:tcW w:w="620" w:type="dxa"/>
            <w:vAlign w:val="bottom"/>
          </w:tcPr>
          <w:p>
            <w:pPr>
              <w:spacing w:after="0"/>
              <w:rPr>
                <w:sz w:val="19"/>
                <w:szCs w:val="19"/>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9"/>
                <w:szCs w:val="19"/>
                <w:color w:val="auto"/>
              </w:rPr>
            </w:pPr>
          </w:p>
        </w:tc>
        <w:tc>
          <w:tcPr>
            <w:tcW w:w="1660" w:type="dxa"/>
            <w:vAlign w:val="bottom"/>
          </w:tcPr>
          <w:p>
            <w:pPr>
              <w:jc w:val="right"/>
              <w:ind w:right="679"/>
              <w:spacing w:after="0"/>
              <w:rPr>
                <w:sz w:val="20"/>
                <w:szCs w:val="20"/>
                <w:color w:val="auto"/>
              </w:rPr>
            </w:pPr>
            <w:r>
              <w:rPr>
                <w:rFonts w:ascii="Arial" w:cs="Arial" w:eastAsia="Arial" w:hAnsi="Arial"/>
                <w:sz w:val="16"/>
                <w:szCs w:val="16"/>
                <w:color w:val="auto"/>
              </w:rPr>
              <w:t>2021</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2020</w:t>
            </w:r>
          </w:p>
        </w:tc>
      </w:tr>
      <w:tr>
        <w:trPr>
          <w:trHeight w:val="253"/>
        </w:trPr>
        <w:tc>
          <w:tcPr>
            <w:tcW w:w="54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16"/>
        </w:trPr>
        <w:tc>
          <w:tcPr>
            <w:tcW w:w="6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Equity compensation</w:t>
            </w:r>
          </w:p>
        </w:tc>
        <w:tc>
          <w:tcPr>
            <w:tcW w:w="6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9</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EFFE7"/>
          </w:tcPr>
          <w:p>
            <w:pPr>
              <w:spacing w:after="0"/>
              <w:rPr>
                <w:sz w:val="18"/>
                <w:szCs w:val="18"/>
                <w:color w:val="auto"/>
              </w:rPr>
            </w:pP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12</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54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Restricted stock</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EFFE7"/>
            </w:tcBorders>
          </w:tcPr>
          <w:p>
            <w:pPr>
              <w:spacing w:after="0"/>
              <w:rPr>
                <w:sz w:val="18"/>
                <w:szCs w:val="18"/>
                <w:color w:val="auto"/>
              </w:rPr>
            </w:pP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33"/>
        </w:trPr>
        <w:tc>
          <w:tcPr>
            <w:tcW w:w="646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Anti-dilutive shares</w:t>
            </w:r>
          </w:p>
        </w:tc>
        <w:tc>
          <w:tcPr>
            <w:tcW w:w="6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9</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EFFE7"/>
          </w:tcPr>
          <w:p>
            <w:pPr>
              <w:spacing w:after="0"/>
              <w:rPr>
                <w:sz w:val="20"/>
                <w:szCs w:val="20"/>
                <w:color w:val="auto"/>
              </w:rPr>
            </w:pP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13</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5400" w:type="dxa"/>
            <w:vAlign w:val="bottom"/>
            <w:tcBorders>
              <w:top w:val="single" w:sz="8" w:color="CEFFE7"/>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8240" w:firstLine="8"/>
        <w:spacing w:after="0" w:line="576" w:lineRule="auto"/>
        <w:tabs>
          <w:tab w:leader="none" w:pos="37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activities in the regulated and non-regulated energy sectors expose us to a number of risks in the normal operations of our businesses. Depending on the activity, we are exposed to varying degrees of market risk and credit risk.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24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to the following market risks, including, but not limited to:</w:t>
      </w:r>
    </w:p>
    <w:p>
      <w:pPr>
        <w:spacing w:after="0" w:line="222" w:lineRule="exact"/>
        <w:rPr>
          <w:sz w:val="20"/>
          <w:szCs w:val="20"/>
          <w:color w:val="auto"/>
        </w:rPr>
      </w:pPr>
    </w:p>
    <w:p>
      <w:pPr>
        <w:ind w:left="500" w:right="100" w:hanging="330"/>
        <w:spacing w:after="0" w:line="253"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as well as our fuel procurement for several of our gas-fired generation assets, which include market fluctuations due to unpredictable factors such as weather (Winter Storm Uri), market speculation, pipeline constraints, and other factors that may impact natural gas and electric energy supply and demand; and</w:t>
      </w:r>
    </w:p>
    <w:p>
      <w:pPr>
        <w:spacing w:after="0" w:line="228" w:lineRule="exact"/>
        <w:rPr>
          <w:rFonts w:ascii="Arial" w:cs="Arial" w:eastAsia="Arial" w:hAnsi="Arial"/>
          <w:sz w:val="16"/>
          <w:szCs w:val="16"/>
          <w:color w:val="auto"/>
        </w:rPr>
      </w:pPr>
    </w:p>
    <w:p>
      <w:pPr>
        <w:ind w:left="500" w:right="400" w:hanging="330"/>
        <w:spacing w:after="0" w:line="260"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248"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68" w:lineRule="exact"/>
        <w:rPr>
          <w:sz w:val="20"/>
          <w:szCs w:val="20"/>
          <w:color w:val="auto"/>
        </w:rPr>
      </w:pPr>
    </w:p>
    <w:p>
      <w:pPr>
        <w:ind w:right="40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Our derivative and hedging activities included in the accompanying Condensed Consolidated Balance Sheets, Condensed Consolidated Statements of Income and Condensed Consolidated Statements of Comprehensive Income are detailed below and in </w:t>
      </w:r>
      <w:hyperlink w:anchor="page26">
        <w:r>
          <w:rPr>
            <w:rFonts w:ascii="Arial" w:cs="Arial" w:eastAsia="Arial" w:hAnsi="Arial"/>
            <w:sz w:val="16"/>
            <w:szCs w:val="16"/>
            <w:u w:val="single" w:color="auto"/>
            <w:color w:val="0000FF"/>
          </w:rPr>
          <w:t>Note 8</w:t>
        </w:r>
      </w:hyperlink>
      <w:r>
        <w:rPr>
          <w:rFonts w:ascii="Arial" w:cs="Arial" w:eastAsia="Arial" w:hAnsi="Arial"/>
          <w:sz w:val="16"/>
          <w:szCs w:val="16"/>
          <w:color w:val="auto"/>
        </w:rPr>
        <w:t>.</w:t>
      </w:r>
    </w:p>
    <w:p>
      <w:pPr>
        <w:spacing w:after="0" w:line="22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generating facilities or those facilities under PPAs where our Electric Utilities must provide the generation fuel (tolling agreements), expose our utility customers to natural gas price volatility. Therefore, as allowed or required by state regulatory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the state regulatory commission guidelines. When the related costs are recovered through our rates, the hedging activity is recognized in the Condensed Consolidated Statements of Income.</w:t>
      </w:r>
    </w:p>
    <w:p>
      <w:pPr>
        <w:spacing w:after="0" w:line="229"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periodically use wholesale power purchase and sale contracts to manage purchased power costs and load requirements associated with serving our electric customers that are considered derivative instruments due to not qualifying for the normal purchases and normal sales exception to derivative accounting. Changes in the fair value of these commodity derivatives are recognized in the Condensed Consolidated Statements of Income.</w:t>
      </w:r>
    </w:p>
    <w:p>
      <w:pPr>
        <w:spacing w:after="0" w:line="228"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 using over-the-counter and exchange traded options and swaps with counterparties in anticipation of forecasted purchases and sales during time frames ranging from October 2021 through August 2024.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Condensed Consolidated Balance Sheets and reclassified into earnings in the same period that the underlying hedged item is recognized in earnings. Effectiveness of our hedging position is evaluated at least quarterly.</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color w:val="auto"/>
              </w:rPr>
              <w:t>September 30, 2021</w:t>
            </w:r>
          </w:p>
        </w:tc>
        <w:tc>
          <w:tcPr>
            <w:tcW w:w="100" w:type="dxa"/>
            <w:vAlign w:val="bottom"/>
          </w:tcPr>
          <w:p>
            <w:pPr>
              <w:spacing w:after="0"/>
              <w:rPr>
                <w:sz w:val="17"/>
                <w:szCs w:val="17"/>
                <w:color w:val="auto"/>
              </w:rPr>
            </w:pPr>
          </w:p>
        </w:tc>
        <w:tc>
          <w:tcPr>
            <w:tcW w:w="252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color w:val="auto"/>
              </w:rPr>
              <w:t>December 31, 2020</w:t>
            </w:r>
          </w:p>
        </w:tc>
      </w:tr>
      <w:tr>
        <w:trPr>
          <w:trHeight w:val="174"/>
        </w:trPr>
        <w:tc>
          <w:tcPr>
            <w:tcW w:w="4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00"/>
              <w:spacing w:after="0" w:line="174" w:lineRule="exact"/>
              <w:rPr>
                <w:sz w:val="20"/>
                <w:szCs w:val="20"/>
                <w:color w:val="auto"/>
              </w:rPr>
            </w:pPr>
            <w:r>
              <w:rPr>
                <w:rFonts w:ascii="Arial" w:cs="Arial" w:eastAsia="Arial" w:hAnsi="Arial"/>
                <w:sz w:val="16"/>
                <w:szCs w:val="16"/>
                <w:color w:val="auto"/>
              </w:rPr>
              <w:t>Maximum</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4" w:lineRule="exact"/>
              <w:rPr>
                <w:sz w:val="20"/>
                <w:szCs w:val="20"/>
                <w:color w:val="auto"/>
              </w:rPr>
            </w:pPr>
            <w:r>
              <w:rPr>
                <w:rFonts w:ascii="Arial" w:cs="Arial" w:eastAsia="Arial" w:hAnsi="Arial"/>
                <w:sz w:val="16"/>
                <w:szCs w:val="16"/>
                <w:color w:val="auto"/>
              </w:rPr>
              <w:t>Maximum</w:t>
            </w:r>
          </w:p>
        </w:tc>
      </w:tr>
      <w:tr>
        <w:trPr>
          <w:trHeight w:val="147"/>
        </w:trPr>
        <w:tc>
          <w:tcPr>
            <w:tcW w:w="4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2"/>
          </w:tcPr>
          <w:p>
            <w:pPr>
              <w:ind w:left="320"/>
              <w:spacing w:after="0" w:line="147" w:lineRule="exact"/>
              <w:rPr>
                <w:sz w:val="20"/>
                <w:szCs w:val="20"/>
                <w:color w:val="auto"/>
              </w:rPr>
            </w:pPr>
            <w:r>
              <w:rPr>
                <w:rFonts w:ascii="Arial" w:cs="Arial" w:eastAsia="Arial" w:hAnsi="Arial"/>
                <w:sz w:val="16"/>
                <w:szCs w:val="16"/>
                <w:color w:val="auto"/>
              </w:rPr>
              <w:t>Notional</w:t>
            </w:r>
          </w:p>
        </w:tc>
        <w:tc>
          <w:tcPr>
            <w:tcW w:w="1300" w:type="dxa"/>
            <w:vAlign w:val="bottom"/>
            <w:gridSpan w:val="2"/>
          </w:tcPr>
          <w:p>
            <w:pPr>
              <w:jc w:val="center"/>
              <w:ind w:right="100"/>
              <w:spacing w:after="0" w:line="147" w:lineRule="exact"/>
              <w:rPr>
                <w:sz w:val="20"/>
                <w:szCs w:val="20"/>
                <w:color w:val="auto"/>
              </w:rPr>
            </w:pPr>
            <w:r>
              <w:rPr>
                <w:rFonts w:ascii="Arial" w:cs="Arial" w:eastAsia="Arial" w:hAnsi="Arial"/>
                <w:sz w:val="16"/>
                <w:szCs w:val="16"/>
                <w:color w:val="auto"/>
                <w:w w:val="96"/>
              </w:rPr>
              <w:t>Term</w:t>
            </w:r>
          </w:p>
        </w:tc>
        <w:tc>
          <w:tcPr>
            <w:tcW w:w="1320" w:type="dxa"/>
            <w:vAlign w:val="bottom"/>
            <w:gridSpan w:val="2"/>
          </w:tcPr>
          <w:p>
            <w:pPr>
              <w:ind w:left="300"/>
              <w:spacing w:after="0" w:line="147" w:lineRule="exact"/>
              <w:rPr>
                <w:sz w:val="20"/>
                <w:szCs w:val="20"/>
                <w:color w:val="auto"/>
              </w:rPr>
            </w:pPr>
            <w:r>
              <w:rPr>
                <w:rFonts w:ascii="Arial" w:cs="Arial" w:eastAsia="Arial" w:hAnsi="Arial"/>
                <w:sz w:val="16"/>
                <w:szCs w:val="16"/>
                <w:color w:val="auto"/>
              </w:rPr>
              <w:t>Notional</w:t>
            </w:r>
          </w:p>
        </w:tc>
        <w:tc>
          <w:tcPr>
            <w:tcW w:w="1200" w:type="dxa"/>
            <w:vAlign w:val="bottom"/>
          </w:tcPr>
          <w:p>
            <w:pPr>
              <w:jc w:val="center"/>
              <w:spacing w:after="0" w:line="147" w:lineRule="exact"/>
              <w:rPr>
                <w:sz w:val="20"/>
                <w:szCs w:val="20"/>
                <w:color w:val="auto"/>
              </w:rPr>
            </w:pPr>
            <w:r>
              <w:rPr>
                <w:rFonts w:ascii="Arial" w:cs="Arial" w:eastAsia="Arial" w:hAnsi="Arial"/>
                <w:sz w:val="16"/>
                <w:szCs w:val="16"/>
                <w:color w:val="auto"/>
                <w:w w:val="96"/>
              </w:rPr>
              <w:t>Term</w:t>
            </w:r>
          </w:p>
        </w:tc>
      </w:tr>
      <w:tr>
        <w:trPr>
          <w:trHeight w:val="216"/>
        </w:trPr>
        <w:tc>
          <w:tcPr>
            <w:tcW w:w="48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Units</w:t>
            </w:r>
          </w:p>
        </w:tc>
        <w:tc>
          <w:tcPr>
            <w:tcW w:w="1340" w:type="dxa"/>
            <w:vAlign w:val="bottom"/>
            <w:gridSpan w:val="2"/>
          </w:tcPr>
          <w:p>
            <w:pPr>
              <w:ind w:left="320"/>
              <w:spacing w:after="0"/>
              <w:rPr>
                <w:sz w:val="20"/>
                <w:szCs w:val="20"/>
                <w:color w:val="auto"/>
              </w:rPr>
            </w:pPr>
            <w:r>
              <w:rPr>
                <w:rFonts w:ascii="Arial" w:cs="Arial" w:eastAsia="Arial" w:hAnsi="Arial"/>
                <w:sz w:val="16"/>
                <w:szCs w:val="16"/>
                <w:color w:val="auto"/>
              </w:rPr>
              <w:t>Amounts</w:t>
            </w:r>
          </w:p>
        </w:tc>
        <w:tc>
          <w:tcPr>
            <w:tcW w:w="130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Amounts</w:t>
            </w:r>
          </w:p>
        </w:tc>
        <w:tc>
          <w:tcPr>
            <w:tcW w:w="1200" w:type="dxa"/>
            <w:vAlign w:val="bottom"/>
          </w:tcPr>
          <w:p>
            <w:pPr>
              <w:jc w:val="center"/>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r>
      <w:tr>
        <w:trPr>
          <w:trHeight w:val="209"/>
        </w:trPr>
        <w:tc>
          <w:tcPr>
            <w:tcW w:w="480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28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1,700,000</w:t>
            </w:r>
          </w:p>
        </w:tc>
        <w:tc>
          <w:tcPr>
            <w:tcW w:w="100" w:type="dxa"/>
            <w:vAlign w:val="bottom"/>
            <w:tcBorders>
              <w:top w:val="single" w:sz="8" w:color="CEFFE7"/>
            </w:tcBorders>
            <w:shd w:val="clear" w:color="auto" w:fill="CEFFE7"/>
          </w:tcPr>
          <w:p>
            <w:pPr>
              <w:spacing w:after="0"/>
              <w:rPr>
                <w:sz w:val="18"/>
                <w:szCs w:val="18"/>
                <w:color w:val="auto"/>
              </w:rPr>
            </w:pPr>
          </w:p>
        </w:tc>
        <w:tc>
          <w:tcPr>
            <w:tcW w:w="120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Borders>
              <w:top w:val="single" w:sz="8" w:color="CEFFE7"/>
            </w:tcBorders>
            <w:shd w:val="clear" w:color="auto" w:fill="CEFFE7"/>
          </w:tcPr>
          <w:p>
            <w:pPr>
              <w:spacing w:after="0"/>
              <w:rPr>
                <w:sz w:val="18"/>
                <w:szCs w:val="18"/>
                <w:color w:val="auto"/>
              </w:rPr>
            </w:pPr>
          </w:p>
        </w:tc>
        <w:tc>
          <w:tcPr>
            <w:tcW w:w="12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620,000</w:t>
            </w:r>
          </w:p>
        </w:tc>
        <w:tc>
          <w:tcPr>
            <w:tcW w:w="100" w:type="dxa"/>
            <w:vAlign w:val="bottom"/>
            <w:tcBorders>
              <w:top w:val="single" w:sz="8" w:color="CEFFE7"/>
            </w:tcBorders>
            <w:shd w:val="clear" w:color="auto" w:fill="CEFFE7"/>
          </w:tcPr>
          <w:p>
            <w:pPr>
              <w:spacing w:after="0"/>
              <w:rPr>
                <w:sz w:val="18"/>
                <w:szCs w:val="18"/>
                <w:color w:val="auto"/>
              </w:rPr>
            </w:pPr>
          </w:p>
        </w:tc>
        <w:tc>
          <w:tcPr>
            <w:tcW w:w="120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280" w:type="dxa"/>
            <w:vAlign w:val="bottom"/>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tcPr>
          <w:p>
            <w:pPr>
              <w:jc w:val="right"/>
              <w:spacing w:after="0"/>
              <w:rPr>
                <w:sz w:val="20"/>
                <w:szCs w:val="20"/>
                <w:color w:val="auto"/>
              </w:rPr>
            </w:pPr>
            <w:r>
              <w:rPr>
                <w:rFonts w:ascii="Arial" w:cs="Arial" w:eastAsia="Arial" w:hAnsi="Arial"/>
                <w:sz w:val="16"/>
                <w:szCs w:val="16"/>
                <w:color w:val="auto"/>
              </w:rPr>
              <w:t>8,420,000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219"/>
        </w:trPr>
        <w:tc>
          <w:tcPr>
            <w:tcW w:w="4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EFFE7"/>
          </w:tcPr>
          <w:p>
            <w:pPr>
              <w:spacing w:after="0"/>
              <w:rPr>
                <w:sz w:val="19"/>
                <w:szCs w:val="19"/>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w:t>
            </w:r>
          </w:p>
        </w:tc>
      </w:tr>
      <w:tr>
        <w:trPr>
          <w:trHeight w:val="216"/>
        </w:trPr>
        <w:tc>
          <w:tcPr>
            <w:tcW w:w="4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280" w:type="dxa"/>
            <w:vAlign w:val="bottom"/>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tcPr>
          <w:p>
            <w:pPr>
              <w:jc w:val="right"/>
              <w:spacing w:after="0"/>
              <w:rPr>
                <w:sz w:val="20"/>
                <w:szCs w:val="20"/>
                <w:color w:val="auto"/>
              </w:rPr>
            </w:pPr>
            <w:r>
              <w:rPr>
                <w:rFonts w:ascii="Arial" w:cs="Arial" w:eastAsia="Arial" w:hAnsi="Arial"/>
                <w:sz w:val="16"/>
                <w:szCs w:val="16"/>
                <w:color w:val="auto"/>
              </w:rPr>
              <w:t>5,920,000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3,850,000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17</w:t>
            </w:r>
          </w:p>
        </w:tc>
      </w:tr>
      <w:tr>
        <w:trPr>
          <w:trHeight w:val="216"/>
        </w:trPr>
        <w:tc>
          <w:tcPr>
            <w:tcW w:w="48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18,758,835</w:t>
            </w:r>
          </w:p>
        </w:tc>
        <w:tc>
          <w:tcPr>
            <w:tcW w:w="100" w:type="dxa"/>
            <w:vAlign w:val="bottom"/>
            <w:shd w:val="clear" w:color="auto" w:fill="CEFFE7"/>
          </w:tcPr>
          <w:p>
            <w:pPr>
              <w:spacing w:after="0"/>
              <w:rPr>
                <w:sz w:val="18"/>
                <w:szCs w:val="18"/>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17,513,061</w:t>
            </w:r>
          </w:p>
        </w:tc>
        <w:tc>
          <w:tcPr>
            <w:tcW w:w="100" w:type="dxa"/>
            <w:vAlign w:val="bottom"/>
            <w:shd w:val="clear" w:color="auto" w:fill="CEFFE7"/>
          </w:tcPr>
          <w:p>
            <w:pPr>
              <w:spacing w:after="0"/>
              <w:rPr>
                <w:sz w:val="18"/>
                <w:szCs w:val="18"/>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22</w:t>
            </w:r>
          </w:p>
        </w:tc>
      </w:tr>
      <w:tr>
        <w:trPr>
          <w:trHeight w:val="268"/>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Electric wholesale contracts </w:t>
            </w:r>
            <w:r>
              <w:rPr>
                <w:rFonts w:ascii="Arial" w:cs="Arial" w:eastAsia="Arial" w:hAnsi="Arial"/>
                <w:sz w:val="21"/>
                <w:szCs w:val="21"/>
                <w:color w:val="auto"/>
                <w:vertAlign w:val="superscript"/>
              </w:rPr>
              <w:t>(c)</w:t>
            </w:r>
          </w:p>
        </w:tc>
        <w:tc>
          <w:tcPr>
            <w:tcW w:w="1280" w:type="dxa"/>
            <w:vAlign w:val="bottom"/>
          </w:tcPr>
          <w:p>
            <w:pPr>
              <w:jc w:val="center"/>
              <w:spacing w:after="0"/>
              <w:rPr>
                <w:sz w:val="20"/>
                <w:szCs w:val="20"/>
                <w:color w:val="auto"/>
              </w:rPr>
            </w:pPr>
            <w:r>
              <w:rPr>
                <w:rFonts w:ascii="Arial" w:cs="Arial" w:eastAsia="Arial" w:hAnsi="Arial"/>
                <w:sz w:val="16"/>
                <w:szCs w:val="16"/>
                <w:color w:val="auto"/>
              </w:rPr>
              <w:t>MWh</w:t>
            </w:r>
          </w:p>
        </w:tc>
        <w:tc>
          <w:tcPr>
            <w:tcW w:w="1240" w:type="dxa"/>
            <w:vAlign w:val="bottom"/>
          </w:tcPr>
          <w:p>
            <w:pPr>
              <w:jc w:val="right"/>
              <w:spacing w:after="0"/>
              <w:rPr>
                <w:sz w:val="20"/>
                <w:szCs w:val="20"/>
                <w:color w:val="auto"/>
              </w:rPr>
            </w:pPr>
            <w:r>
              <w:rPr>
                <w:rFonts w:ascii="Arial" w:cs="Arial" w:eastAsia="Arial" w:hAnsi="Arial"/>
                <w:sz w:val="16"/>
                <w:szCs w:val="16"/>
                <w:color w:val="auto"/>
              </w:rPr>
              <w:t>65,625</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219,000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12</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September 30, 2021, 2,700,000 MMBtus of natural gas over-the-counter swaps purchases were designated as cash flow hedges.</w:t>
      </w:r>
    </w:p>
    <w:p>
      <w:pPr>
        <w:spacing w:after="0" w:line="1" w:lineRule="exact"/>
        <w:rPr>
          <w:rFonts w:ascii="Arial" w:cs="Arial" w:eastAsia="Arial" w:hAnsi="Arial"/>
          <w:sz w:val="14"/>
          <w:szCs w:val="14"/>
          <w:color w:val="auto"/>
        </w:rPr>
      </w:pPr>
    </w:p>
    <w:p>
      <w:pPr>
        <w:ind w:left="360" w:hanging="352"/>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241"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September 30, 2021, the Company posted $0.9 million related to such provisions, which is included in Other current assets on the Condensed Consolidated Balance Sheets.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248"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thousands) as of:</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34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Balance Sheet Location</w:t>
            </w: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September 30, 2021</w:t>
            </w: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199"/>
        </w:trPr>
        <w:tc>
          <w:tcPr>
            <w:tcW w:w="3820" w:type="dxa"/>
            <w:vAlign w:val="bottom"/>
          </w:tcPr>
          <w:p>
            <w:pPr>
              <w:ind w:left="20"/>
              <w:spacing w:after="0"/>
              <w:rPr>
                <w:sz w:val="20"/>
                <w:szCs w:val="20"/>
                <w:color w:val="auto"/>
              </w:rPr>
            </w:pPr>
            <w:r>
              <w:rPr>
                <w:rFonts w:ascii="Arial" w:cs="Arial" w:eastAsia="Arial" w:hAnsi="Arial"/>
                <w:sz w:val="16"/>
                <w:szCs w:val="16"/>
                <w:color w:val="auto"/>
              </w:rPr>
              <w:t>Derivatives designated as hedges:</w:t>
            </w: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4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46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6,989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9"/>
        </w:trPr>
        <w:tc>
          <w:tcPr>
            <w:tcW w:w="38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4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EFFE7"/>
            </w:tcBorders>
          </w:tcPr>
          <w:p>
            <w:pPr>
              <w:spacing w:after="0" w:line="20" w:lineRule="exact"/>
              <w:rPr>
                <w:sz w:val="1"/>
                <w:szCs w:val="1"/>
                <w:color w:val="auto"/>
              </w:rPr>
            </w:pPr>
          </w:p>
        </w:tc>
        <w:tc>
          <w:tcPr>
            <w:tcW w:w="3460" w:type="dxa"/>
            <w:vAlign w:val="bottom"/>
            <w:tcBorders>
              <w:bottom w:val="single" w:sz="8" w:color="CEFFE7"/>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shd w:val="clear" w:color="auto" w:fill="CEFFE7"/>
          </w:tcPr>
          <w:p>
            <w:pPr>
              <w:spacing w:after="0"/>
              <w:rPr>
                <w:sz w:val="20"/>
                <w:szCs w:val="20"/>
                <w:color w:val="auto"/>
              </w:rPr>
            </w:pPr>
          </w:p>
        </w:tc>
        <w:tc>
          <w:tcPr>
            <w:tcW w:w="346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180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180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Derivatives not designated as hedges:</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4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46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5,327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1,667</w:t>
            </w:r>
          </w:p>
        </w:tc>
        <w:tc>
          <w:tcPr>
            <w:tcW w:w="0" w:type="dxa"/>
            <w:vAlign w:val="bottom"/>
          </w:tcPr>
          <w:p>
            <w:pPr>
              <w:spacing w:after="0"/>
              <w:rPr>
                <w:sz w:val="1"/>
                <w:szCs w:val="1"/>
                <w:color w:val="auto"/>
              </w:rPr>
            </w:pPr>
          </w:p>
        </w:tc>
      </w:tr>
      <w:tr>
        <w:trPr>
          <w:trHeight w:val="219"/>
        </w:trPr>
        <w:tc>
          <w:tcPr>
            <w:tcW w:w="38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1,580</w:t>
            </w: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(3,471)</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4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60" w:type="dxa"/>
            <w:vAlign w:val="bottom"/>
            <w:vMerge w:val="restart"/>
          </w:tcPr>
          <w:p>
            <w:pPr>
              <w:ind w:left="1720"/>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38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8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impacts of cash flow hedges on our Condensed Consolidated Statements of Comprehensive Income and Condensed Consolidated Statements of Income are presented below for the three and nine months ended September 30, 2021 and 2020.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3"/>
          </w:tcPr>
          <w:p>
            <w:pPr>
              <w:jc w:val="center"/>
              <w:ind w:right="79"/>
              <w:spacing w:after="0"/>
              <w:rPr>
                <w:sz w:val="20"/>
                <w:szCs w:val="20"/>
                <w:color w:val="auto"/>
              </w:rPr>
            </w:pPr>
            <w:r>
              <w:rPr>
                <w:rFonts w:ascii="Arial" w:cs="Arial" w:eastAsia="Arial" w:hAnsi="Arial"/>
                <w:sz w:val="16"/>
                <w:szCs w:val="16"/>
                <w:color w:val="auto"/>
              </w:rPr>
              <w:t>Three Months Ended</w:t>
            </w:r>
          </w:p>
        </w:tc>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3"/>
          </w:tcPr>
          <w:p>
            <w:pPr>
              <w:jc w:val="center"/>
              <w:ind w:right="99"/>
              <w:spacing w:after="0"/>
              <w:rPr>
                <w:sz w:val="20"/>
                <w:szCs w:val="20"/>
                <w:color w:val="auto"/>
              </w:rPr>
            </w:pPr>
            <w:r>
              <w:rPr>
                <w:rFonts w:ascii="Arial" w:cs="Arial" w:eastAsia="Arial" w:hAnsi="Arial"/>
                <w:sz w:val="16"/>
                <w:szCs w:val="16"/>
                <w:color w:val="auto"/>
              </w:rPr>
              <w:t>Three Months Ended</w:t>
            </w:r>
          </w:p>
        </w:tc>
      </w:tr>
      <w:tr>
        <w:trPr>
          <w:trHeight w:val="198"/>
        </w:trPr>
        <w:tc>
          <w:tcPr>
            <w:tcW w:w="3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color w:val="auto"/>
              </w:rPr>
              <w:t>September 30,</w:t>
            </w:r>
          </w:p>
        </w:tc>
        <w:tc>
          <w:tcPr>
            <w:tcW w:w="40" w:type="dxa"/>
            <w:vAlign w:val="bottom"/>
            <w:tcBorders>
              <w:bottom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color w:val="auto"/>
              </w:rPr>
              <w:t>September 30,</w:t>
            </w:r>
          </w:p>
        </w:tc>
      </w:tr>
      <w:tr>
        <w:trPr>
          <w:trHeight w:val="210"/>
        </w:trPr>
        <w:tc>
          <w:tcPr>
            <w:tcW w:w="3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r>
      <w:tr>
        <w:trPr>
          <w:trHeight w:val="174"/>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jc w:val="center"/>
              <w:ind w:right="99"/>
              <w:spacing w:after="0" w:line="174" w:lineRule="exact"/>
              <w:rPr>
                <w:sz w:val="20"/>
                <w:szCs w:val="20"/>
                <w:color w:val="auto"/>
              </w:rPr>
            </w:pPr>
            <w:r>
              <w:rPr>
                <w:rFonts w:ascii="Arial" w:cs="Arial" w:eastAsia="Arial" w:hAnsi="Arial"/>
                <w:sz w:val="16"/>
                <w:szCs w:val="16"/>
                <w:color w:val="auto"/>
              </w:rPr>
              <w:t>Amount of Gain/(Loss)</w:t>
            </w:r>
          </w:p>
        </w:tc>
      </w:tr>
      <w:tr>
        <w:trPr>
          <w:trHeight w:val="162"/>
        </w:trPr>
        <w:tc>
          <w:tcPr>
            <w:tcW w:w="3460" w:type="dxa"/>
            <w:vAlign w:val="bottom"/>
          </w:tcPr>
          <w:p>
            <w:pPr>
              <w:jc w:val="center"/>
              <w:spacing w:after="0" w:line="162" w:lineRule="exact"/>
              <w:rPr>
                <w:sz w:val="20"/>
                <w:szCs w:val="20"/>
                <w:color w:val="auto"/>
              </w:rPr>
            </w:pPr>
            <w:r>
              <w:rPr>
                <w:rFonts w:ascii="Arial" w:cs="Arial" w:eastAsia="Arial" w:hAnsi="Arial"/>
                <w:sz w:val="16"/>
                <w:szCs w:val="16"/>
                <w:color w:val="auto"/>
              </w:rPr>
              <w:t>Derivatives in Cash Flow Hedging</w:t>
            </w:r>
          </w:p>
        </w:tc>
        <w:tc>
          <w:tcPr>
            <w:tcW w:w="200" w:type="dxa"/>
            <w:vAlign w:val="bottom"/>
          </w:tcPr>
          <w:p>
            <w:pPr>
              <w:spacing w:after="0"/>
              <w:rPr>
                <w:sz w:val="14"/>
                <w:szCs w:val="14"/>
                <w:color w:val="auto"/>
              </w:rPr>
            </w:pPr>
          </w:p>
        </w:tc>
        <w:tc>
          <w:tcPr>
            <w:tcW w:w="1960" w:type="dxa"/>
            <w:vAlign w:val="bottom"/>
            <w:gridSpan w:val="3"/>
          </w:tcPr>
          <w:p>
            <w:pPr>
              <w:jc w:val="center"/>
              <w:ind w:right="59"/>
              <w:spacing w:after="0" w:line="162" w:lineRule="exact"/>
              <w:rPr>
                <w:sz w:val="20"/>
                <w:szCs w:val="20"/>
                <w:color w:val="auto"/>
              </w:rPr>
            </w:pPr>
            <w:r>
              <w:rPr>
                <w:rFonts w:ascii="Arial" w:cs="Arial" w:eastAsia="Arial" w:hAnsi="Arial"/>
                <w:sz w:val="16"/>
                <w:szCs w:val="16"/>
                <w:color w:val="auto"/>
              </w:rPr>
              <w:t>Amount of Gain/(Loss)</w:t>
            </w:r>
          </w:p>
        </w:tc>
        <w:tc>
          <w:tcPr>
            <w:tcW w:w="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Reclassified from AOCI into</w:t>
            </w:r>
          </w:p>
        </w:tc>
      </w:tr>
      <w:tr>
        <w:trPr>
          <w:trHeight w:val="198"/>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Relationships</w:t>
            </w: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color w:val="auto"/>
              </w:rPr>
              <w:t>Recognized in OCI</w:t>
            </w:r>
          </w:p>
        </w:tc>
        <w:tc>
          <w:tcPr>
            <w:tcW w:w="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Income Statement Location</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color w:val="auto"/>
                <w:w w:val="99"/>
              </w:rPr>
              <w:t>Income</w:t>
            </w:r>
          </w:p>
        </w:tc>
        <w:tc>
          <w:tcPr>
            <w:tcW w:w="780" w:type="dxa"/>
            <w:vAlign w:val="bottom"/>
            <w:tcBorders>
              <w:bottom w:val="single" w:sz="8" w:color="auto"/>
            </w:tcBorders>
          </w:tcPr>
          <w:p>
            <w:pPr>
              <w:spacing w:after="0"/>
              <w:rPr>
                <w:sz w:val="17"/>
                <w:szCs w:val="17"/>
                <w:color w:val="auto"/>
              </w:rPr>
            </w:pPr>
          </w:p>
        </w:tc>
      </w:tr>
      <w:tr>
        <w:trPr>
          <w:trHeight w:val="209"/>
        </w:trPr>
        <w:tc>
          <w:tcPr>
            <w:tcW w:w="346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color w:val="auto"/>
              </w:rPr>
              <w:t>(in thousands)</w:t>
            </w:r>
          </w:p>
        </w:tc>
      </w:tr>
      <w:tr>
        <w:trPr>
          <w:trHeight w:val="160"/>
        </w:trPr>
        <w:tc>
          <w:tcPr>
            <w:tcW w:w="3460" w:type="dxa"/>
            <w:vAlign w:val="bottom"/>
            <w:shd w:val="clear" w:color="auto" w:fill="CEFFE7"/>
          </w:tcPr>
          <w:p>
            <w:pPr>
              <w:spacing w:after="0"/>
              <w:rPr>
                <w:sz w:val="13"/>
                <w:szCs w:val="13"/>
                <w:color w:val="auto"/>
              </w:rPr>
            </w:pPr>
          </w:p>
        </w:tc>
        <w:tc>
          <w:tcPr>
            <w:tcW w:w="200" w:type="dxa"/>
            <w:vAlign w:val="bottom"/>
            <w:shd w:val="clear" w:color="auto" w:fill="CEFFE7"/>
          </w:tcPr>
          <w:p>
            <w:pPr>
              <w:spacing w:after="0"/>
              <w:rPr>
                <w:sz w:val="13"/>
                <w:szCs w:val="13"/>
                <w:color w:val="auto"/>
              </w:rPr>
            </w:pPr>
          </w:p>
        </w:tc>
        <w:tc>
          <w:tcPr>
            <w:tcW w:w="860" w:type="dxa"/>
            <w:vAlign w:val="bottom"/>
            <w:shd w:val="clear" w:color="auto" w:fill="CEFFE7"/>
          </w:tcPr>
          <w:p>
            <w:pPr>
              <w:spacing w:after="0"/>
              <w:rPr>
                <w:sz w:val="13"/>
                <w:szCs w:val="13"/>
                <w:color w:val="auto"/>
              </w:rPr>
            </w:pPr>
          </w:p>
        </w:tc>
        <w:tc>
          <w:tcPr>
            <w:tcW w:w="260" w:type="dxa"/>
            <w:vAlign w:val="bottom"/>
            <w:shd w:val="clear" w:color="auto" w:fill="CEFFE7"/>
          </w:tcPr>
          <w:p>
            <w:pPr>
              <w:spacing w:after="0"/>
              <w:rPr>
                <w:sz w:val="13"/>
                <w:szCs w:val="13"/>
                <w:color w:val="auto"/>
              </w:rPr>
            </w:pPr>
          </w:p>
        </w:tc>
        <w:tc>
          <w:tcPr>
            <w:tcW w:w="840" w:type="dxa"/>
            <w:vAlign w:val="bottom"/>
            <w:shd w:val="clear" w:color="auto" w:fill="CEFFE7"/>
          </w:tcPr>
          <w:p>
            <w:pPr>
              <w:spacing w:after="0"/>
              <w:rPr>
                <w:sz w:val="13"/>
                <w:szCs w:val="13"/>
                <w:color w:val="auto"/>
              </w:rPr>
            </w:pPr>
          </w:p>
        </w:tc>
        <w:tc>
          <w:tcPr>
            <w:tcW w:w="40" w:type="dxa"/>
            <w:vAlign w:val="bottom"/>
            <w:shd w:val="clear" w:color="auto" w:fill="CEFFE7"/>
          </w:tcPr>
          <w:p>
            <w:pPr>
              <w:spacing w:after="0"/>
              <w:rPr>
                <w:sz w:val="13"/>
                <w:szCs w:val="13"/>
                <w:color w:val="auto"/>
              </w:rPr>
            </w:pPr>
          </w:p>
        </w:tc>
        <w:tc>
          <w:tcPr>
            <w:tcW w:w="3380" w:type="dxa"/>
            <w:vAlign w:val="bottom"/>
            <w:shd w:val="clear" w:color="auto" w:fill="CEFFE7"/>
          </w:tcPr>
          <w:p>
            <w:pPr>
              <w:ind w:left="20"/>
              <w:spacing w:after="0" w:line="161" w:lineRule="exact"/>
              <w:rPr>
                <w:sz w:val="20"/>
                <w:szCs w:val="20"/>
                <w:color w:val="auto"/>
              </w:rPr>
            </w:pPr>
            <w:r>
              <w:rPr>
                <w:rFonts w:ascii="Arial" w:cs="Arial" w:eastAsia="Arial" w:hAnsi="Arial"/>
                <w:sz w:val="16"/>
                <w:szCs w:val="16"/>
                <w:color w:val="auto"/>
              </w:rPr>
              <w:t>Interest expense incurred net of amounts</w:t>
            </w:r>
          </w:p>
        </w:tc>
        <w:tc>
          <w:tcPr>
            <w:tcW w:w="40" w:type="dxa"/>
            <w:vAlign w:val="bottom"/>
            <w:shd w:val="clear" w:color="auto" w:fill="CEFFE7"/>
          </w:tcPr>
          <w:p>
            <w:pPr>
              <w:spacing w:after="0"/>
              <w:rPr>
                <w:sz w:val="13"/>
                <w:szCs w:val="13"/>
                <w:color w:val="auto"/>
              </w:rPr>
            </w:pPr>
          </w:p>
        </w:tc>
        <w:tc>
          <w:tcPr>
            <w:tcW w:w="180" w:type="dxa"/>
            <w:vAlign w:val="bottom"/>
            <w:shd w:val="clear" w:color="auto" w:fill="CEFFE7"/>
          </w:tcPr>
          <w:p>
            <w:pPr>
              <w:spacing w:after="0"/>
              <w:rPr>
                <w:sz w:val="13"/>
                <w:szCs w:val="13"/>
                <w:color w:val="auto"/>
              </w:rPr>
            </w:pPr>
          </w:p>
        </w:tc>
        <w:tc>
          <w:tcPr>
            <w:tcW w:w="880" w:type="dxa"/>
            <w:vAlign w:val="bottom"/>
            <w:shd w:val="clear" w:color="auto" w:fill="CEFFE7"/>
          </w:tcPr>
          <w:p>
            <w:pPr>
              <w:spacing w:after="0"/>
              <w:rPr>
                <w:sz w:val="13"/>
                <w:szCs w:val="13"/>
                <w:color w:val="auto"/>
              </w:rPr>
            </w:pPr>
          </w:p>
        </w:tc>
        <w:tc>
          <w:tcPr>
            <w:tcW w:w="320" w:type="dxa"/>
            <w:vAlign w:val="bottom"/>
            <w:shd w:val="clear" w:color="auto" w:fill="CEFFE7"/>
          </w:tcPr>
          <w:p>
            <w:pPr>
              <w:spacing w:after="0"/>
              <w:rPr>
                <w:sz w:val="13"/>
                <w:szCs w:val="13"/>
                <w:color w:val="auto"/>
              </w:rPr>
            </w:pPr>
          </w:p>
        </w:tc>
        <w:tc>
          <w:tcPr>
            <w:tcW w:w="780" w:type="dxa"/>
            <w:vAlign w:val="bottom"/>
            <w:shd w:val="clear" w:color="auto" w:fill="CEFFE7"/>
          </w:tcPr>
          <w:p>
            <w:pPr>
              <w:spacing w:after="0"/>
              <w:rPr>
                <w:sz w:val="13"/>
                <w:szCs w:val="13"/>
                <w:color w:val="auto"/>
              </w:rPr>
            </w:pPr>
          </w:p>
        </w:tc>
      </w:tr>
      <w:tr>
        <w:trPr>
          <w:trHeight w:val="162"/>
        </w:trPr>
        <w:tc>
          <w:tcPr>
            <w:tcW w:w="346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260" w:type="dxa"/>
            <w:vAlign w:val="bottom"/>
            <w:shd w:val="clear" w:color="auto" w:fill="CEFFE7"/>
          </w:tcPr>
          <w:p>
            <w:pPr>
              <w:spacing w:after="0"/>
              <w:rPr>
                <w:sz w:val="14"/>
                <w:szCs w:val="14"/>
                <w:color w:val="auto"/>
              </w:rPr>
            </w:pPr>
          </w:p>
        </w:tc>
        <w:tc>
          <w:tcPr>
            <w:tcW w:w="840" w:type="dxa"/>
            <w:vAlign w:val="bottom"/>
            <w:shd w:val="clear" w:color="auto" w:fill="CEFFE7"/>
          </w:tcPr>
          <w:p>
            <w:pPr>
              <w:spacing w:after="0"/>
              <w:rPr>
                <w:sz w:val="14"/>
                <w:szCs w:val="14"/>
                <w:color w:val="auto"/>
              </w:rPr>
            </w:pPr>
          </w:p>
        </w:tc>
        <w:tc>
          <w:tcPr>
            <w:tcW w:w="40" w:type="dxa"/>
            <w:vAlign w:val="bottom"/>
            <w:shd w:val="clear" w:color="auto" w:fill="CEFFE7"/>
          </w:tcPr>
          <w:p>
            <w:pPr>
              <w:spacing w:after="0"/>
              <w:rPr>
                <w:sz w:val="14"/>
                <w:szCs w:val="14"/>
                <w:color w:val="auto"/>
              </w:rPr>
            </w:pPr>
          </w:p>
        </w:tc>
        <w:tc>
          <w:tcPr>
            <w:tcW w:w="3380" w:type="dxa"/>
            <w:vAlign w:val="bottom"/>
            <w:shd w:val="clear" w:color="auto" w:fill="CEFFE7"/>
          </w:tcPr>
          <w:p>
            <w:pPr>
              <w:ind w:left="20"/>
              <w:spacing w:after="0" w:line="162" w:lineRule="exact"/>
              <w:rPr>
                <w:sz w:val="20"/>
                <w:szCs w:val="20"/>
                <w:color w:val="auto"/>
              </w:rPr>
            </w:pPr>
            <w:r>
              <w:rPr>
                <w:rFonts w:ascii="Arial" w:cs="Arial" w:eastAsia="Arial" w:hAnsi="Arial"/>
                <w:sz w:val="16"/>
                <w:szCs w:val="16"/>
                <w:color w:val="auto"/>
              </w:rPr>
              <w:t>capitalized (including amortization of debt</w:t>
            </w:r>
          </w:p>
        </w:tc>
        <w:tc>
          <w:tcPr>
            <w:tcW w:w="4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880" w:type="dxa"/>
            <w:vAlign w:val="bottom"/>
            <w:shd w:val="clear" w:color="auto" w:fill="CEFFE7"/>
          </w:tcPr>
          <w:p>
            <w:pPr>
              <w:spacing w:after="0"/>
              <w:rPr>
                <w:sz w:val="14"/>
                <w:szCs w:val="14"/>
                <w:color w:val="auto"/>
              </w:rPr>
            </w:pPr>
          </w:p>
        </w:tc>
        <w:tc>
          <w:tcPr>
            <w:tcW w:w="320" w:type="dxa"/>
            <w:vAlign w:val="bottom"/>
            <w:shd w:val="clear" w:color="auto" w:fill="CEFFE7"/>
          </w:tcPr>
          <w:p>
            <w:pPr>
              <w:spacing w:after="0"/>
              <w:rPr>
                <w:sz w:val="14"/>
                <w:szCs w:val="14"/>
                <w:color w:val="auto"/>
              </w:rPr>
            </w:pPr>
          </w:p>
        </w:tc>
        <w:tc>
          <w:tcPr>
            <w:tcW w:w="780" w:type="dxa"/>
            <w:vAlign w:val="bottom"/>
            <w:shd w:val="clear" w:color="auto" w:fill="CEFFE7"/>
          </w:tcPr>
          <w:p>
            <w:pPr>
              <w:spacing w:after="0"/>
              <w:rPr>
                <w:sz w:val="14"/>
                <w:szCs w:val="14"/>
                <w:color w:val="auto"/>
              </w:rPr>
            </w:pPr>
          </w:p>
        </w:tc>
      </w:tr>
      <w:tr>
        <w:trPr>
          <w:trHeight w:val="201"/>
        </w:trPr>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712</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712</w:t>
            </w:r>
          </w:p>
        </w:tc>
        <w:tc>
          <w:tcPr>
            <w:tcW w:w="40" w:type="dxa"/>
            <w:vAlign w:val="bottom"/>
            <w:shd w:val="clear" w:color="auto" w:fill="CEFFE7"/>
          </w:tcPr>
          <w:p>
            <w:pPr>
              <w:spacing w:after="0"/>
              <w:rPr>
                <w:sz w:val="17"/>
                <w:szCs w:val="17"/>
                <w:color w:val="auto"/>
              </w:rPr>
            </w:pPr>
          </w:p>
        </w:tc>
        <w:tc>
          <w:tcPr>
            <w:tcW w:w="33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issuance costs, premiums and discounts)</w:t>
            </w:r>
          </w:p>
        </w:tc>
        <w:tc>
          <w:tcPr>
            <w:tcW w:w="2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ind w:left="500"/>
              <w:spacing w:after="0"/>
              <w:rPr>
                <w:sz w:val="20"/>
                <w:szCs w:val="20"/>
                <w:color w:val="auto"/>
              </w:rPr>
            </w:pPr>
            <w:r>
              <w:rPr>
                <w:rFonts w:ascii="Arial" w:cs="Arial" w:eastAsia="Arial" w:hAnsi="Arial"/>
                <w:sz w:val="16"/>
                <w:szCs w:val="16"/>
                <w:color w:val="auto"/>
                <w:w w:val="96"/>
              </w:rPr>
              <w:t>(712)</w:t>
            </w:r>
          </w:p>
        </w:tc>
        <w:tc>
          <w:tcPr>
            <w:tcW w:w="320" w:type="dxa"/>
            <w:vAlign w:val="bottom"/>
            <w:shd w:val="clear" w:color="auto" w:fill="CEFFE7"/>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(712)</w:t>
            </w:r>
          </w:p>
        </w:tc>
      </w:tr>
      <w:tr>
        <w:trPr>
          <w:trHeight w:val="177"/>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Pr>
          <w:p>
            <w:pPr>
              <w:ind w:left="20"/>
              <w:spacing w:after="0" w:line="178" w:lineRule="exact"/>
              <w:rPr>
                <w:sz w:val="20"/>
                <w:szCs w:val="20"/>
                <w:color w:val="auto"/>
              </w:rPr>
            </w:pPr>
            <w:r>
              <w:rPr>
                <w:rFonts w:ascii="Arial" w:cs="Arial" w:eastAsia="Arial" w:hAnsi="Arial"/>
                <w:sz w:val="16"/>
                <w:szCs w:val="16"/>
                <w:color w:val="auto"/>
              </w:rPr>
              <w:t>Fuel, purchased power and cost of natural gas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34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5,536</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40" w:type="dxa"/>
            <w:vAlign w:val="bottom"/>
            <w:tcBorders>
              <w:bottom w:val="single" w:sz="8" w:color="auto"/>
            </w:tcBorders>
          </w:tcPr>
          <w:p>
            <w:pPr>
              <w:spacing w:after="0"/>
              <w:rPr>
                <w:sz w:val="17"/>
                <w:szCs w:val="17"/>
                <w:color w:val="auto"/>
              </w:rPr>
            </w:pPr>
          </w:p>
        </w:tc>
        <w:tc>
          <w:tcPr>
            <w:tcW w:w="33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sold</w:t>
            </w:r>
          </w:p>
        </w:tc>
        <w:tc>
          <w:tcPr>
            <w:tcW w:w="40" w:type="dxa"/>
            <w:vAlign w:val="bottom"/>
            <w:tcBorders>
              <w:bottom w:val="single" w:sz="8" w:color="CEFFE7"/>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33"/>
        </w:trPr>
        <w:tc>
          <w:tcPr>
            <w:tcW w:w="3460" w:type="dxa"/>
            <w:vAlign w:val="bottom"/>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6,248</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1,403</w:t>
            </w:r>
          </w:p>
        </w:tc>
        <w:tc>
          <w:tcPr>
            <w:tcW w:w="40" w:type="dxa"/>
            <w:vAlign w:val="bottom"/>
            <w:shd w:val="clear" w:color="auto" w:fill="CEFFE7"/>
          </w:tcPr>
          <w:p>
            <w:pPr>
              <w:spacing w:after="0"/>
              <w:rPr>
                <w:sz w:val="20"/>
                <w:szCs w:val="20"/>
                <w:color w:val="auto"/>
              </w:rPr>
            </w:pPr>
          </w:p>
        </w:tc>
        <w:tc>
          <w:tcPr>
            <w:tcW w:w="3380" w:type="dxa"/>
            <w:vAlign w:val="bottom"/>
            <w:shd w:val="clear" w:color="auto" w:fill="CEFFE7"/>
          </w:tcPr>
          <w:p>
            <w:pPr>
              <w:spacing w:after="0"/>
              <w:rPr>
                <w:sz w:val="20"/>
                <w:szCs w:val="20"/>
                <w:color w:val="auto"/>
              </w:rPr>
            </w:pPr>
          </w:p>
        </w:tc>
        <w:tc>
          <w:tcPr>
            <w:tcW w:w="2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ind w:left="500"/>
              <w:spacing w:after="0"/>
              <w:rPr>
                <w:sz w:val="20"/>
                <w:szCs w:val="20"/>
                <w:color w:val="auto"/>
              </w:rPr>
            </w:pPr>
            <w:r>
              <w:rPr>
                <w:rFonts w:ascii="Arial" w:cs="Arial" w:eastAsia="Arial" w:hAnsi="Arial"/>
                <w:sz w:val="16"/>
                <w:szCs w:val="16"/>
                <w:color w:val="auto"/>
                <w:w w:val="96"/>
              </w:rPr>
              <w:t>(381)</w:t>
            </w:r>
          </w:p>
        </w:tc>
        <w:tc>
          <w:tcPr>
            <w:tcW w:w="320" w:type="dxa"/>
            <w:vAlign w:val="bottom"/>
            <w:shd w:val="clear" w:color="auto" w:fill="CEFFE7"/>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(890)</w:t>
            </w:r>
          </w:p>
        </w:tc>
      </w:tr>
      <w:tr>
        <w:trPr>
          <w:trHeight w:val="20"/>
        </w:trPr>
        <w:tc>
          <w:tcPr>
            <w:tcW w:w="34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gridSpan w:val="3"/>
          </w:tcPr>
          <w:p>
            <w:pPr>
              <w:spacing w:after="0" w:line="20" w:lineRule="exact"/>
              <w:rPr>
                <w:sz w:val="1"/>
                <w:szCs w:val="1"/>
                <w:color w:val="auto"/>
              </w:rPr>
            </w:pPr>
          </w:p>
        </w:tc>
      </w:tr>
      <w:tr>
        <w:trPr>
          <w:trHeight w:val="516"/>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jc w:val="center"/>
              <w:ind w:right="99"/>
              <w:spacing w:after="0"/>
              <w:rPr>
                <w:sz w:val="20"/>
                <w:szCs w:val="20"/>
                <w:color w:val="auto"/>
              </w:rPr>
            </w:pPr>
            <w:r>
              <w:rPr>
                <w:rFonts w:ascii="Arial" w:cs="Arial" w:eastAsia="Arial" w:hAnsi="Arial"/>
                <w:sz w:val="16"/>
                <w:szCs w:val="16"/>
                <w:color w:val="auto"/>
              </w:rPr>
              <w:t>Nine Months Ended</w:t>
            </w:r>
          </w:p>
        </w:tc>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3"/>
          </w:tcPr>
          <w:p>
            <w:pPr>
              <w:jc w:val="center"/>
              <w:ind w:right="139"/>
              <w:spacing w:after="0"/>
              <w:rPr>
                <w:sz w:val="20"/>
                <w:szCs w:val="20"/>
                <w:color w:val="auto"/>
              </w:rPr>
            </w:pPr>
            <w:r>
              <w:rPr>
                <w:rFonts w:ascii="Arial" w:cs="Arial" w:eastAsia="Arial" w:hAnsi="Arial"/>
                <w:sz w:val="16"/>
                <w:szCs w:val="16"/>
                <w:color w:val="auto"/>
              </w:rPr>
              <w:t>Nine Months Ended</w:t>
            </w:r>
          </w:p>
        </w:tc>
      </w:tr>
      <w:tr>
        <w:trPr>
          <w:trHeight w:val="198"/>
        </w:trPr>
        <w:tc>
          <w:tcPr>
            <w:tcW w:w="3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color w:val="auto"/>
              </w:rPr>
              <w:t>September 30,</w:t>
            </w:r>
          </w:p>
        </w:tc>
        <w:tc>
          <w:tcPr>
            <w:tcW w:w="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color w:val="auto"/>
              </w:rPr>
              <w:t>September 30,</w:t>
            </w:r>
          </w:p>
        </w:tc>
      </w:tr>
      <w:tr>
        <w:trPr>
          <w:trHeight w:val="209"/>
        </w:trPr>
        <w:tc>
          <w:tcPr>
            <w:tcW w:w="3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r>
      <w:tr>
        <w:trPr>
          <w:trHeight w:val="174"/>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jc w:val="center"/>
              <w:ind w:right="139"/>
              <w:spacing w:after="0" w:line="174" w:lineRule="exact"/>
              <w:rPr>
                <w:sz w:val="20"/>
                <w:szCs w:val="20"/>
                <w:color w:val="auto"/>
              </w:rPr>
            </w:pPr>
            <w:r>
              <w:rPr>
                <w:rFonts w:ascii="Arial" w:cs="Arial" w:eastAsia="Arial" w:hAnsi="Arial"/>
                <w:sz w:val="16"/>
                <w:szCs w:val="16"/>
                <w:color w:val="auto"/>
              </w:rPr>
              <w:t>Amount of Gain/(Loss)</w:t>
            </w:r>
          </w:p>
        </w:tc>
      </w:tr>
      <w:tr>
        <w:trPr>
          <w:trHeight w:val="162"/>
        </w:trPr>
        <w:tc>
          <w:tcPr>
            <w:tcW w:w="3460" w:type="dxa"/>
            <w:vAlign w:val="bottom"/>
          </w:tcPr>
          <w:p>
            <w:pPr>
              <w:jc w:val="center"/>
              <w:spacing w:after="0" w:line="162" w:lineRule="exact"/>
              <w:rPr>
                <w:sz w:val="20"/>
                <w:szCs w:val="20"/>
                <w:color w:val="auto"/>
              </w:rPr>
            </w:pPr>
            <w:r>
              <w:rPr>
                <w:rFonts w:ascii="Arial" w:cs="Arial" w:eastAsia="Arial" w:hAnsi="Arial"/>
                <w:sz w:val="16"/>
                <w:szCs w:val="16"/>
                <w:color w:val="auto"/>
              </w:rPr>
              <w:t>Derivatives in Cash Flow Hedging</w:t>
            </w:r>
          </w:p>
        </w:tc>
        <w:tc>
          <w:tcPr>
            <w:tcW w:w="200" w:type="dxa"/>
            <w:vAlign w:val="bottom"/>
          </w:tcPr>
          <w:p>
            <w:pPr>
              <w:spacing w:after="0"/>
              <w:rPr>
                <w:sz w:val="14"/>
                <w:szCs w:val="14"/>
                <w:color w:val="auto"/>
              </w:rPr>
            </w:pPr>
          </w:p>
        </w:tc>
        <w:tc>
          <w:tcPr>
            <w:tcW w:w="1960" w:type="dxa"/>
            <w:vAlign w:val="bottom"/>
            <w:gridSpan w:val="3"/>
          </w:tcPr>
          <w:p>
            <w:pPr>
              <w:jc w:val="center"/>
              <w:ind w:right="99"/>
              <w:spacing w:after="0" w:line="162" w:lineRule="exact"/>
              <w:rPr>
                <w:sz w:val="20"/>
                <w:szCs w:val="20"/>
                <w:color w:val="auto"/>
              </w:rPr>
            </w:pPr>
            <w:r>
              <w:rPr>
                <w:rFonts w:ascii="Arial" w:cs="Arial" w:eastAsia="Arial" w:hAnsi="Arial"/>
                <w:sz w:val="16"/>
                <w:szCs w:val="16"/>
                <w:color w:val="auto"/>
              </w:rPr>
              <w:t>Amount of Gain/(Loss)</w:t>
            </w:r>
          </w:p>
        </w:tc>
        <w:tc>
          <w:tcPr>
            <w:tcW w:w="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Reclassified from AOCI into</w:t>
            </w:r>
          </w:p>
        </w:tc>
      </w:tr>
      <w:tr>
        <w:trPr>
          <w:trHeight w:val="198"/>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Relationships</w:t>
            </w: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6"/>
                <w:szCs w:val="16"/>
                <w:color w:val="auto"/>
              </w:rPr>
              <w:t>Recognized in OCI</w:t>
            </w:r>
          </w:p>
        </w:tc>
        <w:tc>
          <w:tcPr>
            <w:tcW w:w="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Income Statement Location</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color w:val="auto"/>
                <w:w w:val="99"/>
              </w:rPr>
              <w:t>Income</w:t>
            </w:r>
          </w:p>
        </w:tc>
        <w:tc>
          <w:tcPr>
            <w:tcW w:w="780" w:type="dxa"/>
            <w:vAlign w:val="bottom"/>
            <w:tcBorders>
              <w:bottom w:val="single" w:sz="8" w:color="auto"/>
            </w:tcBorders>
          </w:tcPr>
          <w:p>
            <w:pPr>
              <w:spacing w:after="0"/>
              <w:rPr>
                <w:sz w:val="17"/>
                <w:szCs w:val="17"/>
                <w:color w:val="auto"/>
              </w:rPr>
            </w:pPr>
          </w:p>
        </w:tc>
      </w:tr>
      <w:tr>
        <w:trPr>
          <w:trHeight w:val="210"/>
        </w:trPr>
        <w:tc>
          <w:tcPr>
            <w:tcW w:w="346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CEFFE7"/>
            </w:tcBorders>
          </w:tcPr>
          <w:p>
            <w:pPr>
              <w:spacing w:after="0"/>
              <w:rPr>
                <w:sz w:val="18"/>
                <w:szCs w:val="18"/>
                <w:color w:val="auto"/>
              </w:rPr>
            </w:pPr>
          </w:p>
        </w:tc>
        <w:tc>
          <w:tcPr>
            <w:tcW w:w="3380" w:type="dxa"/>
            <w:vAlign w:val="bottom"/>
            <w:tcBorders>
              <w:bottom w:val="single" w:sz="8" w:color="CEFFE7"/>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color w:val="auto"/>
              </w:rPr>
              <w:t>(in thousands)</w:t>
            </w:r>
          </w:p>
        </w:tc>
      </w:tr>
      <w:tr>
        <w:trPr>
          <w:trHeight w:val="160"/>
        </w:trPr>
        <w:tc>
          <w:tcPr>
            <w:tcW w:w="3460" w:type="dxa"/>
            <w:vAlign w:val="bottom"/>
            <w:shd w:val="clear" w:color="auto" w:fill="CEFFE7"/>
          </w:tcPr>
          <w:p>
            <w:pPr>
              <w:spacing w:after="0"/>
              <w:rPr>
                <w:sz w:val="13"/>
                <w:szCs w:val="13"/>
                <w:color w:val="auto"/>
              </w:rPr>
            </w:pPr>
          </w:p>
        </w:tc>
        <w:tc>
          <w:tcPr>
            <w:tcW w:w="200" w:type="dxa"/>
            <w:vAlign w:val="bottom"/>
            <w:shd w:val="clear" w:color="auto" w:fill="CEFFE7"/>
          </w:tcPr>
          <w:p>
            <w:pPr>
              <w:spacing w:after="0"/>
              <w:rPr>
                <w:sz w:val="13"/>
                <w:szCs w:val="13"/>
                <w:color w:val="auto"/>
              </w:rPr>
            </w:pPr>
          </w:p>
        </w:tc>
        <w:tc>
          <w:tcPr>
            <w:tcW w:w="860" w:type="dxa"/>
            <w:vAlign w:val="bottom"/>
            <w:shd w:val="clear" w:color="auto" w:fill="CEFFE7"/>
          </w:tcPr>
          <w:p>
            <w:pPr>
              <w:spacing w:after="0"/>
              <w:rPr>
                <w:sz w:val="13"/>
                <w:szCs w:val="13"/>
                <w:color w:val="auto"/>
              </w:rPr>
            </w:pPr>
          </w:p>
        </w:tc>
        <w:tc>
          <w:tcPr>
            <w:tcW w:w="260" w:type="dxa"/>
            <w:vAlign w:val="bottom"/>
            <w:shd w:val="clear" w:color="auto" w:fill="CEFFE7"/>
          </w:tcPr>
          <w:p>
            <w:pPr>
              <w:spacing w:after="0"/>
              <w:rPr>
                <w:sz w:val="13"/>
                <w:szCs w:val="13"/>
                <w:color w:val="auto"/>
              </w:rPr>
            </w:pPr>
          </w:p>
        </w:tc>
        <w:tc>
          <w:tcPr>
            <w:tcW w:w="840" w:type="dxa"/>
            <w:vAlign w:val="bottom"/>
            <w:shd w:val="clear" w:color="auto" w:fill="CEFFE7"/>
          </w:tcPr>
          <w:p>
            <w:pPr>
              <w:spacing w:after="0"/>
              <w:rPr>
                <w:sz w:val="13"/>
                <w:szCs w:val="13"/>
                <w:color w:val="auto"/>
              </w:rPr>
            </w:pPr>
          </w:p>
        </w:tc>
        <w:tc>
          <w:tcPr>
            <w:tcW w:w="3420" w:type="dxa"/>
            <w:vAlign w:val="bottom"/>
            <w:gridSpan w:val="2"/>
            <w:shd w:val="clear" w:color="auto" w:fill="CEFFE7"/>
          </w:tcPr>
          <w:p>
            <w:pPr>
              <w:ind w:left="20"/>
              <w:spacing w:after="0" w:line="161" w:lineRule="exact"/>
              <w:rPr>
                <w:sz w:val="20"/>
                <w:szCs w:val="20"/>
                <w:color w:val="auto"/>
              </w:rPr>
            </w:pPr>
            <w:r>
              <w:rPr>
                <w:rFonts w:ascii="Arial" w:cs="Arial" w:eastAsia="Arial" w:hAnsi="Arial"/>
                <w:sz w:val="16"/>
                <w:szCs w:val="16"/>
                <w:color w:val="auto"/>
              </w:rPr>
              <w:t>Interest expense incurred net of amounts</w:t>
            </w:r>
          </w:p>
        </w:tc>
        <w:tc>
          <w:tcPr>
            <w:tcW w:w="40" w:type="dxa"/>
            <w:vAlign w:val="bottom"/>
            <w:shd w:val="clear" w:color="auto" w:fill="CEFFE7"/>
          </w:tcPr>
          <w:p>
            <w:pPr>
              <w:spacing w:after="0"/>
              <w:rPr>
                <w:sz w:val="13"/>
                <w:szCs w:val="13"/>
                <w:color w:val="auto"/>
              </w:rPr>
            </w:pPr>
          </w:p>
        </w:tc>
        <w:tc>
          <w:tcPr>
            <w:tcW w:w="180" w:type="dxa"/>
            <w:vAlign w:val="bottom"/>
            <w:shd w:val="clear" w:color="auto" w:fill="CEFFE7"/>
          </w:tcPr>
          <w:p>
            <w:pPr>
              <w:spacing w:after="0"/>
              <w:rPr>
                <w:sz w:val="13"/>
                <w:szCs w:val="13"/>
                <w:color w:val="auto"/>
              </w:rPr>
            </w:pPr>
          </w:p>
        </w:tc>
        <w:tc>
          <w:tcPr>
            <w:tcW w:w="880" w:type="dxa"/>
            <w:vAlign w:val="bottom"/>
            <w:shd w:val="clear" w:color="auto" w:fill="CEFFE7"/>
          </w:tcPr>
          <w:p>
            <w:pPr>
              <w:spacing w:after="0"/>
              <w:rPr>
                <w:sz w:val="13"/>
                <w:szCs w:val="13"/>
                <w:color w:val="auto"/>
              </w:rPr>
            </w:pPr>
          </w:p>
        </w:tc>
        <w:tc>
          <w:tcPr>
            <w:tcW w:w="320" w:type="dxa"/>
            <w:vAlign w:val="bottom"/>
            <w:shd w:val="clear" w:color="auto" w:fill="CEFFE7"/>
          </w:tcPr>
          <w:p>
            <w:pPr>
              <w:spacing w:after="0"/>
              <w:rPr>
                <w:sz w:val="13"/>
                <w:szCs w:val="13"/>
                <w:color w:val="auto"/>
              </w:rPr>
            </w:pPr>
          </w:p>
        </w:tc>
        <w:tc>
          <w:tcPr>
            <w:tcW w:w="780" w:type="dxa"/>
            <w:vAlign w:val="bottom"/>
            <w:shd w:val="clear" w:color="auto" w:fill="CEFFE7"/>
          </w:tcPr>
          <w:p>
            <w:pPr>
              <w:spacing w:after="0"/>
              <w:rPr>
                <w:sz w:val="13"/>
                <w:szCs w:val="13"/>
                <w:color w:val="auto"/>
              </w:rPr>
            </w:pPr>
          </w:p>
        </w:tc>
      </w:tr>
      <w:tr>
        <w:trPr>
          <w:trHeight w:val="162"/>
        </w:trPr>
        <w:tc>
          <w:tcPr>
            <w:tcW w:w="346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260" w:type="dxa"/>
            <w:vAlign w:val="bottom"/>
            <w:shd w:val="clear" w:color="auto" w:fill="CEFFE7"/>
          </w:tcPr>
          <w:p>
            <w:pPr>
              <w:spacing w:after="0"/>
              <w:rPr>
                <w:sz w:val="14"/>
                <w:szCs w:val="14"/>
                <w:color w:val="auto"/>
              </w:rPr>
            </w:pPr>
          </w:p>
        </w:tc>
        <w:tc>
          <w:tcPr>
            <w:tcW w:w="840" w:type="dxa"/>
            <w:vAlign w:val="bottom"/>
            <w:shd w:val="clear" w:color="auto" w:fill="CEFFE7"/>
          </w:tcPr>
          <w:p>
            <w:pPr>
              <w:spacing w:after="0"/>
              <w:rPr>
                <w:sz w:val="14"/>
                <w:szCs w:val="14"/>
                <w:color w:val="auto"/>
              </w:rPr>
            </w:pPr>
          </w:p>
        </w:tc>
        <w:tc>
          <w:tcPr>
            <w:tcW w:w="3420" w:type="dxa"/>
            <w:vAlign w:val="bottom"/>
            <w:gridSpan w:val="2"/>
            <w:shd w:val="clear" w:color="auto" w:fill="CEFFE7"/>
          </w:tcPr>
          <w:p>
            <w:pPr>
              <w:ind w:left="20"/>
              <w:spacing w:after="0" w:line="162" w:lineRule="exact"/>
              <w:rPr>
                <w:sz w:val="20"/>
                <w:szCs w:val="20"/>
                <w:color w:val="auto"/>
              </w:rPr>
            </w:pPr>
            <w:r>
              <w:rPr>
                <w:rFonts w:ascii="Arial" w:cs="Arial" w:eastAsia="Arial" w:hAnsi="Arial"/>
                <w:sz w:val="16"/>
                <w:szCs w:val="16"/>
                <w:color w:val="auto"/>
              </w:rPr>
              <w:t>capitalized (including amortization of debt</w:t>
            </w:r>
          </w:p>
        </w:tc>
        <w:tc>
          <w:tcPr>
            <w:tcW w:w="4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880" w:type="dxa"/>
            <w:vAlign w:val="bottom"/>
            <w:shd w:val="clear" w:color="auto" w:fill="CEFFE7"/>
          </w:tcPr>
          <w:p>
            <w:pPr>
              <w:spacing w:after="0"/>
              <w:rPr>
                <w:sz w:val="14"/>
                <w:szCs w:val="14"/>
                <w:color w:val="auto"/>
              </w:rPr>
            </w:pPr>
          </w:p>
        </w:tc>
        <w:tc>
          <w:tcPr>
            <w:tcW w:w="320" w:type="dxa"/>
            <w:vAlign w:val="bottom"/>
            <w:shd w:val="clear" w:color="auto" w:fill="CEFFE7"/>
          </w:tcPr>
          <w:p>
            <w:pPr>
              <w:spacing w:after="0"/>
              <w:rPr>
                <w:sz w:val="14"/>
                <w:szCs w:val="14"/>
                <w:color w:val="auto"/>
              </w:rPr>
            </w:pPr>
          </w:p>
        </w:tc>
        <w:tc>
          <w:tcPr>
            <w:tcW w:w="780" w:type="dxa"/>
            <w:vAlign w:val="bottom"/>
            <w:shd w:val="clear" w:color="auto" w:fill="CEFFE7"/>
          </w:tcPr>
          <w:p>
            <w:pPr>
              <w:spacing w:after="0"/>
              <w:rPr>
                <w:sz w:val="14"/>
                <w:szCs w:val="14"/>
                <w:color w:val="auto"/>
              </w:rPr>
            </w:pPr>
          </w:p>
        </w:tc>
      </w:tr>
      <w:tr>
        <w:trPr>
          <w:trHeight w:val="201"/>
        </w:trPr>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2,138</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2,138</w:t>
            </w:r>
          </w:p>
        </w:tc>
        <w:tc>
          <w:tcPr>
            <w:tcW w:w="3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issuance costs, premiums and discounts)</w:t>
            </w:r>
          </w:p>
        </w:tc>
        <w:tc>
          <w:tcPr>
            <w:tcW w:w="220" w:type="dxa"/>
            <w:vAlign w:val="bottom"/>
            <w:gridSpan w:val="2"/>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(2,138)</w:t>
            </w:r>
          </w:p>
        </w:tc>
        <w:tc>
          <w:tcPr>
            <w:tcW w:w="320" w:type="dxa"/>
            <w:vAlign w:val="bottom"/>
            <w:shd w:val="clear" w:color="auto" w:fill="CEFFE7"/>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(2,138)</w:t>
            </w:r>
          </w:p>
        </w:tc>
      </w:tr>
      <w:tr>
        <w:trPr>
          <w:trHeight w:val="177"/>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Fuel, purchased power and cost of natural gas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34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34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sold</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356</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r>
      <w:tr>
        <w:trPr>
          <w:trHeight w:val="238"/>
        </w:trPr>
        <w:tc>
          <w:tcPr>
            <w:tcW w:w="34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9,034</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3,097</w:t>
            </w:r>
          </w:p>
        </w:tc>
        <w:tc>
          <w:tcPr>
            <w:tcW w:w="40" w:type="dxa"/>
            <w:vAlign w:val="bottom"/>
            <w:tcBorders>
              <w:bottom w:val="single" w:sz="8" w:color="CEFFE7"/>
            </w:tcBorders>
            <w:shd w:val="clear" w:color="auto" w:fill="CEFFE7"/>
          </w:tcPr>
          <w:p>
            <w:pPr>
              <w:spacing w:after="0"/>
              <w:rPr>
                <w:sz w:val="20"/>
                <w:szCs w:val="20"/>
                <w:color w:val="auto"/>
              </w:rPr>
            </w:pPr>
          </w:p>
        </w:tc>
        <w:tc>
          <w:tcPr>
            <w:tcW w:w="338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auto"/>
            </w:tcBorders>
            <w:gridSpan w:val="2"/>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(1,782)</w:t>
            </w:r>
          </w:p>
        </w:tc>
        <w:tc>
          <w:tcPr>
            <w:tcW w:w="320" w:type="dxa"/>
            <w:vAlign w:val="bottom"/>
            <w:tcBorders>
              <w:bottom w:val="single" w:sz="8" w:color="auto"/>
            </w:tcBorders>
            <w:shd w:val="clear" w:color="auto" w:fill="CEFFE7"/>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(2,872)</w:t>
            </w:r>
          </w:p>
        </w:tc>
      </w:tr>
      <w:tr>
        <w:trPr>
          <w:trHeight w:val="20"/>
        </w:trPr>
        <w:tc>
          <w:tcPr>
            <w:tcW w:w="34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of September 30, 2021, $4.0 million of net gains related to our interest rate swaps and commodity derivatives are expected to be reclassified from AOCI into earnings as gains within the next 12 months. As market prices fluctuate, estimated and actual realized gains or losses will change during future periods.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24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Condensed Consolidated Statements of Income for the three and nine months ended September 30, 2021 and 2020.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3"/>
          </w:tcPr>
          <w:p>
            <w:pPr>
              <w:jc w:val="center"/>
              <w:ind w:right="179"/>
              <w:spacing w:after="0"/>
              <w:rPr>
                <w:sz w:val="20"/>
                <w:szCs w:val="20"/>
                <w:color w:val="auto"/>
              </w:rPr>
            </w:pPr>
            <w:r>
              <w:rPr>
                <w:rFonts w:ascii="Arial" w:cs="Arial" w:eastAsia="Arial" w:hAnsi="Arial"/>
                <w:sz w:val="16"/>
                <w:szCs w:val="16"/>
                <w:color w:val="auto"/>
              </w:rPr>
              <w:t>Three Months Ended September 30,</w:t>
            </w:r>
          </w:p>
        </w:tc>
        <w:tc>
          <w:tcPr>
            <w:tcW w:w="0" w:type="dxa"/>
            <w:vAlign w:val="bottom"/>
          </w:tcPr>
          <w:p>
            <w:pPr>
              <w:spacing w:after="0"/>
              <w:rPr>
                <w:sz w:val="1"/>
                <w:szCs w:val="1"/>
                <w:color w:val="auto"/>
              </w:rPr>
            </w:pPr>
          </w:p>
        </w:tc>
      </w:tr>
      <w:tr>
        <w:trPr>
          <w:trHeight w:val="219"/>
        </w:trPr>
        <w:tc>
          <w:tcPr>
            <w:tcW w:w="4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74"/>
        </w:trPr>
        <w:tc>
          <w:tcPr>
            <w:tcW w:w="4100" w:type="dxa"/>
            <w:vAlign w:val="bottom"/>
          </w:tcPr>
          <w:p>
            <w:pPr>
              <w:spacing w:after="0"/>
              <w:rPr>
                <w:sz w:val="15"/>
                <w:szCs w:val="15"/>
                <w:color w:val="auto"/>
              </w:rPr>
            </w:pPr>
          </w:p>
        </w:tc>
        <w:tc>
          <w:tcPr>
            <w:tcW w:w="3580" w:type="dxa"/>
            <w:vAlign w:val="bottom"/>
          </w:tcPr>
          <w:p>
            <w:pPr>
              <w:ind w:left="480"/>
              <w:spacing w:after="0" w:line="174" w:lineRule="exact"/>
              <w:rPr>
                <w:sz w:val="20"/>
                <w:szCs w:val="20"/>
                <w:color w:val="auto"/>
              </w:rPr>
            </w:pPr>
            <w:r>
              <w:rPr>
                <w:rFonts w:ascii="Arial" w:cs="Arial" w:eastAsia="Arial" w:hAnsi="Arial"/>
                <w:sz w:val="16"/>
                <w:szCs w:val="16"/>
                <w:color w:val="auto"/>
              </w:rPr>
              <w:t>Location of Gain/(Loss) on Derivatives</w:t>
            </w:r>
          </w:p>
        </w:tc>
        <w:tc>
          <w:tcPr>
            <w:tcW w:w="280" w:type="dxa"/>
            <w:vAlign w:val="bottom"/>
          </w:tcPr>
          <w:p>
            <w:pPr>
              <w:spacing w:after="0"/>
              <w:rPr>
                <w:sz w:val="15"/>
                <w:szCs w:val="15"/>
                <w:color w:val="auto"/>
              </w:rPr>
            </w:pPr>
          </w:p>
        </w:tc>
        <w:tc>
          <w:tcPr>
            <w:tcW w:w="3280" w:type="dxa"/>
            <w:vAlign w:val="bottom"/>
            <w:gridSpan w:val="3"/>
          </w:tcPr>
          <w:p>
            <w:pPr>
              <w:jc w:val="center"/>
              <w:ind w:right="179"/>
              <w:spacing w:after="0" w:line="174" w:lineRule="exact"/>
              <w:rPr>
                <w:sz w:val="20"/>
                <w:szCs w:val="20"/>
                <w:color w:val="auto"/>
              </w:rPr>
            </w:pPr>
            <w:r>
              <w:rPr>
                <w:rFonts w:ascii="Arial" w:cs="Arial" w:eastAsia="Arial" w:hAnsi="Arial"/>
                <w:sz w:val="16"/>
                <w:szCs w:val="16"/>
                <w:color w:val="auto"/>
              </w:rPr>
              <w:t>Amount of Gain/(Loss) on Derivatives</w:t>
            </w:r>
          </w:p>
        </w:tc>
        <w:tc>
          <w:tcPr>
            <w:tcW w:w="0" w:type="dxa"/>
            <w:vAlign w:val="bottom"/>
          </w:tcPr>
          <w:p>
            <w:pPr>
              <w:spacing w:after="0"/>
              <w:rPr>
                <w:sz w:val="1"/>
                <w:szCs w:val="1"/>
                <w:color w:val="auto"/>
              </w:rPr>
            </w:pPr>
          </w:p>
        </w:tc>
      </w:tr>
      <w:tr>
        <w:trPr>
          <w:trHeight w:val="198"/>
        </w:trPr>
        <w:tc>
          <w:tcPr>
            <w:tcW w:w="41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Recognized in Income</w:t>
            </w:r>
          </w:p>
        </w:tc>
        <w:tc>
          <w:tcPr>
            <w:tcW w:w="2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EFFE7"/>
          </w:tcPr>
          <w:p>
            <w:pPr>
              <w:spacing w:after="0"/>
              <w:rPr>
                <w:sz w:val="15"/>
                <w:szCs w:val="15"/>
                <w:color w:val="auto"/>
              </w:rPr>
            </w:pPr>
          </w:p>
        </w:tc>
        <w:tc>
          <w:tcPr>
            <w:tcW w:w="3580" w:type="dxa"/>
            <w:vAlign w:val="bottom"/>
            <w:shd w:val="clear" w:color="auto" w:fill="CEFFE7"/>
          </w:tcPr>
          <w:p>
            <w:pPr>
              <w:ind w:left="120"/>
              <w:spacing w:after="0" w:line="181"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shd w:val="clear" w:color="auto" w:fill="CEFFE7"/>
          </w:tcPr>
          <w:p>
            <w:pPr>
              <w:spacing w:after="0"/>
              <w:rPr>
                <w:sz w:val="15"/>
                <w:szCs w:val="15"/>
                <w:color w:val="auto"/>
              </w:rPr>
            </w:pPr>
          </w:p>
        </w:tc>
        <w:tc>
          <w:tcPr>
            <w:tcW w:w="1480" w:type="dxa"/>
            <w:vAlign w:val="bottom"/>
            <w:shd w:val="clear" w:color="auto" w:fill="CEFFE7"/>
          </w:tcPr>
          <w:p>
            <w:pPr>
              <w:spacing w:after="0"/>
              <w:rPr>
                <w:sz w:val="15"/>
                <w:szCs w:val="15"/>
                <w:color w:val="auto"/>
              </w:rPr>
            </w:pPr>
          </w:p>
        </w:tc>
        <w:tc>
          <w:tcPr>
            <w:tcW w:w="640" w:type="dxa"/>
            <w:vAlign w:val="bottom"/>
            <w:shd w:val="clear" w:color="auto" w:fill="CEFFE7"/>
          </w:tcPr>
          <w:p>
            <w:pPr>
              <w:spacing w:after="0"/>
              <w:rPr>
                <w:sz w:val="15"/>
                <w:szCs w:val="15"/>
                <w:color w:val="auto"/>
              </w:rPr>
            </w:pPr>
          </w:p>
        </w:tc>
        <w:tc>
          <w:tcPr>
            <w:tcW w:w="116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2,494</w:t>
            </w:r>
          </w:p>
        </w:tc>
        <w:tc>
          <w:tcPr>
            <w:tcW w:w="64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177"/>
        </w:trPr>
        <w:tc>
          <w:tcPr>
            <w:tcW w:w="4100" w:type="dxa"/>
            <w:vAlign w:val="bottom"/>
          </w:tcPr>
          <w:p>
            <w:pPr>
              <w:spacing w:after="0"/>
              <w:rPr>
                <w:sz w:val="15"/>
                <w:szCs w:val="15"/>
                <w:color w:val="auto"/>
              </w:rPr>
            </w:pPr>
          </w:p>
        </w:tc>
        <w:tc>
          <w:tcPr>
            <w:tcW w:w="3580" w:type="dxa"/>
            <w:vAlign w:val="bottom"/>
          </w:tcPr>
          <w:p>
            <w:pPr>
              <w:ind w:left="120"/>
              <w:spacing w:after="0" w:line="178"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w:t>
            </w: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35"/>
        </w:trPr>
        <w:tc>
          <w:tcPr>
            <w:tcW w:w="410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6,498</w:t>
            </w:r>
          </w:p>
        </w:tc>
        <w:tc>
          <w:tcPr>
            <w:tcW w:w="64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bottom w:val="single" w:sz="8" w:color="CEFFE7"/>
            </w:tcBorders>
            <w:vMerge w:val="restart"/>
          </w:tcPr>
          <w:p>
            <w:pPr>
              <w:ind w:left="1440"/>
              <w:spacing w:after="0"/>
              <w:rPr>
                <w:sz w:val="20"/>
                <w:szCs w:val="20"/>
                <w:color w:val="auto"/>
              </w:rPr>
            </w:pPr>
            <w:r>
              <w:rPr>
                <w:rFonts w:ascii="Arial" w:cs="Arial" w:eastAsia="Arial" w:hAnsi="Arial"/>
                <w:sz w:val="16"/>
                <w:szCs w:val="16"/>
                <w:color w:val="auto"/>
              </w:rPr>
              <w:t>25</w:t>
            </w: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41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3"/>
          </w:tcPr>
          <w:p>
            <w:pPr>
              <w:jc w:val="center"/>
              <w:ind w:right="19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2020</w:t>
            </w:r>
          </w:p>
        </w:tc>
      </w:tr>
      <w:tr>
        <w:trPr>
          <w:trHeight w:val="174"/>
        </w:trPr>
        <w:tc>
          <w:tcPr>
            <w:tcW w:w="4100" w:type="dxa"/>
            <w:vAlign w:val="bottom"/>
          </w:tcPr>
          <w:p>
            <w:pPr>
              <w:spacing w:after="0"/>
              <w:rPr>
                <w:sz w:val="15"/>
                <w:szCs w:val="15"/>
                <w:color w:val="auto"/>
              </w:rPr>
            </w:pPr>
          </w:p>
        </w:tc>
        <w:tc>
          <w:tcPr>
            <w:tcW w:w="3580" w:type="dxa"/>
            <w:vAlign w:val="bottom"/>
          </w:tcPr>
          <w:p>
            <w:pPr>
              <w:ind w:left="480"/>
              <w:spacing w:after="0" w:line="174" w:lineRule="exact"/>
              <w:rPr>
                <w:sz w:val="20"/>
                <w:szCs w:val="20"/>
                <w:color w:val="auto"/>
              </w:rPr>
            </w:pPr>
            <w:r>
              <w:rPr>
                <w:rFonts w:ascii="Arial" w:cs="Arial" w:eastAsia="Arial" w:hAnsi="Arial"/>
                <w:sz w:val="16"/>
                <w:szCs w:val="16"/>
                <w:color w:val="auto"/>
              </w:rPr>
              <w:t>Location of Gain/(Loss) on Derivatives</w:t>
            </w:r>
          </w:p>
        </w:tc>
        <w:tc>
          <w:tcPr>
            <w:tcW w:w="280" w:type="dxa"/>
            <w:vAlign w:val="bottom"/>
          </w:tcPr>
          <w:p>
            <w:pPr>
              <w:spacing w:after="0"/>
              <w:rPr>
                <w:sz w:val="15"/>
                <w:szCs w:val="15"/>
                <w:color w:val="auto"/>
              </w:rPr>
            </w:pPr>
          </w:p>
        </w:tc>
        <w:tc>
          <w:tcPr>
            <w:tcW w:w="3280" w:type="dxa"/>
            <w:vAlign w:val="bottom"/>
            <w:gridSpan w:val="3"/>
          </w:tcPr>
          <w:p>
            <w:pPr>
              <w:jc w:val="center"/>
              <w:ind w:right="179"/>
              <w:spacing w:after="0" w:line="174" w:lineRule="exact"/>
              <w:rPr>
                <w:sz w:val="20"/>
                <w:szCs w:val="20"/>
                <w:color w:val="auto"/>
              </w:rPr>
            </w:pPr>
            <w:r>
              <w:rPr>
                <w:rFonts w:ascii="Arial" w:cs="Arial" w:eastAsia="Arial" w:hAnsi="Arial"/>
                <w:sz w:val="16"/>
                <w:szCs w:val="16"/>
                <w:color w:val="auto"/>
              </w:rPr>
              <w:t>Amount of Gain/(Loss) on Derivatives</w:t>
            </w:r>
          </w:p>
        </w:tc>
      </w:tr>
      <w:tr>
        <w:trPr>
          <w:trHeight w:val="198"/>
        </w:trPr>
        <w:tc>
          <w:tcPr>
            <w:tcW w:w="41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Recognized in Income</w:t>
            </w:r>
          </w:p>
        </w:tc>
        <w:tc>
          <w:tcPr>
            <w:tcW w:w="2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r>
      <w:tr>
        <w:trPr>
          <w:trHeight w:val="209"/>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r>
      <w:tr>
        <w:trPr>
          <w:trHeight w:val="180"/>
        </w:trPr>
        <w:tc>
          <w:tcPr>
            <w:tcW w:w="4100" w:type="dxa"/>
            <w:vAlign w:val="bottom"/>
            <w:shd w:val="clear" w:color="auto" w:fill="CEFFE7"/>
          </w:tcPr>
          <w:p>
            <w:pPr>
              <w:spacing w:after="0"/>
              <w:rPr>
                <w:sz w:val="15"/>
                <w:szCs w:val="15"/>
                <w:color w:val="auto"/>
              </w:rPr>
            </w:pPr>
          </w:p>
        </w:tc>
        <w:tc>
          <w:tcPr>
            <w:tcW w:w="3580" w:type="dxa"/>
            <w:vAlign w:val="bottom"/>
            <w:shd w:val="clear" w:color="auto" w:fill="CEFFE7"/>
          </w:tcPr>
          <w:p>
            <w:pPr>
              <w:ind w:left="120"/>
              <w:spacing w:after="0" w:line="181"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shd w:val="clear" w:color="auto" w:fill="CEFFE7"/>
          </w:tcPr>
          <w:p>
            <w:pPr>
              <w:spacing w:after="0"/>
              <w:rPr>
                <w:sz w:val="15"/>
                <w:szCs w:val="15"/>
                <w:color w:val="auto"/>
              </w:rPr>
            </w:pPr>
          </w:p>
        </w:tc>
        <w:tc>
          <w:tcPr>
            <w:tcW w:w="1500" w:type="dxa"/>
            <w:vAlign w:val="bottom"/>
            <w:shd w:val="clear" w:color="auto" w:fill="CEFFE7"/>
          </w:tcPr>
          <w:p>
            <w:pPr>
              <w:spacing w:after="0"/>
              <w:rPr>
                <w:sz w:val="15"/>
                <w:szCs w:val="15"/>
                <w:color w:val="auto"/>
              </w:rPr>
            </w:pPr>
          </w:p>
        </w:tc>
        <w:tc>
          <w:tcPr>
            <w:tcW w:w="620" w:type="dxa"/>
            <w:vAlign w:val="bottom"/>
            <w:shd w:val="clear" w:color="auto" w:fill="CEFFE7"/>
          </w:tcPr>
          <w:p>
            <w:pPr>
              <w:spacing w:after="0"/>
              <w:rPr>
                <w:sz w:val="15"/>
                <w:szCs w:val="15"/>
                <w:color w:val="auto"/>
              </w:rPr>
            </w:pPr>
          </w:p>
        </w:tc>
        <w:tc>
          <w:tcPr>
            <w:tcW w:w="1160" w:type="dxa"/>
            <w:vAlign w:val="bottom"/>
            <w:shd w:val="clear" w:color="auto" w:fill="CEFFE7"/>
          </w:tcPr>
          <w:p>
            <w:pPr>
              <w:spacing w:after="0"/>
              <w:rPr>
                <w:sz w:val="15"/>
                <w:szCs w:val="15"/>
                <w:color w:val="auto"/>
              </w:rPr>
            </w:pPr>
          </w:p>
        </w:tc>
      </w:tr>
      <w:tr>
        <w:trPr>
          <w:trHeight w:val="201"/>
        </w:trPr>
        <w:tc>
          <w:tcPr>
            <w:tcW w:w="4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EFFE7"/>
          </w:tcPr>
          <w:p>
            <w:pPr>
              <w:jc w:val="center"/>
              <w:ind w:left="859"/>
              <w:spacing w:after="0"/>
              <w:rPr>
                <w:sz w:val="20"/>
                <w:szCs w:val="20"/>
                <w:color w:val="auto"/>
              </w:rPr>
            </w:pPr>
            <w:r>
              <w:rPr>
                <w:rFonts w:ascii="Arial" w:cs="Arial" w:eastAsia="Arial" w:hAnsi="Arial"/>
                <w:sz w:val="16"/>
                <w:szCs w:val="16"/>
                <w:color w:val="auto"/>
              </w:rPr>
              <w:t>(2,628)</w:t>
            </w:r>
          </w:p>
        </w:tc>
        <w:tc>
          <w:tcPr>
            <w:tcW w:w="62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(228)</w:t>
            </w:r>
          </w:p>
        </w:tc>
      </w:tr>
      <w:tr>
        <w:trPr>
          <w:trHeight w:val="177"/>
        </w:trPr>
        <w:tc>
          <w:tcPr>
            <w:tcW w:w="4100" w:type="dxa"/>
            <w:vAlign w:val="bottom"/>
          </w:tcPr>
          <w:p>
            <w:pPr>
              <w:spacing w:after="0"/>
              <w:rPr>
                <w:sz w:val="15"/>
                <w:szCs w:val="15"/>
                <w:color w:val="auto"/>
              </w:rPr>
            </w:pPr>
          </w:p>
        </w:tc>
        <w:tc>
          <w:tcPr>
            <w:tcW w:w="3580" w:type="dxa"/>
            <w:vAlign w:val="bottom"/>
          </w:tcPr>
          <w:p>
            <w:pPr>
              <w:ind w:left="120"/>
              <w:spacing w:after="0" w:line="178"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8"/>
        </w:trPr>
        <w:tc>
          <w:tcPr>
            <w:tcW w:w="41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w w:val="99"/>
              </w:rPr>
              <w:t>6,186</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2,992</w:t>
            </w:r>
          </w:p>
        </w:tc>
      </w:tr>
      <w:tr>
        <w:trPr>
          <w:trHeight w:val="234"/>
        </w:trPr>
        <w:tc>
          <w:tcPr>
            <w:tcW w:w="410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center"/>
              <w:ind w:left="859"/>
              <w:spacing w:after="0"/>
              <w:rPr>
                <w:sz w:val="20"/>
                <w:szCs w:val="20"/>
                <w:color w:val="auto"/>
              </w:rPr>
            </w:pPr>
            <w:r>
              <w:rPr>
                <w:rFonts w:ascii="Arial" w:cs="Arial" w:eastAsia="Arial" w:hAnsi="Arial"/>
                <w:sz w:val="16"/>
                <w:szCs w:val="16"/>
                <w:color w:val="auto"/>
                <w:w w:val="99"/>
              </w:rPr>
              <w:t>3,558</w:t>
            </w:r>
          </w:p>
        </w:tc>
        <w:tc>
          <w:tcPr>
            <w:tcW w:w="62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2,764</w:t>
            </w: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There is no earnings impact because the unrealized gains and losses arising from the use of these financial instruments are recorded as Regulatory assets or Regulatory liabilities. The net unrealized (losses) or gains included in our Regulatory asset or Regulatory liability related to the hedges in our Gas Utilities were $13.2 million and $(2.2) million as of September 30, 2021 and December 31, 2020, respectively. For our Electric Utilities, the unrealized gains and losses arising from these derivatives are recognized in the Condensed Consolidated Statements of Income.</w:t>
      </w: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6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22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22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6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 For additional information, see Note 1 of our Notes to the Consolidated Financial Statements in our 2020 Annual Report on Form 10-K.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458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885"/>
        </w:trPr>
        <w:tc>
          <w:tcPr>
            <w:tcW w:w="136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4"/>
          </w:tcPr>
          <w:p>
            <w:pPr>
              <w:jc w:val="center"/>
              <w:ind w:right="799"/>
              <w:spacing w:after="0"/>
              <w:rPr>
                <w:sz w:val="20"/>
                <w:szCs w:val="20"/>
                <w:color w:val="auto"/>
              </w:rPr>
            </w:pPr>
            <w:r>
              <w:rPr>
                <w:rFonts w:ascii="Arial" w:cs="Arial" w:eastAsia="Arial" w:hAnsi="Arial"/>
                <w:sz w:val="16"/>
                <w:szCs w:val="16"/>
                <w:color w:val="auto"/>
              </w:rPr>
              <w:t>As of September 30, 2021</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8"/>
        </w:trPr>
        <w:tc>
          <w:tcPr>
            <w:tcW w:w="13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center"/>
              <w:ind w:right="39"/>
              <w:spacing w:after="0"/>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47"/>
        </w:trPr>
        <w:tc>
          <w:tcPr>
            <w:tcW w:w="1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39"/>
              <w:spacing w:after="0" w:line="147"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1360" w:type="dxa"/>
            <w:vAlign w:val="bottom"/>
            <w:tcBorders>
              <w:bottom w:val="single" w:sz="8" w:color="CEFFE7"/>
            </w:tcBorders>
          </w:tcPr>
          <w:p>
            <w:pPr>
              <w:spacing w:after="0"/>
              <w:rPr>
                <w:sz w:val="18"/>
                <w:szCs w:val="18"/>
                <w:color w:val="auto"/>
              </w:rPr>
            </w:pPr>
          </w:p>
        </w:tc>
        <w:tc>
          <w:tcPr>
            <w:tcW w:w="3220" w:type="dxa"/>
            <w:vAlign w:val="bottom"/>
            <w:tcBorders>
              <w:bottom w:val="single" w:sz="8" w:color="CEFFE7"/>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39"/>
              <w:spacing w:after="0" w:line="216" w:lineRule="exact"/>
              <w:rPr>
                <w:sz w:val="20"/>
                <w:szCs w:val="20"/>
                <w:color w:val="auto"/>
              </w:rPr>
            </w:pPr>
            <w:r>
              <w:rPr>
                <w:rFonts w:ascii="Arial" w:cs="Arial" w:eastAsia="Arial" w:hAnsi="Arial"/>
                <w:sz w:val="16"/>
                <w:szCs w:val="16"/>
                <w:color w:val="auto"/>
                <w:w w:val="96"/>
              </w:rPr>
              <w:t xml:space="preserve">Netting </w:t>
            </w:r>
            <w:r>
              <w:rPr>
                <w:rFonts w:ascii="Arial" w:cs="Arial" w:eastAsia="Arial" w:hAnsi="Arial"/>
                <w:sz w:val="21"/>
                <w:szCs w:val="21"/>
                <w:color w:val="auto"/>
                <w:w w:val="96"/>
                <w:vertAlign w:val="superscript"/>
              </w:rPr>
              <w:t>(a)</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Total</w:t>
            </w:r>
          </w:p>
        </w:tc>
      </w:tr>
      <w:tr>
        <w:trPr>
          <w:trHeight w:val="210"/>
        </w:trPr>
        <w:tc>
          <w:tcPr>
            <w:tcW w:w="1360" w:type="dxa"/>
            <w:vAlign w:val="bottom"/>
            <w:shd w:val="clear" w:color="auto" w:fill="CEFFE7"/>
          </w:tcPr>
          <w:p>
            <w:pPr>
              <w:spacing w:after="0"/>
              <w:rPr>
                <w:sz w:val="18"/>
                <w:szCs w:val="18"/>
                <w:color w:val="auto"/>
              </w:rPr>
            </w:pPr>
          </w:p>
        </w:tc>
        <w:tc>
          <w:tcPr>
            <w:tcW w:w="32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760" w:type="dxa"/>
            <w:vAlign w:val="bottom"/>
            <w:gridSpan w:val="4"/>
            <w:shd w:val="clear" w:color="auto" w:fill="CEFFE7"/>
          </w:tcPr>
          <w:p>
            <w:pPr>
              <w:jc w:val="center"/>
              <w:ind w:right="779"/>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58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32,298</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EFFE7"/>
          </w:tcPr>
          <w:p>
            <w:pPr>
              <w:spacing w:after="0"/>
              <w:rPr>
                <w:sz w:val="19"/>
                <w:szCs w:val="19"/>
                <w:color w:val="auto"/>
              </w:rPr>
            </w:pPr>
          </w:p>
        </w:tc>
        <w:tc>
          <w:tcPr>
            <w:tcW w:w="900" w:type="dxa"/>
            <w:vAlign w:val="bottom"/>
            <w:shd w:val="clear" w:color="auto" w:fill="CEFFE7"/>
          </w:tcPr>
          <w:p>
            <w:pPr>
              <w:ind w:left="5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(18,370)</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13,928</w:t>
            </w:r>
          </w:p>
        </w:tc>
      </w:tr>
      <w:tr>
        <w:trPr>
          <w:trHeight w:val="213"/>
        </w:trPr>
        <w:tc>
          <w:tcPr>
            <w:tcW w:w="458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32,298</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EFFE7"/>
          </w:tcPr>
          <w:p>
            <w:pPr>
              <w:spacing w:after="0"/>
              <w:rPr>
                <w:sz w:val="20"/>
                <w:szCs w:val="20"/>
                <w:color w:val="auto"/>
              </w:rPr>
            </w:pPr>
          </w:p>
        </w:tc>
        <w:tc>
          <w:tcPr>
            <w:tcW w:w="900" w:type="dxa"/>
            <w:vAlign w:val="bottom"/>
            <w:tcBorders>
              <w:bottom w:val="single" w:sz="8" w:color="auto"/>
            </w:tcBorders>
            <w:shd w:val="clear" w:color="auto" w:fill="CEFFE7"/>
          </w:tcPr>
          <w:p>
            <w:pPr>
              <w:ind w:left="5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(18,370)</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13,928</w:t>
            </w:r>
          </w:p>
        </w:tc>
      </w:tr>
      <w:tr>
        <w:trPr>
          <w:trHeight w:val="20"/>
        </w:trPr>
        <w:tc>
          <w:tcPr>
            <w:tcW w:w="4580" w:type="dxa"/>
            <w:vAlign w:val="bottom"/>
            <w:tcBorders>
              <w:top w:val="single" w:sz="8" w:color="CEFFE7"/>
            </w:tcBorders>
            <w:gridSpan w:val="2"/>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r>
        <w:trPr>
          <w:trHeight w:val="55"/>
        </w:trPr>
        <w:tc>
          <w:tcPr>
            <w:tcW w:w="13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4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660" w:type="dxa"/>
            <w:vAlign w:val="bottom"/>
            <w:shd w:val="clear" w:color="auto" w:fill="CEFFE7"/>
          </w:tcPr>
          <w:p>
            <w:pPr>
              <w:spacing w:after="0"/>
              <w:rPr>
                <w:sz w:val="18"/>
                <w:szCs w:val="18"/>
                <w:color w:val="auto"/>
              </w:rPr>
            </w:pPr>
          </w:p>
        </w:tc>
        <w:tc>
          <w:tcPr>
            <w:tcW w:w="88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ind w:left="52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(141)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16"/>
        </w:trPr>
        <w:tc>
          <w:tcPr>
            <w:tcW w:w="458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2,484</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ind w:left="5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2,484</w:t>
            </w:r>
          </w:p>
        </w:tc>
      </w:tr>
      <w:tr>
        <w:trPr>
          <w:trHeight w:val="212"/>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(141)</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r>
      <w:tr>
        <w:trPr>
          <w:trHeight w:val="21"/>
        </w:trPr>
        <w:tc>
          <w:tcPr>
            <w:tcW w:w="1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340" w:hanging="332"/>
        <w:spacing w:after="0" w:line="258" w:lineRule="auto"/>
        <w:tabs>
          <w:tab w:leader="none" w:pos="344"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September 30, 2021, $18 million of our commodity derivative assets and $0.1 million of our commodity derivative liabilities, as well as related collateral amounts, were subject to master netting agreements. Collateral amounts are included in Other current assets on the Condensed Consolidated Balance Sheets.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center"/>
              <w:ind w:right="819"/>
              <w:spacing w:after="0"/>
              <w:rPr>
                <w:sz w:val="20"/>
                <w:szCs w:val="20"/>
                <w:color w:val="auto"/>
              </w:rPr>
            </w:pPr>
            <w:r>
              <w:rPr>
                <w:rFonts w:ascii="Arial" w:cs="Arial" w:eastAsia="Arial" w:hAnsi="Arial"/>
                <w:sz w:val="16"/>
                <w:szCs w:val="16"/>
                <w:color w:val="auto"/>
              </w:rPr>
              <w:t>As of December 31, 2020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8"/>
        </w:trPr>
        <w:tc>
          <w:tcPr>
            <w:tcW w:w="4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center"/>
              <w:ind w:right="39"/>
              <w:spacing w:after="0"/>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59"/>
        </w:trPr>
        <w:tc>
          <w:tcPr>
            <w:tcW w:w="4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center"/>
              <w:ind w:right="39"/>
              <w:spacing w:after="0" w:line="159"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4580" w:type="dxa"/>
            <w:vAlign w:val="bottom"/>
            <w:tcBorders>
              <w:bottom w:val="single" w:sz="8" w:color="CEFFE7"/>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9"/>
              <w:spacing w:after="0" w:line="204" w:lineRule="exact"/>
              <w:rPr>
                <w:sz w:val="20"/>
                <w:szCs w:val="20"/>
                <w:color w:val="auto"/>
              </w:rPr>
            </w:pPr>
            <w:r>
              <w:rPr>
                <w:rFonts w:ascii="Arial" w:cs="Arial" w:eastAsia="Arial" w:hAnsi="Arial"/>
                <w:sz w:val="16"/>
                <w:szCs w:val="16"/>
                <w:color w:val="auto"/>
                <w:w w:val="91"/>
              </w:rPr>
              <w:t xml:space="preserve">Netting </w:t>
            </w:r>
            <w:r>
              <w:rPr>
                <w:rFonts w:ascii="Arial" w:cs="Arial" w:eastAsia="Arial" w:hAnsi="Arial"/>
                <w:sz w:val="21"/>
                <w:szCs w:val="21"/>
                <w:color w:val="auto"/>
                <w:w w:val="91"/>
                <w:vertAlign w:val="superscript"/>
              </w:rPr>
              <w:t>(a)</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Total</w:t>
            </w:r>
          </w:p>
        </w:tc>
      </w:tr>
      <w:tr>
        <w:trPr>
          <w:trHeight w:val="210"/>
        </w:trPr>
        <w:tc>
          <w:tcPr>
            <w:tcW w:w="45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740" w:type="dxa"/>
            <w:vAlign w:val="bottom"/>
            <w:gridSpan w:val="4"/>
            <w:shd w:val="clear" w:color="auto" w:fill="CEFFE7"/>
          </w:tcPr>
          <w:p>
            <w:pPr>
              <w:jc w:val="center"/>
              <w:ind w:right="799"/>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2,504</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880" w:type="dxa"/>
            <w:vAlign w:val="bottom"/>
            <w:shd w:val="clear" w:color="auto" w:fill="CEFFE7"/>
          </w:tcPr>
          <w:p>
            <w:pPr>
              <w:ind w:left="5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(1,527)</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977</w:t>
            </w:r>
          </w:p>
        </w:tc>
      </w:tr>
      <w:tr>
        <w:trPr>
          <w:trHeight w:val="213"/>
        </w:trPr>
        <w:tc>
          <w:tcPr>
            <w:tcW w:w="45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r>
      <w:tr>
        <w:trPr>
          <w:trHeight w:val="237"/>
        </w:trPr>
        <w:tc>
          <w:tcPr>
            <w:tcW w:w="45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3,569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20"/>
                <w:szCs w:val="20"/>
                <w:color w:val="auto"/>
              </w:rPr>
            </w:pPr>
          </w:p>
        </w:tc>
        <w:tc>
          <w:tcPr>
            <w:tcW w:w="8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(1,527)</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2,042</w:t>
            </w: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r>
        <w:trPr>
          <w:trHeight w:val="55"/>
        </w:trPr>
        <w:tc>
          <w:tcPr>
            <w:tcW w:w="4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88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64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2,675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ind w:left="5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(1,552)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921</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(1,552)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40" w:right="340" w:hanging="332"/>
        <w:spacing w:after="0" w:line="258" w:lineRule="auto"/>
        <w:tabs>
          <w:tab w:leader="none" w:pos="344"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2020, $1.5 million of our commodity derivative assets and $1.6 million of our commodity derivative liabilities, as well as related collateral amounts, were subject to master netting agreements. Collateral amounts are included in Other current assets on the Condensed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26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15 to the Consolidated Financial Statements included in our 2020 Annual Report on Form 10-K.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since these borrowings are not traded on an exchange, they are classified in Level 2 in the fair value hierarchy.</w:t>
      </w:r>
    </w:p>
    <w:p>
      <w:pPr>
        <w:spacing w:after="0" w:line="2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Condensed Consolidated Balance Sheets (in thousands) as of:</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4"/>
          </w:tcPr>
          <w:p>
            <w:pPr>
              <w:ind w:left="380"/>
              <w:spacing w:after="0"/>
              <w:rPr>
                <w:sz w:val="20"/>
                <w:szCs w:val="20"/>
                <w:color w:val="auto"/>
              </w:rPr>
            </w:pPr>
            <w:r>
              <w:rPr>
                <w:rFonts w:ascii="Arial" w:cs="Arial" w:eastAsia="Arial" w:hAnsi="Arial"/>
                <w:sz w:val="16"/>
                <w:szCs w:val="16"/>
                <w:color w:val="auto"/>
              </w:rPr>
              <w:t>September 30, 2021</w:t>
            </w:r>
          </w:p>
        </w:tc>
        <w:tc>
          <w:tcPr>
            <w:tcW w:w="220" w:type="dxa"/>
            <w:vAlign w:val="bottom"/>
          </w:tcPr>
          <w:p>
            <w:pPr>
              <w:spacing w:after="0"/>
              <w:rPr>
                <w:sz w:val="17"/>
                <w:szCs w:val="17"/>
                <w:color w:val="auto"/>
              </w:rPr>
            </w:pPr>
          </w:p>
        </w:tc>
        <w:tc>
          <w:tcPr>
            <w:tcW w:w="2440" w:type="dxa"/>
            <w:vAlign w:val="bottom"/>
            <w:gridSpan w:val="3"/>
          </w:tcPr>
          <w:p>
            <w:pPr>
              <w:jc w:val="right"/>
              <w:ind w:right="539"/>
              <w:spacing w:after="0"/>
              <w:rPr>
                <w:sz w:val="20"/>
                <w:szCs w:val="20"/>
                <w:color w:val="auto"/>
              </w:rPr>
            </w:pPr>
            <w:r>
              <w:rPr>
                <w:rFonts w:ascii="Arial" w:cs="Arial" w:eastAsia="Arial" w:hAnsi="Arial"/>
                <w:sz w:val="16"/>
                <w:szCs w:val="16"/>
                <w:color w:val="auto"/>
              </w:rPr>
              <w:t>December 31, 2020</w:t>
            </w:r>
          </w:p>
        </w:tc>
      </w:tr>
      <w:tr>
        <w:trPr>
          <w:trHeight w:val="174"/>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79"/>
              <w:spacing w:after="0" w:line="174" w:lineRule="exact"/>
              <w:rPr>
                <w:sz w:val="20"/>
                <w:szCs w:val="20"/>
                <w:color w:val="auto"/>
              </w:rPr>
            </w:pPr>
            <w:r>
              <w:rPr>
                <w:rFonts w:ascii="Arial" w:cs="Arial" w:eastAsia="Arial" w:hAnsi="Arial"/>
                <w:sz w:val="16"/>
                <w:szCs w:val="16"/>
                <w:color w:val="auto"/>
              </w:rPr>
              <w:t>Carrying</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79"/>
              <w:spacing w:after="0" w:line="174" w:lineRule="exact"/>
              <w:rPr>
                <w:sz w:val="20"/>
                <w:szCs w:val="20"/>
                <w:color w:val="auto"/>
              </w:rPr>
            </w:pPr>
            <w:r>
              <w:rPr>
                <w:rFonts w:ascii="Arial" w:cs="Arial" w:eastAsia="Arial" w:hAnsi="Arial"/>
                <w:sz w:val="16"/>
                <w:szCs w:val="16"/>
                <w:color w:val="auto"/>
              </w:rPr>
              <w:t>Carrying</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98"/>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color w:val="auto"/>
              </w:rPr>
              <w:t>Fair Value</w:t>
            </w:r>
          </w:p>
        </w:tc>
        <w:tc>
          <w:tcPr>
            <w:tcW w:w="22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7"/>
                <w:szCs w:val="17"/>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Fair Value</w:t>
            </w:r>
          </w:p>
        </w:tc>
      </w:tr>
      <w:tr>
        <w:trPr>
          <w:trHeight w:val="212"/>
        </w:trPr>
        <w:tc>
          <w:tcPr>
            <w:tcW w:w="5720" w:type="dxa"/>
            <w:vAlign w:val="bottom"/>
            <w:tcBorders>
              <w:top w:val="single" w:sz="8" w:color="auto"/>
            </w:tcBorders>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22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4,125,571</w:t>
            </w:r>
          </w:p>
        </w:tc>
        <w:tc>
          <w:tcPr>
            <w:tcW w:w="2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4,614,244</w:t>
            </w:r>
          </w:p>
        </w:tc>
        <w:tc>
          <w:tcPr>
            <w:tcW w:w="14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3,536,536</w:t>
            </w:r>
          </w:p>
        </w:tc>
        <w:tc>
          <w:tcPr>
            <w:tcW w:w="24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4,208,167</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100" w:hanging="332"/>
        <w:spacing w:after="0" w:line="258" w:lineRule="auto"/>
        <w:tabs>
          <w:tab w:leader="none" w:pos="352"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as Level 2 in the fair value hierarchy. Carrying amount of long-term debt is net of deferred financing costs.</w:t>
      </w:r>
    </w:p>
    <w:p>
      <w:pPr>
        <w:spacing w:after="0" w:line="200" w:lineRule="exact"/>
        <w:rPr>
          <w:sz w:val="20"/>
          <w:szCs w:val="20"/>
          <w:color w:val="auto"/>
        </w:rPr>
      </w:pPr>
    </w:p>
    <w:p>
      <w:pPr>
        <w:spacing w:after="0" w:line="241"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6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Income for the period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60" w:type="dxa"/>
            <w:vAlign w:val="bottom"/>
            <w:gridSpan w:val="4"/>
          </w:tcPr>
          <w:p>
            <w:pPr>
              <w:ind w:left="40"/>
              <w:spacing w:after="0"/>
              <w:rPr>
                <w:sz w:val="20"/>
                <w:szCs w:val="20"/>
                <w:color w:val="auto"/>
              </w:rPr>
            </w:pPr>
            <w:r>
              <w:rPr>
                <w:rFonts w:ascii="Arial" w:cs="Arial" w:eastAsia="Arial" w:hAnsi="Arial"/>
                <w:sz w:val="16"/>
                <w:szCs w:val="16"/>
                <w:color w:val="auto"/>
              </w:rPr>
              <w:t>Amount Reclassified from AOCI</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3"/>
          </w:tcPr>
          <w:p>
            <w:pPr>
              <w:jc w:val="right"/>
              <w:ind w:right="339"/>
              <w:spacing w:after="0"/>
              <w:rPr>
                <w:sz w:val="20"/>
                <w:szCs w:val="20"/>
                <w:color w:val="auto"/>
              </w:rPr>
            </w:pPr>
            <w:r>
              <w:rPr>
                <w:rFonts w:ascii="Arial" w:cs="Arial" w:eastAsia="Arial" w:hAnsi="Arial"/>
                <w:sz w:val="16"/>
                <w:szCs w:val="16"/>
                <w:color w:val="auto"/>
              </w:rPr>
              <w:t>Three Months Ended</w:t>
            </w:r>
          </w:p>
        </w:tc>
        <w:tc>
          <w:tcPr>
            <w:tcW w:w="300" w:type="dxa"/>
            <w:vAlign w:val="bottom"/>
          </w:tcPr>
          <w:p>
            <w:pPr>
              <w:spacing w:after="0"/>
              <w:rPr>
                <w:sz w:val="15"/>
                <w:szCs w:val="15"/>
                <w:color w:val="auto"/>
              </w:rPr>
            </w:pPr>
          </w:p>
        </w:tc>
        <w:tc>
          <w:tcPr>
            <w:tcW w:w="1980" w:type="dxa"/>
            <w:vAlign w:val="bottom"/>
            <w:gridSpan w:val="3"/>
          </w:tcPr>
          <w:p>
            <w:pPr>
              <w:jc w:val="right"/>
              <w:ind w:right="31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2920" w:type="dxa"/>
            <w:vAlign w:val="bottom"/>
          </w:tcPr>
          <w:p>
            <w:pPr>
              <w:ind w:left="480"/>
              <w:spacing w:after="0"/>
              <w:rPr>
                <w:sz w:val="20"/>
                <w:szCs w:val="20"/>
                <w:color w:val="auto"/>
              </w:rPr>
            </w:pPr>
            <w:r>
              <w:rPr>
                <w:rFonts w:ascii="Arial" w:cs="Arial" w:eastAsia="Arial" w:hAnsi="Arial"/>
                <w:sz w:val="16"/>
                <w:szCs w:val="16"/>
                <w:color w:val="auto"/>
              </w:rPr>
              <w:t>Location on the Condensed</w:t>
            </w: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color w:val="auto"/>
              </w:rPr>
              <w:t>September 30,</w:t>
            </w: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Consolidated Statements of Income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3"/>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Gains and (losses) on cash flow hedges:</w:t>
            </w:r>
          </w:p>
        </w:tc>
        <w:tc>
          <w:tcPr>
            <w:tcW w:w="29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2920" w:type="dxa"/>
            <w:vAlign w:val="bottom"/>
          </w:tcPr>
          <w:p>
            <w:pPr>
              <w:ind w:left="40"/>
              <w:spacing w:after="0" w:line="178" w:lineRule="exact"/>
              <w:rPr>
                <w:sz w:val="20"/>
                <w:szCs w:val="20"/>
                <w:color w:val="auto"/>
              </w:rPr>
            </w:pPr>
            <w:r>
              <w:rPr>
                <w:rFonts w:ascii="Arial" w:cs="Arial" w:eastAsia="Arial" w:hAnsi="Arial"/>
                <w:sz w:val="16"/>
                <w:szCs w:val="16"/>
                <w:color w:val="auto"/>
              </w:rPr>
              <w:t>Interest expense incurred net of</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6"/>
                <w:szCs w:val="16"/>
                <w:color w:val="auto"/>
              </w:rPr>
              <w:t>amounts capitalized (including</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6"/>
                <w:szCs w:val="16"/>
                <w:color w:val="auto"/>
              </w:rPr>
              <w:t>amortization of debt issuance costs,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920" w:type="dxa"/>
            <w:vAlign w:val="bottom"/>
          </w:tcPr>
          <w:p>
            <w:pPr>
              <w:ind w:left="40"/>
              <w:spacing w:after="0"/>
              <w:rPr>
                <w:sz w:val="20"/>
                <w:szCs w:val="20"/>
                <w:color w:val="auto"/>
              </w:rPr>
            </w:pPr>
            <w:r>
              <w:rPr>
                <w:rFonts w:ascii="Arial" w:cs="Arial" w:eastAsia="Arial" w:hAnsi="Arial"/>
                <w:sz w:val="16"/>
                <w:szCs w:val="16"/>
                <w:color w:val="auto"/>
              </w:rPr>
              <w:t>premiums and discounts)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(712)</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(2,138)</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180"/>
        </w:trPr>
        <w:tc>
          <w:tcPr>
            <w:tcW w:w="3740" w:type="dxa"/>
            <w:vAlign w:val="bottom"/>
            <w:shd w:val="clear" w:color="auto" w:fill="CEFFE7"/>
          </w:tcPr>
          <w:p>
            <w:pPr>
              <w:spacing w:after="0"/>
              <w:rPr>
                <w:sz w:val="15"/>
                <w:szCs w:val="15"/>
                <w:color w:val="auto"/>
              </w:rPr>
            </w:pPr>
          </w:p>
        </w:tc>
        <w:tc>
          <w:tcPr>
            <w:tcW w:w="2920" w:type="dxa"/>
            <w:vAlign w:val="bottom"/>
            <w:shd w:val="clear" w:color="auto" w:fill="CEFFE7"/>
          </w:tcPr>
          <w:p>
            <w:pPr>
              <w:ind w:left="40"/>
              <w:spacing w:after="0" w:line="181" w:lineRule="exact"/>
              <w:rPr>
                <w:sz w:val="20"/>
                <w:szCs w:val="20"/>
                <w:color w:val="auto"/>
              </w:rPr>
            </w:pPr>
            <w:r>
              <w:rPr>
                <w:rFonts w:ascii="Arial" w:cs="Arial" w:eastAsia="Arial" w:hAnsi="Arial"/>
                <w:sz w:val="16"/>
                <w:szCs w:val="16"/>
                <w:color w:val="auto"/>
              </w:rPr>
              <w:t>Fuel, purchased power and cost of</w:t>
            </w:r>
          </w:p>
        </w:tc>
        <w:tc>
          <w:tcPr>
            <w:tcW w:w="24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94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Commodity contracts</w:t>
            </w:r>
          </w:p>
        </w:tc>
        <w:tc>
          <w:tcPr>
            <w:tcW w:w="2920" w:type="dxa"/>
            <w:vAlign w:val="bottom"/>
            <w:shd w:val="clear" w:color="auto" w:fill="CEFFE7"/>
          </w:tcPr>
          <w:p>
            <w:pPr>
              <w:ind w:left="4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331</w:t>
            </w:r>
          </w:p>
        </w:tc>
        <w:tc>
          <w:tcPr>
            <w:tcW w:w="260" w:type="dxa"/>
            <w:vAlign w:val="bottom"/>
            <w:tcBorders>
              <w:bottom w:val="single" w:sz="8" w:color="auto"/>
            </w:tcBorders>
            <w:shd w:val="clear" w:color="auto" w:fill="CEFFE7"/>
          </w:tcPr>
          <w:p>
            <w:pPr>
              <w:spacing w:after="0"/>
              <w:rPr>
                <w:sz w:val="17"/>
                <w:szCs w:val="17"/>
                <w:color w:val="auto"/>
              </w:rPr>
            </w:pPr>
          </w:p>
        </w:tc>
        <w:tc>
          <w:tcPr>
            <w:tcW w:w="9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(178)</w:t>
            </w:r>
          </w:p>
        </w:tc>
        <w:tc>
          <w:tcPr>
            <w:tcW w:w="30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356</w:t>
            </w:r>
          </w:p>
        </w:tc>
        <w:tc>
          <w:tcPr>
            <w:tcW w:w="26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(381)</w:t>
            </w:r>
          </w:p>
        </w:tc>
        <w:tc>
          <w:tcPr>
            <w:tcW w:w="26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(2,872)</w:t>
            </w:r>
          </w:p>
        </w:tc>
        <w:tc>
          <w:tcPr>
            <w:tcW w:w="0" w:type="dxa"/>
            <w:vAlign w:val="bottom"/>
          </w:tcPr>
          <w:p>
            <w:pPr>
              <w:spacing w:after="0"/>
              <w:rPr>
                <w:sz w:val="1"/>
                <w:szCs w:val="1"/>
                <w:color w:val="auto"/>
              </w:rPr>
            </w:pPr>
          </w:p>
        </w:tc>
      </w:tr>
      <w:tr>
        <w:trPr>
          <w:trHeight w:val="219"/>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w:t>
            </w:r>
          </w:p>
        </w:tc>
        <w:tc>
          <w:tcPr>
            <w:tcW w:w="2920" w:type="dxa"/>
            <w:vAlign w:val="bottom"/>
            <w:shd w:val="clear" w:color="auto" w:fill="CEFFE7"/>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EFFE7"/>
          </w:tcPr>
          <w:p>
            <w:pPr>
              <w:spacing w:after="0"/>
              <w:rPr>
                <w:sz w:val="19"/>
                <w:szCs w:val="19"/>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shd w:val="clear" w:color="auto" w:fill="CEFFE7"/>
          </w:tcPr>
          <w:p>
            <w:pPr>
              <w:spacing w:after="0"/>
              <w:rPr>
                <w:sz w:val="19"/>
                <w:szCs w:val="19"/>
                <w:color w:val="auto"/>
              </w:rPr>
            </w:pPr>
          </w:p>
        </w:tc>
        <w:tc>
          <w:tcPr>
            <w:tcW w:w="9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209</w:t>
            </w:r>
          </w:p>
        </w:tc>
        <w:tc>
          <w:tcPr>
            <w:tcW w:w="300" w:type="dxa"/>
            <w:vAlign w:val="bottom"/>
            <w:tcBorders>
              <w:bottom w:val="single" w:sz="8" w:color="auto"/>
            </w:tcBorders>
            <w:shd w:val="clear" w:color="auto" w:fill="CEFFE7"/>
          </w:tcPr>
          <w:p>
            <w:pPr>
              <w:spacing w:after="0"/>
              <w:rPr>
                <w:sz w:val="19"/>
                <w:szCs w:val="19"/>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308</w:t>
            </w:r>
          </w:p>
        </w:tc>
        <w:tc>
          <w:tcPr>
            <w:tcW w:w="260" w:type="dxa"/>
            <w:vAlign w:val="bottom"/>
            <w:tcBorders>
              <w:bottom w:val="single" w:sz="8" w:color="auto"/>
            </w:tcBorders>
            <w:shd w:val="clear" w:color="auto" w:fill="CEFFE7"/>
          </w:tcPr>
          <w:p>
            <w:pPr>
              <w:spacing w:after="0"/>
              <w:rPr>
                <w:sz w:val="19"/>
                <w:szCs w:val="19"/>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157"/>
        </w:trPr>
        <w:tc>
          <w:tcPr>
            <w:tcW w:w="3740" w:type="dxa"/>
            <w:vAlign w:val="bottom"/>
          </w:tcPr>
          <w:p>
            <w:pPr>
              <w:ind w:left="20"/>
              <w:spacing w:after="0" w:line="158" w:lineRule="exact"/>
              <w:rPr>
                <w:sz w:val="20"/>
                <w:szCs w:val="20"/>
                <w:color w:val="auto"/>
              </w:rPr>
            </w:pPr>
            <w:r>
              <w:rPr>
                <w:rFonts w:ascii="Arial" w:cs="Arial" w:eastAsia="Arial" w:hAnsi="Arial"/>
                <w:sz w:val="16"/>
                <w:szCs w:val="16"/>
                <w:color w:val="auto"/>
              </w:rPr>
              <w:t>Total reclassification adjustments related to cash</w:t>
            </w:r>
          </w:p>
        </w:tc>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flow hedges, net of tax</w:t>
            </w:r>
          </w:p>
        </w:tc>
        <w:tc>
          <w:tcPr>
            <w:tcW w:w="2920" w:type="dxa"/>
            <w:vAlign w:val="bottom"/>
            <w:tcBorders>
              <w:bottom w:val="single" w:sz="8" w:color="CEFFE7"/>
            </w:tcBorders>
          </w:tcPr>
          <w:p>
            <w:pPr>
              <w:spacing w:after="0"/>
              <w:rPr>
                <w:sz w:val="17"/>
                <w:szCs w:val="17"/>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78"/>
        </w:trPr>
        <w:tc>
          <w:tcPr>
            <w:tcW w:w="3740" w:type="dxa"/>
            <w:vAlign w:val="bottom"/>
            <w:shd w:val="clear" w:color="auto" w:fill="CEFFE7"/>
          </w:tcPr>
          <w:p>
            <w:pPr>
              <w:spacing w:after="0"/>
              <w:rPr>
                <w:sz w:val="6"/>
                <w:szCs w:val="6"/>
                <w:color w:val="auto"/>
              </w:rPr>
            </w:pPr>
          </w:p>
        </w:tc>
        <w:tc>
          <w:tcPr>
            <w:tcW w:w="2920" w:type="dxa"/>
            <w:vAlign w:val="bottom"/>
            <w:shd w:val="clear" w:color="auto" w:fill="CEFFE7"/>
          </w:tcPr>
          <w:p>
            <w:pPr>
              <w:spacing w:after="0"/>
              <w:rPr>
                <w:sz w:val="6"/>
                <w:szCs w:val="6"/>
                <w:color w:val="auto"/>
              </w:rPr>
            </w:pPr>
          </w:p>
        </w:tc>
        <w:tc>
          <w:tcPr>
            <w:tcW w:w="240" w:type="dxa"/>
            <w:vAlign w:val="bottom"/>
            <w:shd w:val="clear" w:color="auto" w:fill="CEFFE7"/>
          </w:tcPr>
          <w:p>
            <w:pPr>
              <w:spacing w:after="0"/>
              <w:rPr>
                <w:sz w:val="6"/>
                <w:szCs w:val="6"/>
                <w:color w:val="auto"/>
              </w:rPr>
            </w:pPr>
          </w:p>
        </w:tc>
        <w:tc>
          <w:tcPr>
            <w:tcW w:w="860" w:type="dxa"/>
            <w:vAlign w:val="bottom"/>
            <w:shd w:val="clear" w:color="auto" w:fill="CEFFE7"/>
          </w:tcPr>
          <w:p>
            <w:pPr>
              <w:spacing w:after="0"/>
              <w:rPr>
                <w:sz w:val="6"/>
                <w:szCs w:val="6"/>
                <w:color w:val="auto"/>
              </w:rPr>
            </w:pPr>
          </w:p>
        </w:tc>
        <w:tc>
          <w:tcPr>
            <w:tcW w:w="260" w:type="dxa"/>
            <w:vAlign w:val="bottom"/>
            <w:shd w:val="clear" w:color="auto" w:fill="CEFFE7"/>
          </w:tcPr>
          <w:p>
            <w:pPr>
              <w:spacing w:after="0"/>
              <w:rPr>
                <w:sz w:val="6"/>
                <w:szCs w:val="6"/>
                <w:color w:val="auto"/>
              </w:rPr>
            </w:pPr>
          </w:p>
        </w:tc>
        <w:tc>
          <w:tcPr>
            <w:tcW w:w="940" w:type="dxa"/>
            <w:vAlign w:val="bottom"/>
            <w:shd w:val="clear" w:color="auto" w:fill="CEFFE7"/>
          </w:tcPr>
          <w:p>
            <w:pPr>
              <w:spacing w:after="0"/>
              <w:rPr>
                <w:sz w:val="6"/>
                <w:szCs w:val="6"/>
                <w:color w:val="auto"/>
              </w:rPr>
            </w:pPr>
          </w:p>
        </w:tc>
        <w:tc>
          <w:tcPr>
            <w:tcW w:w="300" w:type="dxa"/>
            <w:vAlign w:val="bottom"/>
            <w:shd w:val="clear" w:color="auto" w:fill="CEFFE7"/>
          </w:tcPr>
          <w:p>
            <w:pPr>
              <w:spacing w:after="0"/>
              <w:rPr>
                <w:sz w:val="6"/>
                <w:szCs w:val="6"/>
                <w:color w:val="auto"/>
              </w:rPr>
            </w:pPr>
          </w:p>
        </w:tc>
        <w:tc>
          <w:tcPr>
            <w:tcW w:w="860" w:type="dxa"/>
            <w:vAlign w:val="bottom"/>
            <w:shd w:val="clear" w:color="auto" w:fill="CEFFE7"/>
          </w:tcPr>
          <w:p>
            <w:pPr>
              <w:spacing w:after="0"/>
              <w:rPr>
                <w:sz w:val="6"/>
                <w:szCs w:val="6"/>
                <w:color w:val="auto"/>
              </w:rPr>
            </w:pPr>
          </w:p>
        </w:tc>
        <w:tc>
          <w:tcPr>
            <w:tcW w:w="260" w:type="dxa"/>
            <w:vAlign w:val="bottom"/>
            <w:shd w:val="clear" w:color="auto" w:fill="CEFFE7"/>
          </w:tcPr>
          <w:p>
            <w:pPr>
              <w:spacing w:after="0"/>
              <w:rPr>
                <w:sz w:val="6"/>
                <w:szCs w:val="6"/>
                <w:color w:val="auto"/>
              </w:rPr>
            </w:pPr>
          </w:p>
        </w:tc>
        <w:tc>
          <w:tcPr>
            <w:tcW w:w="86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40" w:type="dxa"/>
            <w:vAlign w:val="bottom"/>
          </w:tcPr>
          <w:p>
            <w:pPr>
              <w:ind w:left="20"/>
              <w:spacing w:after="0" w:line="178" w:lineRule="exact"/>
              <w:rPr>
                <w:sz w:val="20"/>
                <w:szCs w:val="20"/>
                <w:color w:val="auto"/>
              </w:rPr>
            </w:pPr>
            <w:r>
              <w:rPr>
                <w:rFonts w:ascii="Arial" w:cs="Arial" w:eastAsia="Arial" w:hAnsi="Arial"/>
                <w:sz w:val="16"/>
                <w:szCs w:val="16"/>
                <w:color w:val="auto"/>
              </w:rPr>
              <w:t>Amortization of components of defined benefit</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6"/>
                <w:szCs w:val="16"/>
                <w:color w:val="auto"/>
              </w:rPr>
              <w:t>plans: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Prior service cost</w:t>
            </w:r>
          </w:p>
        </w:tc>
        <w:tc>
          <w:tcPr>
            <w:tcW w:w="2920" w:type="dxa"/>
            <w:vAlign w:val="bottom"/>
            <w:shd w:val="clear" w:color="auto" w:fill="CEFFE7"/>
          </w:tcPr>
          <w:p>
            <w:pPr>
              <w:ind w:left="40"/>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Actuarial gain (loss)</w:t>
            </w:r>
          </w:p>
        </w:tc>
        <w:tc>
          <w:tcPr>
            <w:tcW w:w="29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Operations and maintenance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13"/>
        </w:trPr>
        <w:tc>
          <w:tcPr>
            <w:tcW w:w="3740" w:type="dxa"/>
            <w:vAlign w:val="bottom"/>
            <w:shd w:val="clear" w:color="auto" w:fill="CEFFE7"/>
          </w:tcPr>
          <w:p>
            <w:pPr>
              <w:spacing w:after="0"/>
              <w:rPr>
                <w:sz w:val="18"/>
                <w:szCs w:val="18"/>
                <w:color w:val="auto"/>
              </w:rPr>
            </w:pPr>
          </w:p>
        </w:tc>
        <w:tc>
          <w:tcPr>
            <w:tcW w:w="29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(573)</w:t>
            </w:r>
          </w:p>
        </w:tc>
        <w:tc>
          <w:tcPr>
            <w:tcW w:w="260" w:type="dxa"/>
            <w:vAlign w:val="bottom"/>
            <w:shd w:val="clear" w:color="auto" w:fill="CEFFE7"/>
          </w:tcPr>
          <w:p>
            <w:pPr>
              <w:spacing w:after="0"/>
              <w:rPr>
                <w:sz w:val="18"/>
                <w:szCs w:val="18"/>
                <w:color w:val="auto"/>
              </w:rPr>
            </w:pPr>
          </w:p>
        </w:tc>
        <w:tc>
          <w:tcPr>
            <w:tcW w:w="9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(573)</w:t>
            </w: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(1,719)</w:t>
            </w: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w:t>
            </w:r>
          </w:p>
        </w:tc>
        <w:tc>
          <w:tcPr>
            <w:tcW w:w="29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60"/>
        </w:trPr>
        <w:tc>
          <w:tcPr>
            <w:tcW w:w="3740" w:type="dxa"/>
            <w:vAlign w:val="bottom"/>
            <w:shd w:val="clear" w:color="auto" w:fill="CEFFE7"/>
          </w:tcPr>
          <w:p>
            <w:pPr>
              <w:ind w:left="20"/>
              <w:spacing w:after="0" w:line="161" w:lineRule="exact"/>
              <w:rPr>
                <w:sz w:val="20"/>
                <w:szCs w:val="20"/>
                <w:color w:val="auto"/>
              </w:rPr>
            </w:pPr>
            <w:r>
              <w:rPr>
                <w:rFonts w:ascii="Arial" w:cs="Arial" w:eastAsia="Arial" w:hAnsi="Arial"/>
                <w:sz w:val="16"/>
                <w:szCs w:val="16"/>
                <w:color w:val="auto"/>
              </w:rPr>
              <w:t>Total reclassification adjustments related to defined</w:t>
            </w:r>
          </w:p>
        </w:tc>
        <w:tc>
          <w:tcPr>
            <w:tcW w:w="2920" w:type="dxa"/>
            <w:vAlign w:val="bottom"/>
            <w:shd w:val="clear" w:color="auto" w:fill="CEFFE7"/>
          </w:tcPr>
          <w:p>
            <w:pPr>
              <w:spacing w:after="0"/>
              <w:rPr>
                <w:sz w:val="13"/>
                <w:szCs w:val="13"/>
                <w:color w:val="auto"/>
              </w:rPr>
            </w:pPr>
          </w:p>
        </w:tc>
        <w:tc>
          <w:tcPr>
            <w:tcW w:w="240" w:type="dxa"/>
            <w:vAlign w:val="bottom"/>
            <w:shd w:val="clear" w:color="auto" w:fill="CEFFE7"/>
          </w:tcPr>
          <w:p>
            <w:pPr>
              <w:spacing w:after="0"/>
              <w:rPr>
                <w:sz w:val="13"/>
                <w:szCs w:val="13"/>
                <w:color w:val="auto"/>
              </w:rPr>
            </w:pPr>
          </w:p>
        </w:tc>
        <w:tc>
          <w:tcPr>
            <w:tcW w:w="860" w:type="dxa"/>
            <w:vAlign w:val="bottom"/>
            <w:shd w:val="clear" w:color="auto" w:fill="CEFFE7"/>
          </w:tcPr>
          <w:p>
            <w:pPr>
              <w:spacing w:after="0"/>
              <w:rPr>
                <w:sz w:val="13"/>
                <w:szCs w:val="13"/>
                <w:color w:val="auto"/>
              </w:rPr>
            </w:pPr>
          </w:p>
        </w:tc>
        <w:tc>
          <w:tcPr>
            <w:tcW w:w="260" w:type="dxa"/>
            <w:vAlign w:val="bottom"/>
            <w:shd w:val="clear" w:color="auto" w:fill="CEFFE7"/>
          </w:tcPr>
          <w:p>
            <w:pPr>
              <w:spacing w:after="0"/>
              <w:rPr>
                <w:sz w:val="13"/>
                <w:szCs w:val="13"/>
                <w:color w:val="auto"/>
              </w:rPr>
            </w:pPr>
          </w:p>
        </w:tc>
        <w:tc>
          <w:tcPr>
            <w:tcW w:w="940" w:type="dxa"/>
            <w:vAlign w:val="bottom"/>
            <w:shd w:val="clear" w:color="auto" w:fill="CEFFE7"/>
          </w:tcPr>
          <w:p>
            <w:pPr>
              <w:spacing w:after="0"/>
              <w:rPr>
                <w:sz w:val="13"/>
                <w:szCs w:val="13"/>
                <w:color w:val="auto"/>
              </w:rPr>
            </w:pPr>
          </w:p>
        </w:tc>
        <w:tc>
          <w:tcPr>
            <w:tcW w:w="300" w:type="dxa"/>
            <w:vAlign w:val="bottom"/>
            <w:shd w:val="clear" w:color="auto" w:fill="CEFFE7"/>
          </w:tcPr>
          <w:p>
            <w:pPr>
              <w:spacing w:after="0"/>
              <w:rPr>
                <w:sz w:val="13"/>
                <w:szCs w:val="13"/>
                <w:color w:val="auto"/>
              </w:rPr>
            </w:pPr>
          </w:p>
        </w:tc>
        <w:tc>
          <w:tcPr>
            <w:tcW w:w="860" w:type="dxa"/>
            <w:vAlign w:val="bottom"/>
            <w:shd w:val="clear" w:color="auto" w:fill="CEFFE7"/>
          </w:tcPr>
          <w:p>
            <w:pPr>
              <w:spacing w:after="0"/>
              <w:rPr>
                <w:sz w:val="13"/>
                <w:szCs w:val="13"/>
                <w:color w:val="auto"/>
              </w:rPr>
            </w:pPr>
          </w:p>
        </w:tc>
        <w:tc>
          <w:tcPr>
            <w:tcW w:w="260" w:type="dxa"/>
            <w:vAlign w:val="bottom"/>
            <w:shd w:val="clear" w:color="auto" w:fill="CEFFE7"/>
          </w:tcPr>
          <w:p>
            <w:pPr>
              <w:spacing w:after="0"/>
              <w:rPr>
                <w:sz w:val="13"/>
                <w:szCs w:val="13"/>
                <w:color w:val="auto"/>
              </w:rPr>
            </w:pPr>
          </w:p>
        </w:tc>
        <w:tc>
          <w:tcPr>
            <w:tcW w:w="86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benefit plans, net of tax</w:t>
            </w:r>
          </w:p>
        </w:tc>
        <w:tc>
          <w:tcPr>
            <w:tcW w:w="2920" w:type="dxa"/>
            <w:vAlign w:val="bottom"/>
            <w:shd w:val="clear" w:color="auto" w:fill="CEFFE7"/>
          </w:tcPr>
          <w:p>
            <w:pPr>
              <w:spacing w:after="0"/>
              <w:rPr>
                <w:sz w:val="17"/>
                <w:szCs w:val="17"/>
                <w:color w:val="auto"/>
              </w:rPr>
            </w:pP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(440)</w:t>
            </w:r>
          </w:p>
        </w:tc>
        <w:tc>
          <w:tcPr>
            <w:tcW w:w="26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(430)</w:t>
            </w:r>
          </w:p>
        </w:tc>
        <w:tc>
          <w:tcPr>
            <w:tcW w:w="3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(1,227)</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292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920" w:type="dxa"/>
            <w:vAlign w:val="bottom"/>
            <w:vMerge w:val="restart"/>
          </w:tcPr>
          <w:p>
            <w:pPr>
              <w:ind w:left="1800"/>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37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7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3"/>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79"/>
              <w:spacing w:after="0" w:line="16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8"/>
        </w:trPr>
        <w:tc>
          <w:tcPr>
            <w:tcW w:w="3820" w:type="dxa"/>
            <w:vAlign w:val="bottom"/>
            <w:tcBorders>
              <w:bottom w:val="single" w:sz="8" w:color="CEFFE7"/>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2020</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(12,558)</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(14,790)</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(27,346)</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9"/>
                <w:szCs w:val="19"/>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9"/>
                <w:szCs w:val="19"/>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5,476</w:t>
            </w:r>
          </w:p>
        </w:tc>
        <w:tc>
          <w:tcPr>
            <w:tcW w:w="160" w:type="dxa"/>
            <w:vAlign w:val="bottom"/>
            <w:shd w:val="clear" w:color="auto" w:fill="CEFFE7"/>
          </w:tcPr>
          <w:p>
            <w:pPr>
              <w:spacing w:after="0"/>
              <w:rPr>
                <w:sz w:val="19"/>
                <w:szCs w:val="19"/>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5,476</w:t>
            </w:r>
          </w:p>
        </w:tc>
      </w:tr>
      <w:tr>
        <w:trPr>
          <w:trHeight w:val="213"/>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w:t>
            </w:r>
          </w:p>
        </w:tc>
      </w:tr>
      <w:tr>
        <w:trPr>
          <w:trHeight w:val="237"/>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September 30, 2021</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(10,815)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5,209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(13,563)</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(19,169)</w:t>
            </w: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4000" w:type="dxa"/>
            <w:vAlign w:val="bottom"/>
            <w:tcBorders>
              <w:top w:val="single" w:sz="8" w:color="CEFFE7"/>
              <w:bottom w:val="single" w:sz="8" w:color="auto"/>
            </w:tcBorders>
            <w:gridSpan w:val="3"/>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r>
      <w:tr>
        <w:trPr>
          <w:trHeight w:val="427"/>
        </w:trPr>
        <w:tc>
          <w:tcPr>
            <w:tcW w:w="3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3"/>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79"/>
              <w:spacing w:after="0" w:line="16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8"/>
        </w:trPr>
        <w:tc>
          <w:tcPr>
            <w:tcW w:w="3820" w:type="dxa"/>
            <w:vAlign w:val="bottom"/>
            <w:tcBorders>
              <w:bottom w:val="single" w:sz="8" w:color="CEFFE7"/>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2"/>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2019</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(15,122)</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(456)</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(15,077)</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(30,655)</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9"/>
                <w:szCs w:val="19"/>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9"/>
                <w:szCs w:val="19"/>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w:t>
            </w:r>
          </w:p>
        </w:tc>
        <w:tc>
          <w:tcPr>
            <w:tcW w:w="160" w:type="dxa"/>
            <w:vAlign w:val="bottom"/>
            <w:shd w:val="clear" w:color="auto" w:fill="CEFFE7"/>
          </w:tcPr>
          <w:p>
            <w:pPr>
              <w:spacing w:after="0"/>
              <w:rPr>
                <w:sz w:val="19"/>
                <w:szCs w:val="19"/>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w:t>
            </w:r>
          </w:p>
        </w:tc>
        <w:tc>
          <w:tcPr>
            <w:tcW w:w="34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236</w:t>
            </w:r>
          </w:p>
        </w:tc>
      </w:tr>
      <w:tr>
        <w:trPr>
          <w:trHeight w:val="213"/>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w:t>
            </w:r>
          </w:p>
        </w:tc>
      </w:tr>
      <w:tr>
        <w:trPr>
          <w:trHeight w:val="237"/>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September 30, 2020</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(13,492)</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287</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(13,717)</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(26,922)</w:t>
            </w: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20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8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Defined Benefit Pension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 for the Defined Benefit Pension Plan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3440" w:type="dxa"/>
            <w:vAlign w:val="bottom"/>
            <w:gridSpan w:val="5"/>
          </w:tcPr>
          <w:p>
            <w:pPr>
              <w:ind w:left="360"/>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16"/>
                <w:szCs w:val="16"/>
                <w:color w:val="auto"/>
              </w:rPr>
            </w:pPr>
          </w:p>
        </w:tc>
        <w:tc>
          <w:tcPr>
            <w:tcW w:w="3080" w:type="dxa"/>
            <w:vAlign w:val="bottom"/>
            <w:gridSpan w:val="3"/>
          </w:tcPr>
          <w:p>
            <w:pPr>
              <w:jc w:val="right"/>
              <w:ind w:right="31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460" w:type="dxa"/>
            <w:vAlign w:val="bottom"/>
            <w:tcBorders>
              <w:bottom w:val="single" w:sz="8" w:color="CEFFE7"/>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EFFE7"/>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r>
      <w:tr>
        <w:trPr>
          <w:trHeight w:val="213"/>
        </w:trPr>
        <w:tc>
          <w:tcPr>
            <w:tcW w:w="4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1060" w:type="dxa"/>
            <w:vAlign w:val="bottom"/>
            <w:shd w:val="clear" w:color="auto" w:fill="CEFFE7"/>
          </w:tcPr>
          <w:p>
            <w:pPr>
              <w:jc w:val="right"/>
              <w:ind w:right="8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1,260</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center"/>
              <w:ind w:left="659"/>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EFFE7"/>
          </w:tcPr>
          <w:p>
            <w:pPr>
              <w:spacing w:after="0"/>
              <w:rPr>
                <w:sz w:val="18"/>
                <w:szCs w:val="18"/>
                <w:color w:val="auto"/>
              </w:rPr>
            </w:pP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3,779</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4,058</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2,328</w:t>
            </w:r>
          </w:p>
        </w:tc>
        <w:tc>
          <w:tcPr>
            <w:tcW w:w="380" w:type="dxa"/>
            <w:vAlign w:val="bottom"/>
          </w:tcPr>
          <w:p>
            <w:pPr>
              <w:spacing w:after="0"/>
              <w:rPr>
                <w:sz w:val="18"/>
                <w:szCs w:val="18"/>
                <w:color w:val="auto"/>
              </w:rPr>
            </w:pPr>
          </w:p>
        </w:tc>
        <w:tc>
          <w:tcPr>
            <w:tcW w:w="1280" w:type="dxa"/>
            <w:vAlign w:val="bottom"/>
          </w:tcPr>
          <w:p>
            <w:pPr>
              <w:jc w:val="center"/>
              <w:ind w:left="659"/>
              <w:spacing w:after="0"/>
              <w:rPr>
                <w:sz w:val="20"/>
                <w:szCs w:val="20"/>
                <w:color w:val="auto"/>
              </w:rPr>
            </w:pPr>
            <w:r>
              <w:rPr>
                <w:rFonts w:ascii="Arial" w:cs="Arial" w:eastAsia="Arial" w:hAnsi="Arial"/>
                <w:sz w:val="16"/>
                <w:szCs w:val="16"/>
                <w:color w:val="auto"/>
              </w:rPr>
              <w:t>3,356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6,984</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10,069</w:t>
            </w:r>
          </w:p>
        </w:tc>
      </w:tr>
      <w:tr>
        <w:trPr>
          <w:trHeight w:val="219"/>
        </w:trPr>
        <w:tc>
          <w:tcPr>
            <w:tcW w:w="4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1060" w:type="dxa"/>
            <w:vAlign w:val="bottom"/>
            <w:shd w:val="clear" w:color="auto" w:fill="CEFFE7"/>
          </w:tcPr>
          <w:p>
            <w:pPr>
              <w:spacing w:after="0"/>
              <w:rPr>
                <w:sz w:val="19"/>
                <w:szCs w:val="19"/>
                <w:color w:val="auto"/>
              </w:rPr>
            </w:pPr>
          </w:p>
        </w:tc>
        <w:tc>
          <w:tcPr>
            <w:tcW w:w="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(5,219)</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center"/>
              <w:ind w:left="639"/>
              <w:spacing w:after="0"/>
              <w:rPr>
                <w:sz w:val="20"/>
                <w:szCs w:val="20"/>
                <w:color w:val="auto"/>
              </w:rPr>
            </w:pPr>
            <w:r>
              <w:rPr>
                <w:rFonts w:ascii="Arial" w:cs="Arial" w:eastAsia="Arial" w:hAnsi="Arial"/>
                <w:sz w:val="16"/>
                <w:szCs w:val="16"/>
                <w:color w:val="auto"/>
              </w:rPr>
              <w:t>(5,647)</w:t>
            </w:r>
          </w:p>
        </w:tc>
        <w:tc>
          <w:tcPr>
            <w:tcW w:w="12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(15,657)</w:t>
            </w:r>
          </w:p>
        </w:tc>
        <w:tc>
          <w:tcPr>
            <w:tcW w:w="38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(16,943)</w:t>
            </w:r>
          </w:p>
        </w:tc>
      </w:tr>
      <w:tr>
        <w:trPr>
          <w:trHeight w:val="213"/>
        </w:trPr>
        <w:tc>
          <w:tcPr>
            <w:tcW w:w="44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6,279</w:t>
            </w:r>
          </w:p>
        </w:tc>
      </w:tr>
      <w:tr>
        <w:trPr>
          <w:trHeight w:val="238"/>
        </w:trPr>
        <w:tc>
          <w:tcPr>
            <w:tcW w:w="44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periodic benefit cost</w:t>
            </w:r>
          </w:p>
        </w:tc>
        <w:tc>
          <w:tcPr>
            <w:tcW w:w="1060" w:type="dxa"/>
            <w:vAlign w:val="bottom"/>
            <w:tcBorders>
              <w:bottom w:val="single" w:sz="8" w:color="auto"/>
            </w:tcBorders>
            <w:shd w:val="clear" w:color="auto" w:fill="CEFFE7"/>
          </w:tcPr>
          <w:p>
            <w:pPr>
              <w:jc w:val="right"/>
              <w:ind w:right="8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197</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center"/>
              <w:ind w:left="659"/>
              <w:spacing w:after="0"/>
              <w:rPr>
                <w:sz w:val="20"/>
                <w:szCs w:val="20"/>
                <w:color w:val="auto"/>
              </w:rPr>
            </w:pPr>
            <w:r>
              <w:rPr>
                <w:rFonts w:ascii="Arial" w:cs="Arial" w:eastAsia="Arial" w:hAnsi="Arial"/>
                <w:sz w:val="16"/>
                <w:szCs w:val="16"/>
                <w:color w:val="auto"/>
              </w:rPr>
              <w:t>1,154</w:t>
            </w:r>
          </w:p>
        </w:tc>
        <w:tc>
          <w:tcPr>
            <w:tcW w:w="12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592</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3,463</w:t>
            </w:r>
          </w:p>
        </w:tc>
      </w:tr>
      <w:tr>
        <w:trPr>
          <w:trHeight w:val="20"/>
        </w:trPr>
        <w:tc>
          <w:tcPr>
            <w:tcW w:w="4460" w:type="dxa"/>
            <w:vAlign w:val="bottom"/>
            <w:tcBorders>
              <w:top w:val="single" w:sz="8" w:color="CEFFE7"/>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Defined Benefit Postretirement Healthcare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 for the Defined Benefit Postretirement Healthcare Plan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420" w:type="dxa"/>
            <w:vAlign w:val="bottom"/>
            <w:gridSpan w:val="5"/>
          </w:tcPr>
          <w:p>
            <w:pPr>
              <w:ind w:left="340"/>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16"/>
                <w:szCs w:val="16"/>
                <w:color w:val="auto"/>
              </w:rPr>
            </w:pPr>
          </w:p>
        </w:tc>
        <w:tc>
          <w:tcPr>
            <w:tcW w:w="3080" w:type="dxa"/>
            <w:vAlign w:val="bottom"/>
            <w:gridSpan w:val="3"/>
          </w:tcPr>
          <w:p>
            <w:pPr>
              <w:jc w:val="right"/>
              <w:ind w:right="31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480" w:type="dxa"/>
            <w:vAlign w:val="bottom"/>
            <w:tcBorders>
              <w:bottom w:val="single" w:sz="8" w:color="CEFFE7"/>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EFFE7"/>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r>
      <w:tr>
        <w:trPr>
          <w:trHeight w:val="213"/>
        </w:trPr>
        <w:tc>
          <w:tcPr>
            <w:tcW w:w="4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1040" w:type="dxa"/>
            <w:vAlign w:val="bottom"/>
            <w:shd w:val="clear" w:color="auto" w:fill="CEFFE7"/>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560</w:t>
            </w:r>
          </w:p>
        </w:tc>
        <w:tc>
          <w:tcPr>
            <w:tcW w:w="38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EFFE7"/>
          </w:tcPr>
          <w:p>
            <w:pPr>
              <w:spacing w:after="0"/>
              <w:rPr>
                <w:sz w:val="18"/>
                <w:szCs w:val="18"/>
                <w:color w:val="auto"/>
              </w:rPr>
            </w:pP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1,678</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1,542</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264</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793</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19"/>
        </w:trPr>
        <w:tc>
          <w:tcPr>
            <w:tcW w:w="4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1040" w:type="dxa"/>
            <w:vAlign w:val="bottom"/>
            <w:shd w:val="clear" w:color="auto" w:fill="CEFFE7"/>
          </w:tcPr>
          <w:p>
            <w:pPr>
              <w:spacing w:after="0"/>
              <w:rPr>
                <w:sz w:val="19"/>
                <w:szCs w:val="19"/>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w:t>
            </w:r>
          </w:p>
        </w:tc>
        <w:tc>
          <w:tcPr>
            <w:tcW w:w="38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Prior service cost (benefit)</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(326)</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6"/>
        </w:trPr>
        <w:tc>
          <w:tcPr>
            <w:tcW w:w="4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116</w:t>
            </w:r>
          </w:p>
        </w:tc>
        <w:tc>
          <w:tcPr>
            <w:tcW w:w="38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350</w:t>
            </w:r>
          </w:p>
        </w:tc>
        <w:tc>
          <w:tcPr>
            <w:tcW w:w="38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w:t>
            </w:r>
          </w:p>
        </w:tc>
      </w:tr>
      <w:tr>
        <w:trPr>
          <w:trHeight w:val="20"/>
        </w:trPr>
        <w:tc>
          <w:tcPr>
            <w:tcW w:w="4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65"/>
        </w:trPr>
        <w:tc>
          <w:tcPr>
            <w:tcW w:w="4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29</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4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Supplemental Non-qualified Defined Benefit and Defined Contribution Plans</w:t>
      </w:r>
    </w:p>
    <w:p>
      <w:pPr>
        <w:spacing w:after="0" w:line="248"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The components of net periodic benefit cost for the Supplemental Non-qualified Defined Benefit and Defined Contribution Plans were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420" w:type="dxa"/>
            <w:vAlign w:val="bottom"/>
            <w:gridSpan w:val="5"/>
          </w:tcPr>
          <w:p>
            <w:pPr>
              <w:ind w:left="340"/>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16"/>
                <w:szCs w:val="16"/>
                <w:color w:val="auto"/>
              </w:rPr>
            </w:pPr>
          </w:p>
        </w:tc>
        <w:tc>
          <w:tcPr>
            <w:tcW w:w="3080" w:type="dxa"/>
            <w:vAlign w:val="bottom"/>
            <w:gridSpan w:val="3"/>
          </w:tcPr>
          <w:p>
            <w:pPr>
              <w:jc w:val="right"/>
              <w:ind w:right="31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480" w:type="dxa"/>
            <w:vAlign w:val="bottom"/>
            <w:tcBorders>
              <w:bottom w:val="single" w:sz="8" w:color="CEFFE7"/>
            </w:tcBorders>
          </w:tcPr>
          <w:p>
            <w:pPr>
              <w:spacing w:after="0"/>
              <w:rPr>
                <w:sz w:val="19"/>
                <w:szCs w:val="19"/>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EFFE7"/>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r>
      <w:tr>
        <w:trPr>
          <w:trHeight w:val="213"/>
        </w:trPr>
        <w:tc>
          <w:tcPr>
            <w:tcW w:w="4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1160" w:type="dxa"/>
            <w:vAlign w:val="bottom"/>
            <w:shd w:val="clear" w:color="auto" w:fill="CEFFE7"/>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235</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EFFE7"/>
          </w:tcPr>
          <w:p>
            <w:pPr>
              <w:spacing w:after="0"/>
              <w:rPr>
                <w:sz w:val="18"/>
                <w:szCs w:val="18"/>
                <w:color w:val="auto"/>
              </w:rPr>
            </w:pP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1,948</w:t>
            </w:r>
          </w:p>
        </w:tc>
        <w:tc>
          <w:tcPr>
            <w:tcW w:w="4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1,482</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176</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19"/>
        </w:trPr>
        <w:tc>
          <w:tcPr>
            <w:tcW w:w="4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Prior service cost</w:t>
            </w:r>
          </w:p>
        </w:tc>
        <w:tc>
          <w:tcPr>
            <w:tcW w:w="1160" w:type="dxa"/>
            <w:vAlign w:val="bottom"/>
            <w:shd w:val="clear" w:color="auto" w:fill="CEFFE7"/>
          </w:tcPr>
          <w:p>
            <w:pPr>
              <w:spacing w:after="0"/>
              <w:rPr>
                <w:sz w:val="19"/>
                <w:szCs w:val="19"/>
                <w:color w:val="auto"/>
              </w:rPr>
            </w:pP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4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r>
      <w:tr>
        <w:trPr>
          <w:trHeight w:val="238"/>
        </w:trPr>
        <w:tc>
          <w:tcPr>
            <w:tcW w:w="4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periodic benefit cost</w:t>
            </w:r>
          </w:p>
        </w:tc>
        <w:tc>
          <w:tcPr>
            <w:tcW w:w="1160" w:type="dxa"/>
            <w:vAlign w:val="bottom"/>
            <w:tcBorders>
              <w:bottom w:val="single" w:sz="8" w:color="auto"/>
            </w:tcBorders>
            <w:shd w:val="clear" w:color="auto" w:fill="CEFFE7"/>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850</w:t>
            </w:r>
          </w:p>
        </w:tc>
        <w:tc>
          <w:tcPr>
            <w:tcW w:w="40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3,794</w:t>
            </w:r>
          </w:p>
        </w:tc>
        <w:tc>
          <w:tcPr>
            <w:tcW w:w="40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3,584</w:t>
            </w:r>
          </w:p>
        </w:tc>
      </w:tr>
      <w:tr>
        <w:trPr>
          <w:trHeight w:val="20"/>
        </w:trPr>
        <w:tc>
          <w:tcPr>
            <w:tcW w:w="448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48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38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Contributions</w:t>
      </w:r>
    </w:p>
    <w:p>
      <w:pPr>
        <w:spacing w:after="0" w:line="248"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nine months of 2021 and anticipated contributions for 2021 and 2022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99"/>
              </w:rPr>
              <w:t>Additional</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5"/>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ind w:right="19"/>
              <w:spacing w:after="0"/>
              <w:rPr>
                <w:sz w:val="20"/>
                <w:szCs w:val="20"/>
                <w:color w:val="auto"/>
              </w:rPr>
            </w:pPr>
            <w:r>
              <w:rPr>
                <w:rFonts w:ascii="Arial" w:cs="Arial" w:eastAsia="Arial" w:hAnsi="Arial"/>
                <w:sz w:val="16"/>
                <w:szCs w:val="16"/>
                <w:color w:val="auto"/>
              </w:rPr>
              <w:t>Contributions Made</w:t>
            </w:r>
          </w:p>
        </w:tc>
        <w:tc>
          <w:tcPr>
            <w:tcW w:w="22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99"/>
              </w:rPr>
              <w:t>Contributions</w:t>
            </w:r>
          </w:p>
        </w:tc>
        <w:tc>
          <w:tcPr>
            <w:tcW w:w="22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Contributions</w:t>
            </w:r>
          </w:p>
        </w:tc>
      </w:tr>
      <w:tr>
        <w:trPr>
          <w:trHeight w:val="183"/>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ind w:right="39"/>
              <w:spacing w:after="0"/>
              <w:rPr>
                <w:sz w:val="20"/>
                <w:szCs w:val="20"/>
                <w:color w:val="auto"/>
              </w:rPr>
            </w:pPr>
            <w:r>
              <w:rPr>
                <w:rFonts w:ascii="Arial" w:cs="Arial" w:eastAsia="Arial" w:hAnsi="Arial"/>
                <w:sz w:val="16"/>
                <w:szCs w:val="16"/>
                <w:color w:val="auto"/>
              </w:rPr>
              <w:t>Nine Months Ended</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8"/>
        </w:trPr>
        <w:tc>
          <w:tcPr>
            <w:tcW w:w="6400" w:type="dxa"/>
            <w:vAlign w:val="bottom"/>
            <w:tcBorders>
              <w:bottom w:val="single" w:sz="8" w:color="CEFFE7"/>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September 30, 2021</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Anticipated for 2021</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Anticipated for 2022</w:t>
            </w:r>
          </w:p>
        </w:tc>
      </w:tr>
      <w:tr>
        <w:trPr>
          <w:trHeight w:val="213"/>
        </w:trPr>
        <w:tc>
          <w:tcPr>
            <w:tcW w:w="6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Defined Benefit Pension Plan</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54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 $</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3,900</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4,145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1,382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5,202</w:t>
            </w:r>
          </w:p>
        </w:tc>
      </w:tr>
      <w:tr>
        <w:trPr>
          <w:trHeight w:val="219"/>
        </w:trPr>
        <w:tc>
          <w:tcPr>
            <w:tcW w:w="6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Supplemental Non-qualified Defined Benefit and Defined Contribution Plans</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1,445</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482</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2,149</w:t>
            </w:r>
          </w:p>
        </w:tc>
      </w:tr>
    </w:tbl>
    <w:p>
      <w:pPr>
        <w:spacing w:after="0" w:line="319"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4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Winter Storm Uri</w:t>
      </w:r>
    </w:p>
    <w:p>
      <w:pPr>
        <w:spacing w:after="0" w:line="268" w:lineRule="exact"/>
        <w:rPr>
          <w:sz w:val="20"/>
          <w:szCs w:val="20"/>
          <w:color w:val="auto"/>
        </w:rPr>
      </w:pPr>
    </w:p>
    <w:p>
      <w:pPr>
        <w:ind w:right="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As discussed in </w:t>
      </w:r>
      <w:hyperlink w:anchor="page16">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above, our Utilities submitted cost recovery applications which seek to recover incremental costs from Winter Storm Uri through a regulatory mechanism. We expect to recover these costs from customers over several years. Winter Storm Uri costs, which will be deductible in our 2021 tax return, created a net deferred tax liability of approximately $130 million. The deferred tax liability will reverse with the same timing as the costs are recovered from our customers.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income tax deduction recognized from Winter Storm Uri will create a NOL in our 2021 federal and state income tax returns. Our federal NOL carryforwards no longer expire due to the TCJA; however, our state NOL carryforwards expire at various dates from 2021 to 2041. We do not anticipate material changes to our valuation allowance against the state NOL carryforwards from Winter Storm Uri. Therefore, we did not record an additional valuation allowance against the state NOL carryforwards as of September 30, 2021.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Tax Rates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2021 Compared to the Three Months Ended September 30,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and the effective tax rate were comparable to the same period in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2021 Compared to the Nine Months Ended September 30, 2020</w:t>
      </w:r>
    </w:p>
    <w:p>
      <w:pPr>
        <w:spacing w:after="0" w:line="24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Income tax (expense) for the nine months ended September 30, 2021 was $(6.3) million compared to $(25) million reported for the same period in 2020. For the nine months ended September 30, 2021, the effective tax rate was 3.5% compared to 13.6% for the same period in 2020. The lower effective tax rate is primarily due to $10 million of increased tax benefits from Colorado Electric and Nebraska Gas TCJA-related bill credits to customers (which is offset by reduced revenue), $3.2 million of increased tax benefits from federal production tax credits associated with new wind assets, $2.2 million of increased tax benefits from amortization of excess deferred income taxes, $1.9 million of tax benefits from various statutory rate changes and $1.1 million of increased flow-through tax benefits related to repairs and certain indirect costs. These current year tax benefits were partially offset by a prior year tax benefit from the reversal of accrued excess deferred income taxes as part of resolving the last of the Company’s open dockets seeking approval of its TCJA plans.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10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hanging="472"/>
        <w:spacing w:after="0"/>
        <w:tabs>
          <w:tab w:leader="none" w:pos="5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68" w:lineRule="exact"/>
        <w:rPr>
          <w:sz w:val="20"/>
          <w:szCs w:val="20"/>
          <w:color w:val="auto"/>
        </w:rPr>
      </w:pPr>
    </w:p>
    <w:p>
      <w:pPr>
        <w:jc w:val="both"/>
        <w:ind w:left="100"/>
        <w:spacing w:after="0" w:line="260" w:lineRule="auto"/>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222" w:lineRule="exact"/>
        <w:rPr>
          <w:sz w:val="20"/>
          <w:szCs w:val="20"/>
          <w:color w:val="auto"/>
        </w:rPr>
      </w:pPr>
    </w:p>
    <w:p>
      <w:pPr>
        <w:jc w:val="both"/>
        <w:ind w:left="100"/>
        <w:spacing w:after="0" w:line="251" w:lineRule="auto"/>
        <w:rPr>
          <w:sz w:val="20"/>
          <w:szCs w:val="20"/>
          <w:color w:val="auto"/>
        </w:rPr>
      </w:pPr>
      <w:r>
        <w:rPr>
          <w:rFonts w:ascii="Arial" w:cs="Arial" w:eastAsia="Arial" w:hAnsi="Arial"/>
          <w:sz w:val="16"/>
          <w:szCs w:val="16"/>
          <w:color w:val="auto"/>
        </w:rPr>
        <w:t>Accounting standards for presentation of segments require an approach based on the way we organize the segments for making operating decisions and how the CODM assesses performance. The CODM assesses the performance of our segments using adjusted operating income, which recognizes intersegment revenues, costs, and assets for Colorado Electric’s PPA with Black Hills Colorado IPP on an accrual basis rather than as a finance lease. This presentation of segment information does not impact consolidated financial results.</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7140" w:type="dxa"/>
            <w:vAlign w:val="bottom"/>
            <w:gridSpan w:val="2"/>
          </w:tcPr>
          <w:p>
            <w:pPr>
              <w:spacing w:after="0"/>
              <w:rPr>
                <w:sz w:val="20"/>
                <w:szCs w:val="20"/>
                <w:color w:val="auto"/>
              </w:rPr>
            </w:pPr>
            <w:r>
              <w:rPr>
                <w:rFonts w:ascii="Arial" w:cs="Arial" w:eastAsia="Arial" w:hAnsi="Arial"/>
                <w:sz w:val="16"/>
                <w:szCs w:val="16"/>
                <w:color w:val="252525"/>
              </w:rPr>
              <w:t>Segment information was as follows (in thousands):</w:t>
            </w: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27"/>
        </w:trPr>
        <w:tc>
          <w:tcPr>
            <w:tcW w:w="40" w:type="dxa"/>
            <w:vAlign w:val="bottom"/>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 (net of intercompany eliminations) as of:</w:t>
            </w: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September 30, 2021</w:t>
            </w: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3"/>
        </w:trPr>
        <w:tc>
          <w:tcPr>
            <w:tcW w:w="40" w:type="dxa"/>
            <w:vAlign w:val="bottom"/>
          </w:tcPr>
          <w:p>
            <w:pPr>
              <w:spacing w:after="0"/>
              <w:rPr>
                <w:sz w:val="18"/>
                <w:szCs w:val="18"/>
                <w:color w:val="auto"/>
              </w:rPr>
            </w:pPr>
          </w:p>
        </w:tc>
        <w:tc>
          <w:tcPr>
            <w:tcW w:w="71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Electric Utilities</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3,267,074</w:t>
            </w:r>
          </w:p>
        </w:tc>
        <w:tc>
          <w:tcPr>
            <w:tcW w:w="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3,120,928</w:t>
            </w:r>
          </w:p>
        </w:tc>
      </w:tr>
      <w:tr>
        <w:trPr>
          <w:trHeight w:val="213"/>
        </w:trPr>
        <w:tc>
          <w:tcPr>
            <w:tcW w:w="4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6"/>
                <w:szCs w:val="16"/>
                <w:color w:val="auto"/>
              </w:rPr>
              <w:t>Gas Utilities</w:t>
            </w:r>
          </w:p>
        </w:tc>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5,052,898</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4,376,204</w:t>
            </w:r>
          </w:p>
        </w:tc>
      </w:tr>
      <w:tr>
        <w:trPr>
          <w:trHeight w:val="219"/>
        </w:trPr>
        <w:tc>
          <w:tcPr>
            <w:tcW w:w="40" w:type="dxa"/>
            <w:vAlign w:val="bottom"/>
          </w:tcPr>
          <w:p>
            <w:pPr>
              <w:spacing w:after="0"/>
              <w:rPr>
                <w:sz w:val="19"/>
                <w:szCs w:val="19"/>
                <w:color w:val="auto"/>
              </w:rPr>
            </w:pPr>
          </w:p>
        </w:tc>
        <w:tc>
          <w:tcPr>
            <w:tcW w:w="71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Power Generation</w:t>
            </w:r>
          </w:p>
        </w:tc>
        <w:tc>
          <w:tcPr>
            <w:tcW w:w="180" w:type="dxa"/>
            <w:vAlign w:val="bottom"/>
            <w:shd w:val="clear" w:color="auto" w:fill="CEFFE7"/>
          </w:tcPr>
          <w:p>
            <w:pPr>
              <w:spacing w:after="0"/>
              <w:rPr>
                <w:sz w:val="19"/>
                <w:szCs w:val="19"/>
                <w:color w:val="auto"/>
              </w:rPr>
            </w:pPr>
          </w:p>
        </w:tc>
        <w:tc>
          <w:tcPr>
            <w:tcW w:w="1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398,915</w:t>
            </w:r>
          </w:p>
        </w:tc>
        <w:tc>
          <w:tcPr>
            <w:tcW w:w="26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404,220</w:t>
            </w:r>
          </w:p>
        </w:tc>
      </w:tr>
      <w:tr>
        <w:trPr>
          <w:trHeight w:val="213"/>
        </w:trPr>
        <w:tc>
          <w:tcPr>
            <w:tcW w:w="4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76,791</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77,085</w:t>
            </w:r>
          </w:p>
        </w:tc>
      </w:tr>
      <w:tr>
        <w:trPr>
          <w:trHeight w:val="216"/>
        </w:trPr>
        <w:tc>
          <w:tcPr>
            <w:tcW w:w="40" w:type="dxa"/>
            <w:vAlign w:val="bottom"/>
          </w:tcPr>
          <w:p>
            <w:pPr>
              <w:spacing w:after="0"/>
              <w:rPr>
                <w:sz w:val="18"/>
                <w:szCs w:val="18"/>
                <w:color w:val="auto"/>
              </w:rPr>
            </w:pPr>
          </w:p>
        </w:tc>
        <w:tc>
          <w:tcPr>
            <w:tcW w:w="71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Corporate and Other</w:t>
            </w:r>
          </w:p>
        </w:tc>
        <w:tc>
          <w:tcPr>
            <w:tcW w:w="180" w:type="dxa"/>
            <w:vAlign w:val="bottom"/>
            <w:tcBorders>
              <w:bottom w:val="single" w:sz="8" w:color="auto"/>
            </w:tcBorders>
            <w:shd w:val="clear" w:color="auto" w:fill="CEFFE7"/>
          </w:tcPr>
          <w:p>
            <w:pPr>
              <w:spacing w:after="0"/>
              <w:rPr>
                <w:sz w:val="18"/>
                <w:szCs w:val="18"/>
                <w:color w:val="auto"/>
              </w:rPr>
            </w:pPr>
          </w:p>
        </w:tc>
        <w:tc>
          <w:tcPr>
            <w:tcW w:w="1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114,712</w:t>
            </w:r>
          </w:p>
        </w:tc>
        <w:tc>
          <w:tcPr>
            <w:tcW w:w="26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110,349</w:t>
            </w:r>
          </w:p>
        </w:tc>
      </w:tr>
      <w:tr>
        <w:trPr>
          <w:trHeight w:val="212"/>
        </w:trPr>
        <w:tc>
          <w:tcPr>
            <w:tcW w:w="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8,910,390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8,088,786</w:t>
            </w:r>
          </w:p>
        </w:tc>
      </w:tr>
      <w:tr>
        <w:trPr>
          <w:trHeight w:val="21"/>
        </w:trPr>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40" w:type="dxa"/>
            <w:vAlign w:val="bottom"/>
            <w:gridSpan w:val="7"/>
          </w:tcPr>
          <w:p>
            <w:pPr>
              <w:ind w:left="80"/>
              <w:spacing w:after="0"/>
              <w:rPr>
                <w:sz w:val="20"/>
                <w:szCs w:val="20"/>
                <w:color w:val="auto"/>
              </w:rPr>
            </w:pPr>
            <w:r>
              <w:rPr>
                <w:rFonts w:ascii="Arial" w:cs="Arial" w:eastAsia="Arial" w:hAnsi="Arial"/>
                <w:sz w:val="16"/>
                <w:szCs w:val="16"/>
                <w:color w:val="auto"/>
              </w:rPr>
              <w:t>External Operating Revenue Inter-company Operating Revenue</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7"/>
        </w:trPr>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color w:val="auto"/>
              </w:rPr>
              <w:t>Contract</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6"/>
                <w:szCs w:val="16"/>
                <w:color w:val="auto"/>
              </w:rPr>
              <w:t>Contract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3840" w:type="dxa"/>
            <w:vAlign w:val="bottom"/>
            <w:gridSpan w:val="2"/>
          </w:tcPr>
          <w:p>
            <w:pPr>
              <w:spacing w:after="0"/>
              <w:rPr>
                <w:sz w:val="20"/>
                <w:szCs w:val="20"/>
                <w:color w:val="auto"/>
              </w:rPr>
            </w:pPr>
            <w:r>
              <w:rPr>
                <w:rFonts w:ascii="Arial" w:cs="Arial" w:eastAsia="Arial" w:hAnsi="Arial"/>
                <w:sz w:val="16"/>
                <w:szCs w:val="16"/>
                <w:color w:val="auto"/>
              </w:rPr>
              <w:t>ree Months Ended September 30, 2021</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3"/>
          </w:tcPr>
          <w:p>
            <w:pPr>
              <w:ind w:left="160"/>
              <w:spacing w:after="0"/>
              <w:rPr>
                <w:sz w:val="20"/>
                <w:szCs w:val="20"/>
                <w:color w:val="auto"/>
              </w:rPr>
            </w:pPr>
            <w:r>
              <w:rPr>
                <w:rFonts w:ascii="Arial" w:cs="Arial" w:eastAsia="Arial" w:hAnsi="Arial"/>
                <w:sz w:val="16"/>
                <w:szCs w:val="16"/>
                <w:color w:val="auto"/>
              </w:rPr>
              <w:t>CustomersOther Revenues</w:t>
            </w:r>
          </w:p>
        </w:tc>
        <w:tc>
          <w:tcPr>
            <w:tcW w:w="3820" w:type="dxa"/>
            <w:vAlign w:val="bottom"/>
            <w:gridSpan w:val="5"/>
          </w:tcPr>
          <w:p>
            <w:pPr>
              <w:ind w:left="160"/>
              <w:spacing w:after="0"/>
              <w:rPr>
                <w:sz w:val="20"/>
                <w:szCs w:val="20"/>
                <w:color w:val="auto"/>
              </w:rPr>
            </w:pPr>
            <w:r>
              <w:rPr>
                <w:rFonts w:ascii="Arial" w:cs="Arial" w:eastAsia="Arial" w:hAnsi="Arial"/>
                <w:sz w:val="16"/>
                <w:szCs w:val="16"/>
                <w:color w:val="auto"/>
              </w:rPr>
              <w:t>CustomersOther Revenues Total Revenues</w:t>
            </w:r>
          </w:p>
        </w:tc>
      </w:tr>
      <w:tr>
        <w:trPr>
          <w:trHeight w:val="20"/>
        </w:trPr>
        <w:tc>
          <w:tcPr>
            <w:tcW w:w="10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3840" w:type="dxa"/>
            <w:vAlign w:val="bottom"/>
            <w:gridSpan w:val="2"/>
          </w:tcPr>
          <w:p>
            <w:pPr>
              <w:spacing w:after="0"/>
              <w:rPr>
                <w:sz w:val="20"/>
                <w:szCs w:val="20"/>
                <w:color w:val="auto"/>
              </w:rPr>
            </w:pPr>
            <w:r>
              <w:rPr>
                <w:rFonts w:ascii="Arial" w:cs="Arial" w:eastAsia="Arial" w:hAnsi="Arial"/>
                <w:sz w:val="16"/>
                <w:szCs w:val="16"/>
                <w:color w:val="auto"/>
              </w:rPr>
              <w:t>gment: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3740" w:type="dxa"/>
            <w:vAlign w:val="bottom"/>
            <w:shd w:val="clear" w:color="auto" w:fill="CEFFE7"/>
          </w:tcPr>
          <w:p>
            <w:pPr>
              <w:spacing w:after="0"/>
              <w:rPr>
                <w:sz w:val="20"/>
                <w:szCs w:val="20"/>
                <w:color w:val="auto"/>
              </w:rPr>
            </w:pPr>
            <w:r>
              <w:rPr>
                <w:rFonts w:ascii="Arial" w:cs="Arial" w:eastAsia="Arial" w:hAnsi="Arial"/>
                <w:sz w:val="16"/>
                <w:szCs w:val="16"/>
                <w:color w:val="auto"/>
              </w:rPr>
              <w:t>Electric Utilities</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EFFE7"/>
          </w:tcPr>
          <w:p>
            <w:pPr>
              <w:jc w:val="right"/>
              <w:ind w:right="279"/>
              <w:spacing w:after="0"/>
              <w:rPr>
                <w:sz w:val="20"/>
                <w:szCs w:val="20"/>
                <w:color w:val="auto"/>
              </w:rPr>
            </w:pPr>
            <w:r>
              <w:rPr>
                <w:rFonts w:ascii="Arial" w:cs="Arial" w:eastAsia="Arial" w:hAnsi="Arial"/>
                <w:sz w:val="16"/>
                <w:szCs w:val="16"/>
                <w:color w:val="auto"/>
              </w:rPr>
              <w:t>207,374$</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203$</w:t>
            </w:r>
          </w:p>
        </w:tc>
        <w:tc>
          <w:tcPr>
            <w:tcW w:w="140" w:type="dxa"/>
            <w:vAlign w:val="bottom"/>
            <w:shd w:val="clear" w:color="auto" w:fill="CEFFE7"/>
          </w:tcPr>
          <w:p>
            <w:pPr>
              <w:spacing w:after="0"/>
              <w:rPr>
                <w:sz w:val="19"/>
                <w:szCs w:val="19"/>
                <w:color w:val="auto"/>
              </w:rPr>
            </w:pPr>
          </w:p>
        </w:tc>
        <w:tc>
          <w:tcPr>
            <w:tcW w:w="14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5,526$</w:t>
            </w:r>
          </w:p>
        </w:tc>
        <w:tc>
          <w:tcPr>
            <w:tcW w:w="900" w:type="dxa"/>
            <w:vAlign w:val="bottom"/>
            <w:gridSpan w:val="2"/>
            <w:shd w:val="clear" w:color="auto" w:fill="CEFFE7"/>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213,103</w:t>
            </w:r>
          </w:p>
        </w:tc>
        <w:tc>
          <w:tcPr>
            <w:tcW w:w="360" w:type="dxa"/>
            <w:vAlign w:val="bottom"/>
          </w:tcPr>
          <w:p>
            <w:pPr>
              <w:spacing w:after="0"/>
              <w:rPr>
                <w:sz w:val="19"/>
                <w:szCs w:val="19"/>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6"/>
                <w:szCs w:val="16"/>
                <w:color w:val="auto"/>
              </w:rPr>
              <w:t>Gas Utilities</w:t>
            </w:r>
          </w:p>
        </w:tc>
        <w:tc>
          <w:tcPr>
            <w:tcW w:w="1180" w:type="dxa"/>
            <w:vAlign w:val="bottom"/>
          </w:tcPr>
          <w:p>
            <w:pPr>
              <w:spacing w:after="0"/>
              <w:rPr>
                <w:sz w:val="18"/>
                <w:szCs w:val="18"/>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161,977</w:t>
            </w:r>
          </w:p>
        </w:tc>
        <w:tc>
          <w:tcPr>
            <w:tcW w:w="820" w:type="dxa"/>
            <w:vAlign w:val="bottom"/>
          </w:tcPr>
          <w:p>
            <w:pPr>
              <w:jc w:val="right"/>
              <w:spacing w:after="0"/>
              <w:rPr>
                <w:sz w:val="20"/>
                <w:szCs w:val="20"/>
                <w:color w:val="auto"/>
              </w:rPr>
            </w:pPr>
            <w:r>
              <w:rPr>
                <w:rFonts w:ascii="Arial" w:cs="Arial" w:eastAsia="Arial" w:hAnsi="Arial"/>
                <w:sz w:val="16"/>
                <w:szCs w:val="16"/>
                <w:color w:val="auto"/>
              </w:rPr>
              <w:t>1,087</w:t>
            </w:r>
          </w:p>
        </w:tc>
        <w:tc>
          <w:tcPr>
            <w:tcW w:w="1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1,520</w:t>
            </w:r>
          </w:p>
        </w:tc>
        <w:tc>
          <w:tcPr>
            <w:tcW w:w="78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164,683</w:t>
            </w:r>
          </w:p>
        </w:tc>
        <w:tc>
          <w:tcPr>
            <w:tcW w:w="36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6"/>
                <w:szCs w:val="16"/>
                <w:color w:val="auto"/>
              </w:rPr>
              <w:t>Power Generation</w:t>
            </w:r>
          </w:p>
        </w:tc>
        <w:tc>
          <w:tcPr>
            <w:tcW w:w="1180" w:type="dxa"/>
            <w:vAlign w:val="bottom"/>
          </w:tcPr>
          <w:p>
            <w:pPr>
              <w:spacing w:after="0"/>
              <w:rPr>
                <w:sz w:val="18"/>
                <w:szCs w:val="18"/>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2,333</w:t>
            </w:r>
          </w:p>
        </w:tc>
        <w:tc>
          <w:tcPr>
            <w:tcW w:w="820" w:type="dxa"/>
            <w:vAlign w:val="bottom"/>
          </w:tcPr>
          <w:p>
            <w:pPr>
              <w:jc w:val="right"/>
              <w:spacing w:after="0"/>
              <w:rPr>
                <w:sz w:val="20"/>
                <w:szCs w:val="20"/>
                <w:color w:val="auto"/>
              </w:rPr>
            </w:pPr>
            <w:r>
              <w:rPr>
                <w:rFonts w:ascii="Arial" w:cs="Arial" w:eastAsia="Arial" w:hAnsi="Arial"/>
                <w:sz w:val="16"/>
                <w:szCs w:val="16"/>
                <w:color w:val="auto"/>
              </w:rPr>
              <w:t>412</w:t>
            </w:r>
          </w:p>
        </w:tc>
        <w:tc>
          <w:tcPr>
            <w:tcW w:w="1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23,725</w:t>
            </w: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26,520</w:t>
            </w:r>
          </w:p>
        </w:tc>
        <w:tc>
          <w:tcPr>
            <w:tcW w:w="360" w:type="dxa"/>
            <w:vAlign w:val="bottom"/>
          </w:tcPr>
          <w:p>
            <w:pPr>
              <w:spacing w:after="0"/>
              <w:rPr>
                <w:sz w:val="18"/>
                <w:szCs w:val="18"/>
                <w:color w:val="auto"/>
              </w:rPr>
            </w:pPr>
          </w:p>
        </w:tc>
      </w:tr>
      <w:tr>
        <w:trPr>
          <w:trHeight w:val="219"/>
        </w:trPr>
        <w:tc>
          <w:tcPr>
            <w:tcW w:w="3840" w:type="dxa"/>
            <w:vAlign w:val="bottom"/>
            <w:gridSpan w:val="2"/>
          </w:tcPr>
          <w:p>
            <w:pPr>
              <w:spacing w:after="0"/>
              <w:rPr>
                <w:sz w:val="20"/>
                <w:szCs w:val="20"/>
                <w:color w:val="auto"/>
              </w:rPr>
            </w:pPr>
            <w:r>
              <w:rPr>
                <w:rFonts w:ascii="Arial" w:cs="Arial" w:eastAsia="Arial" w:hAnsi="Arial"/>
                <w:sz w:val="16"/>
                <w:szCs w:val="16"/>
                <w:color w:val="auto"/>
              </w:rPr>
              <w:t>Mining</w:t>
            </w:r>
          </w:p>
        </w:tc>
        <w:tc>
          <w:tcPr>
            <w:tcW w:w="1180" w:type="dxa"/>
            <w:vAlign w:val="bottom"/>
          </w:tcPr>
          <w:p>
            <w:pPr>
              <w:spacing w:after="0"/>
              <w:rPr>
                <w:sz w:val="19"/>
                <w:szCs w:val="19"/>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6,969</w:t>
            </w:r>
          </w:p>
        </w:tc>
        <w:tc>
          <w:tcPr>
            <w:tcW w:w="820" w:type="dxa"/>
            <w:vAlign w:val="bottom"/>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Pr>
          <w:p>
            <w:pPr>
              <w:spacing w:after="0"/>
              <w:rPr>
                <w:sz w:val="19"/>
                <w:szCs w:val="19"/>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8,845</w:t>
            </w:r>
          </w:p>
        </w:tc>
        <w:tc>
          <w:tcPr>
            <w:tcW w:w="78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16,388</w:t>
            </w:r>
          </w:p>
        </w:tc>
        <w:tc>
          <w:tcPr>
            <w:tcW w:w="360" w:type="dxa"/>
            <w:vAlign w:val="bottom"/>
          </w:tcPr>
          <w:p>
            <w:pPr>
              <w:spacing w:after="0"/>
              <w:rPr>
                <w:sz w:val="19"/>
                <w:szCs w:val="19"/>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-company eliminations</w:t>
            </w:r>
          </w:p>
        </w:tc>
        <w:tc>
          <w:tcPr>
            <w:tcW w:w="118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4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(39,616)</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(40,104)</w:t>
            </w:r>
          </w:p>
        </w:tc>
        <w:tc>
          <w:tcPr>
            <w:tcW w:w="360" w:type="dxa"/>
            <w:vAlign w:val="bottom"/>
          </w:tcPr>
          <w:p>
            <w:pPr>
              <w:spacing w:after="0"/>
              <w:rPr>
                <w:sz w:val="18"/>
                <w:szCs w:val="18"/>
                <w:color w:val="auto"/>
              </w:rPr>
            </w:pPr>
          </w:p>
        </w:tc>
      </w:tr>
      <w:tr>
        <w:trPr>
          <w:trHeight w:val="213"/>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al</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378,653$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380,590</w:t>
            </w:r>
          </w:p>
        </w:tc>
        <w:tc>
          <w:tcPr>
            <w:tcW w:w="36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838"/>
        </w:trPr>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40" w:type="dxa"/>
            <w:vAlign w:val="bottom"/>
            <w:gridSpan w:val="7"/>
          </w:tcPr>
          <w:p>
            <w:pPr>
              <w:ind w:left="80"/>
              <w:spacing w:after="0"/>
              <w:rPr>
                <w:sz w:val="20"/>
                <w:szCs w:val="20"/>
                <w:color w:val="auto"/>
              </w:rPr>
            </w:pPr>
            <w:r>
              <w:rPr>
                <w:rFonts w:ascii="Arial" w:cs="Arial" w:eastAsia="Arial" w:hAnsi="Arial"/>
                <w:sz w:val="16"/>
                <w:szCs w:val="16"/>
                <w:color w:val="auto"/>
              </w:rPr>
              <w:t>External Operating Revenue Inter-company Operating Revenue</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color w:val="auto"/>
              </w:rPr>
              <w:t>Contract</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6"/>
                <w:szCs w:val="16"/>
                <w:color w:val="auto"/>
              </w:rPr>
              <w:t>Contract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3840" w:type="dxa"/>
            <w:vAlign w:val="bottom"/>
            <w:gridSpan w:val="2"/>
          </w:tcPr>
          <w:p>
            <w:pPr>
              <w:spacing w:after="0"/>
              <w:rPr>
                <w:sz w:val="20"/>
                <w:szCs w:val="20"/>
                <w:color w:val="auto"/>
              </w:rPr>
            </w:pPr>
            <w:r>
              <w:rPr>
                <w:rFonts w:ascii="Arial" w:cs="Arial" w:eastAsia="Arial" w:hAnsi="Arial"/>
                <w:sz w:val="16"/>
                <w:szCs w:val="16"/>
                <w:color w:val="auto"/>
              </w:rPr>
              <w:t>ree Months Ended September 30, 2020</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3"/>
          </w:tcPr>
          <w:p>
            <w:pPr>
              <w:ind w:left="160"/>
              <w:spacing w:after="0"/>
              <w:rPr>
                <w:sz w:val="20"/>
                <w:szCs w:val="20"/>
                <w:color w:val="auto"/>
              </w:rPr>
            </w:pPr>
            <w:r>
              <w:rPr>
                <w:rFonts w:ascii="Arial" w:cs="Arial" w:eastAsia="Arial" w:hAnsi="Arial"/>
                <w:sz w:val="16"/>
                <w:szCs w:val="16"/>
                <w:color w:val="auto"/>
              </w:rPr>
              <w:t>CustomersOther Revenues</w:t>
            </w:r>
          </w:p>
        </w:tc>
        <w:tc>
          <w:tcPr>
            <w:tcW w:w="3820" w:type="dxa"/>
            <w:vAlign w:val="bottom"/>
            <w:gridSpan w:val="5"/>
          </w:tcPr>
          <w:p>
            <w:pPr>
              <w:ind w:left="160"/>
              <w:spacing w:after="0"/>
              <w:rPr>
                <w:sz w:val="20"/>
                <w:szCs w:val="20"/>
                <w:color w:val="auto"/>
              </w:rPr>
            </w:pPr>
            <w:r>
              <w:rPr>
                <w:rFonts w:ascii="Arial" w:cs="Arial" w:eastAsia="Arial" w:hAnsi="Arial"/>
                <w:sz w:val="16"/>
                <w:szCs w:val="16"/>
                <w:color w:val="auto"/>
              </w:rPr>
              <w:t>CustomersOther Revenues Total Revenues</w:t>
            </w:r>
          </w:p>
        </w:tc>
      </w:tr>
      <w:tr>
        <w:trPr>
          <w:trHeight w:val="20"/>
        </w:trPr>
        <w:tc>
          <w:tcPr>
            <w:tcW w:w="10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6"/>
                <w:szCs w:val="16"/>
                <w:color w:val="auto"/>
              </w:rPr>
              <w:t>gment: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3740" w:type="dxa"/>
            <w:vAlign w:val="bottom"/>
            <w:shd w:val="clear" w:color="auto" w:fill="CEFFE7"/>
          </w:tcPr>
          <w:p>
            <w:pPr>
              <w:spacing w:after="0"/>
              <w:rPr>
                <w:sz w:val="20"/>
                <w:szCs w:val="20"/>
                <w:color w:val="auto"/>
              </w:rPr>
            </w:pPr>
            <w:r>
              <w:rPr>
                <w:rFonts w:ascii="Arial" w:cs="Arial" w:eastAsia="Arial" w:hAnsi="Arial"/>
                <w:sz w:val="16"/>
                <w:szCs w:val="16"/>
                <w:color w:val="auto"/>
              </w:rPr>
              <w:t>lectric Utilities</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EFFE7"/>
          </w:tcPr>
          <w:p>
            <w:pPr>
              <w:jc w:val="right"/>
              <w:ind w:right="279"/>
              <w:spacing w:after="0"/>
              <w:rPr>
                <w:sz w:val="20"/>
                <w:szCs w:val="20"/>
                <w:color w:val="auto"/>
              </w:rPr>
            </w:pPr>
            <w:r>
              <w:rPr>
                <w:rFonts w:ascii="Arial" w:cs="Arial" w:eastAsia="Arial" w:hAnsi="Arial"/>
                <w:sz w:val="16"/>
                <w:szCs w:val="16"/>
                <w:color w:val="auto"/>
              </w:rPr>
              <w:t>194,941$</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224$</w:t>
            </w:r>
          </w:p>
        </w:tc>
        <w:tc>
          <w:tcPr>
            <w:tcW w:w="140" w:type="dxa"/>
            <w:vAlign w:val="bottom"/>
            <w:shd w:val="clear" w:color="auto" w:fill="CEFFE7"/>
          </w:tcPr>
          <w:p>
            <w:pPr>
              <w:spacing w:after="0"/>
              <w:rPr>
                <w:sz w:val="19"/>
                <w:szCs w:val="19"/>
                <w:color w:val="auto"/>
              </w:rPr>
            </w:pPr>
          </w:p>
        </w:tc>
        <w:tc>
          <w:tcPr>
            <w:tcW w:w="14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5,677$</w:t>
            </w:r>
          </w:p>
        </w:tc>
        <w:tc>
          <w:tcPr>
            <w:tcW w:w="900" w:type="dxa"/>
            <w:vAlign w:val="bottom"/>
            <w:gridSpan w:val="2"/>
            <w:shd w:val="clear" w:color="auto" w:fill="CEFFE7"/>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200,842</w:t>
            </w:r>
          </w:p>
        </w:tc>
        <w:tc>
          <w:tcPr>
            <w:tcW w:w="360" w:type="dxa"/>
            <w:vAlign w:val="bottom"/>
          </w:tcPr>
          <w:p>
            <w:pPr>
              <w:spacing w:after="0"/>
              <w:rPr>
                <w:sz w:val="19"/>
                <w:szCs w:val="19"/>
                <w:color w:val="auto"/>
              </w:rPr>
            </w:pPr>
          </w:p>
        </w:tc>
      </w:tr>
      <w:tr>
        <w:trPr>
          <w:trHeight w:val="213"/>
        </w:trPr>
        <w:tc>
          <w:tcPr>
            <w:tcW w:w="3840" w:type="dxa"/>
            <w:vAlign w:val="bottom"/>
            <w:gridSpan w:val="2"/>
          </w:tcPr>
          <w:p>
            <w:pPr>
              <w:ind w:left="40"/>
              <w:spacing w:after="0"/>
              <w:rPr>
                <w:sz w:val="20"/>
                <w:szCs w:val="20"/>
                <w:color w:val="auto"/>
              </w:rPr>
            </w:pPr>
            <w:r>
              <w:rPr>
                <w:rFonts w:ascii="Arial" w:cs="Arial" w:eastAsia="Arial" w:hAnsi="Arial"/>
                <w:sz w:val="16"/>
                <w:szCs w:val="16"/>
                <w:color w:val="auto"/>
              </w:rPr>
              <w:t>as Utilities</w:t>
            </w:r>
          </w:p>
        </w:tc>
        <w:tc>
          <w:tcPr>
            <w:tcW w:w="1180" w:type="dxa"/>
            <w:vAlign w:val="bottom"/>
          </w:tcPr>
          <w:p>
            <w:pPr>
              <w:spacing w:after="0"/>
              <w:rPr>
                <w:sz w:val="18"/>
                <w:szCs w:val="18"/>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141,275</w:t>
            </w:r>
          </w:p>
        </w:tc>
        <w:tc>
          <w:tcPr>
            <w:tcW w:w="820" w:type="dxa"/>
            <w:vAlign w:val="bottom"/>
          </w:tcPr>
          <w:p>
            <w:pPr>
              <w:jc w:val="right"/>
              <w:spacing w:after="0"/>
              <w:rPr>
                <w:sz w:val="20"/>
                <w:szCs w:val="20"/>
                <w:color w:val="auto"/>
              </w:rPr>
            </w:pPr>
            <w:r>
              <w:rPr>
                <w:rFonts w:ascii="Arial" w:cs="Arial" w:eastAsia="Arial" w:hAnsi="Arial"/>
                <w:sz w:val="16"/>
                <w:szCs w:val="16"/>
                <w:color w:val="auto"/>
              </w:rPr>
              <w:t>863</w:t>
            </w:r>
          </w:p>
        </w:tc>
        <w:tc>
          <w:tcPr>
            <w:tcW w:w="1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1,601</w:t>
            </w: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143,929</w:t>
            </w:r>
          </w:p>
        </w:tc>
        <w:tc>
          <w:tcPr>
            <w:tcW w:w="36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3740" w:type="dxa"/>
            <w:vAlign w:val="bottom"/>
            <w:shd w:val="clear" w:color="auto" w:fill="CEFFE7"/>
          </w:tcPr>
          <w:p>
            <w:pPr>
              <w:spacing w:after="0"/>
              <w:rPr>
                <w:sz w:val="20"/>
                <w:szCs w:val="20"/>
                <w:color w:val="auto"/>
              </w:rPr>
            </w:pPr>
            <w:r>
              <w:rPr>
                <w:rFonts w:ascii="Arial" w:cs="Arial" w:eastAsia="Arial" w:hAnsi="Arial"/>
                <w:sz w:val="16"/>
                <w:szCs w:val="16"/>
                <w:color w:val="auto"/>
              </w:rPr>
              <w:t>ower Generation</w:t>
            </w:r>
          </w:p>
        </w:tc>
        <w:tc>
          <w:tcPr>
            <w:tcW w:w="1180" w:type="dxa"/>
            <w:vAlign w:val="bottom"/>
            <w:shd w:val="clear" w:color="auto" w:fill="CEFFE7"/>
          </w:tcPr>
          <w:p>
            <w:pPr>
              <w:spacing w:after="0"/>
              <w:rPr>
                <w:sz w:val="19"/>
                <w:szCs w:val="19"/>
                <w:color w:val="auto"/>
              </w:rPr>
            </w:pPr>
          </w:p>
        </w:tc>
        <w:tc>
          <w:tcPr>
            <w:tcW w:w="1540" w:type="dxa"/>
            <w:vAlign w:val="bottom"/>
            <w:gridSpan w:val="2"/>
            <w:shd w:val="clear" w:color="auto" w:fill="CEFFE7"/>
          </w:tcPr>
          <w:p>
            <w:pPr>
              <w:jc w:val="right"/>
              <w:ind w:right="279"/>
              <w:spacing w:after="0"/>
              <w:rPr>
                <w:sz w:val="20"/>
                <w:szCs w:val="20"/>
                <w:color w:val="auto"/>
              </w:rPr>
            </w:pPr>
            <w:r>
              <w:rPr>
                <w:rFonts w:ascii="Arial" w:cs="Arial" w:eastAsia="Arial" w:hAnsi="Arial"/>
                <w:sz w:val="16"/>
                <w:szCs w:val="16"/>
                <w:color w:val="auto"/>
              </w:rPr>
              <w:t>1,528</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414</w:t>
            </w:r>
          </w:p>
        </w:tc>
        <w:tc>
          <w:tcPr>
            <w:tcW w:w="140" w:type="dxa"/>
            <w:vAlign w:val="bottom"/>
            <w:shd w:val="clear" w:color="auto" w:fill="CEFFE7"/>
          </w:tcPr>
          <w:p>
            <w:pPr>
              <w:spacing w:after="0"/>
              <w:rPr>
                <w:sz w:val="19"/>
                <w:szCs w:val="19"/>
                <w:color w:val="auto"/>
              </w:rPr>
            </w:pPr>
          </w:p>
        </w:tc>
        <w:tc>
          <w:tcPr>
            <w:tcW w:w="14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24,521</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26,518</w:t>
            </w:r>
          </w:p>
        </w:tc>
        <w:tc>
          <w:tcPr>
            <w:tcW w:w="360" w:type="dxa"/>
            <w:vAlign w:val="bottom"/>
          </w:tcPr>
          <w:p>
            <w:pPr>
              <w:spacing w:after="0"/>
              <w:rPr>
                <w:sz w:val="19"/>
                <w:szCs w:val="19"/>
                <w:color w:val="auto"/>
              </w:rPr>
            </w:pPr>
          </w:p>
        </w:tc>
      </w:tr>
      <w:tr>
        <w:trPr>
          <w:trHeight w:val="213"/>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ining</w:t>
            </w:r>
          </w:p>
        </w:tc>
        <w:tc>
          <w:tcPr>
            <w:tcW w:w="1180" w:type="dxa"/>
            <w:vAlign w:val="bottom"/>
          </w:tcPr>
          <w:p>
            <w:pPr>
              <w:spacing w:after="0"/>
              <w:rPr>
                <w:sz w:val="18"/>
                <w:szCs w:val="18"/>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6,568</w:t>
            </w:r>
          </w:p>
        </w:tc>
        <w:tc>
          <w:tcPr>
            <w:tcW w:w="820" w:type="dxa"/>
            <w:vAlign w:val="bottom"/>
          </w:tcPr>
          <w:p>
            <w:pPr>
              <w:jc w:val="right"/>
              <w:spacing w:after="0"/>
              <w:rPr>
                <w:sz w:val="20"/>
                <w:szCs w:val="20"/>
                <w:color w:val="auto"/>
              </w:rPr>
            </w:pPr>
            <w:r>
              <w:rPr>
                <w:rFonts w:ascii="Arial" w:cs="Arial" w:eastAsia="Arial" w:hAnsi="Arial"/>
                <w:sz w:val="16"/>
                <w:szCs w:val="16"/>
                <w:color w:val="auto"/>
              </w:rPr>
              <w:t>777</w:t>
            </w:r>
          </w:p>
        </w:tc>
        <w:tc>
          <w:tcPr>
            <w:tcW w:w="1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8,100</w:t>
            </w:r>
          </w:p>
        </w:tc>
        <w:tc>
          <w:tcPr>
            <w:tcW w:w="78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15,236</w:t>
            </w:r>
          </w:p>
        </w:tc>
        <w:tc>
          <w:tcPr>
            <w:tcW w:w="360" w:type="dxa"/>
            <w:vAlign w:val="bottom"/>
          </w:tcPr>
          <w:p>
            <w:pPr>
              <w:spacing w:after="0"/>
              <w:rPr>
                <w:sz w:val="18"/>
                <w:szCs w:val="18"/>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-company eliminations</w:t>
            </w:r>
          </w:p>
        </w:tc>
        <w:tc>
          <w:tcPr>
            <w:tcW w:w="118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4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(39,899)</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(39,935)</w:t>
            </w:r>
          </w:p>
        </w:tc>
        <w:tc>
          <w:tcPr>
            <w:tcW w:w="360" w:type="dxa"/>
            <w:vAlign w:val="bottom"/>
          </w:tcPr>
          <w:p>
            <w:pPr>
              <w:spacing w:after="0"/>
              <w:rPr>
                <w:sz w:val="18"/>
                <w:szCs w:val="18"/>
                <w:color w:val="auto"/>
              </w:rPr>
            </w:pPr>
          </w:p>
        </w:tc>
      </w:tr>
      <w:tr>
        <w:trPr>
          <w:trHeight w:val="213"/>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al</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344,312$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346,590</w:t>
            </w:r>
          </w:p>
        </w:tc>
        <w:tc>
          <w:tcPr>
            <w:tcW w:w="36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865"/>
        </w:trPr>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gridSpan w:val="2"/>
          </w:tcPr>
          <w:p>
            <w:pPr>
              <w:jc w:val="right"/>
              <w:ind w:right="659"/>
              <w:spacing w:after="0"/>
              <w:rPr>
                <w:sz w:val="20"/>
                <w:szCs w:val="20"/>
                <w:color w:val="auto"/>
              </w:rPr>
            </w:pPr>
            <w:r>
              <w:rPr>
                <w:rFonts w:ascii="Arial" w:cs="Arial" w:eastAsia="Arial" w:hAnsi="Arial"/>
                <w:sz w:val="16"/>
                <w:szCs w:val="16"/>
                <w:color w:val="auto"/>
              </w:rPr>
              <w:t>31</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-3205480</wp:posOffset>
            </wp:positionV>
            <wp:extent cx="690054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00545" cy="13716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400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35"/>
        </w:trPr>
        <w:tc>
          <w:tcPr>
            <w:tcW w:w="1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2640" w:type="dxa"/>
            <w:vAlign w:val="bottom"/>
          </w:tcPr>
          <w:p>
            <w:pPr>
              <w:spacing w:after="0"/>
              <w:rPr>
                <w:sz w:val="24"/>
                <w:szCs w:val="24"/>
                <w:color w:val="auto"/>
              </w:rPr>
            </w:pPr>
          </w:p>
        </w:tc>
        <w:tc>
          <w:tcPr>
            <w:tcW w:w="6080" w:type="dxa"/>
            <w:vAlign w:val="bottom"/>
            <w:gridSpan w:val="18"/>
          </w:tcPr>
          <w:p>
            <w:pPr>
              <w:ind w:left="1020"/>
              <w:spacing w:after="0"/>
              <w:rPr>
                <w:sz w:val="20"/>
                <w:szCs w:val="20"/>
                <w:color w:val="auto"/>
              </w:rPr>
            </w:pPr>
            <w:r>
              <w:rPr>
                <w:rFonts w:ascii="Arial" w:cs="Arial" w:eastAsia="Arial" w:hAnsi="Arial"/>
                <w:sz w:val="16"/>
                <w:szCs w:val="16"/>
                <w:color w:val="auto"/>
              </w:rPr>
              <w:t>External Operating Revenue Inter-company Operating Revenue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gridSpan w:val="4"/>
          </w:tcPr>
          <w:p>
            <w:pPr>
              <w:jc w:val="right"/>
              <w:ind w:right="419"/>
              <w:spacing w:after="0"/>
              <w:rPr>
                <w:sz w:val="20"/>
                <w:szCs w:val="20"/>
                <w:color w:val="auto"/>
              </w:rPr>
            </w:pPr>
            <w:r>
              <w:rPr>
                <w:rFonts w:ascii="Arial" w:cs="Arial" w:eastAsia="Arial" w:hAnsi="Arial"/>
                <w:sz w:val="16"/>
                <w:szCs w:val="16"/>
                <w:color w:val="auto"/>
              </w:rPr>
              <w:t>Contract</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3"/>
          </w:tcPr>
          <w:p>
            <w:pPr>
              <w:jc w:val="right"/>
              <w:ind w:right="539"/>
              <w:spacing w:after="0"/>
              <w:rPr>
                <w:sz w:val="20"/>
                <w:szCs w:val="20"/>
                <w:color w:val="auto"/>
              </w:rPr>
            </w:pPr>
            <w:r>
              <w:rPr>
                <w:rFonts w:ascii="Arial" w:cs="Arial" w:eastAsia="Arial" w:hAnsi="Arial"/>
                <w:sz w:val="16"/>
                <w:szCs w:val="16"/>
                <w:color w:val="auto"/>
              </w:rPr>
              <w:t>Contract</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100" w:type="dxa"/>
            <w:vAlign w:val="bottom"/>
            <w:gridSpan w:val="4"/>
          </w:tcPr>
          <w:p>
            <w:pPr>
              <w:spacing w:after="0"/>
              <w:rPr>
                <w:sz w:val="20"/>
                <w:szCs w:val="20"/>
                <w:color w:val="auto"/>
              </w:rPr>
            </w:pPr>
            <w:r>
              <w:rPr>
                <w:rFonts w:ascii="Arial" w:cs="Arial" w:eastAsia="Arial" w:hAnsi="Arial"/>
                <w:sz w:val="16"/>
                <w:szCs w:val="16"/>
                <w:color w:val="auto"/>
              </w:rPr>
              <w:t>ne Months Ended September 30, 2021</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7"/>
          </w:tcPr>
          <w:p>
            <w:pPr>
              <w:ind w:left="40"/>
              <w:spacing w:after="0"/>
              <w:rPr>
                <w:sz w:val="20"/>
                <w:szCs w:val="20"/>
                <w:color w:val="auto"/>
              </w:rPr>
            </w:pPr>
            <w:r>
              <w:rPr>
                <w:rFonts w:ascii="Arial" w:cs="Arial" w:eastAsia="Arial" w:hAnsi="Arial"/>
                <w:sz w:val="16"/>
                <w:szCs w:val="16"/>
                <w:color w:val="auto"/>
              </w:rPr>
              <w:t>CustomersOther Revenues</w:t>
            </w:r>
          </w:p>
        </w:tc>
        <w:tc>
          <w:tcPr>
            <w:tcW w:w="40" w:type="dxa"/>
            <w:vAlign w:val="bottom"/>
          </w:tcPr>
          <w:p>
            <w:pPr>
              <w:spacing w:after="0"/>
              <w:rPr>
                <w:sz w:val="17"/>
                <w:szCs w:val="17"/>
                <w:color w:val="auto"/>
              </w:rPr>
            </w:pPr>
          </w:p>
        </w:tc>
        <w:tc>
          <w:tcPr>
            <w:tcW w:w="3720" w:type="dxa"/>
            <w:vAlign w:val="bottom"/>
            <w:gridSpan w:val="12"/>
          </w:tcPr>
          <w:p>
            <w:pPr>
              <w:ind w:left="80"/>
              <w:spacing w:after="0"/>
              <w:rPr>
                <w:sz w:val="20"/>
                <w:szCs w:val="20"/>
                <w:color w:val="auto"/>
              </w:rPr>
            </w:pPr>
            <w:r>
              <w:rPr>
                <w:rFonts w:ascii="Arial" w:cs="Arial" w:eastAsia="Arial" w:hAnsi="Arial"/>
                <w:sz w:val="16"/>
                <w:szCs w:val="16"/>
                <w:color w:val="auto"/>
              </w:rPr>
              <w:t>CustomersOther Revenues Total Revenues</w:t>
            </w:r>
          </w:p>
        </w:tc>
      </w:tr>
      <w:tr>
        <w:trPr>
          <w:trHeight w:val="20"/>
        </w:trPr>
        <w:tc>
          <w:tcPr>
            <w:tcW w:w="140" w:type="dxa"/>
            <w:vAlign w:val="bottom"/>
            <w:gridSpan w:val="2"/>
          </w:tcPr>
          <w:p>
            <w:pPr>
              <w:spacing w:after="0" w:line="20" w:lineRule="exact"/>
              <w:rPr>
                <w:sz w:val="1"/>
                <w:szCs w:val="1"/>
                <w:color w:val="auto"/>
              </w:rPr>
            </w:pPr>
          </w:p>
        </w:tc>
        <w:tc>
          <w:tcPr>
            <w:tcW w:w="396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100" w:type="dxa"/>
            <w:vAlign w:val="bottom"/>
            <w:gridSpan w:val="4"/>
          </w:tcPr>
          <w:p>
            <w:pPr>
              <w:ind w:left="20"/>
              <w:spacing w:after="0"/>
              <w:rPr>
                <w:sz w:val="20"/>
                <w:szCs w:val="20"/>
                <w:color w:val="auto"/>
              </w:rPr>
            </w:pPr>
            <w:r>
              <w:rPr>
                <w:rFonts w:ascii="Arial" w:cs="Arial" w:eastAsia="Arial" w:hAnsi="Arial"/>
                <w:sz w:val="16"/>
                <w:szCs w:val="16"/>
                <w:color w:val="auto"/>
              </w:rPr>
              <w:t>gment: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140" w:type="dxa"/>
            <w:vAlign w:val="bottom"/>
            <w:gridSpan w:val="2"/>
          </w:tcPr>
          <w:p>
            <w:pPr>
              <w:spacing w:after="0"/>
              <w:rPr>
                <w:sz w:val="19"/>
                <w:szCs w:val="19"/>
                <w:color w:val="auto"/>
              </w:rPr>
            </w:pPr>
          </w:p>
        </w:tc>
        <w:tc>
          <w:tcPr>
            <w:tcW w:w="396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lectric Utilities</w:t>
            </w:r>
          </w:p>
        </w:tc>
        <w:tc>
          <w:tcPr>
            <w:tcW w:w="1100" w:type="dxa"/>
            <w:vAlign w:val="bottom"/>
            <w:shd w:val="clear" w:color="auto" w:fill="CEFFE7"/>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604,966$</w:t>
            </w:r>
          </w:p>
        </w:tc>
        <w:tc>
          <w:tcPr>
            <w:tcW w:w="420" w:type="dxa"/>
            <w:vAlign w:val="bottom"/>
            <w:shd w:val="clear" w:color="auto" w:fill="CEFFE7"/>
          </w:tcPr>
          <w:p>
            <w:pPr>
              <w:spacing w:after="0"/>
              <w:rPr>
                <w:sz w:val="19"/>
                <w:szCs w:val="19"/>
                <w:color w:val="auto"/>
              </w:rPr>
            </w:pPr>
          </w:p>
        </w:tc>
        <w:tc>
          <w:tcPr>
            <w:tcW w:w="5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8"/>
              </w:rPr>
              <w:t>2,619$</w:t>
            </w:r>
          </w:p>
        </w:tc>
        <w:tc>
          <w:tcPr>
            <w:tcW w:w="12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300" w:type="dxa"/>
            <w:vAlign w:val="bottom"/>
            <w:gridSpan w:val="4"/>
            <w:shd w:val="clear" w:color="auto" w:fill="CEFFE7"/>
          </w:tcPr>
          <w:p>
            <w:pPr>
              <w:jc w:val="right"/>
              <w:ind w:right="219"/>
              <w:spacing w:after="0"/>
              <w:rPr>
                <w:sz w:val="20"/>
                <w:szCs w:val="20"/>
                <w:color w:val="auto"/>
              </w:rPr>
            </w:pPr>
            <w:r>
              <w:rPr>
                <w:rFonts w:ascii="Arial" w:cs="Arial" w:eastAsia="Arial" w:hAnsi="Arial"/>
                <w:sz w:val="16"/>
                <w:szCs w:val="16"/>
                <w:color w:val="auto"/>
              </w:rPr>
              <w:t>17,859$</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625,444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100" w:type="dxa"/>
            <w:vAlign w:val="bottom"/>
            <w:gridSpan w:val="4"/>
          </w:tcPr>
          <w:p>
            <w:pPr>
              <w:spacing w:after="0"/>
              <w:rPr>
                <w:sz w:val="20"/>
                <w:szCs w:val="20"/>
                <w:color w:val="auto"/>
              </w:rPr>
            </w:pPr>
            <w:r>
              <w:rPr>
                <w:rFonts w:ascii="Arial" w:cs="Arial" w:eastAsia="Arial" w:hAnsi="Arial"/>
                <w:sz w:val="16"/>
                <w:szCs w:val="16"/>
                <w:color w:val="auto"/>
              </w:rPr>
              <w:t>Gas Utilities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743,663</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w w:val="99"/>
              </w:rPr>
              <w:t>4,559</w:t>
            </w:r>
          </w:p>
        </w:tc>
        <w:tc>
          <w:tcPr>
            <w:tcW w:w="820" w:type="dxa"/>
            <w:vAlign w:val="bottom"/>
          </w:tcPr>
          <w:p>
            <w:pPr>
              <w:jc w:val="right"/>
              <w:spacing w:after="0"/>
              <w:rPr>
                <w:sz w:val="20"/>
                <w:szCs w:val="20"/>
                <w:color w:val="auto"/>
              </w:rPr>
            </w:pPr>
            <w:r>
              <w:rPr>
                <w:rFonts w:ascii="Arial" w:cs="Arial" w:eastAsia="Arial" w:hAnsi="Arial"/>
                <w:sz w:val="16"/>
                <w:szCs w:val="16"/>
                <w:color w:val="auto"/>
              </w:rPr>
              <w:t>285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753,252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140" w:type="dxa"/>
            <w:vAlign w:val="bottom"/>
            <w:gridSpan w:val="2"/>
          </w:tcPr>
          <w:p>
            <w:pPr>
              <w:spacing w:after="0"/>
              <w:rPr>
                <w:sz w:val="19"/>
                <w:szCs w:val="19"/>
                <w:color w:val="auto"/>
              </w:rPr>
            </w:pPr>
          </w:p>
        </w:tc>
        <w:tc>
          <w:tcPr>
            <w:tcW w:w="396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ower Generation</w:t>
            </w:r>
          </w:p>
        </w:tc>
        <w:tc>
          <w:tcPr>
            <w:tcW w:w="1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8,006</w:t>
            </w:r>
          </w:p>
        </w:tc>
        <w:tc>
          <w:tcPr>
            <w:tcW w:w="420" w:type="dxa"/>
            <w:vAlign w:val="bottom"/>
            <w:shd w:val="clear" w:color="auto" w:fill="CEFFE7"/>
          </w:tcPr>
          <w:p>
            <w:pPr>
              <w:spacing w:after="0"/>
              <w:rPr>
                <w:sz w:val="19"/>
                <w:szCs w:val="19"/>
                <w:color w:val="auto"/>
              </w:rPr>
            </w:pPr>
          </w:p>
        </w:tc>
        <w:tc>
          <w:tcPr>
            <w:tcW w:w="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1,219</w:t>
            </w:r>
          </w:p>
        </w:tc>
        <w:tc>
          <w:tcPr>
            <w:tcW w:w="12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300" w:type="dxa"/>
            <w:vAlign w:val="bottom"/>
            <w:gridSpan w:val="4"/>
            <w:shd w:val="clear" w:color="auto" w:fill="CEFFE7"/>
          </w:tcPr>
          <w:p>
            <w:pPr>
              <w:jc w:val="right"/>
              <w:ind w:right="219"/>
              <w:spacing w:after="0"/>
              <w:rPr>
                <w:sz w:val="20"/>
                <w:szCs w:val="20"/>
                <w:color w:val="auto"/>
              </w:rPr>
            </w:pPr>
            <w:r>
              <w:rPr>
                <w:rFonts w:ascii="Arial" w:cs="Arial" w:eastAsia="Arial" w:hAnsi="Arial"/>
                <w:sz w:val="16"/>
                <w:szCs w:val="16"/>
                <w:color w:val="auto"/>
              </w:rPr>
              <w:t>71,656</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81,031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100" w:type="dxa"/>
            <w:vAlign w:val="bottom"/>
            <w:gridSpan w:val="4"/>
          </w:tcPr>
          <w:p>
            <w:pPr>
              <w:spacing w:after="0"/>
              <w:rPr>
                <w:sz w:val="20"/>
                <w:szCs w:val="20"/>
                <w:color w:val="auto"/>
              </w:rPr>
            </w:pPr>
            <w:r>
              <w:rPr>
                <w:rFonts w:ascii="Arial" w:cs="Arial" w:eastAsia="Arial" w:hAnsi="Arial"/>
                <w:sz w:val="16"/>
                <w:szCs w:val="16"/>
                <w:color w:val="auto"/>
              </w:rPr>
              <w:t>Mining</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20,658</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right"/>
              <w:ind w:right="219"/>
              <w:spacing w:after="0"/>
              <w:rPr>
                <w:sz w:val="20"/>
                <w:szCs w:val="20"/>
                <w:color w:val="auto"/>
              </w:rPr>
            </w:pPr>
            <w:r>
              <w:rPr>
                <w:rFonts w:ascii="Arial" w:cs="Arial" w:eastAsia="Arial" w:hAnsi="Arial"/>
                <w:sz w:val="16"/>
                <w:szCs w:val="16"/>
                <w:color w:val="auto"/>
              </w:rPr>
              <w:t>23,093</w:t>
            </w:r>
          </w:p>
        </w:tc>
        <w:tc>
          <w:tcPr>
            <w:tcW w:w="820" w:type="dxa"/>
            <w:vAlign w:val="bottom"/>
          </w:tcPr>
          <w:p>
            <w:pPr>
              <w:jc w:val="right"/>
              <w:spacing w:after="0"/>
              <w:rPr>
                <w:sz w:val="20"/>
                <w:szCs w:val="20"/>
                <w:color w:val="auto"/>
              </w:rPr>
            </w:pPr>
            <w:r>
              <w:rPr>
                <w:rFonts w:ascii="Arial" w:cs="Arial" w:eastAsia="Arial" w:hAnsi="Arial"/>
                <w:sz w:val="16"/>
                <w:szCs w:val="16"/>
                <w:color w:val="auto"/>
              </w:rPr>
              <w:t>1,020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45,489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gridSpan w:val="2"/>
          </w:tcPr>
          <w:p>
            <w:pPr>
              <w:spacing w:after="0"/>
              <w:rPr>
                <w:sz w:val="20"/>
                <w:szCs w:val="20"/>
                <w:color w:val="auto"/>
              </w:rPr>
            </w:pPr>
            <w:r>
              <w:rPr>
                <w:rFonts w:ascii="Arial" w:cs="Arial" w:eastAsia="Arial" w:hAnsi="Arial"/>
                <w:sz w:val="16"/>
                <w:szCs w:val="16"/>
                <w:color w:val="auto"/>
                <w:w w:val="84"/>
              </w:rPr>
              <w:t>er</w:t>
            </w:r>
          </w:p>
        </w:tc>
        <w:tc>
          <w:tcPr>
            <w:tcW w:w="396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-company eliminations</w:t>
            </w:r>
          </w:p>
        </w:tc>
        <w:tc>
          <w:tcPr>
            <w:tcW w:w="11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9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EFFE7"/>
          </w:tcPr>
          <w:p>
            <w:pPr>
              <w:spacing w:after="0"/>
              <w:rPr>
                <w:sz w:val="18"/>
                <w:szCs w:val="18"/>
                <w:color w:val="auto"/>
              </w:rPr>
            </w:pPr>
          </w:p>
        </w:tc>
        <w:tc>
          <w:tcPr>
            <w:tcW w:w="740" w:type="dxa"/>
            <w:vAlign w:val="bottom"/>
            <w:gridSpan w:val="3"/>
            <w:shd w:val="clear" w:color="auto" w:fill="CEFFE7"/>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4"/>
            <w:shd w:val="clear" w:color="auto" w:fill="CEFFE7"/>
          </w:tcPr>
          <w:p>
            <w:pPr>
              <w:ind w:left="340"/>
              <w:spacing w:after="0"/>
              <w:rPr>
                <w:sz w:val="20"/>
                <w:szCs w:val="20"/>
                <w:color w:val="auto"/>
              </w:rPr>
            </w:pPr>
            <w:r>
              <w:rPr>
                <w:rFonts w:ascii="Arial" w:cs="Arial" w:eastAsia="Arial" w:hAnsi="Arial"/>
                <w:sz w:val="16"/>
                <w:szCs w:val="16"/>
                <w:color w:val="auto"/>
              </w:rPr>
              <w:t>(117,167)</w:t>
            </w:r>
          </w:p>
        </w:tc>
        <w:tc>
          <w:tcPr>
            <w:tcW w:w="880" w:type="dxa"/>
            <w:vAlign w:val="bottom"/>
            <w:gridSpan w:val="2"/>
            <w:shd w:val="clear" w:color="auto" w:fill="CEFFE7"/>
          </w:tcPr>
          <w:p>
            <w:pPr>
              <w:jc w:val="center"/>
              <w:ind w:left="219"/>
              <w:spacing w:after="0"/>
              <w:rPr>
                <w:sz w:val="20"/>
                <w:szCs w:val="20"/>
                <w:color w:val="auto"/>
              </w:rPr>
            </w:pPr>
            <w:r>
              <w:rPr>
                <w:rFonts w:ascii="Arial" w:cs="Arial" w:eastAsia="Arial" w:hAnsi="Arial"/>
                <w:sz w:val="16"/>
                <w:szCs w:val="16"/>
                <w:color w:val="auto"/>
                <w:w w:val="98"/>
              </w:rPr>
              <w:t>(1,455)</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8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(118,622)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100" w:type="dxa"/>
            <w:vAlign w:val="bottom"/>
            <w:gridSpan w:val="4"/>
          </w:tcPr>
          <w:p>
            <w:pPr>
              <w:spacing w:after="0"/>
              <w:rPr>
                <w:sz w:val="20"/>
                <w:szCs w:val="20"/>
                <w:color w:val="auto"/>
              </w:rPr>
            </w:pPr>
            <w:r>
              <w:rPr>
                <w:rFonts w:ascii="Arial" w:cs="Arial" w:eastAsia="Arial" w:hAnsi="Arial"/>
                <w:sz w:val="16"/>
                <w:szCs w:val="16"/>
                <w:color w:val="auto"/>
              </w:rPr>
              <w:t>tal</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w w:val="97"/>
              </w:rPr>
              <w:t>1,377,293$</w:t>
            </w:r>
          </w:p>
        </w:tc>
        <w:tc>
          <w:tcPr>
            <w:tcW w:w="4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9,301$</w:t>
            </w: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1,386,594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0"/>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7"/>
          </w:tcPr>
          <w:p>
            <w:pPr>
              <w:ind w:left="260"/>
              <w:spacing w:after="0"/>
              <w:rPr>
                <w:sz w:val="20"/>
                <w:szCs w:val="20"/>
                <w:color w:val="auto"/>
              </w:rPr>
            </w:pPr>
            <w:r>
              <w:rPr>
                <w:rFonts w:ascii="Arial" w:cs="Arial" w:eastAsia="Arial" w:hAnsi="Arial"/>
                <w:sz w:val="16"/>
                <w:szCs w:val="16"/>
                <w:color w:val="auto"/>
              </w:rPr>
              <w:t>Inter-company Operating</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jc w:val="right"/>
              <w:ind w:right="100"/>
              <w:spacing w:after="0"/>
              <w:rPr>
                <w:sz w:val="20"/>
                <w:szCs w:val="20"/>
                <w:color w:val="auto"/>
              </w:rPr>
            </w:pPr>
            <w:r>
              <w:rPr>
                <w:rFonts w:ascii="Arial" w:cs="Arial" w:eastAsia="Arial" w:hAnsi="Arial"/>
                <w:sz w:val="16"/>
                <w:szCs w:val="16"/>
                <w:color w:val="auto"/>
              </w:rPr>
              <w:t>External Operating Revenue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2"/>
          </w:tcPr>
          <w:p>
            <w:pPr>
              <w:jc w:val="right"/>
              <w:ind w:right="399"/>
              <w:spacing w:after="0"/>
              <w:rPr>
                <w:sz w:val="20"/>
                <w:szCs w:val="20"/>
                <w:color w:val="auto"/>
              </w:rPr>
            </w:pPr>
            <w:r>
              <w:rPr>
                <w:rFonts w:ascii="Arial" w:cs="Arial" w:eastAsia="Arial" w:hAnsi="Arial"/>
                <w:sz w:val="16"/>
                <w:szCs w:val="16"/>
                <w:color w:val="auto"/>
              </w:rPr>
              <w:t>Revenue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Contract</w:t>
            </w:r>
          </w:p>
        </w:tc>
        <w:tc>
          <w:tcPr>
            <w:tcW w:w="420" w:type="dxa"/>
            <w:vAlign w:val="bottom"/>
          </w:tcPr>
          <w:p>
            <w:pPr>
              <w:spacing w:after="0"/>
              <w:rPr>
                <w:sz w:val="20"/>
                <w:szCs w:val="20"/>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6"/>
                <w:szCs w:val="16"/>
                <w:color w:val="auto"/>
                <w:w w:val="99"/>
              </w:rPr>
              <w:t>Other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59"/>
              <w:spacing w:after="0"/>
              <w:rPr>
                <w:sz w:val="20"/>
                <w:szCs w:val="20"/>
                <w:color w:val="auto"/>
              </w:rPr>
            </w:pPr>
            <w:r>
              <w:rPr>
                <w:rFonts w:ascii="Arial" w:cs="Arial" w:eastAsia="Arial" w:hAnsi="Arial"/>
                <w:sz w:val="16"/>
                <w:szCs w:val="16"/>
                <w:color w:val="auto"/>
              </w:rPr>
              <w:t>Contract</w:t>
            </w:r>
          </w:p>
        </w:tc>
        <w:tc>
          <w:tcPr>
            <w:tcW w:w="820" w:type="dxa"/>
            <w:vAlign w:val="bottom"/>
          </w:tcPr>
          <w:p>
            <w:pPr>
              <w:jc w:val="center"/>
              <w:ind w:left="299"/>
              <w:spacing w:after="0"/>
              <w:rPr>
                <w:sz w:val="20"/>
                <w:szCs w:val="20"/>
                <w:color w:val="auto"/>
              </w:rPr>
            </w:pPr>
            <w:r>
              <w:rPr>
                <w:rFonts w:ascii="Arial" w:cs="Arial" w:eastAsia="Arial" w:hAnsi="Arial"/>
                <w:sz w:val="16"/>
                <w:szCs w:val="16"/>
                <w:color w:val="auto"/>
                <w:w w:val="99"/>
              </w:rPr>
              <w:t>Other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ind w:left="320"/>
              <w:spacing w:after="0"/>
              <w:rPr>
                <w:sz w:val="20"/>
                <w:szCs w:val="20"/>
                <w:color w:val="auto"/>
              </w:rPr>
            </w:pPr>
            <w:r>
              <w:rPr>
                <w:rFonts w:ascii="Arial" w:cs="Arial" w:eastAsia="Arial" w:hAnsi="Arial"/>
                <w:sz w:val="16"/>
                <w:szCs w:val="16"/>
                <w:color w:val="auto"/>
              </w:rPr>
              <w:t>Total</w:t>
            </w:r>
          </w:p>
        </w:tc>
      </w:tr>
      <w:tr>
        <w:trPr>
          <w:trHeight w:val="198"/>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2C2C2C"/>
              </w:rPr>
              <w:t>Nine Months Ended September 30, 2020</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Customers</w:t>
            </w:r>
          </w:p>
        </w:tc>
        <w:tc>
          <w:tcPr>
            <w:tcW w:w="1160" w:type="dxa"/>
            <w:vAlign w:val="bottom"/>
            <w:gridSpan w:val="4"/>
          </w:tcPr>
          <w:p>
            <w:pPr>
              <w:jc w:val="center"/>
              <w:spacing w:after="0"/>
              <w:rPr>
                <w:sz w:val="20"/>
                <w:szCs w:val="20"/>
                <w:color w:val="auto"/>
              </w:rPr>
            </w:pPr>
            <w:r>
              <w:rPr>
                <w:rFonts w:ascii="Arial" w:cs="Arial" w:eastAsia="Arial" w:hAnsi="Arial"/>
                <w:sz w:val="16"/>
                <w:szCs w:val="16"/>
                <w:color w:val="auto"/>
              </w:rPr>
              <w:t>Revenues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6"/>
                <w:szCs w:val="16"/>
                <w:color w:val="auto"/>
              </w:rPr>
              <w:t>Customers</w:t>
            </w:r>
          </w:p>
        </w:tc>
        <w:tc>
          <w:tcPr>
            <w:tcW w:w="1300" w:type="dxa"/>
            <w:vAlign w:val="bottom"/>
            <w:gridSpan w:val="5"/>
          </w:tcPr>
          <w:p>
            <w:pPr>
              <w:jc w:val="center"/>
              <w:ind w:right="140"/>
              <w:spacing w:after="0"/>
              <w:rPr>
                <w:sz w:val="20"/>
                <w:szCs w:val="20"/>
                <w:color w:val="auto"/>
              </w:rPr>
            </w:pPr>
            <w:r>
              <w:rPr>
                <w:rFonts w:ascii="Arial" w:cs="Arial" w:eastAsia="Arial" w:hAnsi="Arial"/>
                <w:sz w:val="16"/>
                <w:szCs w:val="16"/>
                <w:color w:val="auto"/>
                <w:w w:val="99"/>
              </w:rPr>
              <w:t>Revenues</w:t>
            </w:r>
          </w:p>
        </w:tc>
        <w:tc>
          <w:tcPr>
            <w:tcW w:w="100" w:type="dxa"/>
            <w:vAlign w:val="bottom"/>
          </w:tcPr>
          <w:p>
            <w:pPr>
              <w:spacing w:after="0"/>
              <w:rPr>
                <w:sz w:val="17"/>
                <w:szCs w:val="17"/>
                <w:color w:val="auto"/>
              </w:rPr>
            </w:pPr>
          </w:p>
        </w:tc>
        <w:tc>
          <w:tcPr>
            <w:tcW w:w="1060" w:type="dxa"/>
            <w:vAlign w:val="bottom"/>
            <w:gridSpan w:val="3"/>
          </w:tcPr>
          <w:p>
            <w:pPr>
              <w:ind w:left="100"/>
              <w:spacing w:after="0"/>
              <w:rPr>
                <w:sz w:val="20"/>
                <w:szCs w:val="20"/>
                <w:color w:val="auto"/>
              </w:rPr>
            </w:pPr>
            <w:r>
              <w:rPr>
                <w:rFonts w:ascii="Arial" w:cs="Arial" w:eastAsia="Arial" w:hAnsi="Arial"/>
                <w:sz w:val="16"/>
                <w:szCs w:val="16"/>
                <w:color w:val="auto"/>
              </w:rPr>
              <w:t>Revenues</w:t>
            </w:r>
          </w:p>
        </w:tc>
      </w:tr>
      <w:tr>
        <w:trPr>
          <w:trHeight w:val="213"/>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tcBorders>
              <w:top w:val="single" w:sz="8" w:color="auto"/>
            </w:tcBorders>
            <w:gridSpan w:val="2"/>
            <w:shd w:val="clear" w:color="auto" w:fill="CEFFE7"/>
          </w:tcPr>
          <w:p>
            <w:pPr>
              <w:spacing w:after="0"/>
              <w:rPr>
                <w:sz w:val="20"/>
                <w:szCs w:val="20"/>
                <w:color w:val="auto"/>
              </w:rPr>
            </w:pPr>
            <w:r>
              <w:rPr>
                <w:rFonts w:ascii="Arial" w:cs="Arial" w:eastAsia="Arial" w:hAnsi="Arial"/>
                <w:sz w:val="16"/>
                <w:szCs w:val="16"/>
                <w:color w:val="auto"/>
              </w:rPr>
              <w:t>Segment:</w:t>
            </w:r>
          </w:p>
        </w:tc>
        <w:tc>
          <w:tcPr>
            <w:tcW w:w="110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100" w:type="dxa"/>
            <w:vAlign w:val="bottom"/>
            <w:tcBorders>
              <w:top w:val="single" w:sz="8" w:color="auto"/>
            </w:tcBorders>
            <w:shd w:val="clear" w:color="auto" w:fill="CEFFE7"/>
          </w:tcPr>
          <w:p>
            <w:pPr>
              <w:spacing w:after="0"/>
              <w:rPr>
                <w:sz w:val="18"/>
                <w:szCs w:val="18"/>
                <w:color w:val="auto"/>
              </w:rPr>
            </w:pPr>
          </w:p>
        </w:tc>
        <w:tc>
          <w:tcPr>
            <w:tcW w:w="40" w:type="dxa"/>
            <w:vAlign w:val="bottom"/>
            <w:tcBorders>
              <w:top w:val="single" w:sz="8" w:color="auto"/>
            </w:tcBorders>
            <w:shd w:val="clear" w:color="auto" w:fill="CEFFE7"/>
          </w:tcPr>
          <w:p>
            <w:pPr>
              <w:spacing w:after="0"/>
              <w:rPr>
                <w:sz w:val="18"/>
                <w:szCs w:val="18"/>
                <w:color w:val="auto"/>
              </w:rPr>
            </w:pPr>
          </w:p>
        </w:tc>
        <w:tc>
          <w:tcPr>
            <w:tcW w:w="960" w:type="dxa"/>
            <w:vAlign w:val="bottom"/>
            <w:tcBorders>
              <w:top w:val="single" w:sz="8" w:color="auto"/>
            </w:tcBorders>
            <w:shd w:val="clear" w:color="auto" w:fill="CEFFE7"/>
          </w:tcPr>
          <w:p>
            <w:pPr>
              <w:spacing w:after="0"/>
              <w:rPr>
                <w:sz w:val="18"/>
                <w:szCs w:val="18"/>
                <w:color w:val="auto"/>
              </w:rPr>
            </w:pPr>
          </w:p>
        </w:tc>
        <w:tc>
          <w:tcPr>
            <w:tcW w:w="420" w:type="dxa"/>
            <w:vAlign w:val="bottom"/>
            <w:tcBorders>
              <w:top w:val="single" w:sz="8" w:color="auto"/>
            </w:tcBorders>
            <w:shd w:val="clear" w:color="auto" w:fill="CEFFE7"/>
          </w:tcPr>
          <w:p>
            <w:pPr>
              <w:spacing w:after="0"/>
              <w:rPr>
                <w:sz w:val="18"/>
                <w:szCs w:val="18"/>
                <w:color w:val="auto"/>
              </w:rPr>
            </w:pPr>
          </w:p>
        </w:tc>
        <w:tc>
          <w:tcPr>
            <w:tcW w:w="58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40" w:type="dxa"/>
            <w:vAlign w:val="bottom"/>
            <w:tcBorders>
              <w:top w:val="single" w:sz="8" w:color="auto"/>
            </w:tcBorders>
            <w:shd w:val="clear" w:color="auto" w:fill="CEFFE7"/>
          </w:tcPr>
          <w:p>
            <w:pPr>
              <w:spacing w:after="0"/>
              <w:rPr>
                <w:sz w:val="18"/>
                <w:szCs w:val="18"/>
                <w:color w:val="auto"/>
              </w:rPr>
            </w:pPr>
          </w:p>
        </w:tc>
        <w:tc>
          <w:tcPr>
            <w:tcW w:w="4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420" w:type="dxa"/>
            <w:vAlign w:val="bottom"/>
            <w:tcBorders>
              <w:top w:val="single" w:sz="8" w:color="auto"/>
            </w:tcBorders>
            <w:shd w:val="clear" w:color="auto" w:fill="CEFFE7"/>
          </w:tcPr>
          <w:p>
            <w:pPr>
              <w:spacing w:after="0"/>
              <w:rPr>
                <w:sz w:val="18"/>
                <w:szCs w:val="18"/>
                <w:color w:val="auto"/>
              </w:rPr>
            </w:pPr>
          </w:p>
        </w:tc>
        <w:tc>
          <w:tcPr>
            <w:tcW w:w="720" w:type="dxa"/>
            <w:vAlign w:val="bottom"/>
            <w:tcBorders>
              <w:top w:val="single" w:sz="8" w:color="auto"/>
            </w:tcBorders>
            <w:shd w:val="clear" w:color="auto" w:fill="CEFFE7"/>
          </w:tcPr>
          <w:p>
            <w:pPr>
              <w:spacing w:after="0"/>
              <w:rPr>
                <w:sz w:val="18"/>
                <w:szCs w:val="18"/>
                <w:color w:val="auto"/>
              </w:rPr>
            </w:pPr>
          </w:p>
        </w:tc>
        <w:tc>
          <w:tcPr>
            <w:tcW w:w="820" w:type="dxa"/>
            <w:vAlign w:val="bottom"/>
            <w:tcBorders>
              <w:top w:val="single" w:sz="8" w:color="auto"/>
            </w:tcBorders>
            <w:shd w:val="clear" w:color="auto" w:fill="CEFFE7"/>
          </w:tcPr>
          <w:p>
            <w:pPr>
              <w:spacing w:after="0"/>
              <w:rPr>
                <w:sz w:val="18"/>
                <w:szCs w:val="18"/>
                <w:color w:val="auto"/>
              </w:rPr>
            </w:pPr>
          </w:p>
        </w:tc>
        <w:tc>
          <w:tcPr>
            <w:tcW w:w="6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00" w:type="dxa"/>
            <w:vAlign w:val="bottom"/>
            <w:tcBorders>
              <w:top w:val="single" w:sz="8" w:color="auto"/>
            </w:tcBorders>
            <w:shd w:val="clear" w:color="auto" w:fill="CEFFE7"/>
          </w:tcPr>
          <w:p>
            <w:pPr>
              <w:spacing w:after="0"/>
              <w:rPr>
                <w:sz w:val="18"/>
                <w:szCs w:val="18"/>
                <w:color w:val="auto"/>
              </w:rPr>
            </w:pPr>
          </w:p>
        </w:tc>
        <w:tc>
          <w:tcPr>
            <w:tcW w:w="720" w:type="dxa"/>
            <w:vAlign w:val="bottom"/>
            <w:tcBorders>
              <w:top w:val="single" w:sz="8" w:color="auto"/>
            </w:tcBorders>
            <w:shd w:val="clear" w:color="auto" w:fill="CEFFE7"/>
          </w:tcPr>
          <w:p>
            <w:pPr>
              <w:spacing w:after="0"/>
              <w:rPr>
                <w:sz w:val="18"/>
                <w:szCs w:val="18"/>
                <w:color w:val="auto"/>
              </w:rPr>
            </w:pPr>
          </w:p>
        </w:tc>
        <w:tc>
          <w:tcPr>
            <w:tcW w:w="320" w:type="dxa"/>
            <w:vAlign w:val="bottom"/>
            <w:tcBorders>
              <w:top w:val="single" w:sz="8" w:color="auto"/>
              <w:left w:val="single" w:sz="8" w:color="CEFFE7"/>
            </w:tcBorders>
            <w:shd w:val="clear" w:color="auto" w:fill="CEFFE7"/>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Electric Utilities</w:t>
            </w:r>
          </w:p>
        </w:tc>
        <w:tc>
          <w:tcPr>
            <w:tcW w:w="1320" w:type="dxa"/>
            <w:vAlign w:val="bottom"/>
            <w:gridSpan w:val="3"/>
          </w:tcPr>
          <w:p>
            <w:pPr>
              <w:ind w:left="12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518,641</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2,074</w:t>
            </w:r>
          </w:p>
        </w:tc>
        <w:tc>
          <w:tcPr>
            <w:tcW w:w="40" w:type="dxa"/>
            <w:vAlign w:val="bottom"/>
          </w:tcPr>
          <w:p>
            <w:pPr>
              <w:spacing w:after="0"/>
              <w:rPr>
                <w:sz w:val="18"/>
                <w:szCs w:val="18"/>
                <w:color w:val="auto"/>
              </w:rPr>
            </w:pPr>
          </w:p>
        </w:tc>
        <w:tc>
          <w:tcPr>
            <w:tcW w:w="580" w:type="dxa"/>
            <w:vAlign w:val="bottom"/>
            <w:gridSpan w:val="3"/>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17,466</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538,181</w:t>
            </w:r>
          </w:p>
        </w:tc>
        <w:tc>
          <w:tcPr>
            <w:tcW w:w="2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6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Gas Utilities</w:t>
            </w:r>
          </w:p>
        </w:tc>
        <w:tc>
          <w:tcPr>
            <w:tcW w:w="1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655,386</w:t>
            </w:r>
          </w:p>
        </w:tc>
        <w:tc>
          <w:tcPr>
            <w:tcW w:w="420" w:type="dxa"/>
            <w:vAlign w:val="bottom"/>
            <w:shd w:val="clear" w:color="auto" w:fill="CEFFE7"/>
          </w:tcPr>
          <w:p>
            <w:pPr>
              <w:spacing w:after="0"/>
              <w:rPr>
                <w:sz w:val="19"/>
                <w:szCs w:val="19"/>
                <w:color w:val="auto"/>
              </w:rPr>
            </w:pPr>
          </w:p>
        </w:tc>
        <w:tc>
          <w:tcPr>
            <w:tcW w:w="7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7,083</w:t>
            </w:r>
          </w:p>
        </w:tc>
        <w:tc>
          <w:tcPr>
            <w:tcW w:w="4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3,153</w:t>
            </w:r>
          </w:p>
        </w:tc>
        <w:tc>
          <w:tcPr>
            <w:tcW w:w="820" w:type="dxa"/>
            <w:vAlign w:val="bottom"/>
            <w:shd w:val="clear" w:color="auto" w:fill="CEFFE7"/>
          </w:tcPr>
          <w:p>
            <w:pPr>
              <w:spacing w:after="0"/>
              <w:rPr>
                <w:sz w:val="19"/>
                <w:szCs w:val="19"/>
                <w:color w:val="auto"/>
              </w:rPr>
            </w:pPr>
          </w:p>
        </w:tc>
        <w:tc>
          <w:tcPr>
            <w:tcW w:w="340" w:type="dxa"/>
            <w:vAlign w:val="bottom"/>
            <w:gridSpan w:val="3"/>
            <w:shd w:val="clear" w:color="auto" w:fill="CEFFE7"/>
          </w:tcPr>
          <w:p>
            <w:pPr>
              <w:jc w:val="right"/>
              <w:ind w:right="80"/>
              <w:spacing w:after="0"/>
              <w:rPr>
                <w:sz w:val="20"/>
                <w:szCs w:val="20"/>
                <w:color w:val="auto"/>
              </w:rPr>
            </w:pPr>
            <w:r>
              <w:rPr>
                <w:rFonts w:ascii="Arial" w:cs="Arial" w:eastAsia="Arial" w:hAnsi="Arial"/>
                <w:sz w:val="16"/>
                <w:szCs w:val="16"/>
                <w:color w:val="auto"/>
                <w:w w:val="89"/>
              </w:rPr>
              <w:t>190</w:t>
            </w:r>
          </w:p>
        </w:tc>
        <w:tc>
          <w:tcPr>
            <w:tcW w:w="1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40" w:type="dxa"/>
            <w:vAlign w:val="bottom"/>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665,812</w:t>
            </w:r>
          </w:p>
        </w:tc>
        <w:tc>
          <w:tcPr>
            <w:tcW w:w="2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Power Generation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4,625</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72,609</w:t>
            </w:r>
          </w:p>
        </w:tc>
        <w:tc>
          <w:tcPr>
            <w:tcW w:w="82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w w:val="89"/>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78,606</w:t>
            </w:r>
          </w:p>
        </w:tc>
        <w:tc>
          <w:tcPr>
            <w:tcW w:w="2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6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Mining</w:t>
            </w:r>
          </w:p>
        </w:tc>
        <w:tc>
          <w:tcPr>
            <w:tcW w:w="1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20,062</w:t>
            </w:r>
          </w:p>
        </w:tc>
        <w:tc>
          <w:tcPr>
            <w:tcW w:w="420" w:type="dxa"/>
            <w:vAlign w:val="bottom"/>
            <w:shd w:val="clear" w:color="auto" w:fill="CEFFE7"/>
          </w:tcPr>
          <w:p>
            <w:pPr>
              <w:spacing w:after="0"/>
              <w:rPr>
                <w:sz w:val="19"/>
                <w:szCs w:val="19"/>
                <w:color w:val="auto"/>
              </w:rPr>
            </w:pPr>
          </w:p>
        </w:tc>
        <w:tc>
          <w:tcPr>
            <w:tcW w:w="7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1,477</w:t>
            </w:r>
          </w:p>
        </w:tc>
        <w:tc>
          <w:tcPr>
            <w:tcW w:w="4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23,855</w:t>
            </w:r>
          </w:p>
        </w:tc>
        <w:tc>
          <w:tcPr>
            <w:tcW w:w="820" w:type="dxa"/>
            <w:vAlign w:val="bottom"/>
            <w:shd w:val="clear" w:color="auto" w:fill="CEFFE7"/>
          </w:tcPr>
          <w:p>
            <w:pPr>
              <w:spacing w:after="0"/>
              <w:rPr>
                <w:sz w:val="19"/>
                <w:szCs w:val="19"/>
                <w:color w:val="auto"/>
              </w:rPr>
            </w:pPr>
          </w:p>
        </w:tc>
        <w:tc>
          <w:tcPr>
            <w:tcW w:w="340" w:type="dxa"/>
            <w:vAlign w:val="bottom"/>
            <w:gridSpan w:val="3"/>
            <w:shd w:val="clear" w:color="auto" w:fill="CEFFE7"/>
          </w:tcPr>
          <w:p>
            <w:pPr>
              <w:jc w:val="right"/>
              <w:ind w:right="80"/>
              <w:spacing w:after="0"/>
              <w:rPr>
                <w:sz w:val="20"/>
                <w:szCs w:val="20"/>
                <w:color w:val="auto"/>
              </w:rPr>
            </w:pPr>
            <w:r>
              <w:rPr>
                <w:rFonts w:ascii="Arial" w:cs="Arial" w:eastAsia="Arial" w:hAnsi="Arial"/>
                <w:sz w:val="16"/>
                <w:szCs w:val="16"/>
                <w:color w:val="auto"/>
                <w:w w:val="89"/>
              </w:rPr>
              <w:t>463</w:t>
            </w:r>
          </w:p>
        </w:tc>
        <w:tc>
          <w:tcPr>
            <w:tcW w:w="1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40" w:type="dxa"/>
            <w:vAlign w:val="bottom"/>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45,857</w:t>
            </w:r>
          </w:p>
        </w:tc>
        <w:tc>
          <w:tcPr>
            <w:tcW w:w="2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tcBorders>
              <w:bottom w:val="single" w:sz="8" w:color="CEFFE7"/>
            </w:tcBorders>
            <w:gridSpan w:val="2"/>
          </w:tcPr>
          <w:p>
            <w:pPr>
              <w:spacing w:after="0"/>
              <w:rPr>
                <w:sz w:val="20"/>
                <w:szCs w:val="20"/>
                <w:color w:val="auto"/>
              </w:rPr>
            </w:pPr>
            <w:r>
              <w:rPr>
                <w:rFonts w:ascii="Arial" w:cs="Arial" w:eastAsia="Arial" w:hAnsi="Arial"/>
                <w:sz w:val="16"/>
                <w:szCs w:val="16"/>
                <w:color w:val="auto"/>
              </w:rPr>
              <w:t>Inter-company eliminations</w:t>
            </w:r>
          </w:p>
        </w:tc>
        <w:tc>
          <w:tcPr>
            <w:tcW w:w="1100" w:type="dxa"/>
            <w:vAlign w:val="bottom"/>
            <w:tcBorders>
              <w:bottom w:val="single" w:sz="8" w:color="CEFFE7"/>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(117,083)</w:t>
            </w: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(819)</w:t>
            </w:r>
          </w:p>
        </w:tc>
        <w:tc>
          <w:tcPr>
            <w:tcW w:w="140" w:type="dxa"/>
            <w:vAlign w:val="bottom"/>
            <w:tcBorders>
              <w:bottom w:val="single" w:sz="8" w:color="CEFFE7"/>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color w:val="auto"/>
              </w:rPr>
              <w:t>(117,902)</w:t>
            </w:r>
          </w:p>
        </w:tc>
        <w:tc>
          <w:tcPr>
            <w:tcW w:w="20" w:type="dxa"/>
            <w:vAlign w:val="bottom"/>
          </w:tcPr>
          <w:p>
            <w:pPr>
              <w:spacing w:after="0"/>
              <w:rPr>
                <w:sz w:val="18"/>
                <w:szCs w:val="18"/>
                <w:color w:val="auto"/>
              </w:rPr>
            </w:pPr>
          </w:p>
        </w:tc>
      </w:tr>
      <w:tr>
        <w:trPr>
          <w:trHeight w:val="233"/>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6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CEFFE7"/>
            </w:tcBorders>
            <w:gridSpan w:val="2"/>
            <w:shd w:val="clear" w:color="auto" w:fill="CEFFE7"/>
          </w:tcPr>
          <w:p>
            <w:pPr>
              <w:spacing w:after="0"/>
              <w:rPr>
                <w:sz w:val="20"/>
                <w:szCs w:val="20"/>
                <w:color w:val="auto"/>
              </w:rPr>
            </w:pPr>
          </w:p>
        </w:tc>
        <w:tc>
          <w:tcPr>
            <w:tcW w:w="1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1,198,714</w:t>
            </w:r>
          </w:p>
        </w:tc>
        <w:tc>
          <w:tcPr>
            <w:tcW w:w="42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11,840</w:t>
            </w:r>
          </w:p>
        </w:tc>
        <w:tc>
          <w:tcPr>
            <w:tcW w:w="40" w:type="dxa"/>
            <w:vAlign w:val="bottom"/>
            <w:tcBorders>
              <w:bottom w:val="single" w:sz="8" w:color="auto"/>
            </w:tcBorders>
            <w:shd w:val="clear" w:color="auto" w:fill="CEFFE7"/>
          </w:tcPr>
          <w:p>
            <w:pPr>
              <w:spacing w:after="0"/>
              <w:rPr>
                <w:sz w:val="20"/>
                <w:szCs w:val="20"/>
                <w:color w:val="auto"/>
              </w:rPr>
            </w:pPr>
          </w:p>
        </w:tc>
        <w:tc>
          <w:tcPr>
            <w:tcW w:w="40" w:type="dxa"/>
            <w:vAlign w:val="bottom"/>
            <w:tcBorders>
              <w:bottom w:val="single" w:sz="8" w:color="auto"/>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42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619"/>
              <w:spacing w:after="0"/>
              <w:rPr>
                <w:sz w:val="20"/>
                <w:szCs w:val="20"/>
                <w:color w:val="auto"/>
              </w:rPr>
            </w:pPr>
            <w:r>
              <w:rPr>
                <w:rFonts w:ascii="Arial" w:cs="Arial" w:eastAsia="Arial" w:hAnsi="Arial"/>
                <w:sz w:val="16"/>
                <w:szCs w:val="16"/>
                <w:color w:val="auto"/>
              </w:rPr>
              <w:t>— $</w:t>
            </w:r>
          </w:p>
        </w:tc>
        <w:tc>
          <w:tcPr>
            <w:tcW w:w="60" w:type="dxa"/>
            <w:vAlign w:val="bottom"/>
            <w:tcBorders>
              <w:bottom w:val="single" w:sz="8" w:color="auto"/>
            </w:tcBorders>
            <w:shd w:val="clear" w:color="auto" w:fill="CEFFE7"/>
          </w:tcPr>
          <w:p>
            <w:pPr>
              <w:spacing w:after="0"/>
              <w:rPr>
                <w:sz w:val="20"/>
                <w:szCs w:val="20"/>
                <w:color w:val="auto"/>
              </w:rPr>
            </w:pPr>
          </w:p>
        </w:tc>
        <w:tc>
          <w:tcPr>
            <w:tcW w:w="280" w:type="dxa"/>
            <w:vAlign w:val="bottom"/>
            <w:tcBorders>
              <w:bottom w:val="single" w:sz="8" w:color="auto"/>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1,210,554</w:t>
            </w:r>
          </w:p>
        </w:tc>
        <w:tc>
          <w:tcPr>
            <w:tcW w:w="20" w:type="dxa"/>
            <w:vAlign w:val="bottom"/>
          </w:tcPr>
          <w:p>
            <w:pPr>
              <w:spacing w:after="0"/>
              <w:rPr>
                <w:sz w:val="20"/>
                <w:szCs w:val="20"/>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160" w:type="dxa"/>
            <w:vAlign w:val="bottom"/>
            <w:tcBorders>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7"/>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10"/>
          </w:tcPr>
          <w:p>
            <w:pPr>
              <w:ind w:left="60"/>
              <w:spacing w:after="0"/>
              <w:rPr>
                <w:sz w:val="20"/>
                <w:szCs w:val="20"/>
                <w:color w:val="auto"/>
              </w:rPr>
            </w:pPr>
            <w:r>
              <w:rPr>
                <w:rFonts w:ascii="Arial" w:cs="Arial" w:eastAsia="Arial" w:hAnsi="Arial"/>
                <w:sz w:val="16"/>
                <w:szCs w:val="16"/>
                <w:color w:val="auto"/>
              </w:rPr>
              <w:t>Three Months Ended September 30,</w:t>
            </w:r>
          </w:p>
        </w:tc>
        <w:tc>
          <w:tcPr>
            <w:tcW w:w="3180" w:type="dxa"/>
            <w:vAlign w:val="bottom"/>
            <w:gridSpan w:val="10"/>
          </w:tcPr>
          <w:p>
            <w:pPr>
              <w:jc w:val="center"/>
              <w:ind w:right="580"/>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color w:val="auto"/>
              </w:rPr>
              <w:t>2021</w:t>
            </w:r>
          </w:p>
        </w:tc>
        <w:tc>
          <w:tcPr>
            <w:tcW w:w="1300" w:type="dxa"/>
            <w:vAlign w:val="bottom"/>
            <w:tcBorders>
              <w:bottom w:val="single" w:sz="8" w:color="auto"/>
            </w:tcBorders>
            <w:gridSpan w:val="6"/>
          </w:tcPr>
          <w:p>
            <w:pPr>
              <w:jc w:val="right"/>
              <w:ind w:right="579"/>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400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justed operating income:</w:t>
            </w:r>
          </w:p>
        </w:tc>
        <w:tc>
          <w:tcPr>
            <w:tcW w:w="11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58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72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6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720" w:type="dxa"/>
            <w:vAlign w:val="bottom"/>
            <w:shd w:val="clear" w:color="auto" w:fill="CEFFE7"/>
          </w:tcPr>
          <w:p>
            <w:pPr>
              <w:spacing w:after="0"/>
              <w:rPr>
                <w:sz w:val="18"/>
                <w:szCs w:val="18"/>
                <w:color w:val="auto"/>
              </w:rPr>
            </w:pP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00" w:type="dxa"/>
            <w:vAlign w:val="bottom"/>
            <w:gridSpan w:val="4"/>
          </w:tcPr>
          <w:p>
            <w:pPr>
              <w:ind w:left="40"/>
              <w:spacing w:after="0"/>
              <w:rPr>
                <w:sz w:val="20"/>
                <w:szCs w:val="20"/>
                <w:color w:val="auto"/>
              </w:rPr>
            </w:pPr>
            <w:r>
              <w:rPr>
                <w:rFonts w:ascii="Arial" w:cs="Arial" w:eastAsia="Arial" w:hAnsi="Arial"/>
                <w:sz w:val="16"/>
                <w:szCs w:val="16"/>
                <w:color w:val="auto"/>
              </w:rPr>
              <w:t>lectric Utilities</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57,608$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w w:val="96"/>
              </w:rPr>
              <w:t>52,083$</w:t>
            </w:r>
          </w:p>
        </w:tc>
        <w:tc>
          <w:tcPr>
            <w:tcW w:w="7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w w:val="98"/>
              </w:rPr>
              <w:t>114,989$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121,726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00" w:type="dxa"/>
            <w:vAlign w:val="bottom"/>
            <w:gridSpan w:val="4"/>
          </w:tcPr>
          <w:p>
            <w:pPr>
              <w:ind w:left="40"/>
              <w:spacing w:after="0"/>
              <w:rPr>
                <w:sz w:val="20"/>
                <w:szCs w:val="20"/>
                <w:color w:val="auto"/>
              </w:rPr>
            </w:pPr>
            <w:r>
              <w:rPr>
                <w:rFonts w:ascii="Arial" w:cs="Arial" w:eastAsia="Arial" w:hAnsi="Arial"/>
                <w:sz w:val="16"/>
                <w:szCs w:val="16"/>
                <w:color w:val="auto"/>
              </w:rPr>
              <w:t>as Utilities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17,257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18,147</w:t>
            </w:r>
          </w:p>
        </w:tc>
        <w:tc>
          <w:tcPr>
            <w:tcW w:w="7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139,336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139,253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100" w:type="dxa"/>
            <w:vAlign w:val="bottom"/>
            <w:gridSpan w:val="4"/>
          </w:tcPr>
          <w:p>
            <w:pPr>
              <w:ind w:left="40"/>
              <w:spacing w:after="0"/>
              <w:rPr>
                <w:sz w:val="20"/>
                <w:szCs w:val="20"/>
                <w:color w:val="auto"/>
              </w:rPr>
            </w:pPr>
            <w:r>
              <w:rPr>
                <w:rFonts w:ascii="Arial" w:cs="Arial" w:eastAsia="Arial" w:hAnsi="Arial"/>
                <w:sz w:val="16"/>
                <w:szCs w:val="16"/>
                <w:color w:val="auto"/>
              </w:rPr>
              <w:t>ower Generation</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10,323</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8,738</w:t>
            </w:r>
          </w:p>
        </w:tc>
        <w:tc>
          <w:tcPr>
            <w:tcW w:w="72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32,842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31,489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400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ining</w:t>
            </w:r>
          </w:p>
        </w:tc>
        <w:tc>
          <w:tcPr>
            <w:tcW w:w="1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4,908</w:t>
            </w:r>
          </w:p>
        </w:tc>
        <w:tc>
          <w:tcPr>
            <w:tcW w:w="58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58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3,505</w:t>
            </w:r>
          </w:p>
        </w:tc>
        <w:tc>
          <w:tcPr>
            <w:tcW w:w="720" w:type="dxa"/>
            <w:vAlign w:val="bottom"/>
            <w:shd w:val="clear" w:color="auto" w:fill="CEFFE7"/>
          </w:tcPr>
          <w:p>
            <w:pPr>
              <w:spacing w:after="0"/>
              <w:rPr>
                <w:sz w:val="19"/>
                <w:szCs w:val="19"/>
                <w:color w:val="auto"/>
              </w:rPr>
            </w:pPr>
          </w:p>
        </w:tc>
        <w:tc>
          <w:tcPr>
            <w:tcW w:w="82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11,813</w:t>
            </w:r>
          </w:p>
        </w:tc>
        <w:tc>
          <w:tcPr>
            <w:tcW w:w="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9,992</w:t>
            </w:r>
          </w:p>
        </w:tc>
        <w:tc>
          <w:tcPr>
            <w:tcW w:w="320" w:type="dxa"/>
            <w:vAlign w:val="bottom"/>
            <w:tcBorders>
              <w:left w:val="single" w:sz="8" w:color="CEFFE7"/>
            </w:tcBorders>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100" w:type="dxa"/>
            <w:vAlign w:val="bottom"/>
            <w:gridSpan w:val="4"/>
          </w:tcPr>
          <w:p>
            <w:pPr>
              <w:ind w:left="40"/>
              <w:spacing w:after="0"/>
              <w:rPr>
                <w:sz w:val="20"/>
                <w:szCs w:val="20"/>
                <w:color w:val="auto"/>
              </w:rPr>
            </w:pPr>
            <w:r>
              <w:rPr>
                <w:rFonts w:ascii="Arial" w:cs="Arial" w:eastAsia="Arial" w:hAnsi="Arial"/>
                <w:sz w:val="16"/>
                <w:szCs w:val="16"/>
                <w:color w:val="auto"/>
              </w:rPr>
              <w:t>orporate and Other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right"/>
              <w:ind w:right="599"/>
              <w:spacing w:after="0"/>
              <w:rPr>
                <w:sz w:val="20"/>
                <w:szCs w:val="20"/>
                <w:color w:val="auto"/>
              </w:rPr>
            </w:pPr>
            <w:r>
              <w:rPr>
                <w:rFonts w:ascii="Arial" w:cs="Arial" w:eastAsia="Arial" w:hAnsi="Arial"/>
                <w:sz w:val="16"/>
                <w:szCs w:val="16"/>
                <w:color w:val="auto"/>
              </w:rPr>
              <w:t>(239)</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4000" w:type="dxa"/>
            <w:vAlign w:val="bottom"/>
            <w:tcBorders>
              <w:top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erating income</w:t>
            </w:r>
          </w:p>
        </w:tc>
        <w:tc>
          <w:tcPr>
            <w:tcW w:w="1100" w:type="dxa"/>
            <w:vAlign w:val="bottom"/>
            <w:tcBorders>
              <w:top w:val="single" w:sz="8" w:color="CEFFE7"/>
            </w:tcBorders>
            <w:shd w:val="clear" w:color="auto" w:fill="CEFFE7"/>
          </w:tcPr>
          <w:p>
            <w:pPr>
              <w:spacing w:after="0"/>
              <w:rPr>
                <w:sz w:val="18"/>
                <w:szCs w:val="18"/>
                <w:color w:val="auto"/>
              </w:rPr>
            </w:pPr>
          </w:p>
        </w:tc>
        <w:tc>
          <w:tcPr>
            <w:tcW w:w="12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40" w:type="dxa"/>
            <w:vAlign w:val="bottom"/>
            <w:tcBorders>
              <w:top w:val="single" w:sz="8" w:color="CEFFE7"/>
            </w:tcBorders>
            <w:shd w:val="clear" w:color="auto" w:fill="CEFFE7"/>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89,873</w:t>
            </w:r>
          </w:p>
        </w:tc>
        <w:tc>
          <w:tcPr>
            <w:tcW w:w="580" w:type="dxa"/>
            <w:vAlign w:val="bottom"/>
            <w:tcBorders>
              <w:top w:val="single" w:sz="8" w:color="auto"/>
              <w:bottom w:val="single" w:sz="8" w:color="auto"/>
            </w:tcBorders>
            <w:shd w:val="clear" w:color="auto" w:fill="CEFFE7"/>
          </w:tcPr>
          <w:p>
            <w:pPr>
              <w:spacing w:after="0"/>
              <w:rPr>
                <w:sz w:val="18"/>
                <w:szCs w:val="18"/>
                <w:color w:val="auto"/>
              </w:rPr>
            </w:pPr>
          </w:p>
        </w:tc>
        <w:tc>
          <w:tcPr>
            <w:tcW w:w="120" w:type="dxa"/>
            <w:vAlign w:val="bottom"/>
            <w:tcBorders>
              <w:top w:val="single" w:sz="8" w:color="auto"/>
              <w:bottom w:val="single" w:sz="8" w:color="auto"/>
            </w:tcBorders>
            <w:shd w:val="clear" w:color="auto" w:fill="CEFFE7"/>
          </w:tcPr>
          <w:p>
            <w:pPr>
              <w:spacing w:after="0"/>
              <w:rPr>
                <w:sz w:val="18"/>
                <w:szCs w:val="18"/>
                <w:color w:val="auto"/>
              </w:rPr>
            </w:pPr>
          </w:p>
        </w:tc>
        <w:tc>
          <w:tcPr>
            <w:tcW w:w="40" w:type="dxa"/>
            <w:vAlign w:val="bottom"/>
            <w:tcBorders>
              <w:top w:val="single" w:sz="8" w:color="auto"/>
              <w:bottom w:val="single" w:sz="8" w:color="auto"/>
            </w:tcBorders>
            <w:shd w:val="clear" w:color="auto" w:fill="CEFFE7"/>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EFFE7"/>
          </w:tcPr>
          <w:p>
            <w:pPr>
              <w:jc w:val="right"/>
              <w:spacing w:after="0"/>
              <w:rPr>
                <w:sz w:val="20"/>
                <w:szCs w:val="20"/>
                <w:color w:val="auto"/>
              </w:rPr>
            </w:pPr>
            <w:r>
              <w:rPr>
                <w:rFonts w:ascii="Arial" w:cs="Arial" w:eastAsia="Arial" w:hAnsi="Arial"/>
                <w:sz w:val="16"/>
                <w:szCs w:val="16"/>
                <w:color w:val="auto"/>
              </w:rPr>
              <w:t>82,234</w:t>
            </w:r>
          </w:p>
        </w:tc>
        <w:tc>
          <w:tcPr>
            <w:tcW w:w="720" w:type="dxa"/>
            <w:vAlign w:val="bottom"/>
            <w:tcBorders>
              <w:top w:val="single" w:sz="8" w:color="auto"/>
              <w:bottom w:val="single" w:sz="8" w:color="auto"/>
            </w:tcBorders>
            <w:shd w:val="clear" w:color="auto" w:fill="CEFFE7"/>
          </w:tcPr>
          <w:p>
            <w:pPr>
              <w:spacing w:after="0"/>
              <w:rPr>
                <w:sz w:val="18"/>
                <w:szCs w:val="18"/>
                <w:color w:val="auto"/>
              </w:rPr>
            </w:pPr>
          </w:p>
        </w:tc>
        <w:tc>
          <w:tcPr>
            <w:tcW w:w="820" w:type="dxa"/>
            <w:vAlign w:val="bottom"/>
            <w:tcBorders>
              <w:top w:val="single" w:sz="8" w:color="auto"/>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295,454</w:t>
            </w:r>
          </w:p>
        </w:tc>
        <w:tc>
          <w:tcPr>
            <w:tcW w:w="60" w:type="dxa"/>
            <w:vAlign w:val="bottom"/>
            <w:tcBorders>
              <w:top w:val="single" w:sz="8" w:color="auto"/>
              <w:bottom w:val="single" w:sz="8" w:color="auto"/>
            </w:tcBorders>
            <w:shd w:val="clear" w:color="auto" w:fill="CEFFE7"/>
          </w:tcPr>
          <w:p>
            <w:pPr>
              <w:spacing w:after="0"/>
              <w:rPr>
                <w:sz w:val="18"/>
                <w:szCs w:val="18"/>
                <w:color w:val="auto"/>
              </w:rPr>
            </w:pPr>
          </w:p>
        </w:tc>
        <w:tc>
          <w:tcPr>
            <w:tcW w:w="140" w:type="dxa"/>
            <w:vAlign w:val="bottom"/>
            <w:tcBorders>
              <w:top w:val="single" w:sz="8" w:color="auto"/>
              <w:bottom w:val="single" w:sz="8" w:color="auto"/>
            </w:tcBorders>
            <w:shd w:val="clear" w:color="auto" w:fill="CEFFE7"/>
          </w:tcPr>
          <w:p>
            <w:pPr>
              <w:spacing w:after="0"/>
              <w:rPr>
                <w:sz w:val="18"/>
                <w:szCs w:val="18"/>
                <w:color w:val="auto"/>
              </w:rPr>
            </w:pPr>
          </w:p>
        </w:tc>
        <w:tc>
          <w:tcPr>
            <w:tcW w:w="140" w:type="dxa"/>
            <w:vAlign w:val="bottom"/>
            <w:tcBorders>
              <w:top w:val="single" w:sz="8" w:color="auto"/>
              <w:bottom w:val="single" w:sz="8" w:color="auto"/>
            </w:tcBorders>
            <w:shd w:val="clear" w:color="auto" w:fill="CEFFE7"/>
          </w:tcPr>
          <w:p>
            <w:pPr>
              <w:spacing w:after="0"/>
              <w:rPr>
                <w:sz w:val="18"/>
                <w:szCs w:val="18"/>
                <w:color w:val="auto"/>
              </w:rPr>
            </w:pPr>
          </w:p>
        </w:tc>
        <w:tc>
          <w:tcPr>
            <w:tcW w:w="140" w:type="dxa"/>
            <w:vAlign w:val="bottom"/>
            <w:tcBorders>
              <w:top w:val="single" w:sz="8" w:color="auto"/>
              <w:bottom w:val="single" w:sz="8" w:color="auto"/>
            </w:tcBorders>
            <w:shd w:val="clear" w:color="auto" w:fill="CEFFE7"/>
          </w:tcPr>
          <w:p>
            <w:pPr>
              <w:spacing w:after="0"/>
              <w:rPr>
                <w:sz w:val="18"/>
                <w:szCs w:val="18"/>
                <w:color w:val="auto"/>
              </w:rPr>
            </w:pPr>
          </w:p>
        </w:tc>
        <w:tc>
          <w:tcPr>
            <w:tcW w:w="100" w:type="dxa"/>
            <w:vAlign w:val="bottom"/>
            <w:tcBorders>
              <w:top w:val="single" w:sz="8" w:color="auto"/>
              <w:bottom w:val="single" w:sz="8" w:color="auto"/>
            </w:tcBorders>
            <w:shd w:val="clear" w:color="auto" w:fill="CEFFE7"/>
          </w:tcPr>
          <w:p>
            <w:pPr>
              <w:spacing w:after="0"/>
              <w:rPr>
                <w:sz w:val="18"/>
                <w:szCs w:val="18"/>
                <w:color w:val="auto"/>
              </w:rPr>
            </w:pPr>
          </w:p>
        </w:tc>
        <w:tc>
          <w:tcPr>
            <w:tcW w:w="7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302,352</w:t>
            </w: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r>
      <w:tr>
        <w:trPr>
          <w:trHeight w:val="460"/>
        </w:trPr>
        <w:tc>
          <w:tcPr>
            <w:tcW w:w="4100" w:type="dxa"/>
            <w:vAlign w:val="bottom"/>
            <w:gridSpan w:val="4"/>
          </w:tcPr>
          <w:p>
            <w:pPr>
              <w:spacing w:after="0"/>
              <w:rPr>
                <w:sz w:val="20"/>
                <w:szCs w:val="20"/>
                <w:color w:val="auto"/>
              </w:rPr>
            </w:pPr>
            <w:r>
              <w:rPr>
                <w:rFonts w:ascii="Arial" w:cs="Arial" w:eastAsia="Arial" w:hAnsi="Arial"/>
                <w:sz w:val="16"/>
                <w:szCs w:val="16"/>
                <w:color w:val="auto"/>
              </w:rPr>
              <w:t>erest expense, net</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(38,018)</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jc w:val="right"/>
              <w:ind w:right="599"/>
              <w:spacing w:after="0"/>
              <w:rPr>
                <w:sz w:val="20"/>
                <w:szCs w:val="20"/>
                <w:color w:val="auto"/>
              </w:rPr>
            </w:pPr>
            <w:r>
              <w:rPr>
                <w:rFonts w:ascii="Arial" w:cs="Arial" w:eastAsia="Arial" w:hAnsi="Arial"/>
                <w:sz w:val="16"/>
                <w:szCs w:val="16"/>
                <w:color w:val="auto"/>
              </w:rPr>
              <w:t>(36,041)</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(113,820)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(107,039)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100" w:type="dxa"/>
            <w:vAlign w:val="bottom"/>
            <w:gridSpan w:val="4"/>
          </w:tcPr>
          <w:p>
            <w:pPr>
              <w:spacing w:after="0"/>
              <w:rPr>
                <w:sz w:val="20"/>
                <w:szCs w:val="20"/>
                <w:color w:val="auto"/>
              </w:rPr>
            </w:pPr>
            <w:r>
              <w:rPr>
                <w:rFonts w:ascii="Arial" w:cs="Arial" w:eastAsia="Arial" w:hAnsi="Arial"/>
                <w:sz w:val="16"/>
                <w:szCs w:val="16"/>
                <w:color w:val="auto"/>
              </w:rPr>
              <w:t>pairment of investment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(6,859)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00" w:type="dxa"/>
            <w:vAlign w:val="bottom"/>
            <w:gridSpan w:val="4"/>
          </w:tcPr>
          <w:p>
            <w:pPr>
              <w:spacing w:after="0"/>
              <w:rPr>
                <w:sz w:val="20"/>
                <w:szCs w:val="20"/>
                <w:color w:val="auto"/>
              </w:rPr>
            </w:pPr>
            <w:r>
              <w:rPr>
                <w:rFonts w:ascii="Arial" w:cs="Arial" w:eastAsia="Arial" w:hAnsi="Arial"/>
                <w:sz w:val="16"/>
                <w:szCs w:val="16"/>
                <w:color w:val="auto"/>
              </w:rPr>
              <w:t>her income (expense), net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1,560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right"/>
              <w:ind w:right="599"/>
              <w:spacing w:after="0"/>
              <w:rPr>
                <w:sz w:val="20"/>
                <w:szCs w:val="20"/>
                <w:color w:val="auto"/>
              </w:rPr>
            </w:pPr>
            <w:r>
              <w:rPr>
                <w:rFonts w:ascii="Arial" w:cs="Arial" w:eastAsia="Arial" w:hAnsi="Arial"/>
                <w:sz w:val="16"/>
                <w:szCs w:val="16"/>
                <w:color w:val="auto"/>
              </w:rPr>
              <w:t>(1,193)</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1,635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100" w:type="dxa"/>
            <w:vAlign w:val="bottom"/>
            <w:gridSpan w:val="4"/>
          </w:tcPr>
          <w:p>
            <w:pPr>
              <w:ind w:left="20"/>
              <w:spacing w:after="0"/>
              <w:rPr>
                <w:sz w:val="20"/>
                <w:szCs w:val="20"/>
                <w:color w:val="auto"/>
              </w:rPr>
            </w:pPr>
            <w:r>
              <w:rPr>
                <w:rFonts w:ascii="Arial" w:cs="Arial" w:eastAsia="Arial" w:hAnsi="Arial"/>
                <w:sz w:val="16"/>
                <w:szCs w:val="16"/>
                <w:color w:val="auto"/>
              </w:rPr>
              <w:t>ome tax (expense)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(5,253)</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4"/>
          </w:tcPr>
          <w:p>
            <w:pPr>
              <w:jc w:val="right"/>
              <w:ind w:right="599"/>
              <w:spacing w:after="0"/>
              <w:rPr>
                <w:sz w:val="20"/>
                <w:szCs w:val="20"/>
                <w:color w:val="auto"/>
              </w:rPr>
            </w:pPr>
            <w:r>
              <w:rPr>
                <w:rFonts w:ascii="Arial" w:cs="Arial" w:eastAsia="Arial" w:hAnsi="Arial"/>
                <w:sz w:val="16"/>
                <w:szCs w:val="16"/>
                <w:color w:val="auto"/>
              </w:rPr>
              <w:t>(4,651)</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(6,333)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(25,484)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4000" w:type="dxa"/>
            <w:vAlign w:val="bottom"/>
            <w:tcBorders>
              <w:top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income</w:t>
            </w:r>
          </w:p>
        </w:tc>
        <w:tc>
          <w:tcPr>
            <w:tcW w:w="1100" w:type="dxa"/>
            <w:vAlign w:val="bottom"/>
            <w:tcBorders>
              <w:top w:val="single" w:sz="8" w:color="CEFFE7"/>
            </w:tcBorders>
            <w:shd w:val="clear" w:color="auto" w:fill="CEFFE7"/>
          </w:tcPr>
          <w:p>
            <w:pPr>
              <w:spacing w:after="0"/>
              <w:rPr>
                <w:sz w:val="18"/>
                <w:szCs w:val="18"/>
                <w:color w:val="auto"/>
              </w:rPr>
            </w:pPr>
          </w:p>
        </w:tc>
        <w:tc>
          <w:tcPr>
            <w:tcW w:w="12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40" w:type="dxa"/>
            <w:vAlign w:val="bottom"/>
            <w:tcBorders>
              <w:top w:val="single" w:sz="8" w:color="CEFFE7"/>
            </w:tcBorders>
            <w:shd w:val="clear" w:color="auto" w:fill="CEFFE7"/>
          </w:tcPr>
          <w:p>
            <w:pPr>
              <w:spacing w:after="0"/>
              <w:rPr>
                <w:sz w:val="18"/>
                <w:szCs w:val="18"/>
                <w:color w:val="auto"/>
              </w:rPr>
            </w:pPr>
          </w:p>
        </w:tc>
        <w:tc>
          <w:tcPr>
            <w:tcW w:w="1380" w:type="dxa"/>
            <w:vAlign w:val="bottom"/>
            <w:tcBorders>
              <w:top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48,162</w:t>
            </w:r>
          </w:p>
        </w:tc>
        <w:tc>
          <w:tcPr>
            <w:tcW w:w="58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40" w:type="dxa"/>
            <w:vAlign w:val="bottom"/>
            <w:tcBorders>
              <w:top w:val="single" w:sz="8" w:color="auto"/>
            </w:tcBorders>
            <w:shd w:val="clear" w:color="auto" w:fill="CEFFE7"/>
          </w:tcPr>
          <w:p>
            <w:pPr>
              <w:spacing w:after="0"/>
              <w:rPr>
                <w:sz w:val="18"/>
                <w:szCs w:val="18"/>
                <w:color w:val="auto"/>
              </w:rPr>
            </w:pPr>
          </w:p>
        </w:tc>
        <w:tc>
          <w:tcPr>
            <w:tcW w:w="580" w:type="dxa"/>
            <w:vAlign w:val="bottom"/>
            <w:tcBorders>
              <w:top w:val="single" w:sz="8" w:color="auto"/>
            </w:tcBorders>
            <w:gridSpan w:val="3"/>
            <w:shd w:val="clear" w:color="auto" w:fill="CEFFE7"/>
          </w:tcPr>
          <w:p>
            <w:pPr>
              <w:jc w:val="right"/>
              <w:spacing w:after="0"/>
              <w:rPr>
                <w:sz w:val="20"/>
                <w:szCs w:val="20"/>
                <w:color w:val="auto"/>
              </w:rPr>
            </w:pPr>
            <w:r>
              <w:rPr>
                <w:rFonts w:ascii="Arial" w:cs="Arial" w:eastAsia="Arial" w:hAnsi="Arial"/>
                <w:sz w:val="16"/>
                <w:szCs w:val="16"/>
                <w:color w:val="auto"/>
              </w:rPr>
              <w:t>40,349</w:t>
            </w:r>
          </w:p>
        </w:tc>
        <w:tc>
          <w:tcPr>
            <w:tcW w:w="720" w:type="dxa"/>
            <w:vAlign w:val="bottom"/>
            <w:tcBorders>
              <w:top w:val="single" w:sz="8" w:color="auto"/>
            </w:tcBorders>
            <w:shd w:val="clear" w:color="auto" w:fill="CEFFE7"/>
          </w:tcPr>
          <w:p>
            <w:pPr>
              <w:spacing w:after="0"/>
              <w:rPr>
                <w:sz w:val="18"/>
                <w:szCs w:val="18"/>
                <w:color w:val="auto"/>
              </w:rPr>
            </w:pPr>
          </w:p>
        </w:tc>
        <w:tc>
          <w:tcPr>
            <w:tcW w:w="820" w:type="dxa"/>
            <w:vAlign w:val="bottom"/>
            <w:tcBorders>
              <w:top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176,936</w:t>
            </w:r>
          </w:p>
        </w:tc>
        <w:tc>
          <w:tcPr>
            <w:tcW w:w="6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00" w:type="dxa"/>
            <w:vAlign w:val="bottom"/>
            <w:tcBorders>
              <w:top w:val="single" w:sz="8" w:color="auto"/>
            </w:tcBorders>
            <w:shd w:val="clear" w:color="auto" w:fill="CEFFE7"/>
          </w:tcPr>
          <w:p>
            <w:pPr>
              <w:spacing w:after="0"/>
              <w:rPr>
                <w:sz w:val="18"/>
                <w:szCs w:val="18"/>
                <w:color w:val="auto"/>
              </w:rPr>
            </w:pPr>
          </w:p>
        </w:tc>
        <w:tc>
          <w:tcPr>
            <w:tcW w:w="7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162,267</w:t>
            </w: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100" w:type="dxa"/>
            <w:vAlign w:val="bottom"/>
            <w:gridSpan w:val="4"/>
          </w:tcPr>
          <w:p>
            <w:pPr>
              <w:spacing w:after="0"/>
              <w:rPr>
                <w:sz w:val="20"/>
                <w:szCs w:val="20"/>
                <w:color w:val="auto"/>
              </w:rPr>
            </w:pPr>
            <w:r>
              <w:rPr>
                <w:rFonts w:ascii="Arial" w:cs="Arial" w:eastAsia="Arial" w:hAnsi="Arial"/>
                <w:sz w:val="16"/>
                <w:szCs w:val="16"/>
                <w:color w:val="auto"/>
              </w:rPr>
              <w:t>t income attributable to non-controlling interest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(4,050)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right"/>
              <w:ind w:right="599"/>
              <w:spacing w:after="0"/>
              <w:rPr>
                <w:sz w:val="20"/>
                <w:szCs w:val="20"/>
                <w:color w:val="auto"/>
              </w:rPr>
            </w:pPr>
            <w:r>
              <w:rPr>
                <w:rFonts w:ascii="Arial" w:cs="Arial" w:eastAsia="Arial" w:hAnsi="Arial"/>
                <w:sz w:val="16"/>
                <w:szCs w:val="16"/>
                <w:color w:val="auto"/>
              </w:rPr>
              <w:t>(4,066)</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(11,347)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(11,844)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4000" w:type="dxa"/>
            <w:vAlign w:val="bottom"/>
            <w:tcBorders>
              <w:top w:val="single" w:sz="8" w:color="CEFFE7"/>
              <w:bottom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income available for common stock</w:t>
            </w:r>
          </w:p>
        </w:tc>
        <w:tc>
          <w:tcPr>
            <w:tcW w:w="1220" w:type="dxa"/>
            <w:vAlign w:val="bottom"/>
            <w:tcBorders>
              <w:top w:val="single" w:sz="8" w:color="CEFFE7"/>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EFFE7"/>
              <w:bottom w:val="single" w:sz="8" w:color="CEFFE7"/>
            </w:tcBorders>
            <w:shd w:val="clear" w:color="auto" w:fill="CEFFE7"/>
          </w:tcPr>
          <w:p>
            <w:pPr>
              <w:spacing w:after="0"/>
              <w:rPr>
                <w:sz w:val="20"/>
                <w:szCs w:val="20"/>
                <w:color w:val="auto"/>
              </w:rPr>
            </w:pPr>
          </w:p>
        </w:tc>
        <w:tc>
          <w:tcPr>
            <w:tcW w:w="40" w:type="dxa"/>
            <w:vAlign w:val="bottom"/>
            <w:tcBorders>
              <w:top w:val="single" w:sz="8" w:color="CEFFE7"/>
              <w:bottom w:val="single" w:sz="8" w:color="CEFFE7"/>
            </w:tcBorders>
            <w:shd w:val="clear" w:color="auto" w:fill="CEFFE7"/>
          </w:tcPr>
          <w:p>
            <w:pPr>
              <w:spacing w:after="0"/>
              <w:rPr>
                <w:sz w:val="20"/>
                <w:szCs w:val="20"/>
                <w:color w:val="auto"/>
              </w:rPr>
            </w:pPr>
          </w:p>
        </w:tc>
        <w:tc>
          <w:tcPr>
            <w:tcW w:w="1380" w:type="dxa"/>
            <w:vAlign w:val="bottom"/>
            <w:tcBorders>
              <w:top w:val="single" w:sz="8" w:color="auto"/>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44,112$</w:t>
            </w:r>
          </w:p>
        </w:tc>
        <w:tc>
          <w:tcPr>
            <w:tcW w:w="580" w:type="dxa"/>
            <w:vAlign w:val="bottom"/>
            <w:tcBorders>
              <w:top w:val="single" w:sz="8" w:color="auto"/>
              <w:bottom w:val="single" w:sz="8" w:color="auto"/>
            </w:tcBorders>
            <w:shd w:val="clear" w:color="auto" w:fill="CEFFE7"/>
          </w:tcPr>
          <w:p>
            <w:pPr>
              <w:spacing w:after="0"/>
              <w:rPr>
                <w:sz w:val="20"/>
                <w:szCs w:val="20"/>
                <w:color w:val="auto"/>
              </w:rPr>
            </w:pPr>
          </w:p>
        </w:tc>
        <w:tc>
          <w:tcPr>
            <w:tcW w:w="120" w:type="dxa"/>
            <w:vAlign w:val="bottom"/>
            <w:tcBorders>
              <w:top w:val="single" w:sz="8" w:color="auto"/>
              <w:bottom w:val="single" w:sz="8" w:color="auto"/>
            </w:tcBorders>
            <w:shd w:val="clear" w:color="auto" w:fill="CEFFE7"/>
          </w:tcPr>
          <w:p>
            <w:pPr>
              <w:spacing w:after="0"/>
              <w:rPr>
                <w:sz w:val="20"/>
                <w:szCs w:val="20"/>
                <w:color w:val="auto"/>
              </w:rPr>
            </w:pPr>
          </w:p>
        </w:tc>
        <w:tc>
          <w:tcPr>
            <w:tcW w:w="40" w:type="dxa"/>
            <w:vAlign w:val="bottom"/>
            <w:tcBorders>
              <w:top w:val="single" w:sz="8" w:color="auto"/>
              <w:bottom w:val="single" w:sz="8" w:color="auto"/>
            </w:tcBorders>
            <w:shd w:val="clear" w:color="auto" w:fill="CEFFE7"/>
          </w:tcPr>
          <w:p>
            <w:pPr>
              <w:spacing w:after="0"/>
              <w:rPr>
                <w:sz w:val="20"/>
                <w:szCs w:val="20"/>
                <w:color w:val="auto"/>
              </w:rPr>
            </w:pPr>
          </w:p>
        </w:tc>
        <w:tc>
          <w:tcPr>
            <w:tcW w:w="580" w:type="dxa"/>
            <w:vAlign w:val="bottom"/>
            <w:tcBorders>
              <w:top w:val="single" w:sz="8" w:color="auto"/>
              <w:bottom w:val="single" w:sz="8" w:color="auto"/>
            </w:tcBorders>
            <w:gridSpan w:val="3"/>
            <w:shd w:val="clear" w:color="auto" w:fill="CEFFE7"/>
          </w:tcPr>
          <w:p>
            <w:pPr>
              <w:jc w:val="right"/>
              <w:spacing w:after="0"/>
              <w:rPr>
                <w:sz w:val="20"/>
                <w:szCs w:val="20"/>
                <w:color w:val="auto"/>
              </w:rPr>
            </w:pPr>
            <w:r>
              <w:rPr>
                <w:rFonts w:ascii="Arial" w:cs="Arial" w:eastAsia="Arial" w:hAnsi="Arial"/>
                <w:sz w:val="16"/>
                <w:szCs w:val="16"/>
                <w:color w:val="auto"/>
                <w:w w:val="96"/>
              </w:rPr>
              <w:t>36,283$</w:t>
            </w:r>
          </w:p>
        </w:tc>
        <w:tc>
          <w:tcPr>
            <w:tcW w:w="720" w:type="dxa"/>
            <w:vAlign w:val="bottom"/>
            <w:tcBorders>
              <w:top w:val="single" w:sz="8" w:color="auto"/>
              <w:bottom w:val="single" w:sz="8" w:color="auto"/>
            </w:tcBorders>
            <w:shd w:val="clear" w:color="auto" w:fill="CEFFE7"/>
          </w:tcPr>
          <w:p>
            <w:pPr>
              <w:spacing w:after="0"/>
              <w:rPr>
                <w:sz w:val="20"/>
                <w:szCs w:val="20"/>
                <w:color w:val="auto"/>
              </w:rPr>
            </w:pPr>
          </w:p>
        </w:tc>
        <w:tc>
          <w:tcPr>
            <w:tcW w:w="820" w:type="dxa"/>
            <w:vAlign w:val="bottom"/>
            <w:tcBorders>
              <w:top w:val="single" w:sz="8" w:color="auto"/>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98"/>
              </w:rPr>
              <w:t>165,589$</w:t>
            </w:r>
          </w:p>
        </w:tc>
        <w:tc>
          <w:tcPr>
            <w:tcW w:w="60" w:type="dxa"/>
            <w:vAlign w:val="bottom"/>
            <w:tcBorders>
              <w:top w:val="single" w:sz="8" w:color="auto"/>
              <w:bottom w:val="single" w:sz="8" w:color="auto"/>
            </w:tcBorders>
            <w:shd w:val="clear" w:color="auto" w:fill="CEFFE7"/>
          </w:tcPr>
          <w:p>
            <w:pPr>
              <w:spacing w:after="0"/>
              <w:rPr>
                <w:sz w:val="20"/>
                <w:szCs w:val="20"/>
                <w:color w:val="auto"/>
              </w:rPr>
            </w:pPr>
          </w:p>
        </w:tc>
        <w:tc>
          <w:tcPr>
            <w:tcW w:w="140" w:type="dxa"/>
            <w:vAlign w:val="bottom"/>
            <w:tcBorders>
              <w:top w:val="single" w:sz="8" w:color="auto"/>
              <w:bottom w:val="single" w:sz="8" w:color="auto"/>
            </w:tcBorders>
            <w:shd w:val="clear" w:color="auto" w:fill="CEFFE7"/>
          </w:tcPr>
          <w:p>
            <w:pPr>
              <w:spacing w:after="0"/>
              <w:rPr>
                <w:sz w:val="20"/>
                <w:szCs w:val="20"/>
                <w:color w:val="auto"/>
              </w:rPr>
            </w:pPr>
          </w:p>
        </w:tc>
        <w:tc>
          <w:tcPr>
            <w:tcW w:w="140" w:type="dxa"/>
            <w:vAlign w:val="bottom"/>
            <w:tcBorders>
              <w:top w:val="single" w:sz="8" w:color="auto"/>
              <w:bottom w:val="single" w:sz="8" w:color="auto"/>
            </w:tcBorders>
            <w:shd w:val="clear" w:color="auto" w:fill="CEFFE7"/>
          </w:tcPr>
          <w:p>
            <w:pPr>
              <w:spacing w:after="0"/>
              <w:rPr>
                <w:sz w:val="20"/>
                <w:szCs w:val="20"/>
                <w:color w:val="auto"/>
              </w:rPr>
            </w:pPr>
          </w:p>
        </w:tc>
        <w:tc>
          <w:tcPr>
            <w:tcW w:w="140" w:type="dxa"/>
            <w:vAlign w:val="bottom"/>
            <w:tcBorders>
              <w:top w:val="single" w:sz="8" w:color="auto"/>
              <w:bottom w:val="single" w:sz="8" w:color="auto"/>
            </w:tcBorders>
            <w:shd w:val="clear" w:color="auto" w:fill="CEFFE7"/>
          </w:tcPr>
          <w:p>
            <w:pPr>
              <w:spacing w:after="0"/>
              <w:rPr>
                <w:sz w:val="20"/>
                <w:szCs w:val="20"/>
                <w:color w:val="auto"/>
              </w:rPr>
            </w:pPr>
          </w:p>
        </w:tc>
        <w:tc>
          <w:tcPr>
            <w:tcW w:w="100" w:type="dxa"/>
            <w:vAlign w:val="bottom"/>
            <w:tcBorders>
              <w:top w:val="single" w:sz="8" w:color="auto"/>
              <w:bottom w:val="single" w:sz="8" w:color="auto"/>
            </w:tcBorders>
            <w:shd w:val="clear" w:color="auto" w:fill="CEFFE7"/>
          </w:tcPr>
          <w:p>
            <w:pPr>
              <w:spacing w:after="0"/>
              <w:rPr>
                <w:sz w:val="20"/>
                <w:szCs w:val="20"/>
                <w:color w:val="auto"/>
              </w:rPr>
            </w:pPr>
          </w:p>
        </w:tc>
        <w:tc>
          <w:tcPr>
            <w:tcW w:w="7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150,423</w:t>
            </w:r>
          </w:p>
        </w:tc>
        <w:tc>
          <w:tcPr>
            <w:tcW w:w="320" w:type="dxa"/>
            <w:vAlign w:val="bottom"/>
            <w:tcBorders>
              <w:left w:val="single" w:sz="8" w:color="CEFFE7"/>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320" w:type="dxa"/>
            <w:vAlign w:val="bottom"/>
            <w:tcBorders>
              <w:top w:val="single" w:sz="8" w:color="CEFFE7"/>
            </w:tcBorders>
          </w:tcPr>
          <w:p>
            <w:pPr>
              <w:spacing w:after="0" w:line="20" w:lineRule="exact"/>
              <w:rPr>
                <w:sz w:val="1"/>
                <w:szCs w:val="1"/>
                <w:color w:val="auto"/>
              </w:rPr>
            </w:pPr>
          </w:p>
        </w:tc>
        <w:tc>
          <w:tcPr>
            <w:tcW w:w="2640" w:type="dxa"/>
            <w:vAlign w:val="bottom"/>
            <w:tcBorders>
              <w:top w:val="single" w:sz="8" w:color="CEFFE7"/>
            </w:tcBorders>
          </w:tcPr>
          <w:p>
            <w:pPr>
              <w:spacing w:after="0" w:line="20" w:lineRule="exact"/>
              <w:rPr>
                <w:sz w:val="1"/>
                <w:szCs w:val="1"/>
                <w:color w:val="auto"/>
              </w:rPr>
            </w:pPr>
          </w:p>
        </w:tc>
        <w:tc>
          <w:tcPr>
            <w:tcW w:w="1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5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6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75"/>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519"/>
              <w:spacing w:after="0"/>
              <w:rPr>
                <w:sz w:val="20"/>
                <w:szCs w:val="20"/>
                <w:color w:val="auto"/>
              </w:rPr>
            </w:pPr>
            <w:r>
              <w:rPr>
                <w:rFonts w:ascii="Arial" w:cs="Arial" w:eastAsia="Arial" w:hAnsi="Arial"/>
                <w:sz w:val="16"/>
                <w:szCs w:val="16"/>
                <w:color w:val="auto"/>
              </w:rPr>
              <w:t>32</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-2811145</wp:posOffset>
            </wp:positionV>
            <wp:extent cx="6926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658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-1945005</wp:posOffset>
            </wp:positionV>
            <wp:extent cx="6926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658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-1670685</wp:posOffset>
            </wp:positionV>
            <wp:extent cx="692658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ectPr>
          <w:pgSz w:w="11900" w:h="16838" w:orient="portrait"/>
          <w:cols w:equalWidth="0" w:num="1">
            <w:col w:w="11340"/>
          </w:cols>
          <w:pgMar w:left="220" w:top="118"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Condensed Consolidated Balance Sheets (in thousands) as of:</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7100" w:type="dxa"/>
            <w:vAlign w:val="bottom"/>
            <w:tcBorders>
              <w:bottom w:val="single" w:sz="8" w:color="CEFFE7"/>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September 30, 2021</w:t>
            </w: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2"/>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Accounts receivable, trade</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120,930</w:t>
            </w: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146,899</w:t>
            </w: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Unbilled revenue</w:t>
            </w:r>
          </w:p>
        </w:tc>
        <w:tc>
          <w:tcPr>
            <w:tcW w:w="180" w:type="dxa"/>
            <w:vAlign w:val="bottom"/>
          </w:tcPr>
          <w:p>
            <w:pPr>
              <w:spacing w:after="0"/>
              <w:rPr>
                <w:sz w:val="18"/>
                <w:szCs w:val="18"/>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63,338</w:t>
            </w: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126,065</w:t>
            </w:r>
          </w:p>
        </w:tc>
      </w:tr>
      <w:tr>
        <w:trPr>
          <w:trHeight w:val="216"/>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Less: Allowance for credit losses</w:t>
            </w:r>
          </w:p>
        </w:tc>
        <w:tc>
          <w:tcPr>
            <w:tcW w:w="180" w:type="dxa"/>
            <w:vAlign w:val="bottom"/>
            <w:tcBorders>
              <w:bottom w:val="single" w:sz="8" w:color="auto"/>
            </w:tcBorders>
            <w:shd w:val="clear" w:color="auto" w:fill="CEFFE7"/>
          </w:tcPr>
          <w:p>
            <w:pPr>
              <w:spacing w:after="0"/>
              <w:rPr>
                <w:sz w:val="18"/>
                <w:szCs w:val="18"/>
                <w:color w:val="auto"/>
              </w:rPr>
            </w:pPr>
          </w:p>
        </w:tc>
        <w:tc>
          <w:tcPr>
            <w:tcW w:w="1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(2,312)</w:t>
            </w:r>
          </w:p>
        </w:tc>
        <w:tc>
          <w:tcPr>
            <w:tcW w:w="24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(7,003)</w:t>
            </w: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181,956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265,961</w:t>
            </w: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nine months ended September 30, 2021 and 2020, respectively,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6"/>
                <w:szCs w:val="16"/>
                <w:color w:val="auto"/>
              </w:rPr>
              <w:t>Balance at Beginning</w:t>
            </w:r>
          </w:p>
        </w:tc>
        <w:tc>
          <w:tcPr>
            <w:tcW w:w="1740" w:type="dxa"/>
            <w:vAlign w:val="bottom"/>
            <w:gridSpan w:val="3"/>
          </w:tcPr>
          <w:p>
            <w:pPr>
              <w:jc w:val="right"/>
              <w:ind w:right="160"/>
              <w:spacing w:after="0"/>
              <w:rPr>
                <w:sz w:val="20"/>
                <w:szCs w:val="20"/>
                <w:color w:val="auto"/>
              </w:rPr>
            </w:pPr>
            <w:r>
              <w:rPr>
                <w:rFonts w:ascii="Arial" w:cs="Arial" w:eastAsia="Arial" w:hAnsi="Arial"/>
                <w:sz w:val="16"/>
                <w:szCs w:val="16"/>
                <w:color w:val="auto"/>
              </w:rPr>
              <w:t>Additions Charged to</w:t>
            </w:r>
          </w:p>
        </w:tc>
        <w:tc>
          <w:tcPr>
            <w:tcW w:w="1760" w:type="dxa"/>
            <w:vAlign w:val="bottom"/>
            <w:gridSpan w:val="3"/>
          </w:tcPr>
          <w:p>
            <w:pPr>
              <w:ind w:left="40"/>
              <w:spacing w:after="0"/>
              <w:rPr>
                <w:sz w:val="20"/>
                <w:szCs w:val="20"/>
                <w:color w:val="auto"/>
              </w:rPr>
            </w:pPr>
            <w:r>
              <w:rPr>
                <w:rFonts w:ascii="Arial" w:cs="Arial" w:eastAsia="Arial" w:hAnsi="Arial"/>
                <w:sz w:val="16"/>
                <w:szCs w:val="16"/>
                <w:color w:val="auto"/>
              </w:rPr>
              <w:t>Recoveries and Other</w:t>
            </w: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Write-offs and Other</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8"/>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of Year</w:t>
            </w:r>
          </w:p>
        </w:tc>
        <w:tc>
          <w:tcPr>
            <w:tcW w:w="1740" w:type="dxa"/>
            <w:vAlign w:val="bottom"/>
            <w:gridSpan w:val="3"/>
          </w:tcPr>
          <w:p>
            <w:pPr>
              <w:jc w:val="right"/>
              <w:ind w:right="18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Deductions</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Balance at September 30,</w:t>
            </w:r>
          </w:p>
        </w:tc>
      </w:tr>
      <w:tr>
        <w:trPr>
          <w:trHeight w:val="213"/>
        </w:trPr>
        <w:tc>
          <w:tcPr>
            <w:tcW w:w="2100" w:type="dxa"/>
            <w:vAlign w:val="bottom"/>
            <w:tcBorders>
              <w:top w:val="single" w:sz="8" w:color="CEFEE7"/>
            </w:tcBorders>
            <w:shd w:val="clear" w:color="auto" w:fill="CEFEE7"/>
          </w:tcPr>
          <w:p>
            <w:pPr>
              <w:jc w:val="right"/>
              <w:ind w:right="1639"/>
              <w:spacing w:after="0"/>
              <w:rPr>
                <w:sz w:val="20"/>
                <w:szCs w:val="20"/>
                <w:color w:val="auto"/>
              </w:rPr>
            </w:pPr>
            <w:r>
              <w:rPr>
                <w:rFonts w:ascii="Arial" w:cs="Arial" w:eastAsia="Arial" w:hAnsi="Arial"/>
                <w:sz w:val="16"/>
                <w:szCs w:val="16"/>
                <w:color w:val="auto"/>
              </w:rPr>
              <w:t>2021</w:t>
            </w:r>
          </w:p>
        </w:tc>
        <w:tc>
          <w:tcPr>
            <w:tcW w:w="440" w:type="dxa"/>
            <w:vAlign w:val="bottom"/>
            <w:tcBorders>
              <w:top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7,003</w:t>
            </w:r>
          </w:p>
        </w:tc>
        <w:tc>
          <w:tcPr>
            <w:tcW w:w="100" w:type="dxa"/>
            <w:vAlign w:val="bottom"/>
            <w:tcBorders>
              <w:top w:val="single" w:sz="8" w:color="CEFEE7"/>
            </w:tcBorders>
            <w:shd w:val="clear" w:color="auto" w:fill="CEFEE7"/>
          </w:tcPr>
          <w:p>
            <w:pPr>
              <w:spacing w:after="0"/>
              <w:rPr>
                <w:sz w:val="18"/>
                <w:szCs w:val="18"/>
                <w:color w:val="auto"/>
              </w:rPr>
            </w:pPr>
          </w:p>
        </w:tc>
        <w:tc>
          <w:tcPr>
            <w:tcW w:w="640" w:type="dxa"/>
            <w:vAlign w:val="bottom"/>
            <w:tcBorders>
              <w:top w:val="single" w:sz="8" w:color="auto"/>
            </w:tcBorders>
            <w:shd w:val="clear" w:color="auto" w:fill="CEFEE7"/>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1,111</w:t>
            </w:r>
          </w:p>
        </w:tc>
        <w:tc>
          <w:tcPr>
            <w:tcW w:w="80" w:type="dxa"/>
            <w:vAlign w:val="bottom"/>
            <w:tcBorders>
              <w:top w:val="single" w:sz="8" w:color="CEFEE7"/>
            </w:tcBorders>
            <w:shd w:val="clear" w:color="auto" w:fill="CEFEE7"/>
          </w:tcPr>
          <w:p>
            <w:pPr>
              <w:spacing w:after="0"/>
              <w:rPr>
                <w:sz w:val="18"/>
                <w:szCs w:val="18"/>
                <w:color w:val="auto"/>
              </w:rPr>
            </w:pPr>
          </w:p>
        </w:tc>
        <w:tc>
          <w:tcPr>
            <w:tcW w:w="300" w:type="dxa"/>
            <w:vAlign w:val="bottom"/>
            <w:tcBorders>
              <w:top w:val="single" w:sz="8" w:color="auto"/>
            </w:tcBorders>
            <w:shd w:val="clear" w:color="auto" w:fill="CEFEE7"/>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top w:val="single" w:sz="8" w:color="CEFEE7"/>
            </w:tcBorders>
            <w:shd w:val="clear" w:color="auto" w:fill="CEFEE7"/>
          </w:tcPr>
          <w:p>
            <w:pPr>
              <w:spacing w:after="0"/>
              <w:rPr>
                <w:sz w:val="18"/>
                <w:szCs w:val="18"/>
                <w:color w:val="auto"/>
              </w:rPr>
            </w:pPr>
          </w:p>
        </w:tc>
        <w:tc>
          <w:tcPr>
            <w:tcW w:w="260" w:type="dxa"/>
            <w:vAlign w:val="bottom"/>
            <w:tcBorders>
              <w:top w:val="single" w:sz="8" w:color="auto"/>
            </w:tcBorders>
            <w:shd w:val="clear" w:color="auto" w:fill="CEFEE7"/>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(8,222)</w:t>
            </w:r>
          </w:p>
        </w:tc>
        <w:tc>
          <w:tcPr>
            <w:tcW w:w="120" w:type="dxa"/>
            <w:vAlign w:val="bottom"/>
            <w:tcBorders>
              <w:top w:val="single" w:sz="8" w:color="CEFEE7"/>
            </w:tcBorders>
            <w:shd w:val="clear" w:color="auto" w:fill="CEFEE7"/>
          </w:tcPr>
          <w:p>
            <w:pPr>
              <w:spacing w:after="0"/>
              <w:rPr>
                <w:sz w:val="18"/>
                <w:szCs w:val="18"/>
                <w:color w:val="auto"/>
              </w:rPr>
            </w:pPr>
          </w:p>
        </w:tc>
        <w:tc>
          <w:tcPr>
            <w:tcW w:w="820" w:type="dxa"/>
            <w:vAlign w:val="bottom"/>
            <w:tcBorders>
              <w:top w:val="single" w:sz="8" w:color="auto"/>
            </w:tcBorders>
            <w:shd w:val="clear" w:color="auto" w:fill="CEFEE7"/>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2,312</w:t>
            </w:r>
          </w:p>
        </w:tc>
      </w:tr>
      <w:tr>
        <w:trPr>
          <w:trHeight w:val="210"/>
        </w:trPr>
        <w:tc>
          <w:tcPr>
            <w:tcW w:w="2100" w:type="dxa"/>
            <w:vAlign w:val="bottom"/>
          </w:tcPr>
          <w:p>
            <w:pPr>
              <w:jc w:val="right"/>
              <w:ind w:right="1639"/>
              <w:spacing w:after="0"/>
              <w:rPr>
                <w:sz w:val="20"/>
                <w:szCs w:val="20"/>
                <w:color w:val="auto"/>
              </w:rPr>
            </w:pPr>
            <w:r>
              <w:rPr>
                <w:rFonts w:ascii="Arial" w:cs="Arial" w:eastAsia="Arial" w:hAnsi="Arial"/>
                <w:sz w:val="16"/>
                <w:szCs w:val="16"/>
                <w:color w:val="auto"/>
              </w:rPr>
              <w:t>2020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2,444</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8,471</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(6,026)</w:t>
            </w: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8,609</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24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Condensed Consolidated Balance Sheets (in thousands) as of:</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7100" w:type="dxa"/>
            <w:vAlign w:val="bottom"/>
            <w:tcBorders>
              <w:bottom w:val="single" w:sz="8" w:color="CEFFE7"/>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September 30, 2021</w:t>
            </w: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2"/>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Materials and supplies</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85,612</w:t>
            </w:r>
          </w:p>
        </w:tc>
        <w:tc>
          <w:tcPr>
            <w:tcW w:w="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85,250</w:t>
            </w: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Fuel - Electric Utilities</w:t>
            </w:r>
          </w:p>
        </w:tc>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1,240</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1,531</w:t>
            </w:r>
          </w:p>
        </w:tc>
      </w:tr>
      <w:tr>
        <w:trPr>
          <w:trHeight w:val="216"/>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Natural gas in storage</w:t>
            </w:r>
          </w:p>
        </w:tc>
        <w:tc>
          <w:tcPr>
            <w:tcW w:w="180" w:type="dxa"/>
            <w:vAlign w:val="bottom"/>
            <w:tcBorders>
              <w:bottom w:val="single" w:sz="8" w:color="auto"/>
            </w:tcBorders>
            <w:shd w:val="clear" w:color="auto" w:fill="CEFFE7"/>
          </w:tcPr>
          <w:p>
            <w:pPr>
              <w:spacing w:after="0"/>
              <w:rPr>
                <w:sz w:val="18"/>
                <w:szCs w:val="18"/>
                <w:color w:val="auto"/>
              </w:rPr>
            </w:pPr>
          </w:p>
        </w:tc>
        <w:tc>
          <w:tcPr>
            <w:tcW w:w="1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58,891</w:t>
            </w:r>
          </w:p>
        </w:tc>
        <w:tc>
          <w:tcPr>
            <w:tcW w:w="26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30,619</w:t>
            </w:r>
          </w:p>
        </w:tc>
      </w:tr>
      <w:tr>
        <w:trPr>
          <w:trHeight w:val="213"/>
        </w:trPr>
        <w:tc>
          <w:tcPr>
            <w:tcW w:w="7100" w:type="dxa"/>
            <w:vAlign w:val="bottom"/>
          </w:tcPr>
          <w:p>
            <w:pPr>
              <w:ind w:left="200"/>
              <w:spacing w:after="0"/>
              <w:rPr>
                <w:sz w:val="20"/>
                <w:szCs w:val="20"/>
                <w:color w:val="auto"/>
              </w:rPr>
            </w:pPr>
            <w:r>
              <w:rPr>
                <w:rFonts w:ascii="Arial" w:cs="Arial" w:eastAsia="Arial" w:hAnsi="Arial"/>
                <w:sz w:val="16"/>
                <w:szCs w:val="16"/>
                <w:color w:val="auto"/>
              </w:rPr>
              <w:t>Total materials, supplies and fuel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145,743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117,400</w:t>
            </w: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48"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Condensed Consolidated Balance Sheets (in thousands) as of:</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240" w:type="dxa"/>
            <w:vAlign w:val="bottom"/>
            <w:tcBorders>
              <w:bottom w:val="single" w:sz="8" w:color="CEFFE7"/>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September 30, 2021</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2"/>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72,328</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77,806</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44,231</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47,105</w:t>
            </w:r>
          </w:p>
        </w:tc>
      </w:tr>
      <w:tr>
        <w:trPr>
          <w:trHeight w:val="219"/>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Customer deposits and prepayments</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53,652</w:t>
            </w:r>
          </w:p>
        </w:tc>
        <w:tc>
          <w:tcPr>
            <w:tcW w:w="22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52,185</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46,532</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31,520</w:t>
            </w:r>
          </w:p>
        </w:tc>
      </w:tr>
      <w:tr>
        <w:trPr>
          <w:trHeight w:val="216"/>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1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33,092</w:t>
            </w:r>
          </w:p>
        </w:tc>
        <w:tc>
          <w:tcPr>
            <w:tcW w:w="22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34,996</w:t>
            </w:r>
          </w:p>
        </w:tc>
      </w:tr>
      <w:tr>
        <w:trPr>
          <w:trHeight w:val="213"/>
        </w:trPr>
        <w:tc>
          <w:tcPr>
            <w:tcW w:w="7240" w:type="dxa"/>
            <w:vAlign w:val="bottom"/>
          </w:tcPr>
          <w:p>
            <w:pPr>
              <w:ind w:left="22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243,612</w:t>
            </w: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80" w:hanging="472"/>
        <w:spacing w:after="0"/>
        <w:tabs>
          <w:tab w:leader="none" w:pos="4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68" w:lineRule="exact"/>
        <w:rPr>
          <w:sz w:val="20"/>
          <w:szCs w:val="20"/>
          <w:color w:val="auto"/>
        </w:rPr>
      </w:pPr>
    </w:p>
    <w:p>
      <w:pPr>
        <w:ind w:right="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We evaluated all subsequent event activity and concluded that no subsequent events have occurred that would require recognition in the condensed consolidated financial statements or disclosures, with the exception of Colorado Gas, Kansas Gas and Wyoming Gas regulatory activity disclosed in </w:t>
      </w:r>
      <w:hyperlink w:anchor="page16">
        <w:r>
          <w:rPr>
            <w:rFonts w:ascii="Arial" w:cs="Arial" w:eastAsia="Arial" w:hAnsi="Arial"/>
            <w:sz w:val="16"/>
            <w:szCs w:val="16"/>
            <w:u w:val="single" w:color="auto"/>
            <w:color w:val="0000FF"/>
          </w:rPr>
          <w:t>Note 2</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the 2020 Form 10-K.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Summary</w:t>
      </w:r>
    </w:p>
    <w:p>
      <w:pPr>
        <w:spacing w:after="0" w:line="268"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We are a customer-focused, growth-oriented electric and natural gas utility company with a mission of Improving Life with Energy and a vision to be the Energy Partner of Choice. The Company provides electric and natural gas utility service to 1.3 million customers over 800 communities in eight states, including Arkansas, Colorado, Iowa, Kansas, Montana, Nebraska, South Dakota and Wyoming.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Recent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Winter Storm Uri</w:t>
      </w:r>
    </w:p>
    <w:p>
      <w:pPr>
        <w:spacing w:after="0" w:line="268"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substantial increase in heating and energy demand and contributed to unforeseeable and unprecedented market prices for natural gas and electricity. As a result of Winter Storm Uri, we incurred significant incremental natural gas and fuel costs.</w:t>
      </w:r>
    </w:p>
    <w:p>
      <w:pPr>
        <w:spacing w:after="0" w:line="228" w:lineRule="exact"/>
        <w:rPr>
          <w:sz w:val="20"/>
          <w:szCs w:val="20"/>
          <w:color w:val="auto"/>
        </w:rPr>
      </w:pPr>
    </w:p>
    <w:p>
      <w:pPr>
        <w:ind w:right="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On February 24, 2021, we entered into a nine-month, $800 million unsecured term loan to provide additional liquidity and meet our cash needs related to the incremental fuel, purchased power and natural gas costs from Winter Storm Uri. Proceeds from the August 26, 2021 debt transaction were used to repay amounts outstanding under this term loan. See </w:t>
      </w:r>
      <w:hyperlink w:anchor="page20">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further information.</w:t>
      </w:r>
    </w:p>
    <w:p>
      <w:pPr>
        <w:spacing w:after="0" w:line="228" w:lineRule="exact"/>
        <w:rPr>
          <w:sz w:val="20"/>
          <w:szCs w:val="20"/>
          <w:color w:val="auto"/>
        </w:rPr>
      </w:pPr>
    </w:p>
    <w:p>
      <w:pPr>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During the second quarter, our Utilities submitted cost recovery applications with the utility commissions in our state jurisdictions to recover incremental costs associated with Winter Storm Uri. To date, several of our Utilities have received interim or final Commission Orders and have begun recovering costs from customers. See </w:t>
      </w:r>
      <w:hyperlink w:anchor="page16">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further information on our regulatory activity.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Update</w:t>
      </w:r>
    </w:p>
    <w:p>
      <w:pPr>
        <w:spacing w:after="0" w:line="268"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 xml:space="preserve">For the nine months ended September 30, 2021, we did not experience significant impacts to our financial results, liquidity or operational activities due to COVID-19. We continue to monitor loads, customers’ ability to pay, the potential for supply chain disruption that may impact our capital and maintenance project plans, the availability of third-party resources to execute our business plans and the capital markets to ensure we have the liquidity necessary to support our financial needs. </w:t>
      </w:r>
      <w:r>
        <w:rPr>
          <w:rFonts w:ascii="Arial" w:cs="Arial" w:eastAsia="Arial" w:hAnsi="Arial"/>
          <w:sz w:val="16"/>
          <w:szCs w:val="16"/>
          <w:color w:val="212529"/>
        </w:rPr>
        <w:t>State Orders lifting temporarily suspended disconnections have been issued in all of our jurisdictions.</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212529"/>
        </w:rPr>
        <w:t>On September 9, 2021 the Biden administration announced a mandatory COVID-19 vaccination plan, which directs OSHA to develop a rule requiring employers with 100 or more employees to ensure their workforce is fully vaccinated or require any workers who remain unvaccinated to produce a negative test result on at least a weekly basis. We are closely monitoring updates from OSHA including the effective date of this rule. If an OSHA vaccine rule is implemented, the extent of the regulatory impact is unclear but it could have an adverse impact on the Company's workforce, labor relations and operations.</w:t>
      </w:r>
    </w:p>
    <w:p>
      <w:pPr>
        <w:spacing w:after="0" w:line="229"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As we look forward, our operating results could be affected by COVID-19 as discussed in the “Risk Factors” section in Part I, Item 1A of our 2020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Highlights and Corporate Activity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232" w:lineRule="exact"/>
        <w:rPr>
          <w:sz w:val="20"/>
          <w:szCs w:val="20"/>
          <w:color w:val="auto"/>
        </w:rPr>
      </w:pPr>
    </w:p>
    <w:p>
      <w:pPr>
        <w:ind w:left="660" w:right="60" w:hanging="328"/>
        <w:spacing w:after="0" w:line="25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Wyoming Electric announced its </w:t>
      </w:r>
      <w:r>
        <w:rPr>
          <w:rFonts w:ascii="Arial" w:cs="Arial" w:eastAsia="Arial" w:hAnsi="Arial"/>
          <w:sz w:val="16"/>
          <w:szCs w:val="16"/>
          <w:i w:val="1"/>
          <w:iCs w:val="1"/>
          <w:color w:val="auto"/>
        </w:rPr>
        <w:t>Ready Wyoming</w:t>
      </w:r>
      <w:r>
        <w:rPr>
          <w:rFonts w:ascii="Arial" w:cs="Arial" w:eastAsia="Arial" w:hAnsi="Arial"/>
          <w:sz w:val="16"/>
          <w:szCs w:val="16"/>
          <w:color w:val="auto"/>
        </w:rPr>
        <w:t xml:space="preserve"> electric transmission expansion initiative. The 285-mile, multi-phase transmission expansion project will serve the growing needs of customers by enhancing the resiliency of its overall electric system and expanding access to power markets and renewable resources. The project will help Wyoming Electric maintain top-quartile reliability and enable economic growth in the Cheyenne region. Wyoming Electric plans to file an application seeking WPSC approval for the project in the first quarter of 2022. If approved, construction is expected to commence in early 2023.</w:t>
      </w:r>
    </w:p>
    <w:p>
      <w:pPr>
        <w:spacing w:after="0" w:line="226"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28, 2021, Wyoming Electric set a new all-time and summer peak load of 274 MW, exceeding the previous peak of 271 MW set in July 2020.</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4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July 27, 2021, South Dakota Electric set a new all-time and summer peak load of 397 MW, exceeding the previous peak of 378 MW set in August 2020.</w:t>
      </w:r>
    </w:p>
    <w:p>
      <w:pPr>
        <w:spacing w:after="0" w:line="222" w:lineRule="exact"/>
        <w:rPr>
          <w:rFonts w:ascii="Arial" w:cs="Arial" w:eastAsia="Arial" w:hAnsi="Arial"/>
          <w:sz w:val="16"/>
          <w:szCs w:val="16"/>
          <w:color w:val="auto"/>
        </w:rPr>
      </w:pPr>
    </w:p>
    <w:p>
      <w:pPr>
        <w:ind w:left="660" w:right="180" w:hanging="328"/>
        <w:spacing w:after="0" w:line="25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June 30, 2021, South Dakota Electric and Wyoming Electric submitted an IRP to the SDPUC and WPSC. The IRP outlines a range of options for the two electric utilities to meet long-term forecasted energy needs over a 20-year planning horizon. The analysis focused on the least-cost resource needs to best meet customers’ future peak energy needs while maintaining system flexibility and achieving the Company’s generation emissions reduction goals. The IRP’s preferred options for the near-term planning period through 2026 propose the addition of 100 MW of renewable generation, the conversion of Neil Simpson II to natural gas in 2025 and consideration of up to 20 MW of battery storage.</w:t>
      </w:r>
    </w:p>
    <w:p>
      <w:pPr>
        <w:spacing w:after="0" w:line="229" w:lineRule="exact"/>
        <w:rPr>
          <w:rFonts w:ascii="Arial" w:cs="Arial" w:eastAsia="Arial" w:hAnsi="Arial"/>
          <w:sz w:val="16"/>
          <w:szCs w:val="16"/>
          <w:color w:val="auto"/>
        </w:rPr>
      </w:pPr>
    </w:p>
    <w:p>
      <w:pPr>
        <w:ind w:left="660" w:right="20" w:hanging="328"/>
        <w:spacing w:after="0" w:line="249"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February 19, 2021, Colorado Electric entered into a PPA with TC Colorado Solar, LLC to purchase up to 200 MW of renewable energy upon construction of a new solar facility, to be owned by TC Colorado Solar, LLC, which is expected to be completed by the end of 2023. This agreement will expire 15 years after construction completion. The utility-scale solar project represents Colorado Electric’s preferred bid in a competitive solicitation process completed in September 2020 through its Renewable Advantage plan. With the addition of 200 MW of solar energy on its system, more than half of Colorado Electric’s generation is forecasted to be sourced from renewable energy resources by 2023, leading to a 70% reduction in carbon emissions by 2024 compared to the 2005 base year.</w:t>
      </w:r>
    </w:p>
    <w:p>
      <w:pPr>
        <w:spacing w:after="0" w:line="231" w:lineRule="exact"/>
        <w:rPr>
          <w:rFonts w:ascii="Arial" w:cs="Arial" w:eastAsia="Arial" w:hAnsi="Arial"/>
          <w:sz w:val="16"/>
          <w:szCs w:val="16"/>
          <w:color w:val="auto"/>
        </w:rPr>
      </w:pPr>
    </w:p>
    <w:p>
      <w:pPr>
        <w:ind w:left="660" w:right="60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February 11, 2021, South Dakota Electric set a new winter peak load of 326 MW, surpassing the previous winter peak of 320 MW set in February 2019.</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248" w:lineRule="exact"/>
        <w:rPr>
          <w:sz w:val="20"/>
          <w:szCs w:val="20"/>
          <w:color w:val="auto"/>
        </w:rPr>
      </w:pPr>
    </w:p>
    <w:p>
      <w:pPr>
        <w:ind w:left="660" w:right="42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See </w:t>
      </w:r>
      <w:hyperlink w:anchor="page16">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recent regulatory activity for our Gas Utilities in Colorado, Iowa, Kansas and Nebraska.</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Power Generation</w:t>
      </w:r>
    </w:p>
    <w:p>
      <w:pPr>
        <w:spacing w:after="0" w:line="248" w:lineRule="exact"/>
        <w:rPr>
          <w:sz w:val="20"/>
          <w:szCs w:val="20"/>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September 2021, Wygen I experienced an unplanned outage which had a $2.3 million negative impact to operating income for the three and nine months ended September 30, 2021.</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248" w:lineRule="exact"/>
        <w:rPr>
          <w:sz w:val="20"/>
          <w:szCs w:val="20"/>
          <w:color w:val="auto"/>
        </w:rPr>
      </w:pPr>
    </w:p>
    <w:p>
      <w:pPr>
        <w:ind w:left="660" w:right="60" w:hanging="328"/>
        <w:spacing w:after="0" w:line="25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On August 26, 2021, we completed a public debt offering which consisted of $600 million, 1.037% 3-year senior unsecured notes due August 23, 2024. The proceeds from the offering were used to repay amounts outstanding under our term loan entered into on February 24, 2021. See </w:t>
      </w:r>
      <w:hyperlink w:anchor="page20">
        <w:r>
          <w:rPr>
            <w:rFonts w:ascii="Arial" w:cs="Arial" w:eastAsia="Arial" w:hAnsi="Arial"/>
            <w:sz w:val="16"/>
            <w:szCs w:val="16"/>
            <w:u w:val="single" w:color="auto"/>
            <w:color w:val="0000FF"/>
          </w:rPr>
          <w:t>Note 5</w:t>
        </w:r>
      </w:hyperlink>
      <w:r>
        <w:rPr>
          <w:rFonts w:ascii="Arial" w:cs="Arial" w:eastAsia="Arial" w:hAnsi="Arial"/>
          <w:sz w:val="16"/>
          <w:szCs w:val="16"/>
          <w:color w:val="auto"/>
        </w:rPr>
        <w:t xml:space="preserve"> of the Notes to Condensed Consolidated Financial Statements for further information.</w:t>
      </w:r>
    </w:p>
    <w:p>
      <w:pPr>
        <w:spacing w:after="0" w:line="228"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On July 19, 2021, we amended and restated our corporate Revolving Credit Facility. See </w:t>
      </w:r>
      <w:hyperlink w:anchor="page20">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further information.</w:t>
      </w:r>
    </w:p>
    <w:p>
      <w:pPr>
        <w:spacing w:after="0" w:line="200" w:lineRule="exact"/>
        <w:rPr>
          <w:rFonts w:ascii="Arial" w:cs="Arial" w:eastAsia="Arial" w:hAnsi="Arial"/>
          <w:sz w:val="16"/>
          <w:szCs w:val="16"/>
          <w:b w:val="1"/>
          <w:bCs w:val="1"/>
          <w:color w:val="auto"/>
        </w:rPr>
      </w:pPr>
    </w:p>
    <w:p>
      <w:pPr>
        <w:spacing w:after="0" w:line="245" w:lineRule="exact"/>
        <w:rPr>
          <w:rFonts w:ascii="Arial" w:cs="Arial" w:eastAsia="Arial" w:hAnsi="Arial"/>
          <w:sz w:val="16"/>
          <w:szCs w:val="16"/>
          <w:b w:val="1"/>
          <w:bCs w:val="1"/>
          <w:color w:val="auto"/>
        </w:rPr>
      </w:pPr>
    </w:p>
    <w:p>
      <w:pPr>
        <w:jc w:val="center"/>
        <w:ind w:right="-39"/>
        <w:spacing w:after="0"/>
        <w:rPr>
          <w:sz w:val="20"/>
          <w:szCs w:val="20"/>
          <w:color w:val="auto"/>
        </w:rPr>
      </w:pPr>
      <w:r>
        <w:rPr>
          <w:rFonts w:ascii="Arial" w:cs="Arial" w:eastAsia="Arial" w:hAnsi="Arial"/>
          <w:sz w:val="16"/>
          <w:szCs w:val="16"/>
          <w:b w:val="1"/>
          <w:bCs w:val="1"/>
          <w:color w:val="auto"/>
        </w:rPr>
        <w:t>Results of Operations</w:t>
      </w:r>
    </w:p>
    <w:p>
      <w:pPr>
        <w:spacing w:after="0" w:line="268" w:lineRule="exact"/>
        <w:rPr>
          <w:rFonts w:ascii="Arial" w:cs="Arial" w:eastAsia="Arial" w:hAnsi="Arial"/>
          <w:sz w:val="16"/>
          <w:szCs w:val="16"/>
          <w:b w:val="1"/>
          <w:bCs w:val="1"/>
          <w:color w:val="auto"/>
        </w:rPr>
      </w:pPr>
    </w:p>
    <w:p>
      <w:pPr>
        <w:ind w:right="100"/>
        <w:spacing w:after="0" w:line="260" w:lineRule="auto"/>
        <w:rPr>
          <w:sz w:val="20"/>
          <w:szCs w:val="20"/>
          <w:color w:val="auto"/>
        </w:rPr>
      </w:pPr>
      <w:r>
        <w:rPr>
          <w:rFonts w:ascii="Arial" w:cs="Arial" w:eastAsia="Arial" w:hAnsi="Arial"/>
          <w:sz w:val="16"/>
          <w:szCs w:val="16"/>
          <w:color w:val="auto"/>
        </w:rPr>
        <w:t>The segment information does not include inter-company eliminations. Minor differences in amounts may result due to rounding. All amounts are presented on a pre-tax basis unless otherwise indicated.</w:t>
      </w:r>
    </w:p>
    <w:p>
      <w:pPr>
        <w:spacing w:after="0" w:line="222" w:lineRule="exact"/>
        <w:rPr>
          <w:rFonts w:ascii="Arial" w:cs="Arial" w:eastAsia="Arial" w:hAnsi="Arial"/>
          <w:sz w:val="16"/>
          <w:szCs w:val="16"/>
          <w:b w:val="1"/>
          <w:bCs w:val="1"/>
          <w:color w:val="auto"/>
        </w:rPr>
      </w:pPr>
    </w:p>
    <w:p>
      <w:pPr>
        <w:ind w:right="140"/>
        <w:spacing w:after="0" w:line="248"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nine months ended September 30, 2021 and 2020, and our financial condition as of September 30, 2021 and December 31, 2020, are not necessarily indicative of the results of operations and financial condition to be expected as of or for any other period or for the entire year.</w:t>
      </w:r>
    </w:p>
    <w:p>
      <w:pPr>
        <w:spacing w:after="0" w:line="330" w:lineRule="exact"/>
        <w:rPr>
          <w:rFonts w:ascii="Arial" w:cs="Arial" w:eastAsia="Arial" w:hAnsi="Arial"/>
          <w:sz w:val="16"/>
          <w:szCs w:val="16"/>
          <w:b w:val="1"/>
          <w:bCs w:val="1"/>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4"/>
                <w:szCs w:val="24"/>
                <w:color w:val="auto"/>
              </w:rPr>
            </w:pPr>
          </w:p>
        </w:tc>
        <w:tc>
          <w:tcPr>
            <w:tcW w:w="3320" w:type="dxa"/>
            <w:vAlign w:val="bottom"/>
            <w:gridSpan w:val="4"/>
          </w:tcPr>
          <w:p>
            <w:pPr>
              <w:jc w:val="right"/>
              <w:ind w:right="259"/>
              <w:spacing w:after="0"/>
              <w:rPr>
                <w:sz w:val="20"/>
                <w:szCs w:val="20"/>
                <w:color w:val="auto"/>
              </w:rPr>
            </w:pPr>
            <w:r>
              <w:rPr>
                <w:rFonts w:ascii="Arial" w:cs="Arial" w:eastAsia="Arial" w:hAnsi="Arial"/>
                <w:sz w:val="16"/>
                <w:szCs w:val="16"/>
                <w:color w:val="auto"/>
              </w:rPr>
              <w:t>Three Months Ended September 30,</w:t>
            </w:r>
          </w:p>
        </w:tc>
        <w:tc>
          <w:tcPr>
            <w:tcW w:w="280" w:type="dxa"/>
            <w:vAlign w:val="bottom"/>
          </w:tcPr>
          <w:p>
            <w:pPr>
              <w:spacing w:after="0"/>
              <w:rPr>
                <w:sz w:val="24"/>
                <w:szCs w:val="24"/>
                <w:color w:val="auto"/>
              </w:rPr>
            </w:pPr>
          </w:p>
        </w:tc>
        <w:tc>
          <w:tcPr>
            <w:tcW w:w="3080" w:type="dxa"/>
            <w:vAlign w:val="bottom"/>
            <w:gridSpan w:val="3"/>
          </w:tcPr>
          <w:p>
            <w:pPr>
              <w:jc w:val="right"/>
              <w:ind w:right="319"/>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219"/>
        </w:trPr>
        <w:tc>
          <w:tcPr>
            <w:tcW w:w="45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EFFE7"/>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(in thousands, except per share amounts)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60" w:type="dxa"/>
            <w:vAlign w:val="bottom"/>
            <w:shd w:val="clear" w:color="auto" w:fill="CEFFE7"/>
          </w:tcPr>
          <w:p>
            <w:pPr>
              <w:ind w:left="20"/>
              <w:spacing w:after="0" w:line="199" w:lineRule="exact"/>
              <w:rPr>
                <w:sz w:val="20"/>
                <w:szCs w:val="20"/>
                <w:color w:val="auto"/>
              </w:rPr>
            </w:pPr>
            <w:r>
              <w:rPr>
                <w:rFonts w:ascii="Arial" w:cs="Arial" w:eastAsia="Arial" w:hAnsi="Arial"/>
                <w:sz w:val="16"/>
                <w:szCs w:val="16"/>
                <w:color w:val="auto"/>
              </w:rPr>
              <w:t xml:space="preserve">Adjusted operating income </w:t>
            </w:r>
            <w:r>
              <w:rPr>
                <w:rFonts w:ascii="Arial" w:cs="Arial" w:eastAsia="Arial" w:hAnsi="Arial"/>
                <w:sz w:val="21"/>
                <w:szCs w:val="21"/>
                <w:color w:val="auto"/>
                <w:vertAlign w:val="superscript"/>
              </w:rPr>
              <w:t>(a):</w:t>
            </w:r>
          </w:p>
        </w:tc>
        <w:tc>
          <w:tcPr>
            <w:tcW w:w="1020" w:type="dxa"/>
            <w:vAlign w:val="bottom"/>
            <w:shd w:val="clear" w:color="auto" w:fill="CEFFE7"/>
          </w:tcPr>
          <w:p>
            <w:pPr>
              <w:spacing w:after="0"/>
              <w:rPr>
                <w:sz w:val="17"/>
                <w:szCs w:val="17"/>
                <w:color w:val="auto"/>
              </w:rPr>
            </w:pPr>
          </w:p>
        </w:tc>
        <w:tc>
          <w:tcPr>
            <w:tcW w:w="64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1520" w:type="dxa"/>
            <w:vAlign w:val="bottom"/>
            <w:shd w:val="clear" w:color="auto" w:fill="CEFFE7"/>
          </w:tcPr>
          <w:p>
            <w:pPr>
              <w:spacing w:after="0"/>
              <w:rPr>
                <w:sz w:val="17"/>
                <w:szCs w:val="17"/>
                <w:color w:val="auto"/>
              </w:rPr>
            </w:pPr>
          </w:p>
        </w:tc>
        <w:tc>
          <w:tcPr>
            <w:tcW w:w="280" w:type="dxa"/>
            <w:vAlign w:val="bottom"/>
            <w:shd w:val="clear" w:color="auto" w:fill="CEFFE7"/>
          </w:tcPr>
          <w:p>
            <w:pPr>
              <w:spacing w:after="0"/>
              <w:rPr>
                <w:sz w:val="17"/>
                <w:szCs w:val="17"/>
                <w:color w:val="auto"/>
              </w:rPr>
            </w:pPr>
          </w:p>
        </w:tc>
        <w:tc>
          <w:tcPr>
            <w:tcW w:w="140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Pr>
          <w:p>
            <w:pPr>
              <w:ind w:left="260"/>
              <w:spacing w:after="0"/>
              <w:rPr>
                <w:sz w:val="20"/>
                <w:szCs w:val="20"/>
                <w:color w:val="auto"/>
              </w:rPr>
            </w:pPr>
            <w:r>
              <w:rPr>
                <w:rFonts w:ascii="Arial" w:cs="Arial" w:eastAsia="Arial" w:hAnsi="Arial"/>
                <w:sz w:val="16"/>
                <w:szCs w:val="16"/>
                <w:color w:val="auto"/>
              </w:rPr>
              <w:t>Electric Utilities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57,608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52,083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114,989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121,726</w:t>
            </w:r>
          </w:p>
        </w:tc>
        <w:tc>
          <w:tcPr>
            <w:tcW w:w="0" w:type="dxa"/>
            <w:vAlign w:val="bottom"/>
          </w:tcPr>
          <w:p>
            <w:pPr>
              <w:spacing w:after="0"/>
              <w:rPr>
                <w:sz w:val="1"/>
                <w:szCs w:val="1"/>
                <w:color w:val="auto"/>
              </w:rPr>
            </w:pPr>
          </w:p>
        </w:tc>
      </w:tr>
      <w:tr>
        <w:trPr>
          <w:trHeight w:val="219"/>
        </w:trPr>
        <w:tc>
          <w:tcPr>
            <w:tcW w:w="4560" w:type="dxa"/>
            <w:vAlign w:val="bottom"/>
            <w:shd w:val="clear" w:color="auto" w:fill="CEFFE7"/>
          </w:tcPr>
          <w:p>
            <w:pPr>
              <w:ind w:left="260"/>
              <w:spacing w:after="0"/>
              <w:rPr>
                <w:sz w:val="20"/>
                <w:szCs w:val="20"/>
                <w:color w:val="auto"/>
              </w:rPr>
            </w:pPr>
            <w:r>
              <w:rPr>
                <w:rFonts w:ascii="Arial" w:cs="Arial" w:eastAsia="Arial" w:hAnsi="Arial"/>
                <w:sz w:val="16"/>
                <w:szCs w:val="16"/>
                <w:color w:val="auto"/>
              </w:rPr>
              <w:t>Gas Utilities</w:t>
            </w:r>
          </w:p>
        </w:tc>
        <w:tc>
          <w:tcPr>
            <w:tcW w:w="102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17,257</w:t>
            </w:r>
          </w:p>
        </w:tc>
        <w:tc>
          <w:tcPr>
            <w:tcW w:w="14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18,147</w:t>
            </w:r>
          </w:p>
        </w:tc>
        <w:tc>
          <w:tcPr>
            <w:tcW w:w="2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139,336</w:t>
            </w:r>
          </w:p>
        </w:tc>
        <w:tc>
          <w:tcPr>
            <w:tcW w:w="38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139,253</w:t>
            </w:r>
          </w:p>
        </w:tc>
        <w:tc>
          <w:tcPr>
            <w:tcW w:w="0" w:type="dxa"/>
            <w:vAlign w:val="bottom"/>
          </w:tcPr>
          <w:p>
            <w:pPr>
              <w:spacing w:after="0"/>
              <w:rPr>
                <w:sz w:val="1"/>
                <w:szCs w:val="1"/>
                <w:color w:val="auto"/>
              </w:rPr>
            </w:pPr>
          </w:p>
        </w:tc>
      </w:tr>
      <w:tr>
        <w:trPr>
          <w:trHeight w:val="213"/>
        </w:trPr>
        <w:tc>
          <w:tcPr>
            <w:tcW w:w="4560" w:type="dxa"/>
            <w:vAlign w:val="bottom"/>
          </w:tcPr>
          <w:p>
            <w:pPr>
              <w:ind w:left="260"/>
              <w:spacing w:after="0"/>
              <w:rPr>
                <w:sz w:val="20"/>
                <w:szCs w:val="20"/>
                <w:color w:val="auto"/>
              </w:rPr>
            </w:pPr>
            <w:r>
              <w:rPr>
                <w:rFonts w:ascii="Arial" w:cs="Arial" w:eastAsia="Arial" w:hAnsi="Arial"/>
                <w:sz w:val="16"/>
                <w:szCs w:val="16"/>
                <w:color w:val="auto"/>
              </w:rPr>
              <w:t>Power Generation</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10,323</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8,738</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32,842</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31,489</w:t>
            </w:r>
          </w:p>
        </w:tc>
        <w:tc>
          <w:tcPr>
            <w:tcW w:w="0" w:type="dxa"/>
            <w:vAlign w:val="bottom"/>
          </w:tcPr>
          <w:p>
            <w:pPr>
              <w:spacing w:after="0"/>
              <w:rPr>
                <w:sz w:val="1"/>
                <w:szCs w:val="1"/>
                <w:color w:val="auto"/>
              </w:rPr>
            </w:pPr>
          </w:p>
        </w:tc>
      </w:tr>
      <w:tr>
        <w:trPr>
          <w:trHeight w:val="219"/>
        </w:trPr>
        <w:tc>
          <w:tcPr>
            <w:tcW w:w="4560" w:type="dxa"/>
            <w:vAlign w:val="bottom"/>
            <w:shd w:val="clear" w:color="auto" w:fill="CEFFE7"/>
          </w:tcPr>
          <w:p>
            <w:pPr>
              <w:ind w:left="260"/>
              <w:spacing w:after="0"/>
              <w:rPr>
                <w:sz w:val="20"/>
                <w:szCs w:val="20"/>
                <w:color w:val="auto"/>
              </w:rPr>
            </w:pPr>
            <w:r>
              <w:rPr>
                <w:rFonts w:ascii="Arial" w:cs="Arial" w:eastAsia="Arial" w:hAnsi="Arial"/>
                <w:sz w:val="16"/>
                <w:szCs w:val="16"/>
                <w:color w:val="auto"/>
              </w:rPr>
              <w:t>Mining</w:t>
            </w:r>
          </w:p>
        </w:tc>
        <w:tc>
          <w:tcPr>
            <w:tcW w:w="102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4,908</w:t>
            </w:r>
          </w:p>
        </w:tc>
        <w:tc>
          <w:tcPr>
            <w:tcW w:w="14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3,505</w:t>
            </w:r>
          </w:p>
        </w:tc>
        <w:tc>
          <w:tcPr>
            <w:tcW w:w="2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11,813</w:t>
            </w:r>
          </w:p>
        </w:tc>
        <w:tc>
          <w:tcPr>
            <w:tcW w:w="38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9,992</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EFFE7"/>
            </w:tcBorders>
          </w:tcPr>
          <w:p>
            <w:pPr>
              <w:ind w:left="260"/>
              <w:spacing w:after="0"/>
              <w:rPr>
                <w:sz w:val="20"/>
                <w:szCs w:val="20"/>
                <w:color w:val="auto"/>
              </w:rPr>
            </w:pPr>
            <w:r>
              <w:rPr>
                <w:rFonts w:ascii="Arial" w:cs="Arial" w:eastAsia="Arial" w:hAnsi="Arial"/>
                <w:sz w:val="16"/>
                <w:szCs w:val="16"/>
                <w:color w:val="auto"/>
              </w:rPr>
              <w:t>Corporate and Other</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(3,526)</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9"/>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0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89,873</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82,234</w:t>
            </w:r>
          </w:p>
        </w:tc>
        <w:tc>
          <w:tcPr>
            <w:tcW w:w="2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295,454</w:t>
            </w:r>
          </w:p>
        </w:tc>
        <w:tc>
          <w:tcPr>
            <w:tcW w:w="38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302,352</w:t>
            </w:r>
          </w:p>
        </w:tc>
        <w:tc>
          <w:tcPr>
            <w:tcW w:w="0" w:type="dxa"/>
            <w:vAlign w:val="bottom"/>
          </w:tcPr>
          <w:p>
            <w:pPr>
              <w:spacing w:after="0"/>
              <w:rPr>
                <w:sz w:val="1"/>
                <w:szCs w:val="1"/>
                <w:color w:val="auto"/>
              </w:rPr>
            </w:pPr>
          </w:p>
        </w:tc>
      </w:tr>
      <w:tr>
        <w:trPr>
          <w:trHeight w:val="78"/>
        </w:trPr>
        <w:tc>
          <w:tcPr>
            <w:tcW w:w="4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102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(38,018)</w:t>
            </w:r>
          </w:p>
        </w:tc>
        <w:tc>
          <w:tcPr>
            <w:tcW w:w="14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(36,041)</w:t>
            </w:r>
          </w:p>
        </w:tc>
        <w:tc>
          <w:tcPr>
            <w:tcW w:w="2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(113,820)</w:t>
            </w:r>
          </w:p>
        </w:tc>
        <w:tc>
          <w:tcPr>
            <w:tcW w:w="38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(107,039)</w:t>
            </w: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(6,859)</w:t>
            </w:r>
          </w:p>
        </w:tc>
        <w:tc>
          <w:tcPr>
            <w:tcW w:w="0" w:type="dxa"/>
            <w:vAlign w:val="bottom"/>
          </w:tcPr>
          <w:p>
            <w:pPr>
              <w:spacing w:after="0"/>
              <w:rPr>
                <w:sz w:val="1"/>
                <w:szCs w:val="1"/>
                <w:color w:val="auto"/>
              </w:rPr>
            </w:pPr>
          </w:p>
        </w:tc>
      </w:tr>
      <w:tr>
        <w:trPr>
          <w:trHeight w:val="219"/>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1,560</w:t>
            </w:r>
          </w:p>
        </w:tc>
        <w:tc>
          <w:tcPr>
            <w:tcW w:w="14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(1,193)</w:t>
            </w:r>
          </w:p>
        </w:tc>
        <w:tc>
          <w:tcPr>
            <w:tcW w:w="2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1,635</w:t>
            </w:r>
          </w:p>
        </w:tc>
        <w:tc>
          <w:tcPr>
            <w:tcW w:w="38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(4,651)</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(6,333)</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(25,484)</w:t>
            </w:r>
          </w:p>
        </w:tc>
        <w:tc>
          <w:tcPr>
            <w:tcW w:w="0" w:type="dxa"/>
            <w:vAlign w:val="bottom"/>
          </w:tcPr>
          <w:p>
            <w:pPr>
              <w:spacing w:after="0"/>
              <w:rPr>
                <w:sz w:val="1"/>
                <w:szCs w:val="1"/>
                <w:color w:val="auto"/>
              </w:rPr>
            </w:pPr>
          </w:p>
        </w:tc>
      </w:tr>
      <w:tr>
        <w:trPr>
          <w:trHeight w:val="209"/>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48,162</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40,349</w:t>
            </w:r>
          </w:p>
        </w:tc>
        <w:tc>
          <w:tcPr>
            <w:tcW w:w="2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176,936</w:t>
            </w:r>
          </w:p>
        </w:tc>
        <w:tc>
          <w:tcPr>
            <w:tcW w:w="38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162,267</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(4,066)</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(11,347)</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(11,844)</w:t>
            </w:r>
          </w:p>
        </w:tc>
        <w:tc>
          <w:tcPr>
            <w:tcW w:w="0" w:type="dxa"/>
            <w:vAlign w:val="bottom"/>
          </w:tcPr>
          <w:p>
            <w:pPr>
              <w:spacing w:after="0"/>
              <w:rPr>
                <w:sz w:val="1"/>
                <w:szCs w:val="1"/>
                <w:color w:val="auto"/>
              </w:rPr>
            </w:pPr>
          </w:p>
        </w:tc>
      </w:tr>
      <w:tr>
        <w:trPr>
          <w:trHeight w:val="238"/>
        </w:trPr>
        <w:tc>
          <w:tcPr>
            <w:tcW w:w="4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1020" w:type="dxa"/>
            <w:vAlign w:val="bottom"/>
            <w:tcBorders>
              <w:bottom w:val="single" w:sz="8" w:color="auto"/>
            </w:tcBorders>
            <w:shd w:val="clear" w:color="auto" w:fill="CEFFE7"/>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44,112</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36,283</w:t>
            </w:r>
          </w:p>
        </w:tc>
        <w:tc>
          <w:tcPr>
            <w:tcW w:w="280" w:type="dxa"/>
            <w:vAlign w:val="bottom"/>
            <w:tcBorders>
              <w:bottom w:val="single" w:sz="8" w:color="auto"/>
            </w:tcBorders>
            <w:shd w:val="clear" w:color="auto" w:fill="CEFFE7"/>
          </w:tcPr>
          <w:p>
            <w:pPr>
              <w:spacing w:after="0"/>
              <w:rPr>
                <w:sz w:val="20"/>
                <w:szCs w:val="20"/>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165,589</w:t>
            </w:r>
          </w:p>
        </w:tc>
        <w:tc>
          <w:tcPr>
            <w:tcW w:w="380" w:type="dxa"/>
            <w:vAlign w:val="bottom"/>
            <w:tcBorders>
              <w:bottom w:val="single" w:sz="8" w:color="auto"/>
            </w:tcBorders>
            <w:shd w:val="clear" w:color="auto" w:fill="CEFFE7"/>
          </w:tcPr>
          <w:p>
            <w:pPr>
              <w:spacing w:after="0"/>
              <w:rPr>
                <w:sz w:val="20"/>
                <w:szCs w:val="20"/>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150,423</w:t>
            </w:r>
          </w:p>
        </w:tc>
        <w:tc>
          <w:tcPr>
            <w:tcW w:w="0" w:type="dxa"/>
            <w:vAlign w:val="bottom"/>
          </w:tcPr>
          <w:p>
            <w:pPr>
              <w:spacing w:after="0"/>
              <w:rPr>
                <w:sz w:val="1"/>
                <w:szCs w:val="1"/>
                <w:color w:val="auto"/>
              </w:rPr>
            </w:pPr>
          </w:p>
        </w:tc>
      </w:tr>
      <w:tr>
        <w:trPr>
          <w:trHeight w:val="20"/>
        </w:trPr>
        <w:tc>
          <w:tcPr>
            <w:tcW w:w="4560" w:type="dxa"/>
            <w:vAlign w:val="bottom"/>
            <w:tcBorders>
              <w:top w:val="single" w:sz="8" w:color="CEFFE7"/>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1020" w:type="dxa"/>
            <w:vAlign w:val="bottom"/>
            <w:tcBorders>
              <w:bottom w:val="single" w:sz="8" w:color="auto"/>
            </w:tcBorders>
            <w:shd w:val="clear" w:color="auto" w:fill="CEFFE7"/>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0.70</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0.58</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2.63</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456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6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320" w:hanging="332"/>
        <w:spacing w:after="0" w:line="258" w:lineRule="auto"/>
        <w:tabs>
          <w:tab w:leader="none" w:pos="344"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Three Months Ended September 30, 2021 Compared to Three Months Ended September 30, 2020</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ind w:left="660" w:right="10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Electric Utilities’ adjusted operating income increased $5.5 million primarily due to favorable mark-to-market adjustments on wholesale energy contacts, residential customer growth and increased usage, and increased power marketing and wholesale revenues which were partially offset by higher operating expenses;</w:t>
      </w:r>
    </w:p>
    <w:p>
      <w:pPr>
        <w:spacing w:after="0" w:line="1" w:lineRule="exact"/>
        <w:rPr>
          <w:rFonts w:ascii="Arial" w:cs="Arial" w:eastAsia="Arial" w:hAnsi="Arial"/>
          <w:sz w:val="16"/>
          <w:szCs w:val="16"/>
          <w:color w:val="auto"/>
        </w:rPr>
      </w:pPr>
    </w:p>
    <w:p>
      <w:pPr>
        <w:ind w:left="660" w:right="14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Gas Utilities’ adjusted operating income decreased $0.9 million primarily due to higher operating expenses and unfavorable weather which led to decreased irrigation loads and lower heating demand mostly offset by favorable market-to-market adjustments on wholesale commodity contracts, new rates and prior year COVID-19 impacts;</w:t>
      </w:r>
    </w:p>
    <w:p>
      <w:pPr>
        <w:spacing w:after="0" w:line="1" w:lineRule="exact"/>
        <w:rPr>
          <w:rFonts w:ascii="Arial" w:cs="Arial" w:eastAsia="Arial" w:hAnsi="Arial"/>
          <w:sz w:val="16"/>
          <w:szCs w:val="16"/>
          <w:color w:val="auto"/>
        </w:rPr>
      </w:pPr>
    </w:p>
    <w:p>
      <w:pPr>
        <w:ind w:left="660" w:right="52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Power Generation’s adjusted operating income increased $1.6 million primarily driven by lower operating expenses due to early retirement of certain assets in the prior year partially offset by negative impacts of an unplanned outage at Wygen I;</w:t>
      </w: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Mining’s adjusted operating income increased $1.4 million primarily due to higher prices per ton sold under our cost based supply agreements;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expense increased $2.0 million due to higher debt balances partially offset by lower rates; and</w:t>
      </w:r>
    </w:p>
    <w:p>
      <w:pPr>
        <w:spacing w:after="0" w:line="5" w:lineRule="exact"/>
        <w:rPr>
          <w:rFonts w:ascii="Arial" w:cs="Arial" w:eastAsia="Arial" w:hAnsi="Arial"/>
          <w:sz w:val="16"/>
          <w:szCs w:val="16"/>
          <w:color w:val="auto"/>
        </w:rPr>
      </w:pPr>
    </w:p>
    <w:p>
      <w:pPr>
        <w:ind w:left="660" w:right="48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income increased $2.8 million primarily due to lower non-service pension costs driven by a lower discount rate, lower costs for our non-qualified benefit plans which were driven by market performance and recognition of death benefits from Company-owned life insurance.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Nine Months Ended September 30, 2021 Compared to Nine Months Ended September 30, 2020</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jc w:val="both"/>
        <w:ind w:left="660" w:right="520" w:hanging="328"/>
        <w:spacing w:after="0" w:line="246"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Electric Utilities’ adjusted operating income decreased $6.7 million primarily due to Colorado Electric’s TCJA-related bill credits to customers, impacts from Winter Storm Uri and unfavorable mark-to-market adjustments on wholesale energy contracts partially offset by increased rider revenues, increased power marketing and wholesale revenues, residential customer growth and increased usage, and prior year COVID-19 impacts;</w:t>
      </w:r>
    </w:p>
    <w:p>
      <w:pPr>
        <w:spacing w:after="0" w:line="1" w:lineRule="exact"/>
        <w:rPr>
          <w:rFonts w:ascii="Arial" w:cs="Arial" w:eastAsia="Arial" w:hAnsi="Arial"/>
          <w:sz w:val="16"/>
          <w:szCs w:val="16"/>
          <w:color w:val="auto"/>
        </w:rPr>
      </w:pPr>
    </w:p>
    <w:p>
      <w:pPr>
        <w:ind w:left="660" w:right="180" w:hanging="328"/>
        <w:spacing w:after="0" w:line="253"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Gas Utilities’ adjusted operating income increased $0.1 million primarily due to new rates, higher heating demand from colder weather and favorable market-to-market adjustments on wholesale commodity contracts mostly offset by Winter Storm Uri costs incurred by Black Hills Energy Services, Nebraska Gas TCJA-related bill credits to customers, and higher operating expenses;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60" w:right="480" w:hanging="328"/>
        <w:spacing w:after="0" w:line="24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Power Generation’s adjusted operating income increased $1.4 million primarily due to lower operating expenses driven by early retirement of certain assets in the prior year and favorable impacts from Winter Storm Uri partially offset by unfavorable impacts from current year outages;</w:t>
      </w:r>
    </w:p>
    <w:p>
      <w:pPr>
        <w:ind w:left="660" w:right="400" w:hanging="328"/>
        <w:spacing w:after="0" w:line="24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Mining’s adjusted operating income increased $1.8 million primarily due to lower operating expenses driven by lower tons sold and overburden removed;</w:t>
      </w:r>
    </w:p>
    <w:p>
      <w:pPr>
        <w:ind w:left="660" w:right="60" w:hanging="328"/>
        <w:spacing w:after="0" w:line="24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Corporate and Other expenses increased $3.4 million primarily due to a prior year favorable true-up of employee costs allocated to our subsidiaries in the current year, which is offset in our business segments;</w:t>
      </w: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Interest expense increased $6.8 million due to higher debt balances partially offset by lower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prior year $6.9 million pre-tax non-cash impairment of our investment in equity securities of a privately held oil and gas company;</w:t>
      </w:r>
    </w:p>
    <w:p>
      <w:pPr>
        <w:spacing w:after="0" w:line="5" w:lineRule="exact"/>
        <w:rPr>
          <w:rFonts w:ascii="Arial" w:cs="Arial" w:eastAsia="Arial" w:hAnsi="Arial"/>
          <w:sz w:val="16"/>
          <w:szCs w:val="16"/>
          <w:color w:val="auto"/>
        </w:rPr>
      </w:pPr>
    </w:p>
    <w:p>
      <w:pPr>
        <w:ind w:left="660" w:right="160" w:hanging="328"/>
        <w:spacing w:after="0" w:line="24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income increased $2.3 million due to lower non-service pension costs driven by a lower discount rate and recognition of death benefits from Company-owned life insurance; and</w:t>
      </w:r>
    </w:p>
    <w:p>
      <w:pPr>
        <w:ind w:left="660" w:right="64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Income tax expense decreased $19.2 million due to lower pre-tax income and a lower effective tax rate driven primarily by tax benefits from Colorado Electric and Nebraska Gas TCJA-related bill credits.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26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230"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229"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Electric Utilities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5"/>
          </w:tcPr>
          <w:p>
            <w:pPr>
              <w:jc w:val="right"/>
              <w:ind w:right="319"/>
              <w:spacing w:after="0"/>
              <w:rPr>
                <w:sz w:val="20"/>
                <w:szCs w:val="20"/>
                <w:color w:val="auto"/>
              </w:rPr>
            </w:pPr>
            <w:r>
              <w:rPr>
                <w:rFonts w:ascii="Arial" w:cs="Arial" w:eastAsia="Arial" w:hAnsi="Arial"/>
                <w:sz w:val="16"/>
                <w:szCs w:val="16"/>
                <w:color w:val="auto"/>
              </w:rPr>
              <w:t>Three Months Ended September 30,</w:t>
            </w:r>
          </w:p>
        </w:tc>
        <w:tc>
          <w:tcPr>
            <w:tcW w:w="240" w:type="dxa"/>
            <w:vAlign w:val="bottom"/>
          </w:tcPr>
          <w:p>
            <w:pPr>
              <w:spacing w:after="0"/>
              <w:rPr>
                <w:sz w:val="16"/>
                <w:szCs w:val="16"/>
                <w:color w:val="auto"/>
              </w:rPr>
            </w:pPr>
          </w:p>
        </w:tc>
        <w:tc>
          <w:tcPr>
            <w:tcW w:w="3160" w:type="dxa"/>
            <w:vAlign w:val="bottom"/>
            <w:gridSpan w:val="5"/>
          </w:tcPr>
          <w:p>
            <w:pPr>
              <w:jc w:val="right"/>
              <w:ind w:right="35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r>
      <w:tr>
        <w:trPr>
          <w:trHeight w:val="253"/>
        </w:trPr>
        <w:tc>
          <w:tcPr>
            <w:tcW w:w="4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3"/>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213,103</w:t>
            </w:r>
          </w:p>
        </w:tc>
        <w:tc>
          <w:tcPr>
            <w:tcW w:w="320" w:type="dxa"/>
            <w:vAlign w:val="bottom"/>
            <w:tcBorders>
              <w:bottom w:val="single" w:sz="8" w:color="auto"/>
            </w:tcBorders>
            <w:shd w:val="clear" w:color="auto" w:fill="CEFFE7"/>
          </w:tcPr>
          <w:p>
            <w:pPr>
              <w:jc w:val="center"/>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200,842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12,261</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625,444</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538,181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87,263</w:t>
            </w:r>
          </w:p>
        </w:tc>
      </w:tr>
      <w:tr>
        <w:trPr>
          <w:trHeight w:val="253"/>
        </w:trPr>
        <w:tc>
          <w:tcPr>
            <w:tcW w:w="4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3"/>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fuel and purchased power</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82,794</w:t>
            </w:r>
          </w:p>
        </w:tc>
        <w:tc>
          <w:tcPr>
            <w:tcW w:w="3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77,885</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4,909</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290,101</w:t>
            </w:r>
          </w:p>
        </w:tc>
        <w:tc>
          <w:tcPr>
            <w:tcW w:w="28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201,398</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88,703</w:t>
            </w:r>
          </w:p>
        </w:tc>
      </w:tr>
      <w:tr>
        <w:trPr>
          <w:trHeight w:val="253"/>
        </w:trPr>
        <w:tc>
          <w:tcPr>
            <w:tcW w:w="4440" w:type="dxa"/>
            <w:vAlign w:val="bottom"/>
            <w:tcBorders>
              <w:bottom w:val="single" w:sz="8" w:color="CEFFE7"/>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06"/>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Gross margin (non-GAAP)</w:t>
            </w:r>
          </w:p>
        </w:tc>
        <w:tc>
          <w:tcPr>
            <w:tcW w:w="240" w:type="dxa"/>
            <w:vAlign w:val="bottom"/>
            <w:tcBorders>
              <w:bottom w:val="single" w:sz="8" w:color="auto"/>
            </w:tcBorders>
            <w:shd w:val="clear" w:color="auto" w:fill="CEFFE7"/>
          </w:tcPr>
          <w:p>
            <w:pPr>
              <w:spacing w:after="0"/>
              <w:rPr>
                <w:sz w:val="17"/>
                <w:szCs w:val="17"/>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130,309</w:t>
            </w:r>
          </w:p>
        </w:tc>
        <w:tc>
          <w:tcPr>
            <w:tcW w:w="320" w:type="dxa"/>
            <w:vAlign w:val="bottom"/>
            <w:tcBorders>
              <w:bottom w:val="single" w:sz="8" w:color="auto"/>
            </w:tcBorders>
            <w:shd w:val="clear" w:color="auto" w:fill="CEFFE7"/>
          </w:tcPr>
          <w:p>
            <w:pPr>
              <w:spacing w:after="0"/>
              <w:rPr>
                <w:sz w:val="17"/>
                <w:szCs w:val="17"/>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122,957</w:t>
            </w:r>
          </w:p>
        </w:tc>
        <w:tc>
          <w:tcPr>
            <w:tcW w:w="200" w:type="dxa"/>
            <w:vAlign w:val="bottom"/>
            <w:tcBorders>
              <w:bottom w:val="single" w:sz="8" w:color="auto"/>
            </w:tcBorders>
            <w:shd w:val="clear" w:color="auto" w:fill="CEFFE7"/>
          </w:tcPr>
          <w:p>
            <w:pPr>
              <w:spacing w:after="0"/>
              <w:rPr>
                <w:sz w:val="17"/>
                <w:szCs w:val="17"/>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7,352</w:t>
            </w:r>
          </w:p>
        </w:tc>
        <w:tc>
          <w:tcPr>
            <w:tcW w:w="24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335,343</w:t>
            </w:r>
          </w:p>
        </w:tc>
        <w:tc>
          <w:tcPr>
            <w:tcW w:w="28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336,783</w:t>
            </w:r>
          </w:p>
        </w:tc>
        <w:tc>
          <w:tcPr>
            <w:tcW w:w="200" w:type="dxa"/>
            <w:vAlign w:val="bottom"/>
            <w:tcBorders>
              <w:bottom w:val="single" w:sz="8" w:color="auto"/>
            </w:tcBorders>
            <w:shd w:val="clear" w:color="auto" w:fill="CEFFE7"/>
          </w:tcPr>
          <w:p>
            <w:pPr>
              <w:spacing w:after="0"/>
              <w:rPr>
                <w:sz w:val="17"/>
                <w:szCs w:val="17"/>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(1,440)</w:t>
            </w:r>
          </w:p>
        </w:tc>
      </w:tr>
      <w:tr>
        <w:trPr>
          <w:trHeight w:val="253"/>
        </w:trPr>
        <w:tc>
          <w:tcPr>
            <w:tcW w:w="4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6"/>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47,293</w:t>
            </w:r>
          </w:p>
        </w:tc>
        <w:tc>
          <w:tcPr>
            <w:tcW w:w="32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47,426</w:t>
            </w: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(133)</w:t>
            </w: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144,832</w:t>
            </w:r>
          </w:p>
        </w:tc>
        <w:tc>
          <w:tcPr>
            <w:tcW w:w="28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144,956</w:t>
            </w: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44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25,408</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23,448</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75,522</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70,101</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r>
      <w:tr>
        <w:trPr>
          <w:trHeight w:val="210"/>
        </w:trPr>
        <w:tc>
          <w:tcPr>
            <w:tcW w:w="44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72,701</w:t>
            </w:r>
          </w:p>
        </w:tc>
        <w:tc>
          <w:tcPr>
            <w:tcW w:w="3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70,874</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1,827</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220,354</w:t>
            </w:r>
          </w:p>
        </w:tc>
        <w:tc>
          <w:tcPr>
            <w:tcW w:w="28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215,057</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5,297</w:t>
            </w:r>
          </w:p>
        </w:tc>
      </w:tr>
      <w:tr>
        <w:trPr>
          <w:trHeight w:val="253"/>
        </w:trPr>
        <w:tc>
          <w:tcPr>
            <w:tcW w:w="4440" w:type="dxa"/>
            <w:vAlign w:val="bottom"/>
            <w:tcBorders>
              <w:bottom w:val="single" w:sz="8" w:color="CEFFE7"/>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35"/>
        </w:trPr>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Adjusted operating income</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57,608</w:t>
            </w:r>
          </w:p>
        </w:tc>
        <w:tc>
          <w:tcPr>
            <w:tcW w:w="320" w:type="dxa"/>
            <w:vAlign w:val="bottom"/>
            <w:tcBorders>
              <w:bottom w:val="single" w:sz="8" w:color="auto"/>
            </w:tcBorders>
            <w:shd w:val="clear" w:color="auto" w:fill="CEFFE7"/>
          </w:tcPr>
          <w:p>
            <w:pPr>
              <w:jc w:val="center"/>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52,083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5,525</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114,989</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121,726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(6,737)</w:t>
            </w:r>
          </w:p>
        </w:tc>
      </w:tr>
      <w:tr>
        <w:trPr>
          <w:trHeight w:val="20"/>
        </w:trPr>
        <w:tc>
          <w:tcPr>
            <w:tcW w:w="444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r>
      <w:tr>
        <w:trPr>
          <w:trHeight w:val="832"/>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jc w:val="center"/>
              <w:ind w:right="19"/>
              <w:spacing w:after="0"/>
              <w:rPr>
                <w:sz w:val="20"/>
                <w:szCs w:val="20"/>
                <w:color w:val="auto"/>
              </w:rPr>
            </w:pPr>
            <w:r>
              <w:rPr>
                <w:rFonts w:ascii="Arial" w:cs="Arial" w:eastAsia="Arial" w:hAnsi="Arial"/>
                <w:sz w:val="16"/>
                <w:szCs w:val="16"/>
                <w:color w:val="auto"/>
              </w:rPr>
              <w:t>37</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0"/>
        </w:trPr>
        <w:tc>
          <w:tcPr>
            <w:tcW w:w="4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740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49"/>
        </w:trPr>
        <w:tc>
          <w:tcPr>
            <w:tcW w:w="74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Three Months Ended September 30, 2021 Compared to the Three Months Ended September 30, 2020:</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12"/>
        </w:trPr>
        <w:tc>
          <w:tcPr>
            <w:tcW w:w="7400" w:type="dxa"/>
            <w:vAlign w:val="bottom"/>
            <w:gridSpan w:val="4"/>
          </w:tcPr>
          <w:p>
            <w:pPr>
              <w:spacing w:after="0"/>
              <w:rPr>
                <w:sz w:val="20"/>
                <w:szCs w:val="20"/>
                <w:color w:val="auto"/>
              </w:rPr>
            </w:pPr>
            <w:r>
              <w:rPr>
                <w:rFonts w:ascii="Arial" w:cs="Arial" w:eastAsia="Arial" w:hAnsi="Arial"/>
                <w:sz w:val="16"/>
                <w:szCs w:val="16"/>
                <w:color w:val="auto"/>
              </w:rPr>
              <w:t>Gross margin for the three months ended September 30, 2021 increased as a result of the following:</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2"/>
        </w:trPr>
        <w:tc>
          <w:tcPr>
            <w:tcW w:w="40" w:type="dxa"/>
            <w:vAlign w:val="bottom"/>
            <w:tcBorders>
              <w:top w:val="single" w:sz="8" w:color="auto"/>
            </w:tcBorders>
          </w:tcPr>
          <w:p>
            <w:pPr>
              <w:spacing w:after="0"/>
              <w:rPr>
                <w:sz w:val="24"/>
                <w:szCs w:val="24"/>
                <w:color w:val="auto"/>
              </w:rPr>
            </w:pPr>
          </w:p>
        </w:tc>
        <w:tc>
          <w:tcPr>
            <w:tcW w:w="940" w:type="dxa"/>
            <w:vAlign w:val="bottom"/>
            <w:tcBorders>
              <w:top w:val="single" w:sz="8" w:color="auto"/>
              <w:bottom w:val="single" w:sz="8" w:color="CEFFE7"/>
            </w:tcBorders>
          </w:tcPr>
          <w:p>
            <w:pPr>
              <w:spacing w:after="0"/>
              <w:rPr>
                <w:sz w:val="24"/>
                <w:szCs w:val="24"/>
                <w:color w:val="auto"/>
              </w:rPr>
            </w:pPr>
          </w:p>
        </w:tc>
        <w:tc>
          <w:tcPr>
            <w:tcW w:w="380" w:type="dxa"/>
            <w:vAlign w:val="bottom"/>
            <w:tcBorders>
              <w:bottom w:val="single" w:sz="8" w:color="CEFFE7"/>
            </w:tcBorders>
          </w:tcPr>
          <w:p>
            <w:pPr>
              <w:spacing w:after="0"/>
              <w:rPr>
                <w:sz w:val="24"/>
                <w:szCs w:val="24"/>
                <w:color w:val="auto"/>
              </w:rPr>
            </w:pPr>
          </w:p>
        </w:tc>
        <w:tc>
          <w:tcPr>
            <w:tcW w:w="6040" w:type="dxa"/>
            <w:vAlign w:val="bottom"/>
            <w:tcBorders>
              <w:bottom w:val="single" w:sz="8" w:color="CEFFE7"/>
            </w:tcBorders>
          </w:tcPr>
          <w:p>
            <w:pPr>
              <w:spacing w:after="0"/>
              <w:rPr>
                <w:sz w:val="24"/>
                <w:szCs w:val="24"/>
                <w:color w:val="auto"/>
              </w:rPr>
            </w:pPr>
          </w:p>
        </w:tc>
        <w:tc>
          <w:tcPr>
            <w:tcW w:w="1620" w:type="dxa"/>
            <w:vAlign w:val="bottom"/>
            <w:tcBorders>
              <w:bottom w:val="single" w:sz="8" w:color="CEFFE7"/>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(in millions)</w:t>
            </w:r>
          </w:p>
        </w:tc>
      </w:tr>
      <w:tr>
        <w:trPr>
          <w:trHeight w:val="213"/>
        </w:trPr>
        <w:tc>
          <w:tcPr>
            <w:tcW w:w="40" w:type="dxa"/>
            <w:vAlign w:val="bottom"/>
          </w:tcPr>
          <w:p>
            <w:pPr>
              <w:spacing w:after="0"/>
              <w:rPr>
                <w:sz w:val="18"/>
                <w:szCs w:val="18"/>
                <w:color w:val="auto"/>
              </w:rPr>
            </w:pPr>
          </w:p>
        </w:tc>
        <w:tc>
          <w:tcPr>
            <w:tcW w:w="736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Mark-to-market on wholesale energy contracts</w:t>
            </w:r>
          </w:p>
        </w:tc>
        <w:tc>
          <w:tcPr>
            <w:tcW w:w="2020" w:type="dxa"/>
            <w:vAlign w:val="bottom"/>
            <w:gridSpan w:val="2"/>
            <w:shd w:val="clear" w:color="auto" w:fill="CEFFE7"/>
          </w:tcPr>
          <w:p>
            <w:pPr>
              <w:jc w:val="right"/>
              <w:ind w:right="3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center"/>
              <w:ind w:left="1339"/>
              <w:spacing w:after="0"/>
              <w:rPr>
                <w:sz w:val="20"/>
                <w:szCs w:val="20"/>
                <w:color w:val="auto"/>
              </w:rPr>
            </w:pPr>
            <w:r>
              <w:rPr>
                <w:rFonts w:ascii="Arial" w:cs="Arial" w:eastAsia="Arial" w:hAnsi="Arial"/>
                <w:sz w:val="16"/>
                <w:szCs w:val="16"/>
                <w:color w:val="auto"/>
                <w:w w:val="98"/>
              </w:rPr>
              <w:t>3.9</w:t>
            </w:r>
          </w:p>
        </w:tc>
      </w:tr>
      <w:tr>
        <w:trPr>
          <w:trHeight w:val="213"/>
        </w:trPr>
        <w:tc>
          <w:tcPr>
            <w:tcW w:w="40" w:type="dxa"/>
            <w:vAlign w:val="bottom"/>
          </w:tcPr>
          <w:p>
            <w:pPr>
              <w:spacing w:after="0"/>
              <w:rPr>
                <w:sz w:val="18"/>
                <w:szCs w:val="18"/>
                <w:color w:val="auto"/>
              </w:rPr>
            </w:pPr>
          </w:p>
        </w:tc>
        <w:tc>
          <w:tcPr>
            <w:tcW w:w="7360" w:type="dxa"/>
            <w:vAlign w:val="bottom"/>
            <w:gridSpan w:val="3"/>
          </w:tcPr>
          <w:p>
            <w:pPr>
              <w:spacing w:after="0"/>
              <w:rPr>
                <w:sz w:val="20"/>
                <w:szCs w:val="20"/>
                <w:color w:val="auto"/>
              </w:rPr>
            </w:pPr>
            <w:r>
              <w:rPr>
                <w:rFonts w:ascii="Arial" w:cs="Arial" w:eastAsia="Arial" w:hAnsi="Arial"/>
                <w:sz w:val="16"/>
                <w:szCs w:val="16"/>
                <w:color w:val="auto"/>
              </w:rPr>
              <w:t>Residential customer growth and increased usage per customer</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w w:val="98"/>
              </w:rPr>
              <w:t>2.5</w:t>
            </w:r>
          </w:p>
        </w:tc>
      </w:tr>
      <w:tr>
        <w:trPr>
          <w:trHeight w:val="219"/>
        </w:trPr>
        <w:tc>
          <w:tcPr>
            <w:tcW w:w="40" w:type="dxa"/>
            <w:vAlign w:val="bottom"/>
          </w:tcPr>
          <w:p>
            <w:pPr>
              <w:spacing w:after="0"/>
              <w:rPr>
                <w:sz w:val="19"/>
                <w:szCs w:val="19"/>
                <w:color w:val="auto"/>
              </w:rPr>
            </w:pPr>
          </w:p>
        </w:tc>
        <w:tc>
          <w:tcPr>
            <w:tcW w:w="736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Increased commercial and industrial demand</w:t>
            </w:r>
          </w:p>
        </w:tc>
        <w:tc>
          <w:tcPr>
            <w:tcW w:w="162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center"/>
              <w:ind w:left="1339"/>
              <w:spacing w:after="0"/>
              <w:rPr>
                <w:sz w:val="20"/>
                <w:szCs w:val="20"/>
                <w:color w:val="auto"/>
              </w:rPr>
            </w:pPr>
            <w:r>
              <w:rPr>
                <w:rFonts w:ascii="Arial" w:cs="Arial" w:eastAsia="Arial" w:hAnsi="Arial"/>
                <w:sz w:val="16"/>
                <w:szCs w:val="16"/>
                <w:color w:val="auto"/>
                <w:w w:val="98"/>
              </w:rPr>
              <w:t>1.2</w:t>
            </w:r>
          </w:p>
        </w:tc>
      </w:tr>
      <w:tr>
        <w:trPr>
          <w:trHeight w:val="213"/>
        </w:trPr>
        <w:tc>
          <w:tcPr>
            <w:tcW w:w="40" w:type="dxa"/>
            <w:vAlign w:val="bottom"/>
          </w:tcPr>
          <w:p>
            <w:pPr>
              <w:spacing w:after="0"/>
              <w:rPr>
                <w:sz w:val="18"/>
                <w:szCs w:val="18"/>
                <w:color w:val="auto"/>
              </w:rPr>
            </w:pPr>
          </w:p>
        </w:tc>
        <w:tc>
          <w:tcPr>
            <w:tcW w:w="7360" w:type="dxa"/>
            <w:vAlign w:val="bottom"/>
            <w:gridSpan w:val="3"/>
          </w:tcPr>
          <w:p>
            <w:pPr>
              <w:spacing w:after="0"/>
              <w:rPr>
                <w:sz w:val="20"/>
                <w:szCs w:val="20"/>
                <w:color w:val="auto"/>
              </w:rPr>
            </w:pPr>
            <w:r>
              <w:rPr>
                <w:rFonts w:ascii="Arial" w:cs="Arial" w:eastAsia="Arial" w:hAnsi="Arial"/>
                <w:sz w:val="16"/>
                <w:szCs w:val="16"/>
                <w:color w:val="auto"/>
              </w:rPr>
              <w:t>Power marketing and wholesale</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w w:val="98"/>
              </w:rPr>
              <w:t>1.1</w:t>
            </w:r>
          </w:p>
        </w:tc>
      </w:tr>
      <w:tr>
        <w:trPr>
          <w:trHeight w:val="219"/>
        </w:trPr>
        <w:tc>
          <w:tcPr>
            <w:tcW w:w="40" w:type="dxa"/>
            <w:vAlign w:val="bottom"/>
          </w:tcPr>
          <w:p>
            <w:pPr>
              <w:spacing w:after="0"/>
              <w:rPr>
                <w:sz w:val="19"/>
                <w:szCs w:val="19"/>
                <w:color w:val="auto"/>
              </w:rPr>
            </w:pPr>
          </w:p>
        </w:tc>
        <w:tc>
          <w:tcPr>
            <w:tcW w:w="736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Prior year COVID-19 impacts</w:t>
            </w:r>
          </w:p>
        </w:tc>
        <w:tc>
          <w:tcPr>
            <w:tcW w:w="162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center"/>
              <w:ind w:left="1339"/>
              <w:spacing w:after="0"/>
              <w:rPr>
                <w:sz w:val="20"/>
                <w:szCs w:val="20"/>
                <w:color w:val="auto"/>
              </w:rPr>
            </w:pPr>
            <w:r>
              <w:rPr>
                <w:rFonts w:ascii="Arial" w:cs="Arial" w:eastAsia="Arial" w:hAnsi="Arial"/>
                <w:sz w:val="16"/>
                <w:szCs w:val="16"/>
                <w:color w:val="auto"/>
                <w:w w:val="98"/>
              </w:rPr>
              <w:t>0.2</w:t>
            </w:r>
          </w:p>
        </w:tc>
      </w:tr>
      <w:tr>
        <w:trPr>
          <w:trHeight w:val="213"/>
        </w:trPr>
        <w:tc>
          <w:tcPr>
            <w:tcW w:w="40" w:type="dxa"/>
            <w:vAlign w:val="bottom"/>
          </w:tcPr>
          <w:p>
            <w:pPr>
              <w:spacing w:after="0"/>
              <w:rPr>
                <w:sz w:val="18"/>
                <w:szCs w:val="18"/>
                <w:color w:val="auto"/>
              </w:rPr>
            </w:pPr>
          </w:p>
        </w:tc>
        <w:tc>
          <w:tcPr>
            <w:tcW w:w="7360" w:type="dxa"/>
            <w:vAlign w:val="bottom"/>
            <w:gridSpan w:val="3"/>
          </w:tcPr>
          <w:p>
            <w:pPr>
              <w:spacing w:after="0"/>
              <w:rPr>
                <w:sz w:val="20"/>
                <w:szCs w:val="20"/>
                <w:color w:val="auto"/>
              </w:rPr>
            </w:pPr>
            <w:r>
              <w:rPr>
                <w:rFonts w:ascii="Arial" w:cs="Arial" w:eastAsia="Arial" w:hAnsi="Arial"/>
                <w:sz w:val="16"/>
                <w:szCs w:val="16"/>
                <w:color w:val="auto"/>
              </w:rPr>
              <w:t>Prior year release of TCJA revenue reserves</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rPr>
              <w:t>(1.5)</w:t>
            </w:r>
          </w:p>
        </w:tc>
      </w:tr>
      <w:tr>
        <w:trPr>
          <w:trHeight w:val="219"/>
        </w:trPr>
        <w:tc>
          <w:tcPr>
            <w:tcW w:w="40" w:type="dxa"/>
            <w:vAlign w:val="bottom"/>
          </w:tcPr>
          <w:p>
            <w:pPr>
              <w:spacing w:after="0"/>
              <w:rPr>
                <w:sz w:val="19"/>
                <w:szCs w:val="19"/>
                <w:color w:val="auto"/>
              </w:rPr>
            </w:pPr>
          </w:p>
        </w:tc>
        <w:tc>
          <w:tcPr>
            <w:tcW w:w="736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Weather</w:t>
            </w:r>
          </w:p>
        </w:tc>
        <w:tc>
          <w:tcPr>
            <w:tcW w:w="162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center"/>
              <w:ind w:left="1339"/>
              <w:spacing w:after="0"/>
              <w:rPr>
                <w:sz w:val="20"/>
                <w:szCs w:val="20"/>
                <w:color w:val="auto"/>
              </w:rPr>
            </w:pPr>
            <w:r>
              <w:rPr>
                <w:rFonts w:ascii="Arial" w:cs="Arial" w:eastAsia="Arial" w:hAnsi="Arial"/>
                <w:sz w:val="16"/>
                <w:szCs w:val="16"/>
                <w:color w:val="auto"/>
              </w:rPr>
              <w:t>(0.5)</w:t>
            </w:r>
          </w:p>
        </w:tc>
      </w:tr>
      <w:tr>
        <w:trPr>
          <w:trHeight w:val="213"/>
        </w:trPr>
        <w:tc>
          <w:tcPr>
            <w:tcW w:w="40" w:type="dxa"/>
            <w:vAlign w:val="bottom"/>
          </w:tcPr>
          <w:p>
            <w:pPr>
              <w:spacing w:after="0"/>
              <w:rPr>
                <w:sz w:val="18"/>
                <w:szCs w:val="18"/>
                <w:color w:val="auto"/>
              </w:rPr>
            </w:pPr>
          </w:p>
        </w:tc>
        <w:tc>
          <w:tcPr>
            <w:tcW w:w="7360" w:type="dxa"/>
            <w:vAlign w:val="bottom"/>
            <w:tcBorders>
              <w:bottom w:val="single" w:sz="8" w:color="CEFFE7"/>
            </w:tcBorders>
            <w:gridSpan w:val="3"/>
          </w:tcPr>
          <w:p>
            <w:pPr>
              <w:spacing w:after="0"/>
              <w:rPr>
                <w:sz w:val="20"/>
                <w:szCs w:val="20"/>
                <w:color w:val="auto"/>
              </w:rPr>
            </w:pPr>
            <w:r>
              <w:rPr>
                <w:rFonts w:ascii="Arial" w:cs="Arial" w:eastAsia="Arial" w:hAnsi="Arial"/>
                <w:sz w:val="16"/>
                <w:szCs w:val="16"/>
                <w:color w:val="auto"/>
              </w:rPr>
              <w:t>Other</w:t>
            </w:r>
          </w:p>
        </w:tc>
        <w:tc>
          <w:tcPr>
            <w:tcW w:w="1620" w:type="dxa"/>
            <w:vAlign w:val="bottom"/>
            <w:tcBorders>
              <w:bottom w:val="single" w:sz="8" w:color="CEFFE7"/>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left="1339"/>
              <w:spacing w:after="0"/>
              <w:rPr>
                <w:sz w:val="20"/>
                <w:szCs w:val="20"/>
                <w:color w:val="auto"/>
              </w:rPr>
            </w:pPr>
            <w:r>
              <w:rPr>
                <w:rFonts w:ascii="Arial" w:cs="Arial" w:eastAsia="Arial" w:hAnsi="Arial"/>
                <w:sz w:val="16"/>
                <w:szCs w:val="16"/>
                <w:color w:val="auto"/>
                <w:w w:val="98"/>
              </w:rPr>
              <w:t>0.5</w:t>
            </w:r>
          </w:p>
        </w:tc>
      </w:tr>
      <w:tr>
        <w:trPr>
          <w:trHeight w:val="233"/>
        </w:trPr>
        <w:tc>
          <w:tcPr>
            <w:tcW w:w="40" w:type="dxa"/>
            <w:vAlign w:val="bottom"/>
          </w:tcPr>
          <w:p>
            <w:pPr>
              <w:spacing w:after="0"/>
              <w:rPr>
                <w:sz w:val="20"/>
                <w:szCs w:val="20"/>
                <w:color w:val="auto"/>
              </w:rPr>
            </w:pPr>
          </w:p>
        </w:tc>
        <w:tc>
          <w:tcPr>
            <w:tcW w:w="736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Total change in Gross margin (non-GAAP)</w:t>
            </w:r>
          </w:p>
        </w:tc>
        <w:tc>
          <w:tcPr>
            <w:tcW w:w="2020" w:type="dxa"/>
            <w:vAlign w:val="bottom"/>
            <w:gridSpan w:val="2"/>
            <w:shd w:val="clear" w:color="auto" w:fill="CEFFE7"/>
          </w:tcPr>
          <w:p>
            <w:pPr>
              <w:jc w:val="right"/>
              <w:ind w:right="3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center"/>
              <w:ind w:left="1339"/>
              <w:spacing w:after="0"/>
              <w:rPr>
                <w:sz w:val="20"/>
                <w:szCs w:val="20"/>
                <w:color w:val="auto"/>
              </w:rPr>
            </w:pPr>
            <w:r>
              <w:rPr>
                <w:rFonts w:ascii="Arial" w:cs="Arial" w:eastAsia="Arial" w:hAnsi="Arial"/>
                <w:sz w:val="16"/>
                <w:szCs w:val="16"/>
                <w:color w:val="auto"/>
                <w:w w:val="98"/>
              </w:rPr>
              <w:t>7.4</w:t>
            </w:r>
          </w:p>
        </w:tc>
      </w:tr>
      <w:tr>
        <w:trPr>
          <w:trHeight w:val="20"/>
        </w:trPr>
        <w:tc>
          <w:tcPr>
            <w:tcW w:w="40" w:type="dxa"/>
            <w:vAlign w:val="bottom"/>
          </w:tcPr>
          <w:p>
            <w:pPr>
              <w:spacing w:after="0" w:line="20" w:lineRule="exact"/>
              <w:rPr>
                <w:sz w:val="1"/>
                <w:szCs w:val="1"/>
                <w:color w:val="auto"/>
              </w:rPr>
            </w:pPr>
          </w:p>
        </w:tc>
        <w:tc>
          <w:tcPr>
            <w:tcW w:w="94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CEFFE7"/>
            </w:tcBorders>
          </w:tcPr>
          <w:p>
            <w:pPr>
              <w:spacing w:after="0" w:line="20" w:lineRule="exact"/>
              <w:rPr>
                <w:sz w:val="1"/>
                <w:szCs w:val="1"/>
                <w:color w:val="auto"/>
              </w:rPr>
            </w:pPr>
          </w:p>
        </w:tc>
        <w:tc>
          <w:tcPr>
            <w:tcW w:w="6040" w:type="dxa"/>
            <w:vAlign w:val="bottom"/>
            <w:tcBorders>
              <w:top w:val="single" w:sz="8" w:color="CEFFE7"/>
            </w:tcBorders>
          </w:tcPr>
          <w:p>
            <w:pPr>
              <w:spacing w:after="0" w:line="20" w:lineRule="exact"/>
              <w:rPr>
                <w:sz w:val="1"/>
                <w:szCs w:val="1"/>
                <w:color w:val="auto"/>
              </w:rPr>
            </w:pPr>
          </w:p>
        </w:tc>
        <w:tc>
          <w:tcPr>
            <w:tcW w:w="1620" w:type="dxa"/>
            <w:vAlign w:val="bottom"/>
            <w:tcBorders>
              <w:top w:val="single" w:sz="8" w:color="CEFFE7"/>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was comparable to the same period in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and current year capital expenditures.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Nine Months Ended September 30, 2021 Compared to the Nine Months Ended September 30, 2020:</w:t>
            </w:r>
          </w:p>
        </w:tc>
        <w:tc>
          <w:tcPr>
            <w:tcW w:w="1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412"/>
        </w:trPr>
        <w:tc>
          <w:tcPr>
            <w:tcW w:w="7220" w:type="dxa"/>
            <w:vAlign w:val="bottom"/>
            <w:gridSpan w:val="2"/>
          </w:tcPr>
          <w:p>
            <w:pPr>
              <w:spacing w:after="0"/>
              <w:rPr>
                <w:sz w:val="20"/>
                <w:szCs w:val="20"/>
                <w:color w:val="auto"/>
              </w:rPr>
            </w:pPr>
            <w:r>
              <w:rPr>
                <w:rFonts w:ascii="Arial" w:cs="Arial" w:eastAsia="Arial" w:hAnsi="Arial"/>
                <w:sz w:val="16"/>
                <w:szCs w:val="16"/>
                <w:color w:val="auto"/>
              </w:rPr>
              <w:t>Gross margin for the nine months ended September 30, 2021 decreased as a result of the following:</w:t>
            </w: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96"/>
        </w:trPr>
        <w:tc>
          <w:tcPr>
            <w:tcW w:w="980" w:type="dxa"/>
            <w:vAlign w:val="bottom"/>
            <w:tcBorders>
              <w:top w:val="single" w:sz="8" w:color="auto"/>
              <w:bottom w:val="single" w:sz="8" w:color="CEFFE7"/>
            </w:tcBorders>
          </w:tcPr>
          <w:p>
            <w:pPr>
              <w:spacing w:after="0"/>
              <w:rPr>
                <w:sz w:val="24"/>
                <w:szCs w:val="24"/>
                <w:color w:val="auto"/>
              </w:rPr>
            </w:pPr>
          </w:p>
        </w:tc>
        <w:tc>
          <w:tcPr>
            <w:tcW w:w="6240" w:type="dxa"/>
            <w:vAlign w:val="bottom"/>
            <w:tcBorders>
              <w:bottom w:val="single" w:sz="8" w:color="CEFFE7"/>
            </w:tcBorders>
          </w:tcPr>
          <w:p>
            <w:pPr>
              <w:spacing w:after="0"/>
              <w:rPr>
                <w:sz w:val="24"/>
                <w:szCs w:val="24"/>
                <w:color w:val="auto"/>
              </w:rPr>
            </w:pPr>
          </w:p>
        </w:tc>
        <w:tc>
          <w:tcPr>
            <w:tcW w:w="1780" w:type="dxa"/>
            <w:vAlign w:val="bottom"/>
            <w:tcBorders>
              <w:bottom w:val="single" w:sz="8" w:color="CEFFE7"/>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(in millions)</w:t>
            </w:r>
          </w:p>
        </w:tc>
      </w:tr>
      <w:tr>
        <w:trPr>
          <w:trHeight w:val="213"/>
        </w:trPr>
        <w:tc>
          <w:tcPr>
            <w:tcW w:w="7220" w:type="dxa"/>
            <w:vAlign w:val="bottom"/>
            <w:gridSpan w:val="2"/>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TCJA-related bill credits </w:t>
            </w:r>
            <w:r>
              <w:rPr>
                <w:rFonts w:ascii="Arial" w:cs="Arial" w:eastAsia="Arial" w:hAnsi="Arial"/>
                <w:sz w:val="21"/>
                <w:szCs w:val="21"/>
                <w:color w:val="auto"/>
                <w:vertAlign w:val="superscript"/>
              </w:rPr>
              <w:t>(a)</w:t>
            </w:r>
          </w:p>
        </w:tc>
        <w:tc>
          <w:tcPr>
            <w:tcW w:w="2180" w:type="dxa"/>
            <w:vAlign w:val="bottom"/>
            <w:gridSpan w:val="2"/>
            <w:shd w:val="clear" w:color="auto" w:fill="CEFFE7"/>
          </w:tcPr>
          <w:p>
            <w:pPr>
              <w:jc w:val="right"/>
              <w:ind w:right="3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72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Winter Storm Uri impacts </w:t>
            </w:r>
            <w:r>
              <w:rPr>
                <w:rFonts w:ascii="Arial" w:cs="Arial" w:eastAsia="Arial" w:hAnsi="Arial"/>
                <w:sz w:val="21"/>
                <w:szCs w:val="21"/>
                <w:color w:val="auto"/>
                <w:vertAlign w:val="superscript"/>
              </w:rPr>
              <w:t>(b)</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7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Mark-to-market on wholesale energy contracts</w:t>
            </w:r>
          </w:p>
        </w:tc>
        <w:tc>
          <w:tcPr>
            <w:tcW w:w="178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Prior year release of TCJA revenue reserves</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7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Weather</w:t>
            </w:r>
          </w:p>
        </w:tc>
        <w:tc>
          <w:tcPr>
            <w:tcW w:w="178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Power marketing and wholesale</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7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Residential customer growth and increased usage per customer</w:t>
            </w:r>
          </w:p>
        </w:tc>
        <w:tc>
          <w:tcPr>
            <w:tcW w:w="178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Rider recovery</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7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Increased commercial and industrial demand</w:t>
            </w:r>
          </w:p>
        </w:tc>
        <w:tc>
          <w:tcPr>
            <w:tcW w:w="178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Prior year COVID-19 impacts</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7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Other</w:t>
            </w:r>
          </w:p>
        </w:tc>
        <w:tc>
          <w:tcPr>
            <w:tcW w:w="1780" w:type="dxa"/>
            <w:vAlign w:val="bottom"/>
            <w:shd w:val="clear" w:color="auto" w:fill="CEFFE7"/>
          </w:tcPr>
          <w:p>
            <w:pPr>
              <w:spacing w:after="0"/>
              <w:rPr>
                <w:sz w:val="18"/>
                <w:szCs w:val="18"/>
                <w:color w:val="auto"/>
              </w:rPr>
            </w:pPr>
          </w:p>
        </w:tc>
        <w:tc>
          <w:tcPr>
            <w:tcW w:w="40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Total change in Gross margin (non-GAAP)</w:t>
            </w:r>
          </w:p>
        </w:tc>
        <w:tc>
          <w:tcPr>
            <w:tcW w:w="2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9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8" w:lineRule="exact"/>
        <w:rPr>
          <w:sz w:val="20"/>
          <w:szCs w:val="20"/>
          <w:color w:val="auto"/>
        </w:rPr>
      </w:pPr>
    </w:p>
    <w:p>
      <w:pPr>
        <w:ind w:left="340" w:right="160" w:hanging="332"/>
        <w:spacing w:after="0" w:line="241" w:lineRule="auto"/>
        <w:tabs>
          <w:tab w:leader="none" w:pos="352"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February and April 2021, Colorado Electric delivered TCJA-related bill credits to its customers. These bill credits were offset by a reduction in income tax expense and resulted in a minimal impact to Net income.</w:t>
      </w:r>
    </w:p>
    <w:p>
      <w:pPr>
        <w:ind w:left="340" w:right="300" w:hanging="332"/>
        <w:spacing w:after="0" w:line="258" w:lineRule="auto"/>
        <w:tabs>
          <w:tab w:leader="none" w:pos="344"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a result of Winter Storm Uri, our Electric Utilities incurred a $0.8 million negative impact to our regulated wholesale power margins due to higher fuel costs and $2.1 million of incremental fuel costs that are not recoverable through our fuel cost recovery mechanisms.</w:t>
      </w:r>
    </w:p>
    <w:p>
      <w:pPr>
        <w:spacing w:after="0" w:line="21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remained constant primarily due to higher maintenance costs related to planned and unplanned outages at the Gillette, Wyoming energy complex and higher operating expenses associated with Corriedale which was placed in service November 30, 2020, offset by prior year expenses related to the municipalization efforts in Pueblo, Colorado.</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and current year capital expenditures.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238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10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gridSpan w:val="2"/>
          </w:tcPr>
          <w:p>
            <w:pPr>
              <w:jc w:val="right"/>
              <w:ind w:right="259"/>
              <w:spacing w:after="0"/>
              <w:rPr>
                <w:sz w:val="20"/>
                <w:szCs w:val="20"/>
                <w:color w:val="auto"/>
              </w:rPr>
            </w:pPr>
            <w:r>
              <w:rPr>
                <w:rFonts w:ascii="Arial" w:cs="Arial" w:eastAsia="Arial" w:hAnsi="Arial"/>
                <w:sz w:val="16"/>
                <w:szCs w:val="16"/>
                <w:color w:val="auto"/>
              </w:rPr>
              <w:t>Revenue (in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80" w:type="dxa"/>
            <w:vAlign w:val="bottom"/>
            <w:gridSpan w:val="2"/>
          </w:tcPr>
          <w:p>
            <w:pPr>
              <w:jc w:val="right"/>
              <w:ind w:right="319"/>
              <w:spacing w:after="0"/>
              <w:rPr>
                <w:sz w:val="20"/>
                <w:szCs w:val="20"/>
                <w:color w:val="auto"/>
              </w:rPr>
            </w:pPr>
            <w:r>
              <w:rPr>
                <w:rFonts w:ascii="Arial" w:cs="Arial" w:eastAsia="Arial" w:hAnsi="Arial"/>
                <w:sz w:val="16"/>
                <w:szCs w:val="16"/>
                <w:color w:val="auto"/>
              </w:rPr>
              <w:t>Quantities Sold (MWh)</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2"/>
          </w:tcPr>
          <w:p>
            <w:pPr>
              <w:jc w:val="right"/>
              <w:ind w:right="359"/>
              <w:spacing w:after="0"/>
              <w:rPr>
                <w:sz w:val="20"/>
                <w:szCs w:val="20"/>
                <w:color w:val="auto"/>
              </w:rPr>
            </w:pPr>
            <w:r>
              <w:rPr>
                <w:rFonts w:ascii="Arial" w:cs="Arial" w:eastAsia="Arial" w:hAnsi="Arial"/>
                <w:sz w:val="16"/>
                <w:szCs w:val="16"/>
                <w:color w:val="auto"/>
              </w:rPr>
              <w:t>Three Months Ended</w:t>
            </w:r>
          </w:p>
        </w:tc>
        <w:tc>
          <w:tcPr>
            <w:tcW w:w="1980" w:type="dxa"/>
            <w:vAlign w:val="bottom"/>
            <w:gridSpan w:val="2"/>
          </w:tcPr>
          <w:p>
            <w:pPr>
              <w:jc w:val="right"/>
              <w:ind w:right="379"/>
              <w:spacing w:after="0"/>
              <w:rPr>
                <w:sz w:val="20"/>
                <w:szCs w:val="20"/>
                <w:color w:val="auto"/>
              </w:rPr>
            </w:pPr>
            <w:r>
              <w:rPr>
                <w:rFonts w:ascii="Arial" w:cs="Arial" w:eastAsia="Arial" w:hAnsi="Arial"/>
                <w:sz w:val="16"/>
                <w:szCs w:val="16"/>
                <w:color w:val="auto"/>
              </w:rPr>
              <w:t>Nine Months Ended</w:t>
            </w:r>
          </w:p>
        </w:tc>
        <w:tc>
          <w:tcPr>
            <w:tcW w:w="100" w:type="dxa"/>
            <w:vAlign w:val="bottom"/>
          </w:tcPr>
          <w:p>
            <w:pPr>
              <w:spacing w:after="0"/>
              <w:rPr>
                <w:sz w:val="15"/>
                <w:szCs w:val="15"/>
                <w:color w:val="auto"/>
              </w:rPr>
            </w:pPr>
          </w:p>
        </w:tc>
        <w:tc>
          <w:tcPr>
            <w:tcW w:w="2060" w:type="dxa"/>
            <w:vAlign w:val="bottom"/>
            <w:gridSpan w:val="2"/>
          </w:tcPr>
          <w:p>
            <w:pPr>
              <w:jc w:val="right"/>
              <w:ind w:right="359"/>
              <w:spacing w:after="0"/>
              <w:rPr>
                <w:sz w:val="20"/>
                <w:szCs w:val="20"/>
                <w:color w:val="auto"/>
              </w:rPr>
            </w:pPr>
            <w:r>
              <w:rPr>
                <w:rFonts w:ascii="Arial" w:cs="Arial" w:eastAsia="Arial" w:hAnsi="Arial"/>
                <w:sz w:val="16"/>
                <w:szCs w:val="16"/>
                <w:color w:val="auto"/>
              </w:rPr>
              <w:t>Three Months Ended</w:t>
            </w:r>
          </w:p>
        </w:tc>
        <w:tc>
          <w:tcPr>
            <w:tcW w:w="2000" w:type="dxa"/>
            <w:vAlign w:val="bottom"/>
            <w:gridSpan w:val="2"/>
          </w:tcPr>
          <w:p>
            <w:pPr>
              <w:jc w:val="right"/>
              <w:ind w:right="37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2"/>
          </w:tcPr>
          <w:p>
            <w:pPr>
              <w:jc w:val="right"/>
              <w:ind w:right="419"/>
              <w:spacing w:after="0"/>
              <w:rPr>
                <w:sz w:val="20"/>
                <w:szCs w:val="20"/>
                <w:color w:val="auto"/>
              </w:rPr>
            </w:pPr>
            <w:r>
              <w:rPr>
                <w:rFonts w:ascii="Arial" w:cs="Arial" w:eastAsia="Arial" w:hAnsi="Arial"/>
                <w:sz w:val="16"/>
                <w:szCs w:val="16"/>
                <w:color w:val="auto"/>
              </w:rPr>
              <w:t>September 30,</w:t>
            </w:r>
          </w:p>
        </w:tc>
        <w:tc>
          <w:tcPr>
            <w:tcW w:w="1980" w:type="dxa"/>
            <w:vAlign w:val="bottom"/>
            <w:gridSpan w:val="2"/>
          </w:tcPr>
          <w:p>
            <w:pPr>
              <w:jc w:val="right"/>
              <w:ind w:right="399"/>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6"/>
                <w:szCs w:val="16"/>
                <w:color w:val="auto"/>
              </w:rPr>
            </w:pPr>
          </w:p>
        </w:tc>
        <w:tc>
          <w:tcPr>
            <w:tcW w:w="2060" w:type="dxa"/>
            <w:vAlign w:val="bottom"/>
            <w:gridSpan w:val="2"/>
          </w:tcPr>
          <w:p>
            <w:pPr>
              <w:jc w:val="right"/>
              <w:ind w:right="439"/>
              <w:spacing w:after="0"/>
              <w:rPr>
                <w:sz w:val="20"/>
                <w:szCs w:val="20"/>
                <w:color w:val="auto"/>
              </w:rPr>
            </w:pPr>
            <w:r>
              <w:rPr>
                <w:rFonts w:ascii="Arial" w:cs="Arial" w:eastAsia="Arial" w:hAnsi="Arial"/>
                <w:sz w:val="16"/>
                <w:szCs w:val="16"/>
                <w:color w:val="auto"/>
              </w:rPr>
              <w:t>September 30,</w:t>
            </w:r>
          </w:p>
        </w:tc>
        <w:tc>
          <w:tcPr>
            <w:tcW w:w="2000" w:type="dxa"/>
            <w:vAlign w:val="bottom"/>
            <w:gridSpan w:val="2"/>
          </w:tcPr>
          <w:p>
            <w:pPr>
              <w:jc w:val="right"/>
              <w:ind w:right="39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EFFE7"/>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3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sidential</w:t>
            </w:r>
          </w:p>
        </w:tc>
        <w:tc>
          <w:tcPr>
            <w:tcW w:w="3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66,138$</w:t>
            </w: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62,395$</w:t>
            </w:r>
          </w:p>
        </w:tc>
        <w:tc>
          <w:tcPr>
            <w:tcW w:w="10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192,349$</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167,048</w:t>
            </w:r>
          </w:p>
        </w:tc>
        <w:tc>
          <w:tcPr>
            <w:tcW w:w="11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419,001</w:t>
            </w:r>
          </w:p>
        </w:tc>
        <w:tc>
          <w:tcPr>
            <w:tcW w:w="10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405,989</w:t>
            </w:r>
          </w:p>
        </w:tc>
        <w:tc>
          <w:tcPr>
            <w:tcW w:w="10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1,150,150</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1,113,821</w:t>
            </w:r>
          </w:p>
        </w:tc>
        <w:tc>
          <w:tcPr>
            <w:tcW w:w="0" w:type="dxa"/>
            <w:vAlign w:val="bottom"/>
          </w:tcPr>
          <w:p>
            <w:pPr>
              <w:spacing w:after="0"/>
              <w:rPr>
                <w:sz w:val="1"/>
                <w:szCs w:val="1"/>
                <w:color w:val="auto"/>
              </w:rPr>
            </w:pPr>
          </w:p>
        </w:tc>
      </w:tr>
      <w:tr>
        <w:trPr>
          <w:trHeight w:val="213"/>
        </w:trPr>
        <w:tc>
          <w:tcPr>
            <w:tcW w:w="2480" w:type="dxa"/>
            <w:vAlign w:val="bottom"/>
            <w:gridSpan w:val="3"/>
          </w:tcPr>
          <w:p>
            <w:pPr>
              <w:spacing w:after="0"/>
              <w:rPr>
                <w:sz w:val="20"/>
                <w:szCs w:val="20"/>
                <w:color w:val="auto"/>
              </w:rPr>
            </w:pPr>
            <w:r>
              <w:rPr>
                <w:rFonts w:ascii="Arial" w:cs="Arial" w:eastAsia="Arial" w:hAnsi="Arial"/>
                <w:sz w:val="16"/>
                <w:szCs w:val="16"/>
                <w:color w:val="auto"/>
              </w:rPr>
              <w:t>mmercial</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70,696</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64,756</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214,512</w:t>
            </w:r>
          </w:p>
        </w:tc>
        <w:tc>
          <w:tcPr>
            <w:tcW w:w="960" w:type="dxa"/>
            <w:vAlign w:val="bottom"/>
          </w:tcPr>
          <w:p>
            <w:pPr>
              <w:jc w:val="right"/>
              <w:spacing w:after="0"/>
              <w:rPr>
                <w:sz w:val="20"/>
                <w:szCs w:val="20"/>
                <w:color w:val="auto"/>
              </w:rPr>
            </w:pPr>
            <w:r>
              <w:rPr>
                <w:rFonts w:ascii="Arial" w:cs="Arial" w:eastAsia="Arial" w:hAnsi="Arial"/>
                <w:sz w:val="16"/>
                <w:szCs w:val="16"/>
                <w:color w:val="auto"/>
              </w:rPr>
              <w:t>178,979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576,037</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538,299</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1,570,455</w:t>
            </w:r>
          </w:p>
        </w:tc>
        <w:tc>
          <w:tcPr>
            <w:tcW w:w="980" w:type="dxa"/>
            <w:vAlign w:val="bottom"/>
          </w:tcPr>
          <w:p>
            <w:pPr>
              <w:jc w:val="right"/>
              <w:spacing w:after="0"/>
              <w:rPr>
                <w:sz w:val="20"/>
                <w:szCs w:val="20"/>
                <w:color w:val="auto"/>
              </w:rPr>
            </w:pPr>
            <w:r>
              <w:rPr>
                <w:rFonts w:ascii="Arial" w:cs="Arial" w:eastAsia="Arial" w:hAnsi="Arial"/>
                <w:sz w:val="16"/>
                <w:szCs w:val="16"/>
                <w:color w:val="auto"/>
              </w:rPr>
              <w:t>1,492,239</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3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ustrial</w:t>
            </w:r>
          </w:p>
        </w:tc>
        <w:tc>
          <w:tcPr>
            <w:tcW w:w="3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37,323</w:t>
            </w: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35,660</w:t>
            </w:r>
          </w:p>
        </w:tc>
        <w:tc>
          <w:tcPr>
            <w:tcW w:w="10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115,518</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99,725</w:t>
            </w:r>
          </w:p>
        </w:tc>
        <w:tc>
          <w:tcPr>
            <w:tcW w:w="11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459,076</w:t>
            </w:r>
          </w:p>
        </w:tc>
        <w:tc>
          <w:tcPr>
            <w:tcW w:w="10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462,545</w:t>
            </w:r>
          </w:p>
        </w:tc>
        <w:tc>
          <w:tcPr>
            <w:tcW w:w="10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1,316,060</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1,382,710</w:t>
            </w:r>
          </w:p>
        </w:tc>
        <w:tc>
          <w:tcPr>
            <w:tcW w:w="0" w:type="dxa"/>
            <w:vAlign w:val="bottom"/>
          </w:tcPr>
          <w:p>
            <w:pPr>
              <w:spacing w:after="0"/>
              <w:rPr>
                <w:sz w:val="1"/>
                <w:szCs w:val="1"/>
                <w:color w:val="auto"/>
              </w:rPr>
            </w:pPr>
          </w:p>
        </w:tc>
      </w:tr>
      <w:tr>
        <w:trPr>
          <w:trHeight w:val="213"/>
        </w:trPr>
        <w:tc>
          <w:tcPr>
            <w:tcW w:w="2480" w:type="dxa"/>
            <w:vAlign w:val="bottom"/>
            <w:gridSpan w:val="3"/>
          </w:tcPr>
          <w:p>
            <w:pPr>
              <w:ind w:left="20"/>
              <w:spacing w:after="0"/>
              <w:rPr>
                <w:sz w:val="20"/>
                <w:szCs w:val="20"/>
                <w:color w:val="auto"/>
              </w:rPr>
            </w:pPr>
            <w:r>
              <w:rPr>
                <w:rFonts w:ascii="Arial" w:cs="Arial" w:eastAsia="Arial" w:hAnsi="Arial"/>
                <w:sz w:val="16"/>
                <w:szCs w:val="16"/>
                <w:color w:val="auto"/>
              </w:rPr>
              <w:t>nicipal</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5,069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4,834</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14,471</w:t>
            </w:r>
          </w:p>
        </w:tc>
        <w:tc>
          <w:tcPr>
            <w:tcW w:w="960" w:type="dxa"/>
            <w:vAlign w:val="bottom"/>
          </w:tcPr>
          <w:p>
            <w:pPr>
              <w:jc w:val="right"/>
              <w:spacing w:after="0"/>
              <w:rPr>
                <w:sz w:val="20"/>
                <w:szCs w:val="20"/>
                <w:color w:val="auto"/>
              </w:rPr>
            </w:pPr>
            <w:r>
              <w:rPr>
                <w:rFonts w:ascii="Arial" w:cs="Arial" w:eastAsia="Arial" w:hAnsi="Arial"/>
                <w:sz w:val="16"/>
                <w:szCs w:val="16"/>
                <w:color w:val="auto"/>
              </w:rPr>
              <w:t>12,732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47,515</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46,256</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123,620</w:t>
            </w:r>
          </w:p>
        </w:tc>
        <w:tc>
          <w:tcPr>
            <w:tcW w:w="980" w:type="dxa"/>
            <w:vAlign w:val="bottom"/>
          </w:tcPr>
          <w:p>
            <w:pPr>
              <w:jc w:val="right"/>
              <w:spacing w:after="0"/>
              <w:rPr>
                <w:sz w:val="20"/>
                <w:szCs w:val="20"/>
                <w:color w:val="auto"/>
              </w:rPr>
            </w:pPr>
            <w:r>
              <w:rPr>
                <w:rFonts w:ascii="Arial" w:cs="Arial" w:eastAsia="Arial" w:hAnsi="Arial"/>
                <w:sz w:val="16"/>
                <w:szCs w:val="16"/>
                <w:color w:val="auto"/>
              </w:rPr>
              <w:t>121,027</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2380" w:type="dxa"/>
            <w:vAlign w:val="bottom"/>
            <w:tcBorders>
              <w:top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w w:val="98"/>
              </w:rPr>
              <w:t>Subtotal Retail Revenue - Electric</w:t>
            </w:r>
          </w:p>
        </w:tc>
        <w:tc>
          <w:tcPr>
            <w:tcW w:w="360" w:type="dxa"/>
            <w:vAlign w:val="bottom"/>
            <w:tcBorders>
              <w:top w:val="single" w:sz="8" w:color="CEFFE7"/>
            </w:tcBorders>
            <w:shd w:val="clear" w:color="auto" w:fill="CEFFE7"/>
          </w:tcPr>
          <w:p>
            <w:pPr>
              <w:spacing w:after="0"/>
              <w:rPr>
                <w:sz w:val="18"/>
                <w:szCs w:val="18"/>
                <w:color w:val="auto"/>
              </w:rPr>
            </w:pPr>
          </w:p>
        </w:tc>
        <w:tc>
          <w:tcPr>
            <w:tcW w:w="9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179,226</w:t>
            </w:r>
          </w:p>
        </w:tc>
        <w:tc>
          <w:tcPr>
            <w:tcW w:w="108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167,645</w:t>
            </w:r>
          </w:p>
        </w:tc>
        <w:tc>
          <w:tcPr>
            <w:tcW w:w="1020" w:type="dxa"/>
            <w:vAlign w:val="bottom"/>
            <w:tcBorders>
              <w:top w:val="single" w:sz="8" w:color="auto"/>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536,850</w:t>
            </w:r>
          </w:p>
        </w:tc>
        <w:tc>
          <w:tcPr>
            <w:tcW w:w="9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458,484</w:t>
            </w:r>
          </w:p>
        </w:tc>
        <w:tc>
          <w:tcPr>
            <w:tcW w:w="100" w:type="dxa"/>
            <w:vAlign w:val="bottom"/>
            <w:tcBorders>
              <w:top w:val="single" w:sz="8" w:color="CEFFE7"/>
            </w:tcBorders>
            <w:shd w:val="clear" w:color="auto" w:fill="CEFFE7"/>
          </w:tcPr>
          <w:p>
            <w:pPr>
              <w:spacing w:after="0"/>
              <w:rPr>
                <w:sz w:val="18"/>
                <w:szCs w:val="18"/>
                <w:color w:val="auto"/>
              </w:rPr>
            </w:pPr>
          </w:p>
        </w:tc>
        <w:tc>
          <w:tcPr>
            <w:tcW w:w="10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1,501,629</w:t>
            </w:r>
          </w:p>
        </w:tc>
        <w:tc>
          <w:tcPr>
            <w:tcW w:w="106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1,453,089</w:t>
            </w:r>
          </w:p>
        </w:tc>
        <w:tc>
          <w:tcPr>
            <w:tcW w:w="102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4,160,285</w:t>
            </w:r>
          </w:p>
        </w:tc>
        <w:tc>
          <w:tcPr>
            <w:tcW w:w="9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4,109,797</w:t>
            </w:r>
          </w:p>
        </w:tc>
        <w:tc>
          <w:tcPr>
            <w:tcW w:w="0" w:type="dxa"/>
            <w:vAlign w:val="bottom"/>
          </w:tcPr>
          <w:p>
            <w:pPr>
              <w:spacing w:after="0"/>
              <w:rPr>
                <w:sz w:val="1"/>
                <w:szCs w:val="1"/>
                <w:color w:val="auto"/>
              </w:rPr>
            </w:pPr>
          </w:p>
        </w:tc>
      </w:tr>
      <w:tr>
        <w:trPr>
          <w:trHeight w:val="210"/>
        </w:trPr>
        <w:tc>
          <w:tcPr>
            <w:tcW w:w="2480" w:type="dxa"/>
            <w:vAlign w:val="bottom"/>
            <w:gridSpan w:val="3"/>
          </w:tcPr>
          <w:p>
            <w:pPr>
              <w:spacing w:after="0"/>
              <w:rPr>
                <w:sz w:val="20"/>
                <w:szCs w:val="20"/>
                <w:color w:val="auto"/>
              </w:rPr>
            </w:pPr>
            <w:r>
              <w:rPr>
                <w:rFonts w:ascii="Arial" w:cs="Arial" w:eastAsia="Arial" w:hAnsi="Arial"/>
                <w:sz w:val="16"/>
                <w:szCs w:val="16"/>
                <w:color w:val="auto"/>
              </w:rPr>
              <w:t>ntract Wholesale</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7,939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5,924</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22,155</w:t>
            </w:r>
          </w:p>
        </w:tc>
        <w:tc>
          <w:tcPr>
            <w:tcW w:w="960" w:type="dxa"/>
            <w:vAlign w:val="bottom"/>
          </w:tcPr>
          <w:p>
            <w:pPr>
              <w:jc w:val="right"/>
              <w:spacing w:after="0"/>
              <w:rPr>
                <w:sz w:val="20"/>
                <w:szCs w:val="20"/>
                <w:color w:val="auto"/>
              </w:rPr>
            </w:pPr>
            <w:r>
              <w:rPr>
                <w:rFonts w:ascii="Arial" w:cs="Arial" w:eastAsia="Arial" w:hAnsi="Arial"/>
                <w:sz w:val="16"/>
                <w:szCs w:val="16"/>
                <w:color w:val="auto"/>
              </w:rPr>
              <w:t>14,947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129,221</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129,960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415,979</w:t>
            </w:r>
          </w:p>
        </w:tc>
        <w:tc>
          <w:tcPr>
            <w:tcW w:w="980" w:type="dxa"/>
            <w:vAlign w:val="bottom"/>
          </w:tcPr>
          <w:p>
            <w:pPr>
              <w:jc w:val="right"/>
              <w:spacing w:after="0"/>
              <w:rPr>
                <w:sz w:val="20"/>
                <w:szCs w:val="20"/>
                <w:color w:val="auto"/>
              </w:rPr>
            </w:pPr>
            <w:r>
              <w:rPr>
                <w:rFonts w:ascii="Arial" w:cs="Arial" w:eastAsia="Arial" w:hAnsi="Arial"/>
                <w:sz w:val="16"/>
                <w:szCs w:val="16"/>
                <w:color w:val="auto"/>
              </w:rPr>
              <w:t>348,991</w:t>
            </w:r>
          </w:p>
        </w:tc>
        <w:tc>
          <w:tcPr>
            <w:tcW w:w="0" w:type="dxa"/>
            <w:vAlign w:val="bottom"/>
          </w:tcPr>
          <w:p>
            <w:pPr>
              <w:spacing w:after="0"/>
              <w:rPr>
                <w:sz w:val="1"/>
                <w:szCs w:val="1"/>
                <w:color w:val="auto"/>
              </w:rPr>
            </w:pPr>
          </w:p>
        </w:tc>
      </w:tr>
      <w:tr>
        <w:trPr>
          <w:trHeight w:val="219"/>
        </w:trPr>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74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system/Power Marketing Wholesale</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11,065</w:t>
            </w: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9,535</w:t>
            </w:r>
          </w:p>
        </w:tc>
        <w:tc>
          <w:tcPr>
            <w:tcW w:w="10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22,378</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17,939</w:t>
            </w:r>
          </w:p>
        </w:tc>
        <w:tc>
          <w:tcPr>
            <w:tcW w:w="11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151,250</w:t>
            </w:r>
          </w:p>
        </w:tc>
        <w:tc>
          <w:tcPr>
            <w:tcW w:w="10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167,494</w:t>
            </w:r>
          </w:p>
        </w:tc>
        <w:tc>
          <w:tcPr>
            <w:tcW w:w="10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467,440</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469,590</w:t>
            </w:r>
          </w:p>
        </w:tc>
        <w:tc>
          <w:tcPr>
            <w:tcW w:w="0" w:type="dxa"/>
            <w:vAlign w:val="bottom"/>
          </w:tcPr>
          <w:p>
            <w:pPr>
              <w:spacing w:after="0"/>
              <w:rPr>
                <w:sz w:val="1"/>
                <w:szCs w:val="1"/>
                <w:color w:val="auto"/>
              </w:rPr>
            </w:pPr>
          </w:p>
        </w:tc>
      </w:tr>
      <w:tr>
        <w:trPr>
          <w:trHeight w:val="213"/>
        </w:trPr>
        <w:tc>
          <w:tcPr>
            <w:tcW w:w="2480" w:type="dxa"/>
            <w:vAlign w:val="bottom"/>
            <w:gridSpan w:val="3"/>
          </w:tcPr>
          <w:p>
            <w:pPr>
              <w:spacing w:after="0"/>
              <w:rPr>
                <w:sz w:val="20"/>
                <w:szCs w:val="20"/>
                <w:color w:val="auto"/>
              </w:rPr>
            </w:pPr>
            <w:r>
              <w:rPr>
                <w:rFonts w:ascii="Arial" w:cs="Arial" w:eastAsia="Arial" w:hAnsi="Arial"/>
                <w:sz w:val="16"/>
                <w:szCs w:val="16"/>
                <w:color w:val="auto"/>
              </w:rPr>
              <w:t>her</w:t>
            </w:r>
          </w:p>
        </w:tc>
        <w:tc>
          <w:tcPr>
            <w:tcW w:w="3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14,873</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17,738</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44,061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46,811</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480" w:type="dxa"/>
            <w:vAlign w:val="bottom"/>
            <w:gridSpan w:val="3"/>
          </w:tcPr>
          <w:p>
            <w:pPr>
              <w:spacing w:after="0"/>
              <w:rPr>
                <w:sz w:val="20"/>
                <w:szCs w:val="20"/>
                <w:color w:val="auto"/>
              </w:rPr>
            </w:pPr>
            <w:r>
              <w:rPr>
                <w:rFonts w:ascii="Arial" w:cs="Arial" w:eastAsia="Arial" w:hAnsi="Arial"/>
                <w:sz w:val="16"/>
                <w:szCs w:val="16"/>
                <w:color w:val="auto"/>
              </w:rPr>
              <w:t>Total Revenue and Energy Sold</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213,103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200,842</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625,444</w:t>
            </w:r>
          </w:p>
        </w:tc>
        <w:tc>
          <w:tcPr>
            <w:tcW w:w="960" w:type="dxa"/>
            <w:vAlign w:val="bottom"/>
          </w:tcPr>
          <w:p>
            <w:pPr>
              <w:jc w:val="right"/>
              <w:spacing w:after="0"/>
              <w:rPr>
                <w:sz w:val="20"/>
                <w:szCs w:val="20"/>
                <w:color w:val="auto"/>
              </w:rPr>
            </w:pPr>
            <w:r>
              <w:rPr>
                <w:rFonts w:ascii="Arial" w:cs="Arial" w:eastAsia="Arial" w:hAnsi="Arial"/>
                <w:sz w:val="16"/>
                <w:szCs w:val="16"/>
                <w:color w:val="auto"/>
              </w:rPr>
              <w:t>538,181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1,782,100</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1,750,543</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5,043,704</w:t>
            </w:r>
          </w:p>
        </w:tc>
        <w:tc>
          <w:tcPr>
            <w:tcW w:w="980" w:type="dxa"/>
            <w:vAlign w:val="bottom"/>
          </w:tcPr>
          <w:p>
            <w:pPr>
              <w:jc w:val="right"/>
              <w:spacing w:after="0"/>
              <w:rPr>
                <w:sz w:val="20"/>
                <w:szCs w:val="20"/>
                <w:color w:val="auto"/>
              </w:rPr>
            </w:pPr>
            <w:r>
              <w:rPr>
                <w:rFonts w:ascii="Arial" w:cs="Arial" w:eastAsia="Arial" w:hAnsi="Arial"/>
                <w:sz w:val="16"/>
                <w:szCs w:val="16"/>
                <w:color w:val="auto"/>
              </w:rPr>
              <w:t>4,928,378</w:t>
            </w:r>
          </w:p>
        </w:tc>
        <w:tc>
          <w:tcPr>
            <w:tcW w:w="0" w:type="dxa"/>
            <w:vAlign w:val="bottom"/>
          </w:tcPr>
          <w:p>
            <w:pPr>
              <w:spacing w:after="0"/>
              <w:rPr>
                <w:sz w:val="1"/>
                <w:szCs w:val="1"/>
                <w:color w:val="auto"/>
              </w:rPr>
            </w:pPr>
          </w:p>
        </w:tc>
      </w:tr>
      <w:tr>
        <w:trPr>
          <w:trHeight w:val="219"/>
        </w:trPr>
        <w:tc>
          <w:tcPr>
            <w:tcW w:w="2840" w:type="dxa"/>
            <w:vAlign w:val="bottom"/>
            <w:gridSpan w:val="4"/>
          </w:tcPr>
          <w:p>
            <w:pPr>
              <w:spacing w:after="0"/>
              <w:rPr>
                <w:sz w:val="20"/>
                <w:szCs w:val="20"/>
                <w:color w:val="auto"/>
              </w:rPr>
            </w:pPr>
            <w:r>
              <w:rPr>
                <w:rFonts w:ascii="Arial" w:cs="Arial" w:eastAsia="Arial" w:hAnsi="Arial"/>
                <w:sz w:val="16"/>
                <w:szCs w:val="16"/>
                <w:color w:val="auto"/>
              </w:rPr>
              <w:t>her Uses, Losses or Generation, net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139,093</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118,410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363,815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294,466</w:t>
            </w:r>
          </w:p>
        </w:tc>
        <w:tc>
          <w:tcPr>
            <w:tcW w:w="0" w:type="dxa"/>
            <w:vAlign w:val="bottom"/>
          </w:tcPr>
          <w:p>
            <w:pPr>
              <w:spacing w:after="0"/>
              <w:rPr>
                <w:sz w:val="1"/>
                <w:szCs w:val="1"/>
                <w:color w:val="auto"/>
              </w:rPr>
            </w:pPr>
          </w:p>
        </w:tc>
      </w:tr>
      <w:tr>
        <w:trPr>
          <w:trHeight w:val="213"/>
        </w:trPr>
        <w:tc>
          <w:tcPr>
            <w:tcW w:w="2480" w:type="dxa"/>
            <w:vAlign w:val="bottom"/>
            <w:gridSpan w:val="3"/>
          </w:tcPr>
          <w:p>
            <w:pPr>
              <w:spacing w:after="0"/>
              <w:rPr>
                <w:sz w:val="20"/>
                <w:szCs w:val="20"/>
                <w:color w:val="auto"/>
              </w:rPr>
            </w:pPr>
            <w:r>
              <w:rPr>
                <w:rFonts w:ascii="Arial" w:cs="Arial" w:eastAsia="Arial" w:hAnsi="Arial"/>
                <w:sz w:val="16"/>
                <w:szCs w:val="16"/>
                <w:color w:val="auto"/>
              </w:rPr>
              <w:t>Total Revenue and Energy</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213,103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200,842</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625,444</w:t>
            </w:r>
          </w:p>
        </w:tc>
        <w:tc>
          <w:tcPr>
            <w:tcW w:w="960" w:type="dxa"/>
            <w:vAlign w:val="bottom"/>
          </w:tcPr>
          <w:p>
            <w:pPr>
              <w:jc w:val="right"/>
              <w:spacing w:after="0"/>
              <w:rPr>
                <w:sz w:val="20"/>
                <w:szCs w:val="20"/>
                <w:color w:val="auto"/>
              </w:rPr>
            </w:pPr>
            <w:r>
              <w:rPr>
                <w:rFonts w:ascii="Arial" w:cs="Arial" w:eastAsia="Arial" w:hAnsi="Arial"/>
                <w:sz w:val="16"/>
                <w:szCs w:val="16"/>
                <w:color w:val="auto"/>
              </w:rPr>
              <w:t>538,181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1,921,193</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1,868,953</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5,407,519</w:t>
            </w:r>
          </w:p>
        </w:tc>
        <w:tc>
          <w:tcPr>
            <w:tcW w:w="980" w:type="dxa"/>
            <w:vAlign w:val="bottom"/>
          </w:tcPr>
          <w:p>
            <w:pPr>
              <w:jc w:val="right"/>
              <w:spacing w:after="0"/>
              <w:rPr>
                <w:sz w:val="20"/>
                <w:szCs w:val="20"/>
                <w:color w:val="auto"/>
              </w:rPr>
            </w:pPr>
            <w:r>
              <w:rPr>
                <w:rFonts w:ascii="Arial" w:cs="Arial" w:eastAsia="Arial" w:hAnsi="Arial"/>
                <w:sz w:val="16"/>
                <w:szCs w:val="16"/>
                <w:color w:val="auto"/>
              </w:rPr>
              <w:t>5,222,844</w:t>
            </w:r>
          </w:p>
        </w:tc>
        <w:tc>
          <w:tcPr>
            <w:tcW w:w="0" w:type="dxa"/>
            <w:vAlign w:val="bottom"/>
          </w:tcPr>
          <w:p>
            <w:pPr>
              <w:spacing w:after="0"/>
              <w:rPr>
                <w:sz w:val="1"/>
                <w:szCs w:val="1"/>
                <w:color w:val="auto"/>
              </w:rPr>
            </w:pPr>
          </w:p>
        </w:tc>
      </w:tr>
      <w:tr>
        <w:trPr>
          <w:trHeight w:val="20"/>
        </w:trPr>
        <w:tc>
          <w:tcPr>
            <w:tcW w:w="2840" w:type="dxa"/>
            <w:vAlign w:val="bottom"/>
            <w:gridSpan w:val="4"/>
            <w:vMerge w:val="restart"/>
          </w:tcPr>
          <w:p>
            <w:pPr>
              <w:spacing w:after="0"/>
              <w:rPr>
                <w:sz w:val="20"/>
                <w:szCs w:val="20"/>
                <w:color w:val="auto"/>
              </w:rPr>
            </w:pPr>
            <w:r>
              <w:rPr>
                <w:rFonts w:ascii="Arial" w:cs="Arial" w:eastAsia="Arial" w:hAnsi="Arial"/>
                <w:sz w:val="16"/>
                <w:szCs w:val="16"/>
                <w:color w:val="auto"/>
              </w:rPr>
              <w:t>ss cost of fuel and purchased power</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82,794</w:t>
            </w: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77,885</w:t>
            </w: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290,101</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201,398</w:t>
            </w: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840" w:type="dxa"/>
            <w:vAlign w:val="bottom"/>
            <w:gridSpan w:val="4"/>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2380" w:type="dxa"/>
            <w:vAlign w:val="bottom"/>
            <w:tcBorders>
              <w:top w:val="single" w:sz="8" w:color="CEFFE7"/>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Gross Margin (non-GAAP)</w:t>
            </w:r>
          </w:p>
        </w:tc>
        <w:tc>
          <w:tcPr>
            <w:tcW w:w="360" w:type="dxa"/>
            <w:vAlign w:val="bottom"/>
            <w:tcBorders>
              <w:top w:val="single" w:sz="8" w:color="CEFFE7"/>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130,309$</w:t>
            </w:r>
          </w:p>
        </w:tc>
        <w:tc>
          <w:tcPr>
            <w:tcW w:w="108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122,957$</w:t>
            </w:r>
          </w:p>
        </w:tc>
        <w:tc>
          <w:tcPr>
            <w:tcW w:w="1020" w:type="dxa"/>
            <w:vAlign w:val="bottom"/>
            <w:tcBorders>
              <w:top w:val="single" w:sz="8" w:color="auto"/>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335,343$</w:t>
            </w:r>
          </w:p>
        </w:tc>
        <w:tc>
          <w:tcPr>
            <w:tcW w:w="9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336,783</w:t>
            </w:r>
          </w:p>
        </w:tc>
        <w:tc>
          <w:tcPr>
            <w:tcW w:w="100" w:type="dxa"/>
            <w:vAlign w:val="bottom"/>
            <w:tcBorders>
              <w:top w:val="single" w:sz="8" w:color="CEFFE7"/>
              <w:bottom w:val="single" w:sz="8" w:color="CEFFE7"/>
            </w:tcBorders>
            <w:shd w:val="clear" w:color="auto" w:fill="CEFFE7"/>
          </w:tcPr>
          <w:p>
            <w:pPr>
              <w:spacing w:after="0"/>
              <w:rPr>
                <w:sz w:val="20"/>
                <w:szCs w:val="20"/>
                <w:color w:val="auto"/>
              </w:rPr>
            </w:pPr>
          </w:p>
        </w:tc>
        <w:tc>
          <w:tcPr>
            <w:tcW w:w="1000" w:type="dxa"/>
            <w:vAlign w:val="bottom"/>
            <w:tcBorders>
              <w:top w:val="single" w:sz="8" w:color="CEFFE7"/>
              <w:bottom w:val="single" w:sz="8" w:color="CEFFE7"/>
            </w:tcBorders>
            <w:shd w:val="clear" w:color="auto" w:fill="CEFFE7"/>
          </w:tcPr>
          <w:p>
            <w:pPr>
              <w:spacing w:after="0"/>
              <w:rPr>
                <w:sz w:val="20"/>
                <w:szCs w:val="20"/>
                <w:color w:val="auto"/>
              </w:rPr>
            </w:pPr>
          </w:p>
        </w:tc>
        <w:tc>
          <w:tcPr>
            <w:tcW w:w="1060" w:type="dxa"/>
            <w:vAlign w:val="bottom"/>
            <w:tcBorders>
              <w:top w:val="single" w:sz="8" w:color="CEFFE7"/>
              <w:bottom w:val="single" w:sz="8" w:color="CEFFE7"/>
            </w:tcBorders>
            <w:shd w:val="clear" w:color="auto" w:fill="CEFFE7"/>
          </w:tcPr>
          <w:p>
            <w:pPr>
              <w:spacing w:after="0"/>
              <w:rPr>
                <w:sz w:val="20"/>
                <w:szCs w:val="20"/>
                <w:color w:val="auto"/>
              </w:rPr>
            </w:pPr>
          </w:p>
        </w:tc>
        <w:tc>
          <w:tcPr>
            <w:tcW w:w="1020" w:type="dxa"/>
            <w:vAlign w:val="bottom"/>
            <w:tcBorders>
              <w:top w:val="single" w:sz="8" w:color="CEFFE7"/>
              <w:bottom w:val="single" w:sz="8" w:color="CEFFE7"/>
            </w:tcBorders>
            <w:shd w:val="clear" w:color="auto" w:fill="CEFFE7"/>
          </w:tcPr>
          <w:p>
            <w:pPr>
              <w:spacing w:after="0"/>
              <w:rPr>
                <w:sz w:val="20"/>
                <w:szCs w:val="20"/>
                <w:color w:val="auto"/>
              </w:rPr>
            </w:pPr>
          </w:p>
        </w:tc>
        <w:tc>
          <w:tcPr>
            <w:tcW w:w="980" w:type="dxa"/>
            <w:vAlign w:val="bottom"/>
            <w:tcBorders>
              <w:top w:val="single" w:sz="8" w:color="CEFFE7"/>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Borders>
              <w:top w:val="single" w:sz="8" w:color="CEFFE7"/>
            </w:tcBorders>
          </w:tcPr>
          <w:p>
            <w:pPr>
              <w:spacing w:after="0" w:line="20" w:lineRule="exact"/>
              <w:rPr>
                <w:sz w:val="1"/>
                <w:szCs w:val="1"/>
                <w:color w:val="auto"/>
              </w:rPr>
            </w:pPr>
          </w:p>
        </w:tc>
        <w:tc>
          <w:tcPr>
            <w:tcW w:w="1020" w:type="dxa"/>
            <w:vAlign w:val="bottom"/>
            <w:tcBorders>
              <w:top w:val="single" w:sz="8" w:color="CEFFE7"/>
            </w:tcBorders>
          </w:tcPr>
          <w:p>
            <w:pPr>
              <w:spacing w:after="0" w:line="20" w:lineRule="exact"/>
              <w:rPr>
                <w:sz w:val="1"/>
                <w:szCs w:val="1"/>
                <w:color w:val="auto"/>
              </w:rPr>
            </w:pPr>
          </w:p>
        </w:tc>
        <w:tc>
          <w:tcPr>
            <w:tcW w:w="36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tcBorders>
          </w:tcPr>
          <w:p>
            <w:pPr>
              <w:spacing w:after="0" w:line="20" w:lineRule="exact"/>
              <w:rPr>
                <w:sz w:val="1"/>
                <w:szCs w:val="1"/>
                <w:color w:val="auto"/>
              </w:rPr>
            </w:pPr>
          </w:p>
        </w:tc>
        <w:tc>
          <w:tcPr>
            <w:tcW w:w="1060" w:type="dxa"/>
            <w:vAlign w:val="bottom"/>
            <w:tcBorders>
              <w:top w:val="single" w:sz="8" w:color="CEFFE7"/>
            </w:tcBorders>
          </w:tcPr>
          <w:p>
            <w:pPr>
              <w:spacing w:after="0" w:line="20" w:lineRule="exact"/>
              <w:rPr>
                <w:sz w:val="1"/>
                <w:szCs w:val="1"/>
                <w:color w:val="auto"/>
              </w:rPr>
            </w:pPr>
          </w:p>
        </w:tc>
        <w:tc>
          <w:tcPr>
            <w:tcW w:w="1020" w:type="dxa"/>
            <w:vAlign w:val="bottom"/>
            <w:tcBorders>
              <w:top w:val="single" w:sz="8" w:color="CEFFE7"/>
            </w:tcBorders>
          </w:tcPr>
          <w:p>
            <w:pPr>
              <w:spacing w:after="0" w:line="20" w:lineRule="exact"/>
              <w:rPr>
                <w:sz w:val="1"/>
                <w:szCs w:val="1"/>
                <w:color w:val="auto"/>
              </w:rPr>
            </w:pPr>
          </w:p>
        </w:tc>
        <w:tc>
          <w:tcPr>
            <w:tcW w:w="98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-762000</wp:posOffset>
            </wp:positionV>
            <wp:extent cx="692658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6580"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69265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6580" cy="16319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420"/>
              <w:spacing w:after="0"/>
              <w:rPr>
                <w:sz w:val="20"/>
                <w:szCs w:val="20"/>
                <w:color w:val="auto"/>
              </w:rPr>
            </w:pPr>
            <w:r>
              <w:rPr>
                <w:rFonts w:ascii="Arial" w:cs="Arial" w:eastAsia="Arial" w:hAnsi="Arial"/>
                <w:sz w:val="16"/>
                <w:szCs w:val="16"/>
                <w:color w:val="auto"/>
                <w:w w:val="99"/>
              </w:rPr>
              <w:t>Revenue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20" w:type="dxa"/>
            <w:vAlign w:val="bottom"/>
            <w:gridSpan w:val="9"/>
          </w:tcPr>
          <w:p>
            <w:pPr>
              <w:jc w:val="right"/>
              <w:ind w:right="419"/>
              <w:spacing w:after="0"/>
              <w:rPr>
                <w:sz w:val="20"/>
                <w:szCs w:val="20"/>
                <w:color w:val="auto"/>
              </w:rPr>
            </w:pPr>
            <w:r>
              <w:rPr>
                <w:rFonts w:ascii="Arial" w:cs="Arial" w:eastAsia="Arial" w:hAnsi="Arial"/>
                <w:sz w:val="16"/>
                <w:szCs w:val="16"/>
                <w:color w:val="auto"/>
              </w:rPr>
              <w:t>Gross Margin (non-GAAP) (in</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20"/>
                <w:szCs w:val="20"/>
                <w:color w:val="auto"/>
              </w:rPr>
            </w:pPr>
            <w:r>
              <w:rPr>
                <w:rFonts w:ascii="Arial" w:cs="Arial" w:eastAsia="Arial" w:hAnsi="Arial"/>
                <w:sz w:val="16"/>
                <w:szCs w:val="16"/>
                <w:color w:val="auto"/>
              </w:rPr>
              <w:t>ree Months Ended September 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4"/>
          </w:tcPr>
          <w:p>
            <w:pPr>
              <w:ind w:left="420"/>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40"/>
              <w:spacing w:after="0"/>
              <w:rPr>
                <w:sz w:val="20"/>
                <w:szCs w:val="20"/>
                <w:color w:val="auto"/>
              </w:rPr>
            </w:pPr>
            <w:r>
              <w:rPr>
                <w:rFonts w:ascii="Arial" w:cs="Arial" w:eastAsia="Arial" w:hAnsi="Arial"/>
                <w:sz w:val="16"/>
                <w:szCs w:val="16"/>
                <w:color w:val="auto"/>
              </w:rPr>
              <w:t>thousands)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6"/>
          </w:tcPr>
          <w:p>
            <w:pPr>
              <w:jc w:val="right"/>
              <w:ind w:right="700"/>
              <w:spacing w:after="0" w:line="204" w:lineRule="exact"/>
              <w:rPr>
                <w:sz w:val="20"/>
                <w:szCs w:val="20"/>
                <w:color w:val="auto"/>
              </w:rPr>
            </w:pPr>
            <w:r>
              <w:rPr>
                <w:rFonts w:ascii="Arial" w:cs="Arial" w:eastAsia="Arial" w:hAnsi="Arial"/>
                <w:sz w:val="16"/>
                <w:szCs w:val="16"/>
                <w:color w:val="auto"/>
                <w:w w:val="99"/>
              </w:rPr>
              <w:t>Quantities Sold (MWh)</w:t>
            </w:r>
            <w:r>
              <w:rPr>
                <w:rFonts w:ascii="Arial" w:cs="Arial" w:eastAsia="Arial" w:hAnsi="Arial"/>
                <w:sz w:val="21"/>
                <w:szCs w:val="21"/>
                <w:color w:val="auto"/>
                <w:w w:val="99"/>
                <w:vertAlign w:val="superscript"/>
              </w:rPr>
              <w:t>(a)</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95"/>
              </w:rPr>
              <w:t>2020</w:t>
            </w: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4"/>
          </w:tcPr>
          <w:p>
            <w:pPr>
              <w:jc w:val="right"/>
              <w:ind w:right="639"/>
              <w:spacing w:after="0"/>
              <w:rPr>
                <w:sz w:val="20"/>
                <w:szCs w:val="20"/>
                <w:color w:val="auto"/>
              </w:rPr>
            </w:pPr>
            <w:r>
              <w:rPr>
                <w:rFonts w:ascii="Arial" w:cs="Arial" w:eastAsia="Arial" w:hAnsi="Arial"/>
                <w:sz w:val="16"/>
                <w:szCs w:val="16"/>
                <w:color w:val="auto"/>
              </w:rPr>
              <w:t>2021</w:t>
            </w:r>
          </w:p>
        </w:tc>
        <w:tc>
          <w:tcPr>
            <w:tcW w:w="9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2021</w:t>
            </w:r>
          </w:p>
        </w:tc>
        <w:tc>
          <w:tcPr>
            <w:tcW w:w="1600" w:type="dxa"/>
            <w:vAlign w:val="bottom"/>
            <w:tcBorders>
              <w:top w:val="single" w:sz="8" w:color="auto"/>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580" w:type="dxa"/>
            <w:vAlign w:val="bottom"/>
            <w:shd w:val="clear" w:color="auto" w:fill="CEFFE7"/>
          </w:tcPr>
          <w:p>
            <w:pPr>
              <w:spacing w:after="0"/>
              <w:rPr>
                <w:sz w:val="20"/>
                <w:szCs w:val="20"/>
                <w:color w:val="auto"/>
              </w:rPr>
            </w:pPr>
            <w:r>
              <w:rPr>
                <w:rFonts w:ascii="Arial" w:cs="Arial" w:eastAsia="Arial" w:hAnsi="Arial"/>
                <w:sz w:val="16"/>
                <w:szCs w:val="16"/>
                <w:color w:val="auto"/>
              </w:rPr>
              <w:t>lorado Electric</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83,274$</w:t>
            </w:r>
          </w:p>
        </w:tc>
        <w:tc>
          <w:tcPr>
            <w:tcW w:w="10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74,742$</w:t>
            </w:r>
          </w:p>
        </w:tc>
        <w:tc>
          <w:tcPr>
            <w:tcW w:w="100" w:type="dxa"/>
            <w:vAlign w:val="bottom"/>
            <w:shd w:val="clear" w:color="auto" w:fill="CEFFE7"/>
          </w:tcPr>
          <w:p>
            <w:pPr>
              <w:spacing w:after="0"/>
              <w:rPr>
                <w:sz w:val="18"/>
                <w:szCs w:val="18"/>
                <w:color w:val="auto"/>
              </w:rPr>
            </w:pPr>
          </w:p>
        </w:tc>
        <w:tc>
          <w:tcPr>
            <w:tcW w:w="6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45,482$</w:t>
            </w:r>
          </w:p>
        </w:tc>
        <w:tc>
          <w:tcPr>
            <w:tcW w:w="26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42,236</w:t>
            </w:r>
          </w:p>
        </w:tc>
        <w:tc>
          <w:tcPr>
            <w:tcW w:w="1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200" w:type="dxa"/>
            <w:vAlign w:val="bottom"/>
            <w:gridSpan w:val="3"/>
            <w:shd w:val="clear" w:color="auto" w:fill="CEFFE7"/>
          </w:tcPr>
          <w:p>
            <w:pPr>
              <w:jc w:val="right"/>
              <w:ind w:right="259"/>
              <w:spacing w:after="0"/>
              <w:rPr>
                <w:sz w:val="20"/>
                <w:szCs w:val="20"/>
                <w:color w:val="auto"/>
              </w:rPr>
            </w:pPr>
            <w:r>
              <w:rPr>
                <w:rFonts w:ascii="Arial" w:cs="Arial" w:eastAsia="Arial" w:hAnsi="Arial"/>
                <w:sz w:val="16"/>
                <w:szCs w:val="16"/>
                <w:color w:val="auto"/>
              </w:rPr>
              <w:t>720,592</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666,916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uth Dakota Electric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81,787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78,861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62,081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58,062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59"/>
              <w:spacing w:after="0"/>
              <w:rPr>
                <w:sz w:val="20"/>
                <w:szCs w:val="20"/>
                <w:color w:val="auto"/>
              </w:rPr>
            </w:pPr>
            <w:r>
              <w:rPr>
                <w:rFonts w:ascii="Arial" w:cs="Arial" w:eastAsia="Arial" w:hAnsi="Arial"/>
                <w:sz w:val="16"/>
                <w:szCs w:val="16"/>
                <w:color w:val="auto"/>
              </w:rPr>
              <w:t>709,862</w:t>
            </w:r>
          </w:p>
        </w:tc>
        <w:tc>
          <w:tcPr>
            <w:tcW w:w="820" w:type="dxa"/>
            <w:vAlign w:val="bottom"/>
          </w:tcPr>
          <w:p>
            <w:pPr>
              <w:jc w:val="right"/>
              <w:spacing w:after="0"/>
              <w:rPr>
                <w:sz w:val="20"/>
                <w:szCs w:val="20"/>
                <w:color w:val="auto"/>
              </w:rPr>
            </w:pPr>
            <w:r>
              <w:rPr>
                <w:rFonts w:ascii="Arial" w:cs="Arial" w:eastAsia="Arial" w:hAnsi="Arial"/>
                <w:sz w:val="16"/>
                <w:szCs w:val="16"/>
                <w:color w:val="auto"/>
              </w:rPr>
              <w:t>699,150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3580" w:type="dxa"/>
            <w:vAlign w:val="bottom"/>
            <w:shd w:val="clear" w:color="auto" w:fill="CEFFE7"/>
          </w:tcPr>
          <w:p>
            <w:pPr>
              <w:spacing w:after="0"/>
              <w:rPr>
                <w:sz w:val="20"/>
                <w:szCs w:val="20"/>
                <w:color w:val="auto"/>
              </w:rPr>
            </w:pPr>
            <w:r>
              <w:rPr>
                <w:rFonts w:ascii="Arial" w:cs="Arial" w:eastAsia="Arial" w:hAnsi="Arial"/>
                <w:sz w:val="16"/>
                <w:szCs w:val="16"/>
                <w:color w:val="auto"/>
              </w:rPr>
              <w:t>yoming Electric</w:t>
            </w:r>
          </w:p>
        </w:tc>
        <w:tc>
          <w:tcPr>
            <w:tcW w:w="2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80" w:type="dxa"/>
            <w:vAlign w:val="bottom"/>
            <w:tcBorders>
              <w:bottom w:val="single" w:sz="8" w:color="auto"/>
            </w:tcBorders>
            <w:shd w:val="clear" w:color="auto" w:fill="CEFFE7"/>
          </w:tcPr>
          <w:p>
            <w:pPr>
              <w:spacing w:after="0"/>
              <w:rPr>
                <w:sz w:val="19"/>
                <w:szCs w:val="19"/>
                <w:color w:val="auto"/>
              </w:rPr>
            </w:pPr>
          </w:p>
        </w:tc>
        <w:tc>
          <w:tcPr>
            <w:tcW w:w="140" w:type="dxa"/>
            <w:vAlign w:val="bottom"/>
            <w:tcBorders>
              <w:bottom w:val="single" w:sz="8" w:color="auto"/>
            </w:tcBorders>
            <w:shd w:val="clear" w:color="auto" w:fill="CEFFE7"/>
          </w:tcPr>
          <w:p>
            <w:pPr>
              <w:spacing w:after="0"/>
              <w:rPr>
                <w:sz w:val="19"/>
                <w:szCs w:val="19"/>
                <w:color w:val="auto"/>
              </w:rPr>
            </w:pPr>
          </w:p>
        </w:tc>
        <w:tc>
          <w:tcPr>
            <w:tcW w:w="108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48,042</w:t>
            </w:r>
          </w:p>
        </w:tc>
        <w:tc>
          <w:tcPr>
            <w:tcW w:w="100" w:type="dxa"/>
            <w:vAlign w:val="bottom"/>
            <w:tcBorders>
              <w:bottom w:val="single" w:sz="8" w:color="auto"/>
            </w:tcBorders>
            <w:shd w:val="clear" w:color="auto" w:fill="CEFFE7"/>
          </w:tcPr>
          <w:p>
            <w:pPr>
              <w:spacing w:after="0"/>
              <w:rPr>
                <w:sz w:val="19"/>
                <w:szCs w:val="19"/>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47,239</w:t>
            </w:r>
          </w:p>
        </w:tc>
        <w:tc>
          <w:tcPr>
            <w:tcW w:w="100" w:type="dxa"/>
            <w:vAlign w:val="bottom"/>
            <w:shd w:val="clear" w:color="auto" w:fill="CEFFE7"/>
          </w:tcPr>
          <w:p>
            <w:pPr>
              <w:spacing w:after="0"/>
              <w:rPr>
                <w:sz w:val="19"/>
                <w:szCs w:val="19"/>
                <w:color w:val="auto"/>
              </w:rPr>
            </w:pPr>
          </w:p>
        </w:tc>
        <w:tc>
          <w:tcPr>
            <w:tcW w:w="60" w:type="dxa"/>
            <w:vAlign w:val="bottom"/>
            <w:tcBorders>
              <w:bottom w:val="single" w:sz="8" w:color="auto"/>
            </w:tcBorders>
            <w:shd w:val="clear" w:color="auto" w:fill="CEFFE7"/>
          </w:tcPr>
          <w:p>
            <w:pPr>
              <w:spacing w:after="0"/>
              <w:rPr>
                <w:sz w:val="19"/>
                <w:szCs w:val="19"/>
                <w:color w:val="auto"/>
              </w:rPr>
            </w:pPr>
          </w:p>
        </w:tc>
        <w:tc>
          <w:tcPr>
            <w:tcW w:w="100" w:type="dxa"/>
            <w:vAlign w:val="bottom"/>
            <w:tcBorders>
              <w:bottom w:val="single" w:sz="8" w:color="auto"/>
            </w:tcBorders>
            <w:shd w:val="clear" w:color="auto" w:fill="CEFFE7"/>
          </w:tcPr>
          <w:p>
            <w:pPr>
              <w:spacing w:after="0"/>
              <w:rPr>
                <w:sz w:val="19"/>
                <w:szCs w:val="19"/>
                <w:color w:val="auto"/>
              </w:rPr>
            </w:pPr>
          </w:p>
        </w:tc>
        <w:tc>
          <w:tcPr>
            <w:tcW w:w="120" w:type="dxa"/>
            <w:vAlign w:val="bottom"/>
            <w:tcBorders>
              <w:bottom w:val="single" w:sz="8" w:color="auto"/>
            </w:tcBorders>
            <w:shd w:val="clear" w:color="auto" w:fill="CEFFE7"/>
          </w:tcPr>
          <w:p>
            <w:pPr>
              <w:spacing w:after="0"/>
              <w:rPr>
                <w:sz w:val="19"/>
                <w:szCs w:val="19"/>
                <w:color w:val="auto"/>
              </w:rPr>
            </w:pPr>
          </w:p>
        </w:tc>
        <w:tc>
          <w:tcPr>
            <w:tcW w:w="102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22,746</w:t>
            </w:r>
          </w:p>
        </w:tc>
        <w:tc>
          <w:tcPr>
            <w:tcW w:w="260" w:type="dxa"/>
            <w:vAlign w:val="bottom"/>
            <w:tcBorders>
              <w:bottom w:val="single" w:sz="8" w:color="auto"/>
            </w:tcBorders>
            <w:shd w:val="clear" w:color="auto" w:fill="CEFFE7"/>
          </w:tcPr>
          <w:p>
            <w:pPr>
              <w:spacing w:after="0"/>
              <w:rPr>
                <w:sz w:val="19"/>
                <w:szCs w:val="19"/>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22,659</w:t>
            </w:r>
          </w:p>
        </w:tc>
        <w:tc>
          <w:tcPr>
            <w:tcW w:w="120" w:type="dxa"/>
            <w:vAlign w:val="bottom"/>
            <w:shd w:val="clear" w:color="auto" w:fill="CEFFE7"/>
          </w:tcPr>
          <w:p>
            <w:pPr>
              <w:spacing w:after="0"/>
              <w:rPr>
                <w:sz w:val="19"/>
                <w:szCs w:val="19"/>
                <w:color w:val="auto"/>
              </w:rPr>
            </w:pPr>
          </w:p>
        </w:tc>
        <w:tc>
          <w:tcPr>
            <w:tcW w:w="160" w:type="dxa"/>
            <w:vAlign w:val="bottom"/>
            <w:tcBorders>
              <w:bottom w:val="single" w:sz="8" w:color="auto"/>
            </w:tcBorders>
            <w:shd w:val="clear" w:color="auto" w:fill="CEFFE7"/>
          </w:tcPr>
          <w:p>
            <w:pPr>
              <w:spacing w:after="0"/>
              <w:rPr>
                <w:sz w:val="19"/>
                <w:szCs w:val="19"/>
                <w:color w:val="auto"/>
              </w:rPr>
            </w:pPr>
          </w:p>
        </w:tc>
        <w:tc>
          <w:tcPr>
            <w:tcW w:w="1200" w:type="dxa"/>
            <w:vAlign w:val="bottom"/>
            <w:tcBorders>
              <w:bottom w:val="single" w:sz="8" w:color="auto"/>
            </w:tcBorders>
            <w:gridSpan w:val="3"/>
            <w:shd w:val="clear" w:color="auto" w:fill="CEFFE7"/>
          </w:tcPr>
          <w:p>
            <w:pPr>
              <w:jc w:val="right"/>
              <w:ind w:right="259"/>
              <w:spacing w:after="0"/>
              <w:rPr>
                <w:sz w:val="20"/>
                <w:szCs w:val="20"/>
                <w:color w:val="auto"/>
              </w:rPr>
            </w:pPr>
            <w:r>
              <w:rPr>
                <w:rFonts w:ascii="Arial" w:cs="Arial" w:eastAsia="Arial" w:hAnsi="Arial"/>
                <w:sz w:val="16"/>
                <w:szCs w:val="16"/>
                <w:color w:val="auto"/>
              </w:rPr>
              <w:t>490,739</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502,887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70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Total Electric Revenue, Gross Margin (non-GAAP),</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6"/>
                <w:szCs w:val="16"/>
                <w:color w:val="auto"/>
              </w:rPr>
              <w:t>213,103$</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200,842$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6"/>
                <w:szCs w:val="16"/>
                <w:color w:val="auto"/>
              </w:rPr>
              <w:t>130,309$</w:t>
            </w: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122,957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vMerge w:val="restart"/>
          </w:tcPr>
          <w:p>
            <w:pPr>
              <w:jc w:val="right"/>
              <w:ind w:right="259"/>
              <w:spacing w:after="0"/>
              <w:rPr>
                <w:sz w:val="20"/>
                <w:szCs w:val="20"/>
                <w:color w:val="auto"/>
              </w:rPr>
            </w:pPr>
            <w:r>
              <w:rPr>
                <w:rFonts w:ascii="Arial" w:cs="Arial" w:eastAsia="Arial" w:hAnsi="Arial"/>
                <w:sz w:val="16"/>
                <w:szCs w:val="16"/>
                <w:color w:val="auto"/>
              </w:rPr>
              <w:t>1,921,193</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1,868,953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580" w:type="dxa"/>
            <w:vAlign w:val="bottom"/>
          </w:tcPr>
          <w:p>
            <w:pPr>
              <w:ind w:left="220"/>
              <w:spacing w:after="0" w:line="174" w:lineRule="exact"/>
              <w:rPr>
                <w:sz w:val="20"/>
                <w:szCs w:val="20"/>
                <w:color w:val="auto"/>
              </w:rPr>
            </w:pPr>
            <w:r>
              <w:rPr>
                <w:rFonts w:ascii="Arial" w:cs="Arial" w:eastAsia="Arial" w:hAnsi="Arial"/>
                <w:sz w:val="16"/>
                <w:szCs w:val="16"/>
                <w:color w:val="auto"/>
              </w:rPr>
              <w:t>and Quantities Sold</w:t>
            </w: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4"/>
          </w:tcPr>
          <w:p>
            <w:pPr>
              <w:jc w:val="right"/>
              <w:ind w:right="759"/>
              <w:spacing w:after="0"/>
              <w:rPr>
                <w:sz w:val="20"/>
                <w:szCs w:val="20"/>
                <w:color w:val="auto"/>
              </w:rPr>
            </w:pPr>
            <w:r>
              <w:rPr>
                <w:rFonts w:ascii="Arial" w:cs="Arial" w:eastAsia="Arial" w:hAnsi="Arial"/>
                <w:sz w:val="16"/>
                <w:szCs w:val="16"/>
                <w:color w:val="auto"/>
              </w:rPr>
              <w:t>Revenue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right"/>
              <w:ind w:right="39"/>
              <w:spacing w:after="0"/>
              <w:rPr>
                <w:sz w:val="20"/>
                <w:szCs w:val="20"/>
                <w:color w:val="auto"/>
              </w:rPr>
            </w:pPr>
            <w:r>
              <w:rPr>
                <w:rFonts w:ascii="Arial" w:cs="Arial" w:eastAsia="Arial" w:hAnsi="Arial"/>
                <w:sz w:val="16"/>
                <w:szCs w:val="16"/>
                <w:color w:val="auto"/>
              </w:rPr>
              <w:t>Gross Margin (non-GAAP) (in</w:t>
            </w:r>
          </w:p>
        </w:tc>
        <w:tc>
          <w:tcPr>
            <w:tcW w:w="100" w:type="dxa"/>
            <w:vAlign w:val="bottom"/>
          </w:tcPr>
          <w:p>
            <w:pPr>
              <w:spacing w:after="0"/>
              <w:rPr>
                <w:sz w:val="24"/>
                <w:szCs w:val="24"/>
                <w:color w:val="auto"/>
              </w:rPr>
            </w:pPr>
          </w:p>
        </w:tc>
        <w:tc>
          <w:tcPr>
            <w:tcW w:w="2240" w:type="dxa"/>
            <w:vAlign w:val="bottom"/>
            <w:gridSpan w:val="4"/>
            <w:vMerge w:val="restart"/>
          </w:tcPr>
          <w:p>
            <w:pPr>
              <w:jc w:val="right"/>
              <w:ind w:right="240"/>
              <w:spacing w:after="0"/>
              <w:rPr>
                <w:sz w:val="20"/>
                <w:szCs w:val="20"/>
                <w:color w:val="auto"/>
              </w:rPr>
            </w:pPr>
            <w:r>
              <w:rPr>
                <w:rFonts w:ascii="Arial" w:cs="Arial" w:eastAsia="Arial" w:hAnsi="Arial"/>
                <w:sz w:val="16"/>
                <w:szCs w:val="16"/>
                <w:color w:val="auto"/>
              </w:rPr>
              <w:t>Quantities Sold (MWh)</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Nine Months Ended September 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color w:val="auto"/>
              </w:rPr>
              <w:t>(in thousands)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6"/>
                <w:szCs w:val="16"/>
                <w:color w:val="auto"/>
              </w:rPr>
              <w:t>thousands)</w:t>
            </w: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220" w:type="dxa"/>
            <w:vAlign w:val="bottom"/>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227,328</w:t>
            </w:r>
          </w:p>
        </w:tc>
        <w:tc>
          <w:tcPr>
            <w:tcW w:w="100" w:type="dxa"/>
            <w:vAlign w:val="bottom"/>
            <w:shd w:val="clear" w:color="auto" w:fill="CEFFE7"/>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191,197</w:t>
            </w:r>
          </w:p>
        </w:tc>
        <w:tc>
          <w:tcPr>
            <w:tcW w:w="28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103,982</w:t>
            </w:r>
          </w:p>
        </w:tc>
        <w:tc>
          <w:tcPr>
            <w:tcW w:w="260" w:type="dxa"/>
            <w:vAlign w:val="bottom"/>
            <w:shd w:val="clear" w:color="auto" w:fill="CEFFE7"/>
          </w:tcPr>
          <w:p>
            <w:pPr>
              <w:ind w:left="6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106,961</w:t>
            </w:r>
          </w:p>
        </w:tc>
        <w:tc>
          <w:tcPr>
            <w:tcW w:w="1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1,945,741</w:t>
            </w:r>
          </w:p>
        </w:tc>
        <w:tc>
          <w:tcPr>
            <w:tcW w:w="114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1,765,501</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250,617</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213,059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163,523</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163,659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1,997,696</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1,954,902</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3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2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40" w:type="dxa"/>
            <w:vAlign w:val="bottom"/>
            <w:tcBorders>
              <w:bottom w:val="single" w:sz="8" w:color="auto"/>
            </w:tcBorders>
            <w:shd w:val="clear" w:color="auto" w:fill="CEFFE7"/>
          </w:tcPr>
          <w:p>
            <w:pPr>
              <w:spacing w:after="0"/>
              <w:rPr>
                <w:sz w:val="19"/>
                <w:szCs w:val="19"/>
                <w:color w:val="auto"/>
              </w:rPr>
            </w:pPr>
          </w:p>
        </w:tc>
        <w:tc>
          <w:tcPr>
            <w:tcW w:w="10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147,499</w:t>
            </w:r>
          </w:p>
        </w:tc>
        <w:tc>
          <w:tcPr>
            <w:tcW w:w="100" w:type="dxa"/>
            <w:vAlign w:val="bottom"/>
            <w:tcBorders>
              <w:bottom w:val="single" w:sz="8" w:color="auto"/>
            </w:tcBorders>
            <w:shd w:val="clear" w:color="auto" w:fill="CEFFE7"/>
          </w:tcPr>
          <w:p>
            <w:pPr>
              <w:spacing w:after="0"/>
              <w:rPr>
                <w:sz w:val="19"/>
                <w:szCs w:val="19"/>
                <w:color w:val="auto"/>
              </w:rPr>
            </w:pPr>
          </w:p>
        </w:tc>
        <w:tc>
          <w:tcPr>
            <w:tcW w:w="10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133,925</w:t>
            </w:r>
          </w:p>
        </w:tc>
        <w:tc>
          <w:tcPr>
            <w:tcW w:w="60" w:type="dxa"/>
            <w:vAlign w:val="bottom"/>
            <w:tcBorders>
              <w:bottom w:val="single" w:sz="8" w:color="auto"/>
            </w:tcBorders>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20" w:type="dxa"/>
            <w:vAlign w:val="bottom"/>
            <w:tcBorders>
              <w:bottom w:val="single" w:sz="8" w:color="auto"/>
            </w:tcBorders>
            <w:shd w:val="clear" w:color="auto" w:fill="CEFFE7"/>
          </w:tcPr>
          <w:p>
            <w:pPr>
              <w:spacing w:after="0"/>
              <w:rPr>
                <w:sz w:val="19"/>
                <w:szCs w:val="19"/>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67,838</w:t>
            </w:r>
          </w:p>
        </w:tc>
        <w:tc>
          <w:tcPr>
            <w:tcW w:w="260" w:type="dxa"/>
            <w:vAlign w:val="bottom"/>
            <w:tcBorders>
              <w:bottom w:val="single" w:sz="8" w:color="auto"/>
            </w:tcBorders>
            <w:shd w:val="clear" w:color="auto" w:fill="CEFFE7"/>
          </w:tcPr>
          <w:p>
            <w:pPr>
              <w:spacing w:after="0"/>
              <w:rPr>
                <w:sz w:val="19"/>
                <w:szCs w:val="19"/>
                <w:color w:val="auto"/>
              </w:rPr>
            </w:pPr>
          </w:p>
        </w:tc>
        <w:tc>
          <w:tcPr>
            <w:tcW w:w="9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6"/>
                <w:szCs w:val="16"/>
                <w:color w:val="auto"/>
              </w:rPr>
              <w:t>66,163</w:t>
            </w:r>
          </w:p>
        </w:tc>
        <w:tc>
          <w:tcPr>
            <w:tcW w:w="100" w:type="dxa"/>
            <w:vAlign w:val="bottom"/>
            <w:shd w:val="clear" w:color="auto" w:fill="CEFFE7"/>
          </w:tcPr>
          <w:p>
            <w:pPr>
              <w:spacing w:after="0"/>
              <w:rPr>
                <w:sz w:val="19"/>
                <w:szCs w:val="19"/>
                <w:color w:val="auto"/>
              </w:rPr>
            </w:pPr>
          </w:p>
        </w:tc>
        <w:tc>
          <w:tcPr>
            <w:tcW w:w="320" w:type="dxa"/>
            <w:vAlign w:val="bottom"/>
            <w:tcBorders>
              <w:bottom w:val="single" w:sz="8" w:color="auto"/>
            </w:tcBorders>
            <w:shd w:val="clear" w:color="auto" w:fill="CEFFE7"/>
          </w:tcPr>
          <w:p>
            <w:pPr>
              <w:spacing w:after="0"/>
              <w:rPr>
                <w:sz w:val="19"/>
                <w:szCs w:val="19"/>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1,464,082</w:t>
            </w:r>
          </w:p>
        </w:tc>
        <w:tc>
          <w:tcPr>
            <w:tcW w:w="1140" w:type="dxa"/>
            <w:vAlign w:val="bottom"/>
            <w:tcBorders>
              <w:bottom w:val="single" w:sz="8" w:color="auto"/>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1,502,441</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3920" w:type="dxa"/>
            <w:vAlign w:val="bottom"/>
            <w:gridSpan w:val="4"/>
          </w:tcPr>
          <w:p>
            <w:pPr>
              <w:ind w:left="220"/>
              <w:spacing w:after="0" w:line="158" w:lineRule="exact"/>
              <w:rPr>
                <w:sz w:val="20"/>
                <w:szCs w:val="20"/>
                <w:color w:val="auto"/>
              </w:rPr>
            </w:pPr>
            <w:r>
              <w:rPr>
                <w:rFonts w:ascii="Arial" w:cs="Arial" w:eastAsia="Arial" w:hAnsi="Arial"/>
                <w:sz w:val="16"/>
                <w:szCs w:val="16"/>
                <w:color w:val="auto"/>
              </w:rPr>
              <w:t>Total Electric Revenue, Gross Margin (non-GAAP),</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625,444</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538,181</w:t>
            </w:r>
          </w:p>
        </w:tc>
        <w:tc>
          <w:tcPr>
            <w:tcW w:w="28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335,343</w:t>
            </w:r>
          </w:p>
        </w:tc>
        <w:tc>
          <w:tcPr>
            <w:tcW w:w="2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960" w:type="dxa"/>
            <w:vAlign w:val="bottom"/>
            <w:gridSpan w:val="3"/>
            <w:vMerge w:val="restart"/>
          </w:tcPr>
          <w:p>
            <w:pPr>
              <w:jc w:val="right"/>
              <w:spacing w:after="0"/>
              <w:rPr>
                <w:sz w:val="20"/>
                <w:szCs w:val="20"/>
                <w:color w:val="auto"/>
              </w:rPr>
            </w:pPr>
            <w:r>
              <w:rPr>
                <w:rFonts w:ascii="Arial" w:cs="Arial" w:eastAsia="Arial" w:hAnsi="Arial"/>
                <w:sz w:val="16"/>
                <w:szCs w:val="16"/>
                <w:color w:val="auto"/>
              </w:rPr>
              <w:t>336,783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5,407,519</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5,222,844</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580" w:type="dxa"/>
            <w:vAlign w:val="bottom"/>
          </w:tcPr>
          <w:p>
            <w:pPr>
              <w:ind w:left="220"/>
              <w:spacing w:after="0" w:line="174" w:lineRule="exact"/>
              <w:rPr>
                <w:sz w:val="20"/>
                <w:szCs w:val="20"/>
                <w:color w:val="auto"/>
              </w:rPr>
            </w:pPr>
            <w:r>
              <w:rPr>
                <w:rFonts w:ascii="Arial" w:cs="Arial" w:eastAsia="Arial" w:hAnsi="Arial"/>
                <w:sz w:val="16"/>
                <w:szCs w:val="16"/>
                <w:color w:val="auto"/>
              </w:rPr>
              <w:t>and Quantities Sold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w:t>
      </w:r>
    </w:p>
    <w:p>
      <w:pPr>
        <w:spacing w:after="0" w:line="8" w:lineRule="exact"/>
        <w:rPr>
          <w:sz w:val="20"/>
          <w:szCs w:val="20"/>
          <w:color w:val="auto"/>
        </w:rPr>
      </w:pPr>
    </w:p>
    <w:p>
      <w:pPr>
        <w:ind w:left="440" w:hanging="332"/>
        <w:spacing w:after="0"/>
        <w:tabs>
          <w:tab w:leader="none" w:pos="4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company uses, line losses, and excess exchange production.</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118"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468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129"/>
        </w:trPr>
        <w:tc>
          <w:tcPr>
            <w:tcW w:w="100" w:type="dxa"/>
            <w:vAlign w:val="bottom"/>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3320" w:type="dxa"/>
            <w:vAlign w:val="bottom"/>
          </w:tcPr>
          <w:p>
            <w:pPr>
              <w:spacing w:after="0"/>
              <w:rPr>
                <w:sz w:val="24"/>
                <w:szCs w:val="24"/>
                <w:color w:val="auto"/>
              </w:rPr>
            </w:pPr>
          </w:p>
        </w:tc>
        <w:tc>
          <w:tcPr>
            <w:tcW w:w="6240" w:type="dxa"/>
            <w:vAlign w:val="bottom"/>
            <w:gridSpan w:val="5"/>
          </w:tcPr>
          <w:p>
            <w:pPr>
              <w:jc w:val="right"/>
              <w:spacing w:after="0"/>
              <w:rPr>
                <w:sz w:val="20"/>
                <w:szCs w:val="20"/>
                <w:color w:val="auto"/>
              </w:rPr>
            </w:pPr>
            <w:r>
              <w:rPr>
                <w:rFonts w:ascii="Arial" w:cs="Arial" w:eastAsia="Arial" w:hAnsi="Arial"/>
                <w:sz w:val="16"/>
                <w:szCs w:val="16"/>
                <w:color w:val="auto"/>
              </w:rPr>
              <w:t>Three Months Ended SeptemberNine Months Ended September</w:t>
            </w:r>
          </w:p>
        </w:tc>
      </w:tr>
      <w:tr>
        <w:trPr>
          <w:trHeight w:val="195"/>
        </w:trPr>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900" w:type="dxa"/>
            <w:vAlign w:val="bottom"/>
          </w:tcPr>
          <w:p>
            <w:pPr>
              <w:spacing w:after="0"/>
              <w:rPr>
                <w:sz w:val="16"/>
                <w:szCs w:val="16"/>
                <w:color w:val="auto"/>
              </w:rPr>
            </w:pPr>
          </w:p>
        </w:tc>
      </w:tr>
      <w:tr>
        <w:trPr>
          <w:trHeight w:val="219"/>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antities Generated and Purchased (MWh)</w:t>
            </w:r>
          </w:p>
        </w:tc>
        <w:tc>
          <w:tcPr>
            <w:tcW w:w="3260" w:type="dxa"/>
            <w:vAlign w:val="bottom"/>
            <w:gridSpan w:val="2"/>
          </w:tcPr>
          <w:p>
            <w:pPr>
              <w:jc w:val="right"/>
              <w:ind w:right="559"/>
              <w:spacing w:after="0"/>
              <w:rPr>
                <w:sz w:val="20"/>
                <w:szCs w:val="20"/>
                <w:color w:val="auto"/>
              </w:rPr>
            </w:pPr>
            <w:r>
              <w:rPr>
                <w:rFonts w:ascii="Arial" w:cs="Arial" w:eastAsia="Arial" w:hAnsi="Arial"/>
                <w:sz w:val="16"/>
                <w:szCs w:val="16"/>
                <w:color w:val="auto"/>
              </w:rPr>
              <w:t>2021</w:t>
            </w:r>
          </w:p>
        </w:tc>
        <w:tc>
          <w:tcPr>
            <w:tcW w:w="940" w:type="dxa"/>
            <w:vAlign w:val="bottom"/>
          </w:tcPr>
          <w:p>
            <w:pPr>
              <w:jc w:val="right"/>
              <w:ind w:right="459"/>
              <w:spacing w:after="0"/>
              <w:rPr>
                <w:sz w:val="20"/>
                <w:szCs w:val="20"/>
                <w:color w:val="auto"/>
              </w:rPr>
            </w:pPr>
            <w:r>
              <w:rPr>
                <w:rFonts w:ascii="Arial" w:cs="Arial" w:eastAsia="Arial" w:hAnsi="Arial"/>
                <w:sz w:val="16"/>
                <w:szCs w:val="16"/>
                <w:color w:val="auto"/>
              </w:rPr>
              <w:t>2020</w:t>
            </w: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2021</w:t>
            </w:r>
          </w:p>
        </w:tc>
        <w:tc>
          <w:tcPr>
            <w:tcW w:w="900" w:type="dxa"/>
            <w:vAlign w:val="bottom"/>
          </w:tcPr>
          <w:p>
            <w:pPr>
              <w:jc w:val="right"/>
              <w:ind w:right="419"/>
              <w:spacing w:after="0"/>
              <w:rPr>
                <w:sz w:val="20"/>
                <w:szCs w:val="20"/>
                <w:color w:val="auto"/>
              </w:rPr>
            </w:pPr>
            <w:r>
              <w:rPr>
                <w:rFonts w:ascii="Arial" w:cs="Arial" w:eastAsia="Arial" w:hAnsi="Arial"/>
                <w:sz w:val="16"/>
                <w:szCs w:val="16"/>
                <w:color w:val="auto"/>
              </w:rPr>
              <w:t>2020</w:t>
            </w:r>
          </w:p>
        </w:tc>
      </w:tr>
      <w:tr>
        <w:trPr>
          <w:trHeight w:val="145"/>
        </w:trPr>
        <w:tc>
          <w:tcPr>
            <w:tcW w:w="1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216"/>
        </w:trPr>
        <w:tc>
          <w:tcPr>
            <w:tcW w:w="100" w:type="dxa"/>
            <w:vAlign w:val="bottom"/>
          </w:tcPr>
          <w:p>
            <w:pPr>
              <w:spacing w:after="0"/>
              <w:rPr>
                <w:sz w:val="18"/>
                <w:szCs w:val="18"/>
                <w:color w:val="auto"/>
              </w:rPr>
            </w:pPr>
          </w:p>
        </w:tc>
        <w:tc>
          <w:tcPr>
            <w:tcW w:w="46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nerated:</w:t>
            </w:r>
          </w:p>
        </w:tc>
        <w:tc>
          <w:tcPr>
            <w:tcW w:w="2080" w:type="dxa"/>
            <w:vAlign w:val="bottom"/>
            <w:shd w:val="clear" w:color="auto" w:fill="CEFFE7"/>
          </w:tcPr>
          <w:p>
            <w:pPr>
              <w:spacing w:after="0"/>
              <w:rPr>
                <w:sz w:val="18"/>
                <w:szCs w:val="18"/>
                <w:color w:val="auto"/>
              </w:rPr>
            </w:pPr>
          </w:p>
        </w:tc>
        <w:tc>
          <w:tcPr>
            <w:tcW w:w="118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r>
      <w:tr>
        <w:trPr>
          <w:trHeight w:val="213"/>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Coal</w:t>
            </w:r>
          </w:p>
        </w:tc>
        <w:tc>
          <w:tcPr>
            <w:tcW w:w="3260" w:type="dxa"/>
            <w:vAlign w:val="bottom"/>
            <w:gridSpan w:val="2"/>
          </w:tcPr>
          <w:p>
            <w:pPr>
              <w:jc w:val="right"/>
              <w:ind w:right="139"/>
              <w:spacing w:after="0"/>
              <w:rPr>
                <w:sz w:val="20"/>
                <w:szCs w:val="20"/>
                <w:color w:val="auto"/>
              </w:rPr>
            </w:pPr>
            <w:r>
              <w:rPr>
                <w:rFonts w:ascii="Arial" w:cs="Arial" w:eastAsia="Arial" w:hAnsi="Arial"/>
                <w:sz w:val="16"/>
                <w:szCs w:val="16"/>
                <w:color w:val="auto"/>
              </w:rPr>
              <w:t>589,194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592,681</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1,569,410</w:t>
            </w:r>
          </w:p>
        </w:tc>
        <w:tc>
          <w:tcPr>
            <w:tcW w:w="900" w:type="dxa"/>
            <w:vAlign w:val="bottom"/>
          </w:tcPr>
          <w:p>
            <w:pPr>
              <w:jc w:val="right"/>
              <w:spacing w:after="0"/>
              <w:rPr>
                <w:sz w:val="20"/>
                <w:szCs w:val="20"/>
                <w:color w:val="auto"/>
              </w:rPr>
            </w:pPr>
            <w:r>
              <w:rPr>
                <w:rFonts w:ascii="Arial" w:cs="Arial" w:eastAsia="Arial" w:hAnsi="Arial"/>
                <w:sz w:val="16"/>
                <w:szCs w:val="16"/>
                <w:color w:val="auto"/>
              </w:rPr>
              <w:t>1,712,540</w:t>
            </w:r>
          </w:p>
        </w:tc>
      </w:tr>
      <w:tr>
        <w:trPr>
          <w:trHeight w:val="219"/>
        </w:trPr>
        <w:tc>
          <w:tcPr>
            <w:tcW w:w="100" w:type="dxa"/>
            <w:vAlign w:val="bottom"/>
          </w:tcPr>
          <w:p>
            <w:pPr>
              <w:spacing w:after="0"/>
              <w:rPr>
                <w:sz w:val="19"/>
                <w:szCs w:val="19"/>
                <w:color w:val="auto"/>
              </w:rPr>
            </w:pPr>
          </w:p>
        </w:tc>
        <w:tc>
          <w:tcPr>
            <w:tcW w:w="46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Natural Gas and Oil</w:t>
            </w:r>
          </w:p>
        </w:tc>
        <w:tc>
          <w:tcPr>
            <w:tcW w:w="3260" w:type="dxa"/>
            <w:vAlign w:val="bottom"/>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231,433</w:t>
            </w:r>
          </w:p>
        </w:tc>
        <w:tc>
          <w:tcPr>
            <w:tcW w:w="9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199,408</w:t>
            </w:r>
          </w:p>
        </w:tc>
        <w:tc>
          <w:tcPr>
            <w:tcW w:w="11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535,148</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453,950</w:t>
            </w:r>
          </w:p>
        </w:tc>
      </w:tr>
      <w:tr>
        <w:trPr>
          <w:trHeight w:val="213"/>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Wind</w:t>
            </w:r>
          </w:p>
        </w:tc>
        <w:tc>
          <w:tcPr>
            <w:tcW w:w="3260" w:type="dxa"/>
            <w:vAlign w:val="bottom"/>
            <w:gridSpan w:val="2"/>
          </w:tcPr>
          <w:p>
            <w:pPr>
              <w:jc w:val="right"/>
              <w:ind w:right="139"/>
              <w:spacing w:after="0"/>
              <w:rPr>
                <w:sz w:val="20"/>
                <w:szCs w:val="20"/>
                <w:color w:val="auto"/>
              </w:rPr>
            </w:pPr>
            <w:r>
              <w:rPr>
                <w:rFonts w:ascii="Arial" w:cs="Arial" w:eastAsia="Arial" w:hAnsi="Arial"/>
                <w:sz w:val="16"/>
                <w:szCs w:val="16"/>
                <w:color w:val="auto"/>
              </w:rPr>
              <w:t>90,496</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54,518</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315,654</w:t>
            </w:r>
          </w:p>
        </w:tc>
        <w:tc>
          <w:tcPr>
            <w:tcW w:w="900" w:type="dxa"/>
            <w:vAlign w:val="bottom"/>
          </w:tcPr>
          <w:p>
            <w:pPr>
              <w:jc w:val="right"/>
              <w:spacing w:after="0"/>
              <w:rPr>
                <w:sz w:val="20"/>
                <w:szCs w:val="20"/>
                <w:color w:val="auto"/>
              </w:rPr>
            </w:pPr>
            <w:r>
              <w:rPr>
                <w:rFonts w:ascii="Arial" w:cs="Arial" w:eastAsia="Arial" w:hAnsi="Arial"/>
                <w:sz w:val="16"/>
                <w:szCs w:val="16"/>
                <w:color w:val="auto"/>
              </w:rPr>
              <w:t>191,696</w:t>
            </w:r>
          </w:p>
        </w:tc>
      </w:tr>
      <w:tr>
        <w:trPr>
          <w:trHeight w:val="209"/>
        </w:trPr>
        <w:tc>
          <w:tcPr>
            <w:tcW w:w="100" w:type="dxa"/>
            <w:vAlign w:val="bottom"/>
          </w:tcPr>
          <w:p>
            <w:pPr>
              <w:spacing w:after="0"/>
              <w:rPr>
                <w:sz w:val="18"/>
                <w:szCs w:val="18"/>
                <w:color w:val="auto"/>
              </w:rPr>
            </w:pPr>
          </w:p>
        </w:tc>
        <w:tc>
          <w:tcPr>
            <w:tcW w:w="4680" w:type="dxa"/>
            <w:vAlign w:val="bottom"/>
            <w:tcBorders>
              <w:top w:val="single" w:sz="8" w:color="CEFFE7"/>
            </w:tcBorders>
            <w:gridSpan w:val="2"/>
            <w:shd w:val="clear" w:color="auto" w:fill="CEFFE7"/>
          </w:tcPr>
          <w:p>
            <w:pPr>
              <w:ind w:left="120"/>
              <w:spacing w:after="0"/>
              <w:rPr>
                <w:sz w:val="20"/>
                <w:szCs w:val="20"/>
                <w:color w:val="auto"/>
              </w:rPr>
            </w:pPr>
            <w:r>
              <w:rPr>
                <w:rFonts w:ascii="Arial" w:cs="Arial" w:eastAsia="Arial" w:hAnsi="Arial"/>
                <w:sz w:val="16"/>
                <w:szCs w:val="16"/>
                <w:color w:val="auto"/>
              </w:rPr>
              <w:t>Total Generated</w:t>
            </w:r>
          </w:p>
        </w:tc>
        <w:tc>
          <w:tcPr>
            <w:tcW w:w="2080" w:type="dxa"/>
            <w:vAlign w:val="bottom"/>
            <w:tcBorders>
              <w:top w:val="single" w:sz="8" w:color="CEFFE7"/>
            </w:tcBorders>
            <w:shd w:val="clear" w:color="auto" w:fill="CEFFE7"/>
          </w:tcPr>
          <w:p>
            <w:pPr>
              <w:spacing w:after="0"/>
              <w:rPr>
                <w:sz w:val="18"/>
                <w:szCs w:val="18"/>
                <w:color w:val="auto"/>
              </w:rPr>
            </w:pPr>
          </w:p>
        </w:tc>
        <w:tc>
          <w:tcPr>
            <w:tcW w:w="1180" w:type="dxa"/>
            <w:vAlign w:val="bottom"/>
            <w:tcBorders>
              <w:top w:val="single" w:sz="8" w:color="auto"/>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911,123</w:t>
            </w:r>
          </w:p>
        </w:tc>
        <w:tc>
          <w:tcPr>
            <w:tcW w:w="940" w:type="dxa"/>
            <w:vAlign w:val="bottom"/>
            <w:tcBorders>
              <w:top w:val="single" w:sz="8" w:color="auto"/>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846,607</w:t>
            </w:r>
          </w:p>
        </w:tc>
        <w:tc>
          <w:tcPr>
            <w:tcW w:w="1140" w:type="dxa"/>
            <w:vAlign w:val="bottom"/>
            <w:tcBorders>
              <w:top w:val="single" w:sz="8" w:color="auto"/>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2,420,212</w:t>
            </w:r>
          </w:p>
        </w:tc>
        <w:tc>
          <w:tcPr>
            <w:tcW w:w="9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2,358,186</w:t>
            </w:r>
          </w:p>
        </w:tc>
      </w:tr>
      <w:tr>
        <w:trPr>
          <w:trHeight w:val="210"/>
        </w:trPr>
        <w:tc>
          <w:tcPr>
            <w:tcW w:w="4780" w:type="dxa"/>
            <w:vAlign w:val="bottom"/>
            <w:gridSpan w:val="3"/>
          </w:tcPr>
          <w:p>
            <w:pPr>
              <w:spacing w:after="0"/>
              <w:rPr>
                <w:sz w:val="20"/>
                <w:szCs w:val="20"/>
                <w:color w:val="auto"/>
              </w:rPr>
            </w:pPr>
            <w:r>
              <w:rPr>
                <w:rFonts w:ascii="Arial" w:cs="Arial" w:eastAsia="Arial" w:hAnsi="Arial"/>
                <w:sz w:val="16"/>
                <w:szCs w:val="16"/>
                <w:color w:val="auto"/>
              </w:rPr>
              <w:t>rchased</w:t>
            </w:r>
          </w:p>
        </w:tc>
        <w:tc>
          <w:tcPr>
            <w:tcW w:w="2080" w:type="dxa"/>
            <w:vAlign w:val="bottom"/>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1,010,070</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1,022,346</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2,987,307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2,864,658</w:t>
            </w:r>
          </w:p>
        </w:tc>
      </w:tr>
      <w:tr>
        <w:trPr>
          <w:trHeight w:val="212"/>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al Generated and Purchased</w:t>
            </w:r>
          </w:p>
        </w:tc>
        <w:tc>
          <w:tcPr>
            <w:tcW w:w="2080" w:type="dxa"/>
            <w:vAlign w:val="bottom"/>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1,921,193</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1,868,953</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5,407,519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5,222,844</w:t>
            </w:r>
          </w:p>
        </w:tc>
      </w:tr>
      <w:tr>
        <w:trPr>
          <w:trHeight w:val="21"/>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Borders>
              <w:bottom w:val="single" w:sz="8" w:color="auto"/>
            </w:tcBorders>
            <w:gridSpan w:val="4"/>
          </w:tcPr>
          <w:p>
            <w:pPr>
              <w:spacing w:after="0" w:line="20" w:lineRule="exact"/>
              <w:rPr>
                <w:sz w:val="1"/>
                <w:szCs w:val="1"/>
                <w:color w:val="auto"/>
              </w:rPr>
            </w:pPr>
          </w:p>
        </w:tc>
      </w:tr>
      <w:tr>
        <w:trPr>
          <w:trHeight w:val="765"/>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40" w:type="dxa"/>
            <w:vAlign w:val="bottom"/>
            <w:gridSpan w:val="5"/>
          </w:tcPr>
          <w:p>
            <w:pPr>
              <w:jc w:val="right"/>
              <w:spacing w:after="0"/>
              <w:rPr>
                <w:sz w:val="20"/>
                <w:szCs w:val="20"/>
                <w:color w:val="auto"/>
              </w:rPr>
            </w:pPr>
            <w:r>
              <w:rPr>
                <w:rFonts w:ascii="Arial" w:cs="Arial" w:eastAsia="Arial" w:hAnsi="Arial"/>
                <w:sz w:val="16"/>
                <w:szCs w:val="16"/>
                <w:color w:val="auto"/>
              </w:rPr>
              <w:t>Three Months Ended SeptemberNine Months Ended September</w:t>
            </w:r>
          </w:p>
        </w:tc>
      </w:tr>
      <w:tr>
        <w:trPr>
          <w:trHeight w:val="195"/>
        </w:trPr>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900" w:type="dxa"/>
            <w:vAlign w:val="bottom"/>
          </w:tcPr>
          <w:p>
            <w:pPr>
              <w:spacing w:after="0"/>
              <w:rPr>
                <w:sz w:val="16"/>
                <w:szCs w:val="16"/>
                <w:color w:val="auto"/>
              </w:rPr>
            </w:pPr>
          </w:p>
        </w:tc>
      </w:tr>
      <w:tr>
        <w:trPr>
          <w:trHeight w:val="219"/>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antities Generated and Purchased (MWh)</w:t>
            </w:r>
          </w:p>
        </w:tc>
        <w:tc>
          <w:tcPr>
            <w:tcW w:w="3260" w:type="dxa"/>
            <w:vAlign w:val="bottom"/>
            <w:gridSpan w:val="2"/>
          </w:tcPr>
          <w:p>
            <w:pPr>
              <w:jc w:val="right"/>
              <w:ind w:right="559"/>
              <w:spacing w:after="0"/>
              <w:rPr>
                <w:sz w:val="20"/>
                <w:szCs w:val="20"/>
                <w:color w:val="auto"/>
              </w:rPr>
            </w:pPr>
            <w:r>
              <w:rPr>
                <w:rFonts w:ascii="Arial" w:cs="Arial" w:eastAsia="Arial" w:hAnsi="Arial"/>
                <w:sz w:val="16"/>
                <w:szCs w:val="16"/>
                <w:color w:val="auto"/>
              </w:rPr>
              <w:t>2021</w:t>
            </w:r>
          </w:p>
        </w:tc>
        <w:tc>
          <w:tcPr>
            <w:tcW w:w="940" w:type="dxa"/>
            <w:vAlign w:val="bottom"/>
          </w:tcPr>
          <w:p>
            <w:pPr>
              <w:jc w:val="right"/>
              <w:ind w:right="459"/>
              <w:spacing w:after="0"/>
              <w:rPr>
                <w:sz w:val="20"/>
                <w:szCs w:val="20"/>
                <w:color w:val="auto"/>
              </w:rPr>
            </w:pPr>
            <w:r>
              <w:rPr>
                <w:rFonts w:ascii="Arial" w:cs="Arial" w:eastAsia="Arial" w:hAnsi="Arial"/>
                <w:sz w:val="16"/>
                <w:szCs w:val="16"/>
                <w:color w:val="auto"/>
              </w:rPr>
              <w:t>2020</w:t>
            </w: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2021</w:t>
            </w:r>
          </w:p>
        </w:tc>
        <w:tc>
          <w:tcPr>
            <w:tcW w:w="900" w:type="dxa"/>
            <w:vAlign w:val="bottom"/>
          </w:tcPr>
          <w:p>
            <w:pPr>
              <w:jc w:val="right"/>
              <w:ind w:right="419"/>
              <w:spacing w:after="0"/>
              <w:rPr>
                <w:sz w:val="20"/>
                <w:szCs w:val="20"/>
                <w:color w:val="auto"/>
              </w:rPr>
            </w:pPr>
            <w:r>
              <w:rPr>
                <w:rFonts w:ascii="Arial" w:cs="Arial" w:eastAsia="Arial" w:hAnsi="Arial"/>
                <w:sz w:val="16"/>
                <w:szCs w:val="16"/>
                <w:color w:val="auto"/>
              </w:rPr>
              <w:t>2020</w:t>
            </w:r>
          </w:p>
        </w:tc>
      </w:tr>
      <w:tr>
        <w:trPr>
          <w:trHeight w:val="20"/>
        </w:trPr>
        <w:tc>
          <w:tcPr>
            <w:tcW w:w="100" w:type="dxa"/>
            <w:vAlign w:val="bottom"/>
          </w:tcPr>
          <w:p>
            <w:pPr>
              <w:spacing w:after="0" w:line="20" w:lineRule="exact"/>
              <w:rPr>
                <w:sz w:val="1"/>
                <w:szCs w:val="1"/>
                <w:color w:val="auto"/>
              </w:rPr>
            </w:pPr>
          </w:p>
        </w:tc>
        <w:tc>
          <w:tcPr>
            <w:tcW w:w="4680" w:type="dxa"/>
            <w:vAlign w:val="bottom"/>
            <w:gridSpan w:val="2"/>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09"/>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nerated:</w:t>
            </w: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46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Colorado Electric</w:t>
            </w:r>
          </w:p>
        </w:tc>
        <w:tc>
          <w:tcPr>
            <w:tcW w:w="3260" w:type="dxa"/>
            <w:vAlign w:val="bottom"/>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150,646</w:t>
            </w:r>
          </w:p>
        </w:tc>
        <w:tc>
          <w:tcPr>
            <w:tcW w:w="9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97,450</w:t>
            </w:r>
          </w:p>
        </w:tc>
        <w:tc>
          <w:tcPr>
            <w:tcW w:w="11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351,723</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271,957</w:t>
            </w:r>
          </w:p>
        </w:tc>
      </w:tr>
      <w:tr>
        <w:trPr>
          <w:trHeight w:val="213"/>
        </w:trPr>
        <w:tc>
          <w:tcPr>
            <w:tcW w:w="4780" w:type="dxa"/>
            <w:vAlign w:val="bottom"/>
            <w:gridSpan w:val="3"/>
          </w:tcPr>
          <w:p>
            <w:pPr>
              <w:spacing w:after="0"/>
              <w:rPr>
                <w:sz w:val="20"/>
                <w:szCs w:val="20"/>
                <w:color w:val="auto"/>
              </w:rPr>
            </w:pPr>
            <w:r>
              <w:rPr>
                <w:rFonts w:ascii="Arial" w:cs="Arial" w:eastAsia="Arial" w:hAnsi="Arial"/>
                <w:sz w:val="16"/>
                <w:szCs w:val="16"/>
                <w:color w:val="auto"/>
              </w:rPr>
              <w:t>South Dakota Electric</w:t>
            </w:r>
          </w:p>
        </w:tc>
        <w:tc>
          <w:tcPr>
            <w:tcW w:w="3260" w:type="dxa"/>
            <w:vAlign w:val="bottom"/>
            <w:gridSpan w:val="2"/>
          </w:tcPr>
          <w:p>
            <w:pPr>
              <w:jc w:val="right"/>
              <w:ind w:right="139"/>
              <w:spacing w:after="0"/>
              <w:rPr>
                <w:sz w:val="20"/>
                <w:szCs w:val="20"/>
                <w:color w:val="auto"/>
              </w:rPr>
            </w:pPr>
            <w:r>
              <w:rPr>
                <w:rFonts w:ascii="Arial" w:cs="Arial" w:eastAsia="Arial" w:hAnsi="Arial"/>
                <w:sz w:val="16"/>
                <w:szCs w:val="16"/>
                <w:color w:val="auto"/>
              </w:rPr>
              <w:t>538,632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518,821</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1,450,114</w:t>
            </w:r>
          </w:p>
        </w:tc>
        <w:tc>
          <w:tcPr>
            <w:tcW w:w="900" w:type="dxa"/>
            <w:vAlign w:val="bottom"/>
          </w:tcPr>
          <w:p>
            <w:pPr>
              <w:jc w:val="right"/>
              <w:spacing w:after="0"/>
              <w:rPr>
                <w:sz w:val="20"/>
                <w:szCs w:val="20"/>
                <w:color w:val="auto"/>
              </w:rPr>
            </w:pPr>
            <w:r>
              <w:rPr>
                <w:rFonts w:ascii="Arial" w:cs="Arial" w:eastAsia="Arial" w:hAnsi="Arial"/>
                <w:sz w:val="16"/>
                <w:szCs w:val="16"/>
                <w:color w:val="auto"/>
              </w:rPr>
              <w:t>1,434,353</w:t>
            </w:r>
          </w:p>
        </w:tc>
      </w:tr>
      <w:tr>
        <w:trPr>
          <w:trHeight w:val="216"/>
        </w:trPr>
        <w:tc>
          <w:tcPr>
            <w:tcW w:w="100" w:type="dxa"/>
            <w:vAlign w:val="bottom"/>
          </w:tcPr>
          <w:p>
            <w:pPr>
              <w:spacing w:after="0"/>
              <w:rPr>
                <w:sz w:val="18"/>
                <w:szCs w:val="18"/>
                <w:color w:val="auto"/>
              </w:rPr>
            </w:pPr>
          </w:p>
        </w:tc>
        <w:tc>
          <w:tcPr>
            <w:tcW w:w="46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Wyoming Electric</w:t>
            </w:r>
          </w:p>
        </w:tc>
        <w:tc>
          <w:tcPr>
            <w:tcW w:w="2080" w:type="dxa"/>
            <w:vAlign w:val="bottom"/>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221,845</w:t>
            </w:r>
          </w:p>
        </w:tc>
        <w:tc>
          <w:tcPr>
            <w:tcW w:w="9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230,336</w:t>
            </w:r>
          </w:p>
        </w:tc>
        <w:tc>
          <w:tcPr>
            <w:tcW w:w="11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618,375</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651,876</w:t>
            </w:r>
          </w:p>
        </w:tc>
      </w:tr>
      <w:tr>
        <w:trPr>
          <w:trHeight w:val="209"/>
        </w:trPr>
        <w:tc>
          <w:tcPr>
            <w:tcW w:w="100" w:type="dxa"/>
            <w:vAlign w:val="bottom"/>
          </w:tcPr>
          <w:p>
            <w:pPr>
              <w:spacing w:after="0"/>
              <w:rPr>
                <w:sz w:val="18"/>
                <w:szCs w:val="18"/>
                <w:color w:val="auto"/>
              </w:rPr>
            </w:pPr>
          </w:p>
        </w:tc>
        <w:tc>
          <w:tcPr>
            <w:tcW w:w="4680" w:type="dxa"/>
            <w:vAlign w:val="bottom"/>
            <w:gridSpan w:val="2"/>
          </w:tcPr>
          <w:p>
            <w:pPr>
              <w:ind w:left="140"/>
              <w:spacing w:after="0"/>
              <w:rPr>
                <w:sz w:val="20"/>
                <w:szCs w:val="20"/>
                <w:color w:val="auto"/>
              </w:rPr>
            </w:pPr>
            <w:r>
              <w:rPr>
                <w:rFonts w:ascii="Arial" w:cs="Arial" w:eastAsia="Arial" w:hAnsi="Arial"/>
                <w:sz w:val="16"/>
                <w:szCs w:val="16"/>
                <w:color w:val="auto"/>
              </w:rPr>
              <w:t>Total Generated</w:t>
            </w:r>
          </w:p>
        </w:tc>
        <w:tc>
          <w:tcPr>
            <w:tcW w:w="3260" w:type="dxa"/>
            <w:vAlign w:val="bottom"/>
            <w:gridSpan w:val="2"/>
          </w:tcPr>
          <w:p>
            <w:pPr>
              <w:jc w:val="right"/>
              <w:ind w:right="139"/>
              <w:spacing w:after="0"/>
              <w:rPr>
                <w:sz w:val="20"/>
                <w:szCs w:val="20"/>
                <w:color w:val="auto"/>
              </w:rPr>
            </w:pPr>
            <w:r>
              <w:rPr>
                <w:rFonts w:ascii="Arial" w:cs="Arial" w:eastAsia="Arial" w:hAnsi="Arial"/>
                <w:sz w:val="16"/>
                <w:szCs w:val="16"/>
                <w:color w:val="auto"/>
              </w:rPr>
              <w:t>911,123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846,607</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2,420,212</w:t>
            </w:r>
          </w:p>
        </w:tc>
        <w:tc>
          <w:tcPr>
            <w:tcW w:w="900" w:type="dxa"/>
            <w:vAlign w:val="bottom"/>
          </w:tcPr>
          <w:p>
            <w:pPr>
              <w:jc w:val="right"/>
              <w:spacing w:after="0"/>
              <w:rPr>
                <w:sz w:val="20"/>
                <w:szCs w:val="20"/>
                <w:color w:val="auto"/>
              </w:rPr>
            </w:pPr>
            <w:r>
              <w:rPr>
                <w:rFonts w:ascii="Arial" w:cs="Arial" w:eastAsia="Arial" w:hAnsi="Arial"/>
                <w:sz w:val="16"/>
                <w:szCs w:val="16"/>
                <w:color w:val="auto"/>
              </w:rPr>
              <w:t>2,358,186</w:t>
            </w:r>
          </w:p>
        </w:tc>
      </w:tr>
      <w:tr>
        <w:trPr>
          <w:trHeight w:val="219"/>
        </w:trPr>
        <w:tc>
          <w:tcPr>
            <w:tcW w:w="100" w:type="dxa"/>
            <w:vAlign w:val="bottom"/>
          </w:tcPr>
          <w:p>
            <w:pPr>
              <w:spacing w:after="0"/>
              <w:rPr>
                <w:sz w:val="19"/>
                <w:szCs w:val="19"/>
                <w:color w:val="auto"/>
              </w:rPr>
            </w:pPr>
          </w:p>
        </w:tc>
        <w:tc>
          <w:tcPr>
            <w:tcW w:w="46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rchased:</w:t>
            </w:r>
          </w:p>
        </w:tc>
        <w:tc>
          <w:tcPr>
            <w:tcW w:w="208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94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r>
      <w:tr>
        <w:trPr>
          <w:trHeight w:val="213"/>
        </w:trPr>
        <w:tc>
          <w:tcPr>
            <w:tcW w:w="4780" w:type="dxa"/>
            <w:vAlign w:val="bottom"/>
            <w:gridSpan w:val="3"/>
          </w:tcPr>
          <w:p>
            <w:pPr>
              <w:spacing w:after="0"/>
              <w:rPr>
                <w:sz w:val="20"/>
                <w:szCs w:val="20"/>
                <w:color w:val="auto"/>
              </w:rPr>
            </w:pPr>
            <w:r>
              <w:rPr>
                <w:rFonts w:ascii="Arial" w:cs="Arial" w:eastAsia="Arial" w:hAnsi="Arial"/>
                <w:sz w:val="16"/>
                <w:szCs w:val="16"/>
                <w:color w:val="auto"/>
              </w:rPr>
              <w:t>Colorado Electric</w:t>
            </w:r>
          </w:p>
        </w:tc>
        <w:tc>
          <w:tcPr>
            <w:tcW w:w="3260" w:type="dxa"/>
            <w:vAlign w:val="bottom"/>
            <w:gridSpan w:val="2"/>
          </w:tcPr>
          <w:p>
            <w:pPr>
              <w:jc w:val="right"/>
              <w:ind w:right="139"/>
              <w:spacing w:after="0"/>
              <w:rPr>
                <w:sz w:val="20"/>
                <w:szCs w:val="20"/>
                <w:color w:val="auto"/>
              </w:rPr>
            </w:pPr>
            <w:r>
              <w:rPr>
                <w:rFonts w:ascii="Arial" w:cs="Arial" w:eastAsia="Arial" w:hAnsi="Arial"/>
                <w:sz w:val="16"/>
                <w:szCs w:val="16"/>
                <w:color w:val="auto"/>
              </w:rPr>
              <w:t>569,946</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569,466</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1,594,018</w:t>
            </w:r>
          </w:p>
        </w:tc>
        <w:tc>
          <w:tcPr>
            <w:tcW w:w="900" w:type="dxa"/>
            <w:vAlign w:val="bottom"/>
          </w:tcPr>
          <w:p>
            <w:pPr>
              <w:jc w:val="right"/>
              <w:spacing w:after="0"/>
              <w:rPr>
                <w:sz w:val="20"/>
                <w:szCs w:val="20"/>
                <w:color w:val="auto"/>
              </w:rPr>
            </w:pPr>
            <w:r>
              <w:rPr>
                <w:rFonts w:ascii="Arial" w:cs="Arial" w:eastAsia="Arial" w:hAnsi="Arial"/>
                <w:sz w:val="16"/>
                <w:szCs w:val="16"/>
                <w:color w:val="auto"/>
              </w:rPr>
              <w:t>1,493,544</w:t>
            </w:r>
          </w:p>
        </w:tc>
      </w:tr>
      <w:tr>
        <w:trPr>
          <w:trHeight w:val="219"/>
        </w:trPr>
        <w:tc>
          <w:tcPr>
            <w:tcW w:w="100" w:type="dxa"/>
            <w:vAlign w:val="bottom"/>
          </w:tcPr>
          <w:p>
            <w:pPr>
              <w:spacing w:after="0"/>
              <w:rPr>
                <w:sz w:val="19"/>
                <w:szCs w:val="19"/>
                <w:color w:val="auto"/>
              </w:rPr>
            </w:pPr>
          </w:p>
        </w:tc>
        <w:tc>
          <w:tcPr>
            <w:tcW w:w="46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South Dakota Electric</w:t>
            </w:r>
          </w:p>
        </w:tc>
        <w:tc>
          <w:tcPr>
            <w:tcW w:w="3260" w:type="dxa"/>
            <w:vAlign w:val="bottom"/>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171,229</w:t>
            </w:r>
          </w:p>
        </w:tc>
        <w:tc>
          <w:tcPr>
            <w:tcW w:w="9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180,329</w:t>
            </w:r>
          </w:p>
        </w:tc>
        <w:tc>
          <w:tcPr>
            <w:tcW w:w="11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547,582</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520,549</w:t>
            </w:r>
          </w:p>
        </w:tc>
      </w:tr>
      <w:tr>
        <w:trPr>
          <w:trHeight w:val="213"/>
        </w:trPr>
        <w:tc>
          <w:tcPr>
            <w:tcW w:w="4780" w:type="dxa"/>
            <w:vAlign w:val="bottom"/>
            <w:gridSpan w:val="3"/>
          </w:tcPr>
          <w:p>
            <w:pPr>
              <w:spacing w:after="0"/>
              <w:rPr>
                <w:sz w:val="20"/>
                <w:szCs w:val="20"/>
                <w:color w:val="auto"/>
              </w:rPr>
            </w:pPr>
            <w:r>
              <w:rPr>
                <w:rFonts w:ascii="Arial" w:cs="Arial" w:eastAsia="Arial" w:hAnsi="Arial"/>
                <w:sz w:val="16"/>
                <w:szCs w:val="16"/>
                <w:color w:val="auto"/>
              </w:rPr>
              <w:t>Wyoming Electric</w:t>
            </w:r>
          </w:p>
        </w:tc>
        <w:tc>
          <w:tcPr>
            <w:tcW w:w="3260" w:type="dxa"/>
            <w:vAlign w:val="bottom"/>
            <w:gridSpan w:val="2"/>
          </w:tcPr>
          <w:p>
            <w:pPr>
              <w:jc w:val="right"/>
              <w:ind w:right="139"/>
              <w:spacing w:after="0"/>
              <w:rPr>
                <w:sz w:val="20"/>
                <w:szCs w:val="20"/>
                <w:color w:val="auto"/>
              </w:rPr>
            </w:pPr>
            <w:r>
              <w:rPr>
                <w:rFonts w:ascii="Arial" w:cs="Arial" w:eastAsia="Arial" w:hAnsi="Arial"/>
                <w:sz w:val="16"/>
                <w:szCs w:val="16"/>
                <w:color w:val="auto"/>
              </w:rPr>
              <w:t>268,895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272,551</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845,707</w:t>
            </w:r>
          </w:p>
        </w:tc>
        <w:tc>
          <w:tcPr>
            <w:tcW w:w="900" w:type="dxa"/>
            <w:vAlign w:val="bottom"/>
          </w:tcPr>
          <w:p>
            <w:pPr>
              <w:jc w:val="right"/>
              <w:spacing w:after="0"/>
              <w:rPr>
                <w:sz w:val="20"/>
                <w:szCs w:val="20"/>
                <w:color w:val="auto"/>
              </w:rPr>
            </w:pPr>
            <w:r>
              <w:rPr>
                <w:rFonts w:ascii="Arial" w:cs="Arial" w:eastAsia="Arial" w:hAnsi="Arial"/>
                <w:sz w:val="16"/>
                <w:szCs w:val="16"/>
                <w:color w:val="auto"/>
              </w:rPr>
              <w:t>850,565</w:t>
            </w:r>
          </w:p>
        </w:tc>
      </w:tr>
      <w:tr>
        <w:trPr>
          <w:trHeight w:val="212"/>
        </w:trPr>
        <w:tc>
          <w:tcPr>
            <w:tcW w:w="100" w:type="dxa"/>
            <w:vAlign w:val="bottom"/>
          </w:tcPr>
          <w:p>
            <w:pPr>
              <w:spacing w:after="0"/>
              <w:rPr>
                <w:sz w:val="18"/>
                <w:szCs w:val="18"/>
                <w:color w:val="auto"/>
              </w:rPr>
            </w:pPr>
          </w:p>
        </w:tc>
        <w:tc>
          <w:tcPr>
            <w:tcW w:w="4680" w:type="dxa"/>
            <w:vAlign w:val="bottom"/>
            <w:tcBorders>
              <w:top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Total Purchased</w:t>
            </w:r>
          </w:p>
        </w:tc>
        <w:tc>
          <w:tcPr>
            <w:tcW w:w="2080" w:type="dxa"/>
            <w:vAlign w:val="bottom"/>
            <w:tcBorders>
              <w:top w:val="single" w:sz="8" w:color="CEFFE7"/>
            </w:tcBorders>
            <w:shd w:val="clear" w:color="auto" w:fill="CEFFE7"/>
          </w:tcPr>
          <w:p>
            <w:pPr>
              <w:spacing w:after="0"/>
              <w:rPr>
                <w:sz w:val="18"/>
                <w:szCs w:val="18"/>
                <w:color w:val="auto"/>
              </w:rPr>
            </w:pPr>
          </w:p>
        </w:tc>
        <w:tc>
          <w:tcPr>
            <w:tcW w:w="1180" w:type="dxa"/>
            <w:vAlign w:val="bottom"/>
            <w:tcBorders>
              <w:top w:val="single" w:sz="8" w:color="auto"/>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1,010,070</w:t>
            </w:r>
          </w:p>
        </w:tc>
        <w:tc>
          <w:tcPr>
            <w:tcW w:w="940" w:type="dxa"/>
            <w:vAlign w:val="bottom"/>
            <w:tcBorders>
              <w:top w:val="single" w:sz="8" w:color="auto"/>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1,022,346</w:t>
            </w:r>
          </w:p>
        </w:tc>
        <w:tc>
          <w:tcPr>
            <w:tcW w:w="1140" w:type="dxa"/>
            <w:vAlign w:val="bottom"/>
            <w:tcBorders>
              <w:top w:val="single" w:sz="8" w:color="auto"/>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2,987,307</w:t>
            </w:r>
          </w:p>
        </w:tc>
        <w:tc>
          <w:tcPr>
            <w:tcW w:w="9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2,864,658</w:t>
            </w:r>
          </w:p>
        </w:tc>
      </w:tr>
      <w:tr>
        <w:trPr>
          <w:trHeight w:val="358"/>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al Generated and Purchased</w:t>
            </w:r>
          </w:p>
        </w:tc>
        <w:tc>
          <w:tcPr>
            <w:tcW w:w="3260" w:type="dxa"/>
            <w:vAlign w:val="bottom"/>
            <w:gridSpan w:val="2"/>
          </w:tcPr>
          <w:p>
            <w:pPr>
              <w:jc w:val="right"/>
              <w:ind w:right="139"/>
              <w:spacing w:after="0"/>
              <w:rPr>
                <w:sz w:val="20"/>
                <w:szCs w:val="20"/>
                <w:color w:val="auto"/>
              </w:rPr>
            </w:pPr>
            <w:r>
              <w:rPr>
                <w:rFonts w:ascii="Arial" w:cs="Arial" w:eastAsia="Arial" w:hAnsi="Arial"/>
                <w:sz w:val="16"/>
                <w:szCs w:val="16"/>
                <w:color w:val="auto"/>
              </w:rPr>
              <w:t>1,921,193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1,868,953</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5,407,519</w:t>
            </w:r>
          </w:p>
        </w:tc>
        <w:tc>
          <w:tcPr>
            <w:tcW w:w="900" w:type="dxa"/>
            <w:vAlign w:val="bottom"/>
          </w:tcPr>
          <w:p>
            <w:pPr>
              <w:jc w:val="right"/>
              <w:spacing w:after="0"/>
              <w:rPr>
                <w:sz w:val="20"/>
                <w:szCs w:val="20"/>
                <w:color w:val="auto"/>
              </w:rPr>
            </w:pPr>
            <w:r>
              <w:rPr>
                <w:rFonts w:ascii="Arial" w:cs="Arial" w:eastAsia="Arial" w:hAnsi="Arial"/>
                <w:sz w:val="16"/>
                <w:szCs w:val="16"/>
                <w:color w:val="auto"/>
              </w:rPr>
              <w:t>5,222,844</w:t>
            </w: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-2605405</wp:posOffset>
            </wp:positionV>
            <wp:extent cx="692658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6580" cy="1625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-170815</wp:posOffset>
            </wp:positionV>
            <wp:extent cx="692658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540" w:type="dxa"/>
            <w:vAlign w:val="bottom"/>
            <w:gridSpan w:val="3"/>
          </w:tcPr>
          <w:p>
            <w:pPr>
              <w:jc w:val="right"/>
              <w:ind w:right="179"/>
              <w:spacing w:after="0"/>
              <w:rPr>
                <w:sz w:val="20"/>
                <w:szCs w:val="20"/>
                <w:color w:val="auto"/>
              </w:rPr>
            </w:pPr>
            <w:r>
              <w:rPr>
                <w:rFonts w:ascii="Arial" w:cs="Arial" w:eastAsia="Arial" w:hAnsi="Arial"/>
                <w:sz w:val="16"/>
                <w:szCs w:val="16"/>
                <w:color w:val="auto"/>
              </w:rPr>
              <w:t>Three Months Ended September 30,</w:t>
            </w:r>
          </w:p>
        </w:tc>
        <w:tc>
          <w:tcPr>
            <w:tcW w:w="1920" w:type="dxa"/>
            <w:vAlign w:val="bottom"/>
          </w:tcPr>
          <w:p>
            <w:pPr>
              <w:spacing w:after="0"/>
              <w:rPr>
                <w:sz w:val="16"/>
                <w:szCs w:val="16"/>
                <w:color w:val="auto"/>
              </w:rPr>
            </w:pPr>
          </w:p>
        </w:tc>
      </w:tr>
      <w:tr>
        <w:trPr>
          <w:trHeight w:val="219"/>
        </w:trPr>
        <w:tc>
          <w:tcPr>
            <w:tcW w:w="42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w w:val="95"/>
              </w:rPr>
              <w:t>2021</w:t>
            </w:r>
          </w:p>
        </w:tc>
        <w:tc>
          <w:tcPr>
            <w:tcW w:w="1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rPr>
              <w:t>2020</w:t>
            </w:r>
          </w:p>
        </w:tc>
      </w:tr>
      <w:tr>
        <w:trPr>
          <w:trHeight w:val="174"/>
        </w:trPr>
        <w:tc>
          <w:tcPr>
            <w:tcW w:w="4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2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Variance from</w:t>
            </w:r>
          </w:p>
        </w:tc>
        <w:tc>
          <w:tcPr>
            <w:tcW w:w="1520" w:type="dxa"/>
            <w:vAlign w:val="bottom"/>
          </w:tcPr>
          <w:p>
            <w:pPr>
              <w:spacing w:after="0"/>
              <w:rPr>
                <w:sz w:val="15"/>
                <w:szCs w:val="15"/>
                <w:color w:val="auto"/>
              </w:rPr>
            </w:pPr>
          </w:p>
        </w:tc>
        <w:tc>
          <w:tcPr>
            <w:tcW w:w="1920" w:type="dxa"/>
            <w:vAlign w:val="bottom"/>
          </w:tcPr>
          <w:p>
            <w:pPr>
              <w:jc w:val="right"/>
              <w:ind w:right="319"/>
              <w:spacing w:after="0" w:line="174" w:lineRule="exact"/>
              <w:rPr>
                <w:sz w:val="20"/>
                <w:szCs w:val="20"/>
                <w:color w:val="auto"/>
              </w:rPr>
            </w:pPr>
            <w:r>
              <w:rPr>
                <w:rFonts w:ascii="Arial" w:cs="Arial" w:eastAsia="Arial" w:hAnsi="Arial"/>
                <w:sz w:val="16"/>
                <w:szCs w:val="16"/>
                <w:color w:val="auto"/>
              </w:rPr>
              <w:t>Variance from</w:t>
            </w:r>
          </w:p>
        </w:tc>
      </w:tr>
      <w:tr>
        <w:trPr>
          <w:trHeight w:val="198"/>
        </w:trPr>
        <w:tc>
          <w:tcPr>
            <w:tcW w:w="4240" w:type="dxa"/>
            <w:vAlign w:val="bottom"/>
          </w:tcPr>
          <w:p>
            <w:pPr>
              <w:ind w:left="20"/>
              <w:spacing w:after="0"/>
              <w:rPr>
                <w:sz w:val="20"/>
                <w:szCs w:val="20"/>
                <w:color w:val="auto"/>
              </w:rPr>
            </w:pPr>
            <w:r>
              <w:rPr>
                <w:rFonts w:ascii="Arial" w:cs="Arial" w:eastAsia="Arial" w:hAnsi="Arial"/>
                <w:sz w:val="16"/>
                <w:szCs w:val="16"/>
                <w:color w:val="auto"/>
              </w:rPr>
              <w:t>Degree Days</w:t>
            </w:r>
          </w:p>
        </w:tc>
        <w:tc>
          <w:tcPr>
            <w:tcW w:w="1540" w:type="dxa"/>
            <w:vAlign w:val="bottom"/>
          </w:tcPr>
          <w:p>
            <w:pPr>
              <w:jc w:val="right"/>
              <w:ind w:right="439"/>
              <w:spacing w:after="0"/>
              <w:rPr>
                <w:sz w:val="20"/>
                <w:szCs w:val="20"/>
                <w:color w:val="auto"/>
              </w:rPr>
            </w:pPr>
            <w:r>
              <w:rPr>
                <w:rFonts w:ascii="Arial" w:cs="Arial" w:eastAsia="Arial" w:hAnsi="Arial"/>
                <w:sz w:val="16"/>
                <w:szCs w:val="16"/>
                <w:color w:val="auto"/>
              </w:rPr>
              <w:t>Actual</w:t>
            </w:r>
          </w:p>
        </w:tc>
        <w:tc>
          <w:tcPr>
            <w:tcW w:w="2020" w:type="dxa"/>
            <w:vAlign w:val="bottom"/>
            <w:gridSpan w:val="2"/>
          </w:tcPr>
          <w:p>
            <w:pPr>
              <w:jc w:val="center"/>
              <w:spacing w:after="0"/>
              <w:rPr>
                <w:sz w:val="20"/>
                <w:szCs w:val="20"/>
                <w:color w:val="auto"/>
              </w:rPr>
            </w:pPr>
            <w:r>
              <w:rPr>
                <w:rFonts w:ascii="Arial" w:cs="Arial" w:eastAsia="Arial" w:hAnsi="Arial"/>
                <w:sz w:val="16"/>
                <w:szCs w:val="16"/>
                <w:color w:val="auto"/>
              </w:rPr>
              <w:t>Normal</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Actual</w:t>
            </w:r>
          </w:p>
        </w:tc>
        <w:tc>
          <w:tcPr>
            <w:tcW w:w="1920" w:type="dxa"/>
            <w:vAlign w:val="bottom"/>
          </w:tcPr>
          <w:p>
            <w:pPr>
              <w:jc w:val="right"/>
              <w:ind w:right="519"/>
              <w:spacing w:after="0"/>
              <w:rPr>
                <w:sz w:val="20"/>
                <w:szCs w:val="20"/>
                <w:color w:val="auto"/>
              </w:rPr>
            </w:pPr>
            <w:r>
              <w:rPr>
                <w:rFonts w:ascii="Arial" w:cs="Arial" w:eastAsia="Arial" w:hAnsi="Arial"/>
                <w:sz w:val="16"/>
                <w:szCs w:val="16"/>
                <w:color w:val="auto"/>
              </w:rPr>
              <w:t>Normal</w:t>
            </w:r>
          </w:p>
        </w:tc>
      </w:tr>
      <w:tr>
        <w:trPr>
          <w:trHeight w:val="210"/>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1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4240" w:type="dxa"/>
            <w:vAlign w:val="bottom"/>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1 %</w:t>
            </w:r>
          </w:p>
        </w:tc>
      </w:tr>
      <w:tr>
        <w:trPr>
          <w:trHeight w:val="213"/>
        </w:trPr>
        <w:tc>
          <w:tcPr>
            <w:tcW w:w="4240" w:type="dxa"/>
            <w:vAlign w:val="bottom"/>
          </w:tcPr>
          <w:p>
            <w:pPr>
              <w:ind w:left="400"/>
              <w:spacing w:after="0"/>
              <w:rPr>
                <w:sz w:val="20"/>
                <w:szCs w:val="20"/>
                <w:color w:val="auto"/>
              </w:rPr>
            </w:pPr>
            <w:r>
              <w:rPr>
                <w:rFonts w:ascii="Arial" w:cs="Arial" w:eastAsia="Arial" w:hAnsi="Arial"/>
                <w:sz w:val="16"/>
                <w:szCs w:val="16"/>
                <w:color w:val="auto"/>
              </w:rPr>
              <w:t>South Dakota Electric</w:t>
            </w:r>
          </w:p>
        </w:tc>
        <w:tc>
          <w:tcPr>
            <w:tcW w:w="1540" w:type="dxa"/>
            <w:vAlign w:val="bottom"/>
          </w:tcPr>
          <w:p>
            <w:pPr>
              <w:jc w:val="right"/>
              <w:spacing w:after="0"/>
              <w:rPr>
                <w:sz w:val="20"/>
                <w:szCs w:val="20"/>
                <w:color w:val="auto"/>
              </w:rPr>
            </w:pPr>
            <w:r>
              <w:rPr>
                <w:rFonts w:ascii="Arial" w:cs="Arial" w:eastAsia="Arial" w:hAnsi="Arial"/>
                <w:sz w:val="16"/>
                <w:szCs w:val="16"/>
                <w:color w:val="auto"/>
              </w:rPr>
              <w:t>90</w:t>
            </w:r>
          </w:p>
        </w:tc>
        <w:tc>
          <w:tcPr>
            <w:tcW w:w="19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202</w:t>
            </w:r>
          </w:p>
        </w:tc>
        <w:tc>
          <w:tcPr>
            <w:tcW w:w="19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4240" w:type="dxa"/>
            <w:vAlign w:val="bottom"/>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112</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208</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4240" w:type="dxa"/>
            <w:vAlign w:val="bottom"/>
          </w:tcPr>
          <w:p>
            <w:pPr>
              <w:ind w:left="680"/>
              <w:spacing w:after="0" w:line="216"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63</w:t>
            </w:r>
          </w:p>
        </w:tc>
        <w:tc>
          <w:tcPr>
            <w:tcW w:w="19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156</w:t>
            </w:r>
          </w:p>
        </w:tc>
        <w:tc>
          <w:tcPr>
            <w:tcW w:w="1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4240" w:type="dxa"/>
            <w:vAlign w:val="bottom"/>
            <w:shd w:val="clear" w:color="auto" w:fill="CEFFE7"/>
          </w:tcPr>
          <w:p>
            <w:pPr>
              <w:spacing w:after="0"/>
              <w:rPr>
                <w:sz w:val="23"/>
                <w:szCs w:val="23"/>
                <w:color w:val="auto"/>
              </w:rPr>
            </w:pPr>
          </w:p>
        </w:tc>
        <w:tc>
          <w:tcPr>
            <w:tcW w:w="1540" w:type="dxa"/>
            <w:vAlign w:val="bottom"/>
            <w:shd w:val="clear" w:color="auto" w:fill="CEFFE7"/>
          </w:tcPr>
          <w:p>
            <w:pPr>
              <w:spacing w:after="0"/>
              <w:rPr>
                <w:sz w:val="23"/>
                <w:szCs w:val="23"/>
                <w:color w:val="auto"/>
              </w:rPr>
            </w:pPr>
          </w:p>
        </w:tc>
        <w:tc>
          <w:tcPr>
            <w:tcW w:w="19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520" w:type="dxa"/>
            <w:vAlign w:val="bottom"/>
            <w:shd w:val="clear" w:color="auto" w:fill="CEFFE7"/>
          </w:tcPr>
          <w:p>
            <w:pPr>
              <w:spacing w:after="0"/>
              <w:rPr>
                <w:sz w:val="23"/>
                <w:szCs w:val="23"/>
                <w:color w:val="auto"/>
              </w:rPr>
            </w:pPr>
          </w:p>
        </w:tc>
        <w:tc>
          <w:tcPr>
            <w:tcW w:w="1920" w:type="dxa"/>
            <w:vAlign w:val="bottom"/>
            <w:shd w:val="clear" w:color="auto" w:fill="CEFFE7"/>
          </w:tcPr>
          <w:p>
            <w:pPr>
              <w:spacing w:after="0"/>
              <w:rPr>
                <w:sz w:val="23"/>
                <w:szCs w:val="23"/>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Cooling Degree Days:</w:t>
            </w: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4240" w:type="dxa"/>
            <w:vAlign w:val="bottom"/>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942</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987</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44 %</w:t>
            </w:r>
          </w:p>
        </w:tc>
      </w:tr>
      <w:tr>
        <w:trPr>
          <w:trHeight w:val="213"/>
        </w:trPr>
        <w:tc>
          <w:tcPr>
            <w:tcW w:w="4240" w:type="dxa"/>
            <w:vAlign w:val="bottom"/>
          </w:tcPr>
          <w:p>
            <w:pPr>
              <w:ind w:left="400"/>
              <w:spacing w:after="0"/>
              <w:rPr>
                <w:sz w:val="20"/>
                <w:szCs w:val="20"/>
                <w:color w:val="auto"/>
              </w:rPr>
            </w:pPr>
            <w:r>
              <w:rPr>
                <w:rFonts w:ascii="Arial" w:cs="Arial" w:eastAsia="Arial" w:hAnsi="Arial"/>
                <w:sz w:val="16"/>
                <w:szCs w:val="16"/>
                <w:color w:val="auto"/>
              </w:rPr>
              <w:t>South Dakota Electric</w:t>
            </w:r>
          </w:p>
        </w:tc>
        <w:tc>
          <w:tcPr>
            <w:tcW w:w="1540" w:type="dxa"/>
            <w:vAlign w:val="bottom"/>
          </w:tcPr>
          <w:p>
            <w:pPr>
              <w:jc w:val="right"/>
              <w:spacing w:after="0"/>
              <w:rPr>
                <w:sz w:val="20"/>
                <w:szCs w:val="20"/>
                <w:color w:val="auto"/>
              </w:rPr>
            </w:pPr>
            <w:r>
              <w:rPr>
                <w:rFonts w:ascii="Arial" w:cs="Arial" w:eastAsia="Arial" w:hAnsi="Arial"/>
                <w:sz w:val="16"/>
                <w:szCs w:val="16"/>
                <w:color w:val="auto"/>
              </w:rPr>
              <w:t>649</w:t>
            </w:r>
          </w:p>
        </w:tc>
        <w:tc>
          <w:tcPr>
            <w:tcW w:w="190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561</w:t>
            </w:r>
          </w:p>
        </w:tc>
        <w:tc>
          <w:tcPr>
            <w:tcW w:w="192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19"/>
        </w:trPr>
        <w:tc>
          <w:tcPr>
            <w:tcW w:w="4240" w:type="dxa"/>
            <w:vAlign w:val="bottom"/>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487</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492</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65 %</w:t>
            </w:r>
          </w:p>
        </w:tc>
      </w:tr>
      <w:tr>
        <w:trPr>
          <w:trHeight w:val="281"/>
        </w:trPr>
        <w:tc>
          <w:tcPr>
            <w:tcW w:w="4240" w:type="dxa"/>
            <w:vAlign w:val="bottom"/>
          </w:tcPr>
          <w:p>
            <w:pPr>
              <w:ind w:left="6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751</w:t>
            </w:r>
          </w:p>
        </w:tc>
        <w:tc>
          <w:tcPr>
            <w:tcW w:w="190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742</w:t>
            </w:r>
          </w:p>
        </w:tc>
        <w:tc>
          <w:tcPr>
            <w:tcW w:w="192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564"/>
        </w:trPr>
        <w:tc>
          <w:tcPr>
            <w:tcW w:w="4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50"/>
        </w:trPr>
        <w:tc>
          <w:tcPr>
            <w:tcW w:w="4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220" w:top="118"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540" w:type="dxa"/>
            <w:vAlign w:val="bottom"/>
            <w:gridSpan w:val="3"/>
          </w:tcPr>
          <w:p>
            <w:pPr>
              <w:jc w:val="right"/>
              <w:ind w:right="239"/>
              <w:spacing w:after="0"/>
              <w:rPr>
                <w:sz w:val="20"/>
                <w:szCs w:val="20"/>
                <w:color w:val="auto"/>
              </w:rPr>
            </w:pPr>
            <w:r>
              <w:rPr>
                <w:rFonts w:ascii="Arial" w:cs="Arial" w:eastAsia="Arial" w:hAnsi="Arial"/>
                <w:sz w:val="16"/>
                <w:szCs w:val="16"/>
                <w:color w:val="auto"/>
              </w:rPr>
              <w:t>Nine Months Ended September 30,</w:t>
            </w:r>
          </w:p>
        </w:tc>
        <w:tc>
          <w:tcPr>
            <w:tcW w:w="1920" w:type="dxa"/>
            <w:vAlign w:val="bottom"/>
          </w:tcPr>
          <w:p>
            <w:pPr>
              <w:spacing w:after="0"/>
              <w:rPr>
                <w:sz w:val="16"/>
                <w:szCs w:val="16"/>
                <w:color w:val="auto"/>
              </w:rPr>
            </w:pPr>
          </w:p>
        </w:tc>
      </w:tr>
      <w:tr>
        <w:trPr>
          <w:trHeight w:val="219"/>
        </w:trPr>
        <w:tc>
          <w:tcPr>
            <w:tcW w:w="42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w w:val="95"/>
              </w:rPr>
              <w:t>2021</w:t>
            </w:r>
          </w:p>
        </w:tc>
        <w:tc>
          <w:tcPr>
            <w:tcW w:w="1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rPr>
              <w:t>2020</w:t>
            </w:r>
          </w:p>
        </w:tc>
      </w:tr>
      <w:tr>
        <w:trPr>
          <w:trHeight w:val="174"/>
        </w:trPr>
        <w:tc>
          <w:tcPr>
            <w:tcW w:w="4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2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Variance from</w:t>
            </w:r>
          </w:p>
        </w:tc>
        <w:tc>
          <w:tcPr>
            <w:tcW w:w="1520" w:type="dxa"/>
            <w:vAlign w:val="bottom"/>
          </w:tcPr>
          <w:p>
            <w:pPr>
              <w:spacing w:after="0"/>
              <w:rPr>
                <w:sz w:val="15"/>
                <w:szCs w:val="15"/>
                <w:color w:val="auto"/>
              </w:rPr>
            </w:pPr>
          </w:p>
        </w:tc>
        <w:tc>
          <w:tcPr>
            <w:tcW w:w="1920" w:type="dxa"/>
            <w:vAlign w:val="bottom"/>
          </w:tcPr>
          <w:p>
            <w:pPr>
              <w:jc w:val="right"/>
              <w:ind w:right="319"/>
              <w:spacing w:after="0" w:line="174" w:lineRule="exact"/>
              <w:rPr>
                <w:sz w:val="20"/>
                <w:szCs w:val="20"/>
                <w:color w:val="auto"/>
              </w:rPr>
            </w:pPr>
            <w:r>
              <w:rPr>
                <w:rFonts w:ascii="Arial" w:cs="Arial" w:eastAsia="Arial" w:hAnsi="Arial"/>
                <w:sz w:val="16"/>
                <w:szCs w:val="16"/>
                <w:color w:val="auto"/>
              </w:rPr>
              <w:t>Variance from</w:t>
            </w:r>
          </w:p>
        </w:tc>
      </w:tr>
      <w:tr>
        <w:trPr>
          <w:trHeight w:val="198"/>
        </w:trPr>
        <w:tc>
          <w:tcPr>
            <w:tcW w:w="4240" w:type="dxa"/>
            <w:vAlign w:val="bottom"/>
          </w:tcPr>
          <w:p>
            <w:pPr>
              <w:ind w:left="20"/>
              <w:spacing w:after="0"/>
              <w:rPr>
                <w:sz w:val="20"/>
                <w:szCs w:val="20"/>
                <w:color w:val="auto"/>
              </w:rPr>
            </w:pPr>
            <w:r>
              <w:rPr>
                <w:rFonts w:ascii="Arial" w:cs="Arial" w:eastAsia="Arial" w:hAnsi="Arial"/>
                <w:sz w:val="16"/>
                <w:szCs w:val="16"/>
                <w:color w:val="auto"/>
              </w:rPr>
              <w:t>Degree Days</w:t>
            </w:r>
          </w:p>
        </w:tc>
        <w:tc>
          <w:tcPr>
            <w:tcW w:w="1540" w:type="dxa"/>
            <w:vAlign w:val="bottom"/>
          </w:tcPr>
          <w:p>
            <w:pPr>
              <w:jc w:val="right"/>
              <w:ind w:right="439"/>
              <w:spacing w:after="0"/>
              <w:rPr>
                <w:sz w:val="20"/>
                <w:szCs w:val="20"/>
                <w:color w:val="auto"/>
              </w:rPr>
            </w:pPr>
            <w:r>
              <w:rPr>
                <w:rFonts w:ascii="Arial" w:cs="Arial" w:eastAsia="Arial" w:hAnsi="Arial"/>
                <w:sz w:val="16"/>
                <w:szCs w:val="16"/>
                <w:color w:val="auto"/>
              </w:rPr>
              <w:t>Actual</w:t>
            </w:r>
          </w:p>
        </w:tc>
        <w:tc>
          <w:tcPr>
            <w:tcW w:w="2020" w:type="dxa"/>
            <w:vAlign w:val="bottom"/>
            <w:gridSpan w:val="2"/>
          </w:tcPr>
          <w:p>
            <w:pPr>
              <w:jc w:val="center"/>
              <w:spacing w:after="0"/>
              <w:rPr>
                <w:sz w:val="20"/>
                <w:szCs w:val="20"/>
                <w:color w:val="auto"/>
              </w:rPr>
            </w:pPr>
            <w:r>
              <w:rPr>
                <w:rFonts w:ascii="Arial" w:cs="Arial" w:eastAsia="Arial" w:hAnsi="Arial"/>
                <w:sz w:val="16"/>
                <w:szCs w:val="16"/>
                <w:color w:val="auto"/>
              </w:rPr>
              <w:t>Normal</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Actual</w:t>
            </w:r>
          </w:p>
        </w:tc>
        <w:tc>
          <w:tcPr>
            <w:tcW w:w="1920" w:type="dxa"/>
            <w:vAlign w:val="bottom"/>
          </w:tcPr>
          <w:p>
            <w:pPr>
              <w:jc w:val="right"/>
              <w:ind w:right="519"/>
              <w:spacing w:after="0"/>
              <w:rPr>
                <w:sz w:val="20"/>
                <w:szCs w:val="20"/>
                <w:color w:val="auto"/>
              </w:rPr>
            </w:pPr>
            <w:r>
              <w:rPr>
                <w:rFonts w:ascii="Arial" w:cs="Arial" w:eastAsia="Arial" w:hAnsi="Arial"/>
                <w:sz w:val="16"/>
                <w:szCs w:val="16"/>
                <w:color w:val="auto"/>
              </w:rPr>
              <w:t>Normal</w:t>
            </w:r>
          </w:p>
        </w:tc>
      </w:tr>
      <w:tr>
        <w:trPr>
          <w:trHeight w:val="209"/>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1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4240" w:type="dxa"/>
            <w:vAlign w:val="bottom"/>
            <w:shd w:val="clear" w:color="auto" w:fill="CEFFE7"/>
          </w:tcPr>
          <w:p>
            <w:pPr>
              <w:ind w:left="380"/>
              <w:spacing w:after="0"/>
              <w:rPr>
                <w:sz w:val="20"/>
                <w:szCs w:val="20"/>
                <w:color w:val="auto"/>
              </w:rPr>
            </w:pPr>
            <w:r>
              <w:rPr>
                <w:rFonts w:ascii="Arial" w:cs="Arial" w:eastAsia="Arial" w:hAnsi="Arial"/>
                <w:sz w:val="16"/>
                <w:szCs w:val="16"/>
                <w:color w:val="auto"/>
              </w:rPr>
              <w:t>Colorado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3,348</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3,073</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4240" w:type="dxa"/>
            <w:vAlign w:val="bottom"/>
          </w:tcPr>
          <w:p>
            <w:pPr>
              <w:ind w:left="380"/>
              <w:spacing w:after="0"/>
              <w:rPr>
                <w:sz w:val="20"/>
                <w:szCs w:val="20"/>
                <w:color w:val="auto"/>
              </w:rPr>
            </w:pPr>
            <w:r>
              <w:rPr>
                <w:rFonts w:ascii="Arial" w:cs="Arial" w:eastAsia="Arial" w:hAnsi="Arial"/>
                <w:sz w:val="16"/>
                <w:szCs w:val="16"/>
                <w:color w:val="auto"/>
              </w:rPr>
              <w:t>South Dakota Electric</w:t>
            </w:r>
          </w:p>
        </w:tc>
        <w:tc>
          <w:tcPr>
            <w:tcW w:w="1540" w:type="dxa"/>
            <w:vAlign w:val="bottom"/>
          </w:tcPr>
          <w:p>
            <w:pPr>
              <w:jc w:val="right"/>
              <w:spacing w:after="0"/>
              <w:rPr>
                <w:sz w:val="20"/>
                <w:szCs w:val="20"/>
                <w:color w:val="auto"/>
              </w:rPr>
            </w:pPr>
            <w:r>
              <w:rPr>
                <w:rFonts w:ascii="Arial" w:cs="Arial" w:eastAsia="Arial" w:hAnsi="Arial"/>
                <w:sz w:val="16"/>
                <w:szCs w:val="16"/>
                <w:color w:val="auto"/>
              </w:rPr>
              <w:t>4,462</w:t>
            </w:r>
          </w:p>
        </w:tc>
        <w:tc>
          <w:tcPr>
            <w:tcW w:w="20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520" w:type="dxa"/>
            <w:vAlign w:val="bottom"/>
          </w:tcPr>
          <w:p>
            <w:pPr>
              <w:jc w:val="right"/>
              <w:spacing w:after="0"/>
              <w:rPr>
                <w:sz w:val="20"/>
                <w:szCs w:val="20"/>
                <w:color w:val="auto"/>
              </w:rPr>
            </w:pPr>
            <w:r>
              <w:rPr>
                <w:rFonts w:ascii="Arial" w:cs="Arial" w:eastAsia="Arial" w:hAnsi="Arial"/>
                <w:sz w:val="16"/>
                <w:szCs w:val="16"/>
                <w:color w:val="auto"/>
              </w:rPr>
              <w:t>4,440</w:t>
            </w:r>
          </w:p>
        </w:tc>
        <w:tc>
          <w:tcPr>
            <w:tcW w:w="1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4240" w:type="dxa"/>
            <w:vAlign w:val="bottom"/>
            <w:shd w:val="clear" w:color="auto" w:fill="CEFFE7"/>
          </w:tcPr>
          <w:p>
            <w:pPr>
              <w:ind w:left="380"/>
              <w:spacing w:after="0"/>
              <w:rPr>
                <w:sz w:val="20"/>
                <w:szCs w:val="20"/>
                <w:color w:val="auto"/>
              </w:rPr>
            </w:pPr>
            <w:r>
              <w:rPr>
                <w:rFonts w:ascii="Arial" w:cs="Arial" w:eastAsia="Arial" w:hAnsi="Arial"/>
                <w:sz w:val="16"/>
                <w:szCs w:val="16"/>
                <w:color w:val="auto"/>
              </w:rPr>
              <w:t>Wyoming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4,594</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4,356</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4240" w:type="dxa"/>
            <w:vAlign w:val="bottom"/>
          </w:tcPr>
          <w:p>
            <w:pPr>
              <w:ind w:left="680"/>
              <w:spacing w:after="0" w:line="216"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3,979</w:t>
            </w:r>
          </w:p>
        </w:tc>
        <w:tc>
          <w:tcPr>
            <w:tcW w:w="20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520" w:type="dxa"/>
            <w:vAlign w:val="bottom"/>
          </w:tcPr>
          <w:p>
            <w:pPr>
              <w:jc w:val="right"/>
              <w:spacing w:after="0"/>
              <w:rPr>
                <w:sz w:val="20"/>
                <w:szCs w:val="20"/>
                <w:color w:val="auto"/>
              </w:rPr>
            </w:pPr>
            <w:r>
              <w:rPr>
                <w:rFonts w:ascii="Arial" w:cs="Arial" w:eastAsia="Arial" w:hAnsi="Arial"/>
                <w:sz w:val="16"/>
                <w:szCs w:val="16"/>
                <w:color w:val="auto"/>
              </w:rPr>
              <w:t>3,799</w:t>
            </w:r>
          </w:p>
        </w:tc>
        <w:tc>
          <w:tcPr>
            <w:tcW w:w="1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240" w:type="dxa"/>
            <w:vAlign w:val="bottom"/>
            <w:shd w:val="clear" w:color="auto" w:fill="CEFFE7"/>
          </w:tcPr>
          <w:p>
            <w:pPr>
              <w:spacing w:after="0"/>
              <w:rPr>
                <w:sz w:val="23"/>
                <w:szCs w:val="23"/>
                <w:color w:val="auto"/>
              </w:rPr>
            </w:pPr>
          </w:p>
        </w:tc>
        <w:tc>
          <w:tcPr>
            <w:tcW w:w="1540" w:type="dxa"/>
            <w:vAlign w:val="bottom"/>
            <w:shd w:val="clear" w:color="auto" w:fill="CEFFE7"/>
          </w:tcPr>
          <w:p>
            <w:pPr>
              <w:spacing w:after="0"/>
              <w:rPr>
                <w:sz w:val="23"/>
                <w:szCs w:val="23"/>
                <w:color w:val="auto"/>
              </w:rPr>
            </w:pPr>
          </w:p>
        </w:tc>
        <w:tc>
          <w:tcPr>
            <w:tcW w:w="19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520" w:type="dxa"/>
            <w:vAlign w:val="bottom"/>
            <w:shd w:val="clear" w:color="auto" w:fill="CEFFE7"/>
          </w:tcPr>
          <w:p>
            <w:pPr>
              <w:spacing w:after="0"/>
              <w:rPr>
                <w:sz w:val="23"/>
                <w:szCs w:val="23"/>
                <w:color w:val="auto"/>
              </w:rPr>
            </w:pPr>
          </w:p>
        </w:tc>
        <w:tc>
          <w:tcPr>
            <w:tcW w:w="1920" w:type="dxa"/>
            <w:vAlign w:val="bottom"/>
            <w:shd w:val="clear" w:color="auto" w:fill="CEFFE7"/>
          </w:tcPr>
          <w:p>
            <w:pPr>
              <w:spacing w:after="0"/>
              <w:rPr>
                <w:sz w:val="23"/>
                <w:szCs w:val="23"/>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Cooling Degree Days:</w:t>
            </w: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4240" w:type="dxa"/>
            <w:vAlign w:val="bottom"/>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1,242</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1,369</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53 %</w:t>
            </w:r>
          </w:p>
        </w:tc>
      </w:tr>
      <w:tr>
        <w:trPr>
          <w:trHeight w:val="213"/>
        </w:trPr>
        <w:tc>
          <w:tcPr>
            <w:tcW w:w="4240" w:type="dxa"/>
            <w:vAlign w:val="bottom"/>
          </w:tcPr>
          <w:p>
            <w:pPr>
              <w:ind w:left="400"/>
              <w:spacing w:after="0"/>
              <w:rPr>
                <w:sz w:val="20"/>
                <w:szCs w:val="20"/>
                <w:color w:val="auto"/>
              </w:rPr>
            </w:pPr>
            <w:r>
              <w:rPr>
                <w:rFonts w:ascii="Arial" w:cs="Arial" w:eastAsia="Arial" w:hAnsi="Arial"/>
                <w:sz w:val="16"/>
                <w:szCs w:val="16"/>
                <w:color w:val="auto"/>
              </w:rPr>
              <w:t>South Dakota Electric</w:t>
            </w:r>
          </w:p>
        </w:tc>
        <w:tc>
          <w:tcPr>
            <w:tcW w:w="1540" w:type="dxa"/>
            <w:vAlign w:val="bottom"/>
          </w:tcPr>
          <w:p>
            <w:pPr>
              <w:jc w:val="right"/>
              <w:spacing w:after="0"/>
              <w:rPr>
                <w:sz w:val="20"/>
                <w:szCs w:val="20"/>
                <w:color w:val="auto"/>
              </w:rPr>
            </w:pPr>
            <w:r>
              <w:rPr>
                <w:rFonts w:ascii="Arial" w:cs="Arial" w:eastAsia="Arial" w:hAnsi="Arial"/>
                <w:sz w:val="16"/>
                <w:szCs w:val="16"/>
                <w:color w:val="auto"/>
              </w:rPr>
              <w:t>816</w:t>
            </w:r>
          </w:p>
        </w:tc>
        <w:tc>
          <w:tcPr>
            <w:tcW w:w="190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681</w:t>
            </w:r>
          </w:p>
        </w:tc>
        <w:tc>
          <w:tcPr>
            <w:tcW w:w="192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9"/>
        </w:trPr>
        <w:tc>
          <w:tcPr>
            <w:tcW w:w="4240" w:type="dxa"/>
            <w:vAlign w:val="bottom"/>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604</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593</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70 %</w:t>
            </w:r>
          </w:p>
        </w:tc>
      </w:tr>
      <w:tr>
        <w:trPr>
          <w:trHeight w:val="281"/>
        </w:trPr>
        <w:tc>
          <w:tcPr>
            <w:tcW w:w="4240" w:type="dxa"/>
            <w:vAlign w:val="bottom"/>
          </w:tcPr>
          <w:p>
            <w:pPr>
              <w:ind w:left="6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968</w:t>
            </w:r>
          </w:p>
        </w:tc>
        <w:tc>
          <w:tcPr>
            <w:tcW w:w="1900" w:type="dxa"/>
            <w:vAlign w:val="bottom"/>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977</w:t>
            </w:r>
          </w:p>
        </w:tc>
        <w:tc>
          <w:tcPr>
            <w:tcW w:w="1920" w:type="dxa"/>
            <w:vAlign w:val="bottom"/>
          </w:tcPr>
          <w:p>
            <w:pPr>
              <w:jc w:val="right"/>
              <w:spacing w:after="0"/>
              <w:rPr>
                <w:sz w:val="20"/>
                <w:szCs w:val="20"/>
                <w:color w:val="auto"/>
              </w:rPr>
            </w:pPr>
            <w:r>
              <w:rPr>
                <w:rFonts w:ascii="Arial" w:cs="Arial" w:eastAsia="Arial" w:hAnsi="Arial"/>
                <w:sz w:val="16"/>
                <w:szCs w:val="16"/>
                <w:color w:val="auto"/>
              </w:rPr>
              <w:t>41 %</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Combined actuals are calculated based on the weighted average number of total customers by state.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31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Three Months Ended September 30,</w:t>
            </w:r>
          </w:p>
        </w:tc>
        <w:tc>
          <w:tcPr>
            <w:tcW w:w="28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Nine Months Ended September 30,</w:t>
            </w:r>
          </w:p>
        </w:tc>
      </w:tr>
      <w:tr>
        <w:trPr>
          <w:trHeight w:val="215"/>
        </w:trPr>
        <w:tc>
          <w:tcPr>
            <w:tcW w:w="52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17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2021</w:t>
            </w: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2020</w:t>
            </w:r>
          </w:p>
        </w:tc>
        <w:tc>
          <w:tcPr>
            <w:tcW w:w="16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2021</w:t>
            </w: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r>
      <w:tr>
        <w:trPr>
          <w:trHeight w:val="209"/>
        </w:trPr>
        <w:tc>
          <w:tcPr>
            <w:tcW w:w="5280" w:type="dxa"/>
            <w:vAlign w:val="bottom"/>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17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96.3 %</w:t>
            </w:r>
          </w:p>
        </w:tc>
        <w:tc>
          <w:tcPr>
            <w:tcW w:w="13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97.4 %</w:t>
            </w:r>
          </w:p>
        </w:tc>
        <w:tc>
          <w:tcPr>
            <w:tcW w:w="16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88.5 %</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94.1 %</w:t>
            </w:r>
          </w:p>
        </w:tc>
      </w:tr>
      <w:tr>
        <w:trPr>
          <w:trHeight w:val="216"/>
        </w:trPr>
        <w:tc>
          <w:tcPr>
            <w:tcW w:w="5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 (c)</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96.5 %</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79.7 %</w:t>
            </w:r>
          </w:p>
        </w:tc>
        <w:tc>
          <w:tcPr>
            <w:tcW w:w="1640" w:type="dxa"/>
            <w:vAlign w:val="bottom"/>
          </w:tcPr>
          <w:p>
            <w:pPr>
              <w:jc w:val="right"/>
              <w:ind w:right="199"/>
              <w:spacing w:after="0"/>
              <w:rPr>
                <w:sz w:val="20"/>
                <w:szCs w:val="20"/>
                <w:color w:val="auto"/>
              </w:rPr>
            </w:pPr>
            <w:r>
              <w:rPr>
                <w:rFonts w:ascii="Arial" w:cs="Arial" w:eastAsia="Arial" w:hAnsi="Arial"/>
                <w:sz w:val="16"/>
                <w:szCs w:val="16"/>
                <w:color w:val="auto"/>
              </w:rPr>
              <w:t>93.8 %</w:t>
            </w:r>
          </w:p>
        </w:tc>
        <w:tc>
          <w:tcPr>
            <w:tcW w:w="1220" w:type="dxa"/>
            <w:vAlign w:val="bottom"/>
          </w:tcPr>
          <w:p>
            <w:pPr>
              <w:jc w:val="right"/>
              <w:spacing w:after="0"/>
              <w:rPr>
                <w:sz w:val="20"/>
                <w:szCs w:val="20"/>
                <w:color w:val="auto"/>
              </w:rPr>
            </w:pPr>
            <w:r>
              <w:rPr>
                <w:rFonts w:ascii="Arial" w:cs="Arial" w:eastAsia="Arial" w:hAnsi="Arial"/>
                <w:sz w:val="16"/>
                <w:szCs w:val="16"/>
                <w:color w:val="auto"/>
              </w:rPr>
              <w:t>80.5 %</w:t>
            </w:r>
          </w:p>
        </w:tc>
      </w:tr>
      <w:tr>
        <w:trPr>
          <w:trHeight w:val="216"/>
        </w:trPr>
        <w:tc>
          <w:tcPr>
            <w:tcW w:w="5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7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97.0 %</w:t>
            </w:r>
          </w:p>
        </w:tc>
        <w:tc>
          <w:tcPr>
            <w:tcW w:w="13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97.7 %</w:t>
            </w:r>
          </w:p>
        </w:tc>
        <w:tc>
          <w:tcPr>
            <w:tcW w:w="16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95.6 %</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98.3 %</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96.5 %</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86.8 %</w:t>
            </w:r>
          </w:p>
        </w:tc>
        <w:tc>
          <w:tcPr>
            <w:tcW w:w="1640" w:type="dxa"/>
            <w:vAlign w:val="bottom"/>
          </w:tcPr>
          <w:p>
            <w:pPr>
              <w:jc w:val="right"/>
              <w:ind w:right="199"/>
              <w:spacing w:after="0"/>
              <w:rPr>
                <w:sz w:val="20"/>
                <w:szCs w:val="20"/>
                <w:color w:val="auto"/>
              </w:rPr>
            </w:pPr>
            <w:r>
              <w:rPr>
                <w:rFonts w:ascii="Arial" w:cs="Arial" w:eastAsia="Arial" w:hAnsi="Arial"/>
                <w:sz w:val="16"/>
                <w:szCs w:val="16"/>
                <w:color w:val="auto"/>
              </w:rPr>
              <w:t>92.4 %</w:t>
            </w:r>
          </w:p>
        </w:tc>
        <w:tc>
          <w:tcPr>
            <w:tcW w:w="1220" w:type="dxa"/>
            <w:vAlign w:val="bottom"/>
          </w:tcPr>
          <w:p>
            <w:pPr>
              <w:jc w:val="right"/>
              <w:spacing w:after="0"/>
              <w:rPr>
                <w:sz w:val="20"/>
                <w:szCs w:val="20"/>
                <w:color w:val="auto"/>
              </w:rPr>
            </w:pPr>
            <w:r>
              <w:rPr>
                <w:rFonts w:ascii="Arial" w:cs="Arial" w:eastAsia="Arial" w:hAnsi="Arial"/>
                <w:sz w:val="16"/>
                <w:szCs w:val="16"/>
                <w:color w:val="auto"/>
              </w:rPr>
              <w:t>86.3 %</w:t>
            </w:r>
          </w:p>
        </w:tc>
      </w:tr>
      <w:tr>
        <w:trPr>
          <w:trHeight w:val="165"/>
        </w:trPr>
        <w:tc>
          <w:tcPr>
            <w:tcW w:w="5280" w:type="dxa"/>
            <w:vAlign w:val="bottom"/>
            <w:shd w:val="clear" w:color="auto" w:fill="CEFFE7"/>
          </w:tcPr>
          <w:p>
            <w:pPr>
              <w:spacing w:after="0"/>
              <w:rPr>
                <w:sz w:val="14"/>
                <w:szCs w:val="14"/>
                <w:color w:val="auto"/>
              </w:rPr>
            </w:pPr>
          </w:p>
        </w:tc>
        <w:tc>
          <w:tcPr>
            <w:tcW w:w="1760" w:type="dxa"/>
            <w:vAlign w:val="bottom"/>
            <w:shd w:val="clear" w:color="auto" w:fill="CEFFE7"/>
          </w:tcPr>
          <w:p>
            <w:pPr>
              <w:spacing w:after="0"/>
              <w:rPr>
                <w:sz w:val="14"/>
                <w:szCs w:val="14"/>
                <w:color w:val="auto"/>
              </w:rPr>
            </w:pPr>
          </w:p>
        </w:tc>
        <w:tc>
          <w:tcPr>
            <w:tcW w:w="1340" w:type="dxa"/>
            <w:vAlign w:val="bottom"/>
            <w:shd w:val="clear" w:color="auto" w:fill="CEFFE7"/>
          </w:tcPr>
          <w:p>
            <w:pPr>
              <w:spacing w:after="0"/>
              <w:rPr>
                <w:sz w:val="14"/>
                <w:szCs w:val="14"/>
                <w:color w:val="auto"/>
              </w:rPr>
            </w:pPr>
          </w:p>
        </w:tc>
        <w:tc>
          <w:tcPr>
            <w:tcW w:w="164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34.1 %</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33.2 %</w:t>
            </w:r>
          </w:p>
        </w:tc>
        <w:tc>
          <w:tcPr>
            <w:tcW w:w="1640" w:type="dxa"/>
            <w:vAlign w:val="bottom"/>
          </w:tcPr>
          <w:p>
            <w:pPr>
              <w:jc w:val="right"/>
              <w:ind w:right="199"/>
              <w:spacing w:after="0"/>
              <w:rPr>
                <w:sz w:val="20"/>
                <w:szCs w:val="20"/>
                <w:color w:val="auto"/>
              </w:rPr>
            </w:pPr>
            <w:r>
              <w:rPr>
                <w:rFonts w:ascii="Arial" w:cs="Arial" w:eastAsia="Arial" w:hAnsi="Arial"/>
                <w:sz w:val="16"/>
                <w:szCs w:val="16"/>
                <w:color w:val="auto"/>
              </w:rPr>
              <w:t>38.0 %</w:t>
            </w:r>
          </w:p>
        </w:tc>
        <w:tc>
          <w:tcPr>
            <w:tcW w:w="1220" w:type="dxa"/>
            <w:vAlign w:val="bottom"/>
          </w:tcPr>
          <w:p>
            <w:pPr>
              <w:jc w:val="right"/>
              <w:spacing w:after="0"/>
              <w:rPr>
                <w:sz w:val="20"/>
                <w:szCs w:val="20"/>
                <w:color w:val="auto"/>
              </w:rPr>
            </w:pPr>
            <w:r>
              <w:rPr>
                <w:rFonts w:ascii="Arial" w:cs="Arial" w:eastAsia="Arial" w:hAnsi="Arial"/>
                <w:sz w:val="16"/>
                <w:szCs w:val="16"/>
                <w:color w:val="auto"/>
              </w:rPr>
              <w:t>39.3 %</w:t>
            </w:r>
          </w:p>
        </w:tc>
      </w:tr>
      <w:tr>
        <w:trPr>
          <w:trHeight w:val="294"/>
        </w:trPr>
        <w:tc>
          <w:tcPr>
            <w:tcW w:w="5280" w:type="dxa"/>
            <w:vAlign w:val="bottom"/>
          </w:tcPr>
          <w:p>
            <w:pPr>
              <w:spacing w:after="0"/>
              <w:rPr>
                <w:sz w:val="20"/>
                <w:szCs w:val="20"/>
                <w:color w:val="auto"/>
              </w:rPr>
            </w:pPr>
            <w:r>
              <w:rPr>
                <w:rFonts w:ascii="Arial" w:cs="Arial" w:eastAsia="Arial" w:hAnsi="Arial"/>
                <w:sz w:val="16"/>
                <w:szCs w:val="16"/>
                <w:color w:val="auto"/>
              </w:rPr>
              <w:t>____________________</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2021 included planned outages at Neil Simpson II, Wygen II, Wygen III and Pueblo Airport Generation and unplanned outages at Neil Simpson II and Wyodak Plant.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2020 included an unplanned outage at Pueblo Airport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Gas Utilities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color w:val="auto"/>
              </w:rPr>
              <w:t>Three Months Ended September 30,</w:t>
            </w:r>
          </w:p>
        </w:tc>
        <w:tc>
          <w:tcPr>
            <w:tcW w:w="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color w:val="auto"/>
              </w:rPr>
              <w:t>Nine Months Ended September 30,</w:t>
            </w:r>
          </w:p>
        </w:tc>
      </w:tr>
      <w:tr>
        <w:trPr>
          <w:trHeight w:val="207"/>
        </w:trPr>
        <w:tc>
          <w:tcPr>
            <w:tcW w:w="4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r>
      <w:tr>
        <w:trPr>
          <w:trHeight w:val="199"/>
        </w:trPr>
        <w:tc>
          <w:tcPr>
            <w:tcW w:w="44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44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Natural gas - regulated</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150,075</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128,468</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21,607</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700,617</w:t>
            </w:r>
          </w:p>
        </w:tc>
        <w:tc>
          <w:tcPr>
            <w:tcW w:w="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612,797</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87,820</w:t>
            </w:r>
          </w:p>
        </w:tc>
      </w:tr>
      <w:tr>
        <w:trPr>
          <w:trHeight w:val="213"/>
        </w:trPr>
        <w:tc>
          <w:tcPr>
            <w:tcW w:w="444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Other - non-regulated services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14,608</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15,461</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52,635</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53,015</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10"/>
        </w:trPr>
        <w:tc>
          <w:tcPr>
            <w:tcW w:w="4440" w:type="dxa"/>
            <w:vAlign w:val="bottom"/>
            <w:shd w:val="clear" w:color="auto" w:fill="CEFFE7"/>
          </w:tcPr>
          <w:p>
            <w:pPr>
              <w:ind w:left="56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164,683</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143,929</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20,754</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753,252</w:t>
            </w:r>
          </w:p>
        </w:tc>
        <w:tc>
          <w:tcPr>
            <w:tcW w:w="28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665,812</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87,440</w:t>
            </w:r>
          </w:p>
        </w:tc>
      </w:tr>
      <w:tr>
        <w:trPr>
          <w:trHeight w:val="239"/>
        </w:trPr>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shd w:val="clear" w:color="auto" w:fill="CEFFE7"/>
          </w:tcPr>
          <w:p>
            <w:pPr>
              <w:spacing w:after="0"/>
              <w:rPr>
                <w:sz w:val="18"/>
                <w:szCs w:val="18"/>
                <w:color w:val="auto"/>
              </w:rPr>
            </w:pPr>
          </w:p>
        </w:tc>
        <w:tc>
          <w:tcPr>
            <w:tcW w:w="88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Natural gas - regulated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43,883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25,235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18,648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289,167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222,144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67,023</w:t>
            </w:r>
          </w:p>
        </w:tc>
      </w:tr>
      <w:tr>
        <w:trPr>
          <w:trHeight w:val="216"/>
        </w:trPr>
        <w:tc>
          <w:tcPr>
            <w:tcW w:w="44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Other - non-regulated services</w:t>
            </w:r>
          </w:p>
        </w:tc>
        <w:tc>
          <w:tcPr>
            <w:tcW w:w="2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(749)</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1,800</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(2,549)</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10,132</w:t>
            </w:r>
          </w:p>
        </w:tc>
        <w:tc>
          <w:tcPr>
            <w:tcW w:w="28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4,874</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5,258</w:t>
            </w:r>
          </w:p>
        </w:tc>
      </w:tr>
      <w:tr>
        <w:trPr>
          <w:trHeight w:val="209"/>
        </w:trPr>
        <w:tc>
          <w:tcPr>
            <w:tcW w:w="444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cost of sales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27,035</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16,099</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299,299</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227,018</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72,281</w:t>
            </w:r>
          </w:p>
        </w:tc>
      </w:tr>
      <w:tr>
        <w:trPr>
          <w:trHeight w:val="239"/>
        </w:trPr>
        <w:tc>
          <w:tcPr>
            <w:tcW w:w="4440" w:type="dxa"/>
            <w:vAlign w:val="bottom"/>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880" w:type="dxa"/>
            <w:vAlign w:val="bottom"/>
            <w:tcBorders>
              <w:bottom w:val="single" w:sz="8" w:color="auto"/>
            </w:tcBorders>
            <w:shd w:val="clear" w:color="auto" w:fill="CEFFE7"/>
          </w:tcPr>
          <w:p>
            <w:pPr>
              <w:spacing w:after="0"/>
              <w:rPr>
                <w:sz w:val="20"/>
                <w:szCs w:val="20"/>
                <w:color w:val="auto"/>
              </w:rPr>
            </w:pPr>
          </w:p>
        </w:tc>
        <w:tc>
          <w:tcPr>
            <w:tcW w:w="26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960" w:type="dxa"/>
            <w:vAlign w:val="bottom"/>
            <w:tcBorders>
              <w:bottom w:val="single" w:sz="8" w:color="auto"/>
            </w:tcBorders>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28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960" w:type="dxa"/>
            <w:vAlign w:val="bottom"/>
            <w:tcBorders>
              <w:bottom w:val="single" w:sz="8" w:color="auto"/>
            </w:tcBorders>
            <w:shd w:val="clear" w:color="auto" w:fill="CEFFE7"/>
          </w:tcPr>
          <w:p>
            <w:pPr>
              <w:spacing w:after="0"/>
              <w:rPr>
                <w:sz w:val="20"/>
                <w:szCs w:val="20"/>
                <w:color w:val="auto"/>
              </w:rPr>
            </w:pPr>
          </w:p>
        </w:tc>
      </w:tr>
      <w:tr>
        <w:trPr>
          <w:trHeight w:val="206"/>
        </w:trPr>
        <w:tc>
          <w:tcPr>
            <w:tcW w:w="44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Gross margin (non-GAAP)</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121,549</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116,894</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4,655</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453,953</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438,794</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15,159</w:t>
            </w:r>
          </w:p>
        </w:tc>
      </w:tr>
      <w:tr>
        <w:trPr>
          <w:trHeight w:val="240"/>
        </w:trPr>
        <w:tc>
          <w:tcPr>
            <w:tcW w:w="444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88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96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960" w:type="dxa"/>
            <w:vAlign w:val="bottom"/>
            <w:shd w:val="clear" w:color="auto" w:fill="CEFFE7"/>
          </w:tcPr>
          <w:p>
            <w:pPr>
              <w:spacing w:after="0"/>
              <w:rPr>
                <w:sz w:val="20"/>
                <w:szCs w:val="20"/>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78,161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73,642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237,624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223,351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14,273</w:t>
            </w:r>
          </w:p>
        </w:tc>
      </w:tr>
      <w:tr>
        <w:trPr>
          <w:trHeight w:val="216"/>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26,131</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25,105</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1,026</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76,993</w:t>
            </w:r>
          </w:p>
        </w:tc>
        <w:tc>
          <w:tcPr>
            <w:tcW w:w="28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76,190</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803</w:t>
            </w:r>
          </w:p>
        </w:tc>
      </w:tr>
      <w:tr>
        <w:trPr>
          <w:trHeight w:val="209"/>
        </w:trPr>
        <w:tc>
          <w:tcPr>
            <w:tcW w:w="444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104,292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98,747</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314,617</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299,541</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15,076</w:t>
            </w:r>
          </w:p>
        </w:tc>
      </w:tr>
      <w:tr>
        <w:trPr>
          <w:trHeight w:val="239"/>
        </w:trPr>
        <w:tc>
          <w:tcPr>
            <w:tcW w:w="4440" w:type="dxa"/>
            <w:vAlign w:val="bottom"/>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880" w:type="dxa"/>
            <w:vAlign w:val="bottom"/>
            <w:tcBorders>
              <w:bottom w:val="single" w:sz="8" w:color="auto"/>
            </w:tcBorders>
            <w:shd w:val="clear" w:color="auto" w:fill="CEFFE7"/>
          </w:tcPr>
          <w:p>
            <w:pPr>
              <w:spacing w:after="0"/>
              <w:rPr>
                <w:sz w:val="20"/>
                <w:szCs w:val="20"/>
                <w:color w:val="auto"/>
              </w:rPr>
            </w:pPr>
          </w:p>
        </w:tc>
        <w:tc>
          <w:tcPr>
            <w:tcW w:w="26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960" w:type="dxa"/>
            <w:vAlign w:val="bottom"/>
            <w:tcBorders>
              <w:bottom w:val="single" w:sz="8" w:color="auto"/>
            </w:tcBorders>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28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960" w:type="dxa"/>
            <w:vAlign w:val="bottom"/>
            <w:tcBorders>
              <w:bottom w:val="single" w:sz="8" w:color="auto"/>
            </w:tcBorders>
            <w:shd w:val="clear" w:color="auto" w:fill="CEFFE7"/>
          </w:tcPr>
          <w:p>
            <w:pPr>
              <w:spacing w:after="0"/>
              <w:rPr>
                <w:sz w:val="20"/>
                <w:szCs w:val="20"/>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139,336</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2021 Compared to the Three Months Ended September 30,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for the three months ended September 30, 2021 increased as a result of:</w:t>
      </w:r>
    </w:p>
    <w:p>
      <w:pPr>
        <w:spacing w:after="0" w:line="12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Mark-to-market on non-utility natural gas commodity contracts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Winter Storm Uri carrying costs </w:t>
      </w:r>
      <w:r>
        <w:rPr>
          <w:rFonts w:ascii="Arial" w:cs="Arial" w:eastAsia="Arial" w:hAnsi="Arial"/>
          <w:sz w:val="21"/>
          <w:szCs w:val="21"/>
          <w:color w:val="auto"/>
          <w:vertAlign w:val="superscript"/>
        </w:rPr>
        <w:t>(a)</w:t>
      </w:r>
    </w:p>
    <w:p>
      <w:pPr>
        <w:ind w:left="40"/>
        <w:spacing w:after="0"/>
        <w:rPr>
          <w:sz w:val="20"/>
          <w:szCs w:val="20"/>
          <w:color w:val="auto"/>
        </w:rPr>
      </w:pPr>
      <w:r>
        <w:rPr>
          <w:rFonts w:ascii="Arial" w:cs="Arial" w:eastAsia="Arial" w:hAnsi="Arial"/>
          <w:sz w:val="16"/>
          <w:szCs w:val="16"/>
          <w:color w:val="auto"/>
        </w:rPr>
        <w:t>Prior year COVID-19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Weather </w:t>
      </w:r>
      <w:r>
        <w:rPr>
          <w:rFonts w:ascii="Arial" w:cs="Arial" w:eastAsia="Arial" w:hAnsi="Arial"/>
          <w:sz w:val="21"/>
          <w:szCs w:val="21"/>
          <w:color w:val="auto"/>
          <w:vertAlign w:val="superscript"/>
        </w:rPr>
        <w:t>(b)</w:t>
      </w:r>
    </w:p>
    <w:p>
      <w:pPr>
        <w:ind w:left="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increase in Gross margin (non-GAAP)</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center"/>
              <w:ind w:left="759"/>
              <w:spacing w:after="0"/>
              <w:rPr>
                <w:sz w:val="20"/>
                <w:szCs w:val="20"/>
                <w:color w:val="auto"/>
              </w:rPr>
            </w:pPr>
            <w:r>
              <w:rPr>
                <w:rFonts w:ascii="Arial" w:cs="Arial" w:eastAsia="Arial" w:hAnsi="Arial"/>
                <w:sz w:val="16"/>
                <w:szCs w:val="16"/>
                <w:color w:val="auto"/>
                <w:w w:val="98"/>
              </w:rPr>
              <w:t>2.3</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2.0</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1.7</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0.8</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rPr>
              <w:t>(3.4)</w:t>
            </w:r>
          </w:p>
        </w:tc>
      </w:tr>
      <w:tr>
        <w:trPr>
          <w:trHeight w:val="219"/>
        </w:trPr>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w w:val="98"/>
              </w:rPr>
              <w:t>1.3</w:t>
            </w:r>
          </w:p>
        </w:tc>
      </w:tr>
      <w:tr>
        <w:trPr>
          <w:trHeight w:val="210"/>
        </w:trPr>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w w:val="98"/>
              </w:rPr>
              <w:t>4.7</w:t>
            </w:r>
          </w:p>
        </w:tc>
      </w:tr>
      <w:tr>
        <w:trPr>
          <w:trHeight w:val="24"/>
        </w:trPr>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p>
      <w:pPr>
        <w:ind w:left="340" w:right="420" w:hanging="332"/>
        <w:spacing w:after="0" w:line="241" w:lineRule="auto"/>
        <w:tabs>
          <w:tab w:leader="none" w:pos="352"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In certain jurisdictions, we have accrued Winter Storm Uri carrying costs and began recovering from customers. See </w:t>
      </w:r>
      <w:hyperlink w:anchor="page16">
        <w:r>
          <w:rPr>
            <w:rFonts w:ascii="Arial" w:cs="Arial" w:eastAsia="Arial" w:hAnsi="Arial"/>
            <w:sz w:val="14"/>
            <w:szCs w:val="14"/>
            <w:u w:val="single" w:color="auto"/>
            <w:color w:val="0000FF"/>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Condensed Consolidated Financial Statements for additional information.</w:t>
      </w:r>
    </w:p>
    <w:p>
      <w:pPr>
        <w:ind w:left="340" w:hanging="332"/>
        <w:spacing w:after="0" w:line="258" w:lineRule="auto"/>
        <w:tabs>
          <w:tab w:leader="none" w:pos="352"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Weather impacts for the three months ended September 30, 2021 compared to the same period in the prior year include decreased irrigation loads to agriculture customers and decreased heating demand due to warmer temperatures.</w:t>
      </w:r>
    </w:p>
    <w:p>
      <w:pPr>
        <w:spacing w:after="0" w:line="218" w:lineRule="exact"/>
        <w:rPr>
          <w:sz w:val="20"/>
          <w:szCs w:val="20"/>
          <w:color w:val="auto"/>
        </w:rPr>
      </w:pPr>
    </w:p>
    <w:p>
      <w:pPr>
        <w:jc w:val="both"/>
        <w:ind w:right="520"/>
        <w:spacing w:after="0" w:line="253"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$3.4 million of higher employee costs, $1.2 million of higher outside services related expenses, $1.1 million of increased property taxes due to a higher asset base and $0.7 million of prior year COVID-19 savings due to lower travel and training expenses partially offset by $2.2 million of decreased bad debt expense associated with lower expected credit losses.</w:t>
      </w:r>
    </w:p>
    <w:p>
      <w:pPr>
        <w:spacing w:after="0" w:line="22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and current year capital expenditures mostly offset by lower depreciation rates approved in the Nebraska Gas and Colorado Gas rate reviews.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722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49"/>
        </w:trPr>
        <w:tc>
          <w:tcPr>
            <w:tcW w:w="72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Nine Months Ended September 30, 2021 Compared to the Nine Months Ended September 30, 2020:</w:t>
            </w: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12"/>
        </w:trPr>
        <w:tc>
          <w:tcPr>
            <w:tcW w:w="7220" w:type="dxa"/>
            <w:vAlign w:val="bottom"/>
            <w:gridSpan w:val="3"/>
          </w:tcPr>
          <w:p>
            <w:pPr>
              <w:spacing w:after="0"/>
              <w:rPr>
                <w:sz w:val="20"/>
                <w:szCs w:val="20"/>
                <w:color w:val="auto"/>
              </w:rPr>
            </w:pPr>
            <w:r>
              <w:rPr>
                <w:rFonts w:ascii="Arial" w:cs="Arial" w:eastAsia="Arial" w:hAnsi="Arial"/>
                <w:sz w:val="16"/>
                <w:szCs w:val="16"/>
                <w:color w:val="auto"/>
              </w:rPr>
              <w:t>Gross margin for the nine months ended September 30, 2021 increased as a result of the following:</w:t>
            </w: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96"/>
        </w:trPr>
        <w:tc>
          <w:tcPr>
            <w:tcW w:w="980" w:type="dxa"/>
            <w:vAlign w:val="bottom"/>
            <w:tcBorders>
              <w:top w:val="single" w:sz="8" w:color="auto"/>
              <w:bottom w:val="single" w:sz="8" w:color="CEFFE7"/>
            </w:tcBorders>
          </w:tcPr>
          <w:p>
            <w:pPr>
              <w:spacing w:after="0"/>
              <w:rPr>
                <w:sz w:val="24"/>
                <w:szCs w:val="24"/>
                <w:color w:val="auto"/>
              </w:rPr>
            </w:pPr>
          </w:p>
        </w:tc>
        <w:tc>
          <w:tcPr>
            <w:tcW w:w="380" w:type="dxa"/>
            <w:vAlign w:val="bottom"/>
            <w:tcBorders>
              <w:bottom w:val="single" w:sz="8" w:color="CEFFE7"/>
            </w:tcBorders>
          </w:tcPr>
          <w:p>
            <w:pPr>
              <w:spacing w:after="0"/>
              <w:rPr>
                <w:sz w:val="24"/>
                <w:szCs w:val="24"/>
                <w:color w:val="auto"/>
              </w:rPr>
            </w:pPr>
          </w:p>
        </w:tc>
        <w:tc>
          <w:tcPr>
            <w:tcW w:w="5860" w:type="dxa"/>
            <w:vAlign w:val="bottom"/>
            <w:tcBorders>
              <w:bottom w:val="single" w:sz="8" w:color="CEFFE7"/>
            </w:tcBorders>
          </w:tcPr>
          <w:p>
            <w:pPr>
              <w:spacing w:after="0"/>
              <w:rPr>
                <w:sz w:val="24"/>
                <w:szCs w:val="24"/>
                <w:color w:val="auto"/>
              </w:rPr>
            </w:pPr>
          </w:p>
        </w:tc>
        <w:tc>
          <w:tcPr>
            <w:tcW w:w="1780" w:type="dxa"/>
            <w:vAlign w:val="bottom"/>
            <w:tcBorders>
              <w:bottom w:val="single" w:sz="8" w:color="CEFFE7"/>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(in millions)</w:t>
            </w:r>
          </w:p>
        </w:tc>
      </w:tr>
      <w:tr>
        <w:trPr>
          <w:trHeight w:val="212"/>
        </w:trPr>
        <w:tc>
          <w:tcPr>
            <w:tcW w:w="722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New rates</w:t>
            </w:r>
          </w:p>
        </w:tc>
        <w:tc>
          <w:tcPr>
            <w:tcW w:w="2180" w:type="dxa"/>
            <w:vAlign w:val="bottom"/>
            <w:gridSpan w:val="2"/>
            <w:shd w:val="clear" w:color="auto" w:fill="CEFFE7"/>
          </w:tcPr>
          <w:p>
            <w:pPr>
              <w:jc w:val="right"/>
              <w:ind w:right="3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7220" w:type="dxa"/>
            <w:vAlign w:val="bottom"/>
            <w:gridSpan w:val="3"/>
          </w:tcPr>
          <w:p>
            <w:pPr>
              <w:ind w:left="20"/>
              <w:spacing w:after="0"/>
              <w:rPr>
                <w:sz w:val="20"/>
                <w:szCs w:val="20"/>
                <w:color w:val="auto"/>
              </w:rPr>
            </w:pPr>
            <w:r>
              <w:rPr>
                <w:rFonts w:ascii="Arial" w:cs="Arial" w:eastAsia="Arial" w:hAnsi="Arial"/>
                <w:sz w:val="16"/>
                <w:szCs w:val="16"/>
                <w:color w:val="auto"/>
              </w:rPr>
              <w:t>Weather</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722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178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722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Winter Storm Uri carrying costs </w:t>
            </w:r>
            <w:r>
              <w:rPr>
                <w:rFonts w:ascii="Arial" w:cs="Arial" w:eastAsia="Arial" w:hAnsi="Arial"/>
                <w:sz w:val="21"/>
                <w:szCs w:val="21"/>
                <w:color w:val="auto"/>
                <w:vertAlign w:val="superscript"/>
              </w:rPr>
              <w:t>(a)</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722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Prior year COVID-19 impacts</w:t>
            </w:r>
          </w:p>
        </w:tc>
        <w:tc>
          <w:tcPr>
            <w:tcW w:w="178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722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Black Hills Energy Services Winter Storm Uri costs </w:t>
            </w:r>
            <w:r>
              <w:rPr>
                <w:rFonts w:ascii="Arial" w:cs="Arial" w:eastAsia="Arial" w:hAnsi="Arial"/>
                <w:sz w:val="21"/>
                <w:szCs w:val="21"/>
                <w:color w:val="auto"/>
                <w:vertAlign w:val="superscript"/>
              </w:rPr>
              <w:t>(b)</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7220" w:type="dxa"/>
            <w:vAlign w:val="bottom"/>
            <w:gridSpan w:val="3"/>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TCJA-related bill credits </w:t>
            </w:r>
            <w:r>
              <w:rPr>
                <w:rFonts w:ascii="Arial" w:cs="Arial" w:eastAsia="Arial" w:hAnsi="Arial"/>
                <w:sz w:val="21"/>
                <w:szCs w:val="21"/>
                <w:color w:val="auto"/>
                <w:vertAlign w:val="superscript"/>
              </w:rPr>
              <w:t>(c)</w:t>
            </w:r>
          </w:p>
        </w:tc>
        <w:tc>
          <w:tcPr>
            <w:tcW w:w="178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7220" w:type="dxa"/>
            <w:vAlign w:val="bottom"/>
            <w:gridSpan w:val="3"/>
          </w:tcPr>
          <w:p>
            <w:pPr>
              <w:ind w:left="20"/>
              <w:spacing w:after="0"/>
              <w:rPr>
                <w:sz w:val="20"/>
                <w:szCs w:val="20"/>
                <w:color w:val="auto"/>
              </w:rPr>
            </w:pPr>
            <w:r>
              <w:rPr>
                <w:rFonts w:ascii="Arial" w:cs="Arial" w:eastAsia="Arial" w:hAnsi="Arial"/>
                <w:sz w:val="16"/>
                <w:szCs w:val="16"/>
                <w:color w:val="auto"/>
              </w:rPr>
              <w:t>Non-utility - Service Guard Comfort Plan and Gas Supply Services</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722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Other</w:t>
            </w:r>
          </w:p>
        </w:tc>
        <w:tc>
          <w:tcPr>
            <w:tcW w:w="1780" w:type="dxa"/>
            <w:vAlign w:val="bottom"/>
            <w:shd w:val="clear" w:color="auto" w:fill="CEFFE7"/>
          </w:tcPr>
          <w:p>
            <w:pPr>
              <w:spacing w:after="0"/>
              <w:rPr>
                <w:sz w:val="18"/>
                <w:szCs w:val="18"/>
                <w:color w:val="auto"/>
              </w:rPr>
            </w:pPr>
          </w:p>
        </w:tc>
        <w:tc>
          <w:tcPr>
            <w:tcW w:w="40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7220" w:type="dxa"/>
            <w:vAlign w:val="bottom"/>
            <w:gridSpan w:val="3"/>
          </w:tcPr>
          <w:p>
            <w:pPr>
              <w:ind w:left="20"/>
              <w:spacing w:after="0"/>
              <w:rPr>
                <w:sz w:val="20"/>
                <w:szCs w:val="20"/>
                <w:color w:val="auto"/>
              </w:rPr>
            </w:pPr>
            <w:r>
              <w:rPr>
                <w:rFonts w:ascii="Arial" w:cs="Arial" w:eastAsia="Arial" w:hAnsi="Arial"/>
                <w:sz w:val="16"/>
                <w:szCs w:val="16"/>
                <w:color w:val="auto"/>
              </w:rPr>
              <w:t>Total increase in Gross margin (non-GAAP)</w:t>
            </w:r>
          </w:p>
        </w:tc>
        <w:tc>
          <w:tcPr>
            <w:tcW w:w="2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0"/>
        </w:trPr>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420" w:hanging="332"/>
        <w:spacing w:after="0" w:line="241" w:lineRule="auto"/>
        <w:tabs>
          <w:tab w:leader="none" w:pos="352"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In certain jurisdictions, we have accrued Winter Storm Uri carrying costs and began recovering from customers. See </w:t>
      </w:r>
      <w:hyperlink w:anchor="page16">
        <w:r>
          <w:rPr>
            <w:rFonts w:ascii="Arial" w:cs="Arial" w:eastAsia="Arial" w:hAnsi="Arial"/>
            <w:sz w:val="14"/>
            <w:szCs w:val="14"/>
            <w:u w:val="single" w:color="auto"/>
            <w:color w:val="0000FF"/>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Condensed Consolidated Financial Statements for additional information.</w:t>
      </w:r>
    </w:p>
    <w:p>
      <w:pPr>
        <w:ind w:left="340" w:right="240" w:hanging="332"/>
        <w:spacing w:after="0" w:line="241" w:lineRule="auto"/>
        <w:tabs>
          <w:tab w:leader="none" w:pos="352" w:val="left"/>
        </w:tabs>
        <w:numPr>
          <w:ilvl w:val="0"/>
          <w:numId w:val="37"/>
        </w:numPr>
        <w:rPr>
          <w:rFonts w:ascii="Arial" w:cs="Arial" w:eastAsia="Arial" w:hAnsi="Arial"/>
          <w:sz w:val="14"/>
          <w:szCs w:val="14"/>
          <w:color w:val="auto"/>
        </w:rPr>
      </w:pPr>
      <w:r>
        <w:rPr>
          <w:rFonts w:ascii="Arial" w:cs="Arial" w:eastAsia="Arial" w:hAnsi="Arial"/>
          <w:sz w:val="14"/>
          <w:szCs w:val="14"/>
          <w:color w:val="auto"/>
        </w:rPr>
        <w:t>Black Hills Energy Services offers fixed contract pricing for non-regulated gas supply services to our regulated natural gas customers. The increased cost of natural gas sold during Winter Storm Uri is not recoverable through a regulatory mechanism.</w:t>
      </w:r>
    </w:p>
    <w:p>
      <w:pPr>
        <w:ind w:left="340" w:right="420" w:hanging="332"/>
        <w:spacing w:after="0" w:line="258" w:lineRule="auto"/>
        <w:tabs>
          <w:tab w:leader="none" w:pos="344"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June 2021, Nebraska Gas delivered TCJA-related bill credits to its customers. These bill credits were offset by a reduction in income tax expense and resulted in a minimal impact to Net income.</w:t>
      </w:r>
    </w:p>
    <w:p>
      <w:pPr>
        <w:spacing w:after="0" w:line="218"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$10.3 million of higher employee costs, $4.0 million of higher outside services related expenses, $3.4 million of higher facilities and office related expenses driven by prior year COVID-19 savings, and $2.7 million of increased property taxes due to a higher asset base partially offset by $5.6 million of decreased bad debt expense associated with lower expected credit losses.</w:t>
      </w:r>
    </w:p>
    <w:p>
      <w:pPr>
        <w:spacing w:after="0" w:line="22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and current year capital expenditures mostly offset by lower depreciation rates approved in the Nebraska Gas and Colorado Gas rate reviews.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00" w:type="dxa"/>
            <w:vAlign w:val="bottom"/>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3"/>
          </w:tcPr>
          <w:p>
            <w:pPr>
              <w:jc w:val="center"/>
              <w:ind w:right="39"/>
              <w:spacing w:after="0"/>
              <w:rPr>
                <w:sz w:val="20"/>
                <w:szCs w:val="20"/>
                <w:color w:val="auto"/>
              </w:rPr>
            </w:pPr>
            <w:r>
              <w:rPr>
                <w:rFonts w:ascii="Arial" w:cs="Arial" w:eastAsia="Arial" w:hAnsi="Arial"/>
                <w:sz w:val="16"/>
                <w:szCs w:val="16"/>
                <w:color w:val="auto"/>
                <w:w w:val="99"/>
              </w:rPr>
              <w:t>Gross Margin (non-GAAP) (in</w:t>
            </w:r>
          </w:p>
        </w:tc>
        <w:tc>
          <w:tcPr>
            <w:tcW w:w="100" w:type="dxa"/>
            <w:vAlign w:val="bottom"/>
          </w:tcPr>
          <w:p>
            <w:pPr>
              <w:spacing w:after="0"/>
              <w:rPr>
                <w:sz w:val="17"/>
                <w:szCs w:val="17"/>
                <w:color w:val="auto"/>
              </w:rPr>
            </w:pPr>
          </w:p>
        </w:tc>
        <w:tc>
          <w:tcPr>
            <w:tcW w:w="2720" w:type="dxa"/>
            <w:vAlign w:val="bottom"/>
            <w:gridSpan w:val="2"/>
          </w:tcPr>
          <w:p>
            <w:pPr>
              <w:jc w:val="center"/>
              <w:spacing w:after="0"/>
              <w:rPr>
                <w:sz w:val="20"/>
                <w:szCs w:val="20"/>
                <w:color w:val="auto"/>
              </w:rPr>
            </w:pPr>
            <w:r>
              <w:rPr>
                <w:rFonts w:ascii="Arial" w:cs="Arial" w:eastAsia="Arial" w:hAnsi="Arial"/>
                <w:sz w:val="16"/>
                <w:szCs w:val="16"/>
                <w:color w:val="auto"/>
              </w:rPr>
              <w:t>Gas Utilities Quantities Sold &amp;</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6"/>
                <w:szCs w:val="16"/>
                <w:color w:val="auto"/>
              </w:rPr>
              <w:t>Revenue (in thousands)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color w:val="auto"/>
              </w:rPr>
              <w:t>thousands)</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Transported (Dth)</w:t>
            </w:r>
          </w:p>
        </w:tc>
        <w:tc>
          <w:tcPr>
            <w:tcW w:w="0" w:type="dxa"/>
            <w:vAlign w:val="bottom"/>
          </w:tcPr>
          <w:p>
            <w:pPr>
              <w:spacing w:after="0"/>
              <w:rPr>
                <w:sz w:val="1"/>
                <w:szCs w:val="1"/>
                <w:color w:val="auto"/>
              </w:rPr>
            </w:pPr>
          </w:p>
        </w:tc>
      </w:tr>
      <w:tr>
        <w:trPr>
          <w:trHeight w:val="174"/>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center"/>
              <w:ind w:right="340"/>
              <w:spacing w:after="0" w:line="174" w:lineRule="exact"/>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15"/>
                <w:szCs w:val="15"/>
                <w:color w:val="auto"/>
              </w:rPr>
            </w:pPr>
          </w:p>
        </w:tc>
        <w:tc>
          <w:tcPr>
            <w:tcW w:w="2280" w:type="dxa"/>
            <w:vAlign w:val="bottom"/>
            <w:gridSpan w:val="3"/>
          </w:tcPr>
          <w:p>
            <w:pPr>
              <w:jc w:val="center"/>
              <w:ind w:right="39"/>
              <w:spacing w:after="0" w:line="174" w:lineRule="exact"/>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5"/>
                <w:szCs w:val="15"/>
                <w:color w:val="auto"/>
              </w:rPr>
            </w:pPr>
          </w:p>
        </w:tc>
        <w:tc>
          <w:tcPr>
            <w:tcW w:w="272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center"/>
              <w:ind w:right="320"/>
              <w:spacing w:after="0"/>
              <w:rPr>
                <w:sz w:val="20"/>
                <w:szCs w:val="20"/>
                <w:color w:val="auto"/>
              </w:rPr>
            </w:pPr>
            <w:r>
              <w:rPr>
                <w:rFonts w:ascii="Arial" w:cs="Arial" w:eastAsia="Arial" w:hAnsi="Arial"/>
                <w:sz w:val="16"/>
                <w:szCs w:val="16"/>
                <w:color w:val="auto"/>
              </w:rPr>
              <w:t>September 30,</w:t>
            </w:r>
          </w:p>
        </w:tc>
        <w:tc>
          <w:tcPr>
            <w:tcW w:w="120" w:type="dxa"/>
            <w:vAlign w:val="bottom"/>
          </w:tcPr>
          <w:p>
            <w:pPr>
              <w:spacing w:after="0"/>
              <w:rPr>
                <w:sz w:val="16"/>
                <w:szCs w:val="16"/>
                <w:color w:val="auto"/>
              </w:rPr>
            </w:pPr>
          </w:p>
        </w:tc>
        <w:tc>
          <w:tcPr>
            <w:tcW w:w="2280" w:type="dxa"/>
            <w:vAlign w:val="bottom"/>
            <w:gridSpan w:val="3"/>
          </w:tcPr>
          <w:p>
            <w:pPr>
              <w:jc w:val="center"/>
              <w:ind w:right="59"/>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6"/>
                <w:szCs w:val="16"/>
                <w:color w:val="auto"/>
              </w:rPr>
            </w:pPr>
          </w:p>
        </w:tc>
        <w:tc>
          <w:tcPr>
            <w:tcW w:w="2720" w:type="dxa"/>
            <w:vAlign w:val="bottom"/>
            <w:gridSpan w:val="2"/>
          </w:tcPr>
          <w:p>
            <w:pPr>
              <w:jc w:val="center"/>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9"/>
        </w:trPr>
        <w:tc>
          <w:tcPr>
            <w:tcW w:w="3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66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color w:val="auto"/>
              </w:rPr>
              <w:t>2021</w:t>
            </w: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45"/>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68,646</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61,515</w:t>
            </w:r>
          </w:p>
        </w:tc>
        <w:tc>
          <w:tcPr>
            <w:tcW w:w="120" w:type="dxa"/>
            <w:vAlign w:val="bottom"/>
            <w:shd w:val="clear" w:color="auto" w:fill="CEFFE7"/>
          </w:tcPr>
          <w:p>
            <w:pPr>
              <w:spacing w:after="0"/>
              <w:rPr>
                <w:sz w:val="18"/>
                <w:szCs w:val="18"/>
                <w:color w:val="auto"/>
              </w:rPr>
            </w:pP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49,349</w:t>
            </w:r>
          </w:p>
        </w:tc>
        <w:tc>
          <w:tcPr>
            <w:tcW w:w="4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48,165</w:t>
            </w:r>
          </w:p>
        </w:tc>
        <w:tc>
          <w:tcPr>
            <w:tcW w:w="1660" w:type="dxa"/>
            <w:vAlign w:val="bottom"/>
            <w:gridSpan w:val="2"/>
            <w:shd w:val="clear" w:color="auto" w:fill="CEFFE7"/>
          </w:tcPr>
          <w:p>
            <w:pPr>
              <w:jc w:val="right"/>
              <w:ind w:right="199"/>
              <w:spacing w:after="0"/>
              <w:rPr>
                <w:sz w:val="20"/>
                <w:szCs w:val="20"/>
                <w:color w:val="auto"/>
              </w:rPr>
            </w:pPr>
            <w:r>
              <w:rPr>
                <w:rFonts w:ascii="Arial" w:cs="Arial" w:eastAsia="Arial" w:hAnsi="Arial"/>
                <w:sz w:val="16"/>
                <w:szCs w:val="16"/>
                <w:color w:val="auto"/>
              </w:rPr>
              <w:t>3,564,722</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4,058,040</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27,038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13,999</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12,821</w:t>
            </w:r>
          </w:p>
        </w:tc>
        <w:tc>
          <w:tcPr>
            <w:tcW w:w="1660" w:type="dxa"/>
            <w:vAlign w:val="bottom"/>
            <w:gridSpan w:val="2"/>
          </w:tcPr>
          <w:p>
            <w:pPr>
              <w:jc w:val="right"/>
              <w:ind w:right="199"/>
              <w:spacing w:after="0"/>
              <w:rPr>
                <w:sz w:val="20"/>
                <w:szCs w:val="20"/>
                <w:color w:val="auto"/>
              </w:rPr>
            </w:pPr>
            <w:r>
              <w:rPr>
                <w:rFonts w:ascii="Arial" w:cs="Arial" w:eastAsia="Arial" w:hAnsi="Arial"/>
                <w:sz w:val="16"/>
                <w:szCs w:val="16"/>
                <w:color w:val="auto"/>
              </w:rPr>
              <w:t>2,426,019</w:t>
            </w:r>
          </w:p>
        </w:tc>
        <w:tc>
          <w:tcPr>
            <w:tcW w:w="1160" w:type="dxa"/>
            <w:vAlign w:val="bottom"/>
          </w:tcPr>
          <w:p>
            <w:pPr>
              <w:jc w:val="right"/>
              <w:spacing w:after="0"/>
              <w:rPr>
                <w:sz w:val="20"/>
                <w:szCs w:val="20"/>
                <w:color w:val="auto"/>
              </w:rPr>
            </w:pPr>
            <w:r>
              <w:rPr>
                <w:rFonts w:ascii="Arial" w:cs="Arial" w:eastAsia="Arial" w:hAnsi="Arial"/>
                <w:sz w:val="16"/>
                <w:szCs w:val="16"/>
                <w:color w:val="auto"/>
              </w:rPr>
              <w:t>2,354,719</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2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13,863</w:t>
            </w:r>
          </w:p>
        </w:tc>
        <w:tc>
          <w:tcPr>
            <w:tcW w:w="30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7,280</w:t>
            </w:r>
          </w:p>
        </w:tc>
        <w:tc>
          <w:tcPr>
            <w:tcW w:w="12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2,316</w:t>
            </w:r>
          </w:p>
        </w:tc>
        <w:tc>
          <w:tcPr>
            <w:tcW w:w="4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2,514</w:t>
            </w:r>
          </w:p>
        </w:tc>
        <w:tc>
          <w:tcPr>
            <w:tcW w:w="1660" w:type="dxa"/>
            <w:vAlign w:val="bottom"/>
            <w:gridSpan w:val="2"/>
            <w:shd w:val="clear" w:color="auto" w:fill="CEFFE7"/>
          </w:tcPr>
          <w:p>
            <w:pPr>
              <w:jc w:val="right"/>
              <w:ind w:right="199"/>
              <w:spacing w:after="0"/>
              <w:rPr>
                <w:sz w:val="20"/>
                <w:szCs w:val="20"/>
                <w:color w:val="auto"/>
              </w:rPr>
            </w:pPr>
            <w:r>
              <w:rPr>
                <w:rFonts w:ascii="Arial" w:cs="Arial" w:eastAsia="Arial" w:hAnsi="Arial"/>
                <w:sz w:val="16"/>
                <w:szCs w:val="16"/>
                <w:color w:val="auto"/>
              </w:rPr>
              <w:t>2,873,540</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2,674,127</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Borders>
              <w:bottom w:val="single" w:sz="8" w:color="CEFFE7"/>
            </w:tcBorders>
          </w:tcPr>
          <w:p>
            <w:pPr>
              <w:spacing w:after="0"/>
              <w:rPr>
                <w:sz w:val="18"/>
                <w:szCs w:val="18"/>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Total Distribution</w:t>
            </w:r>
          </w:p>
        </w:tc>
        <w:tc>
          <w:tcPr>
            <w:tcW w:w="2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112,253</w:t>
            </w:r>
          </w:p>
        </w:tc>
        <w:tc>
          <w:tcPr>
            <w:tcW w:w="30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90,006</w:t>
            </w:r>
          </w:p>
        </w:tc>
        <w:tc>
          <w:tcPr>
            <w:tcW w:w="1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68,370</w:t>
            </w:r>
          </w:p>
        </w:tc>
        <w:tc>
          <w:tcPr>
            <w:tcW w:w="42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64,771</w:t>
            </w:r>
          </w:p>
        </w:tc>
        <w:tc>
          <w:tcPr>
            <w:tcW w:w="1660" w:type="dxa"/>
            <w:vAlign w:val="bottom"/>
            <w:gridSpan w:val="2"/>
            <w:shd w:val="clear" w:color="auto" w:fill="CEFFE7"/>
          </w:tcPr>
          <w:p>
            <w:pPr>
              <w:jc w:val="right"/>
              <w:ind w:right="199"/>
              <w:spacing w:after="0"/>
              <w:rPr>
                <w:sz w:val="20"/>
                <w:szCs w:val="20"/>
                <w:color w:val="auto"/>
              </w:rPr>
            </w:pPr>
            <w:r>
              <w:rPr>
                <w:rFonts w:ascii="Arial" w:cs="Arial" w:eastAsia="Arial" w:hAnsi="Arial"/>
                <w:sz w:val="16"/>
                <w:szCs w:val="16"/>
                <w:color w:val="auto"/>
              </w:rPr>
              <w:t>8,864,281</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9,086,886</w:t>
            </w:r>
          </w:p>
        </w:tc>
        <w:tc>
          <w:tcPr>
            <w:tcW w:w="0" w:type="dxa"/>
            <w:vAlign w:val="bottom"/>
          </w:tcPr>
          <w:p>
            <w:pPr>
              <w:spacing w:after="0"/>
              <w:rPr>
                <w:sz w:val="1"/>
                <w:szCs w:val="1"/>
                <w:color w:val="auto"/>
              </w:rPr>
            </w:pPr>
          </w:p>
        </w:tc>
      </w:tr>
      <w:tr>
        <w:trPr>
          <w:trHeight w:val="145"/>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37,822</w:t>
            </w:r>
          </w:p>
        </w:tc>
        <w:tc>
          <w:tcPr>
            <w:tcW w:w="30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38,462</w:t>
            </w:r>
          </w:p>
        </w:tc>
        <w:tc>
          <w:tcPr>
            <w:tcW w:w="1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37,822</w:t>
            </w:r>
          </w:p>
        </w:tc>
        <w:tc>
          <w:tcPr>
            <w:tcW w:w="42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38,462</w:t>
            </w:r>
          </w:p>
        </w:tc>
        <w:tc>
          <w:tcPr>
            <w:tcW w:w="1660" w:type="dxa"/>
            <w:vAlign w:val="bottom"/>
            <w:gridSpan w:val="2"/>
            <w:shd w:val="clear" w:color="auto" w:fill="CEFFE7"/>
          </w:tcPr>
          <w:p>
            <w:pPr>
              <w:jc w:val="right"/>
              <w:ind w:right="199"/>
              <w:spacing w:after="0"/>
              <w:rPr>
                <w:sz w:val="20"/>
                <w:szCs w:val="20"/>
                <w:color w:val="auto"/>
              </w:rPr>
            </w:pPr>
            <w:r>
              <w:rPr>
                <w:rFonts w:ascii="Arial" w:cs="Arial" w:eastAsia="Arial" w:hAnsi="Arial"/>
                <w:sz w:val="16"/>
                <w:szCs w:val="16"/>
                <w:color w:val="auto"/>
              </w:rPr>
              <w:t>34,735,601</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33,668,174</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CEFFE7"/>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Total Regulated</w:t>
            </w:r>
          </w:p>
        </w:tc>
        <w:tc>
          <w:tcPr>
            <w:tcW w:w="220" w:type="dxa"/>
            <w:vAlign w:val="bottom"/>
            <w:shd w:val="clear" w:color="auto" w:fill="CEFFE7"/>
          </w:tcPr>
          <w:p>
            <w:pPr>
              <w:spacing w:after="0"/>
              <w:rPr>
                <w:sz w:val="23"/>
                <w:szCs w:val="23"/>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150,075</w:t>
            </w:r>
          </w:p>
        </w:tc>
        <w:tc>
          <w:tcPr>
            <w:tcW w:w="300" w:type="dxa"/>
            <w:vAlign w:val="bottom"/>
            <w:shd w:val="clear" w:color="auto" w:fill="CEFFE7"/>
          </w:tcPr>
          <w:p>
            <w:pPr>
              <w:spacing w:after="0"/>
              <w:rPr>
                <w:sz w:val="23"/>
                <w:szCs w:val="23"/>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128,468</w:t>
            </w:r>
          </w:p>
        </w:tc>
        <w:tc>
          <w:tcPr>
            <w:tcW w:w="12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106,192</w:t>
            </w:r>
          </w:p>
        </w:tc>
        <w:tc>
          <w:tcPr>
            <w:tcW w:w="420" w:type="dxa"/>
            <w:vAlign w:val="bottom"/>
            <w:shd w:val="clear" w:color="auto" w:fill="CEFFE7"/>
          </w:tcPr>
          <w:p>
            <w:pPr>
              <w:spacing w:after="0"/>
              <w:rPr>
                <w:sz w:val="23"/>
                <w:szCs w:val="23"/>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103,233</w:t>
            </w:r>
          </w:p>
        </w:tc>
        <w:tc>
          <w:tcPr>
            <w:tcW w:w="1660" w:type="dxa"/>
            <w:vAlign w:val="bottom"/>
            <w:gridSpan w:val="2"/>
            <w:shd w:val="clear" w:color="auto" w:fill="CEFFE7"/>
          </w:tcPr>
          <w:p>
            <w:pPr>
              <w:jc w:val="right"/>
              <w:ind w:right="199"/>
              <w:spacing w:after="0"/>
              <w:rPr>
                <w:sz w:val="20"/>
                <w:szCs w:val="20"/>
                <w:color w:val="auto"/>
              </w:rPr>
            </w:pPr>
            <w:r>
              <w:rPr>
                <w:rFonts w:ascii="Arial" w:cs="Arial" w:eastAsia="Arial" w:hAnsi="Arial"/>
                <w:sz w:val="16"/>
                <w:szCs w:val="16"/>
                <w:color w:val="auto"/>
              </w:rPr>
              <w:t>43,599,882</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42,755,060</w:t>
            </w:r>
          </w:p>
        </w:tc>
        <w:tc>
          <w:tcPr>
            <w:tcW w:w="0" w:type="dxa"/>
            <w:vAlign w:val="bottom"/>
          </w:tcPr>
          <w:p>
            <w:pPr>
              <w:spacing w:after="0"/>
              <w:rPr>
                <w:sz w:val="1"/>
                <w:szCs w:val="1"/>
                <w:color w:val="auto"/>
              </w:rPr>
            </w:pPr>
          </w:p>
        </w:tc>
      </w:tr>
      <w:tr>
        <w:trPr>
          <w:trHeight w:val="109"/>
        </w:trPr>
        <w:tc>
          <w:tcPr>
            <w:tcW w:w="3400" w:type="dxa"/>
            <w:vAlign w:val="bottom"/>
            <w:tcBorders>
              <w:top w:val="single" w:sz="8" w:color="CEFFE7"/>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Borders>
              <w:top w:val="single" w:sz="8" w:color="CEFFE7"/>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5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14,608</w:t>
            </w:r>
          </w:p>
        </w:tc>
        <w:tc>
          <w:tcPr>
            <w:tcW w:w="30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15,461</w:t>
            </w:r>
          </w:p>
        </w:tc>
        <w:tc>
          <w:tcPr>
            <w:tcW w:w="1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15,357</w:t>
            </w:r>
          </w:p>
        </w:tc>
        <w:tc>
          <w:tcPr>
            <w:tcW w:w="42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13,661</w:t>
            </w:r>
          </w:p>
        </w:tc>
        <w:tc>
          <w:tcPr>
            <w:tcW w:w="100" w:type="dxa"/>
            <w:vAlign w:val="bottom"/>
            <w:shd w:val="clear" w:color="auto" w:fill="CEFFE7"/>
          </w:tcPr>
          <w:p>
            <w:pPr>
              <w:spacing w:after="0"/>
              <w:rPr>
                <w:sz w:val="18"/>
                <w:szCs w:val="18"/>
                <w:color w:val="auto"/>
              </w:rPr>
            </w:pPr>
          </w:p>
        </w:tc>
        <w:tc>
          <w:tcPr>
            <w:tcW w:w="15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Borders>
              <w:bottom w:val="single" w:sz="8" w:color="CEFFE7"/>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560" w:type="dxa"/>
            <w:vAlign w:val="bottom"/>
            <w:tcBorders>
              <w:bottom w:val="single" w:sz="8" w:color="CEFFE7"/>
            </w:tcBorders>
          </w:tcPr>
          <w:p>
            <w:pPr>
              <w:spacing w:after="0"/>
              <w:rPr>
                <w:sz w:val="14"/>
                <w:szCs w:val="14"/>
                <w:color w:val="auto"/>
              </w:rPr>
            </w:pPr>
          </w:p>
        </w:tc>
        <w:tc>
          <w:tcPr>
            <w:tcW w:w="1160" w:type="dxa"/>
            <w:vAlign w:val="bottom"/>
            <w:tcBorders>
              <w:bottom w:val="single" w:sz="8" w:color="CEFFE7"/>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gridSpan w:val="2"/>
            <w:shd w:val="clear" w:color="auto" w:fill="CEFFE7"/>
          </w:tcPr>
          <w:p>
            <w:pPr>
              <w:ind w:left="220"/>
              <w:spacing w:after="0" w:line="158" w:lineRule="exact"/>
              <w:rPr>
                <w:sz w:val="20"/>
                <w:szCs w:val="20"/>
                <w:color w:val="auto"/>
              </w:rPr>
            </w:pPr>
            <w:r>
              <w:rPr>
                <w:rFonts w:ascii="Arial" w:cs="Arial" w:eastAsia="Arial" w:hAnsi="Arial"/>
                <w:sz w:val="16"/>
                <w:szCs w:val="16"/>
                <w:color w:val="auto"/>
              </w:rPr>
              <w:t>Total Gas Revenue &amp; Gross Margin (non-</w:t>
            </w:r>
          </w:p>
        </w:tc>
        <w:tc>
          <w:tcPr>
            <w:tcW w:w="22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164,683</w:t>
            </w:r>
          </w:p>
        </w:tc>
        <w:tc>
          <w:tcPr>
            <w:tcW w:w="30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143,929</w:t>
            </w:r>
          </w:p>
        </w:tc>
        <w:tc>
          <w:tcPr>
            <w:tcW w:w="120" w:type="dxa"/>
            <w:vAlign w:val="bottom"/>
            <w:shd w:val="clear" w:color="auto" w:fill="CEFFE7"/>
          </w:tcPr>
          <w:p>
            <w:pPr>
              <w:spacing w:after="0"/>
              <w:rPr>
                <w:sz w:val="13"/>
                <w:szCs w:val="13"/>
                <w:color w:val="auto"/>
              </w:rPr>
            </w:pPr>
          </w:p>
        </w:tc>
        <w:tc>
          <w:tcPr>
            <w:tcW w:w="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121,549</w:t>
            </w:r>
          </w:p>
        </w:tc>
        <w:tc>
          <w:tcPr>
            <w:tcW w:w="420" w:type="dxa"/>
            <w:vAlign w:val="bottom"/>
            <w:vMerge w:val="restart"/>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116,894</w:t>
            </w:r>
          </w:p>
        </w:tc>
        <w:tc>
          <w:tcPr>
            <w:tcW w:w="100" w:type="dxa"/>
            <w:vAlign w:val="bottom"/>
            <w:shd w:val="clear" w:color="auto" w:fill="CEFFE7"/>
          </w:tcPr>
          <w:p>
            <w:pPr>
              <w:spacing w:after="0"/>
              <w:rPr>
                <w:sz w:val="13"/>
                <w:szCs w:val="13"/>
                <w:color w:val="auto"/>
              </w:rPr>
            </w:pPr>
          </w:p>
        </w:tc>
        <w:tc>
          <w:tcPr>
            <w:tcW w:w="1560" w:type="dxa"/>
            <w:vAlign w:val="bottom"/>
            <w:shd w:val="clear" w:color="auto" w:fill="CEFFE7"/>
          </w:tcPr>
          <w:p>
            <w:pPr>
              <w:spacing w:after="0"/>
              <w:rPr>
                <w:sz w:val="13"/>
                <w:szCs w:val="13"/>
                <w:color w:val="auto"/>
              </w:rPr>
            </w:pPr>
          </w:p>
        </w:tc>
        <w:tc>
          <w:tcPr>
            <w:tcW w:w="116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00" w:type="dxa"/>
            <w:vAlign w:val="bottom"/>
            <w:tcBorders>
              <w:bottom w:val="single" w:sz="8" w:color="CEFFE7"/>
            </w:tcBorders>
            <w:gridSpan w:val="2"/>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220" w:type="dxa"/>
            <w:vAlign w:val="bottom"/>
            <w:tcBorders>
              <w:bottom w:val="single" w:sz="8" w:color="auto"/>
            </w:tcBorders>
            <w:vMerge w:val="continue"/>
            <w:shd w:val="clear" w:color="auto" w:fill="CEFFE7"/>
          </w:tcPr>
          <w:p>
            <w:pPr>
              <w:spacing w:after="0"/>
              <w:rPr>
                <w:sz w:val="16"/>
                <w:szCs w:val="16"/>
                <w:color w:val="auto"/>
              </w:rPr>
            </w:pPr>
          </w:p>
        </w:tc>
        <w:tc>
          <w:tcPr>
            <w:tcW w:w="960" w:type="dxa"/>
            <w:vAlign w:val="bottom"/>
            <w:tcBorders>
              <w:bottom w:val="single" w:sz="8" w:color="auto"/>
            </w:tcBorders>
            <w:vMerge w:val="continue"/>
            <w:shd w:val="clear" w:color="auto" w:fill="CEFFE7"/>
          </w:tcPr>
          <w:p>
            <w:pPr>
              <w:spacing w:after="0"/>
              <w:rPr>
                <w:sz w:val="16"/>
                <w:szCs w:val="16"/>
                <w:color w:val="auto"/>
              </w:rPr>
            </w:pPr>
          </w:p>
        </w:tc>
        <w:tc>
          <w:tcPr>
            <w:tcW w:w="300" w:type="dxa"/>
            <w:vAlign w:val="bottom"/>
            <w:tcBorders>
              <w:bottom w:val="single" w:sz="8" w:color="auto"/>
            </w:tcBorders>
            <w:vMerge w:val="continue"/>
            <w:shd w:val="clear" w:color="auto" w:fill="CEFFE7"/>
          </w:tcPr>
          <w:p>
            <w:pPr>
              <w:spacing w:after="0"/>
              <w:rPr>
                <w:sz w:val="16"/>
                <w:szCs w:val="16"/>
                <w:color w:val="auto"/>
              </w:rPr>
            </w:pPr>
          </w:p>
        </w:tc>
        <w:tc>
          <w:tcPr>
            <w:tcW w:w="920" w:type="dxa"/>
            <w:vAlign w:val="bottom"/>
            <w:tcBorders>
              <w:bottom w:val="single" w:sz="8" w:color="auto"/>
            </w:tcBorders>
            <w:vMerge w:val="continue"/>
            <w:shd w:val="clear" w:color="auto" w:fill="CEFFE7"/>
          </w:tcPr>
          <w:p>
            <w:pPr>
              <w:spacing w:after="0"/>
              <w:rPr>
                <w:sz w:val="16"/>
                <w:szCs w:val="16"/>
                <w:color w:val="auto"/>
              </w:rPr>
            </w:pPr>
          </w:p>
        </w:tc>
        <w:tc>
          <w:tcPr>
            <w:tcW w:w="120" w:type="dxa"/>
            <w:vAlign w:val="bottom"/>
            <w:tcBorders>
              <w:bottom w:val="single" w:sz="8" w:color="CEFFE7"/>
            </w:tcBorders>
            <w:shd w:val="clear" w:color="auto" w:fill="CEFFE7"/>
          </w:tcPr>
          <w:p>
            <w:pPr>
              <w:spacing w:after="0"/>
              <w:rPr>
                <w:sz w:val="16"/>
                <w:szCs w:val="16"/>
                <w:color w:val="auto"/>
              </w:rPr>
            </w:pPr>
          </w:p>
        </w:tc>
        <w:tc>
          <w:tcPr>
            <w:tcW w:w="120" w:type="dxa"/>
            <w:vAlign w:val="bottom"/>
            <w:tcBorders>
              <w:bottom w:val="single" w:sz="8" w:color="auto"/>
            </w:tcBorders>
            <w:vMerge w:val="continue"/>
            <w:shd w:val="clear" w:color="auto" w:fill="CEFFE7"/>
          </w:tcPr>
          <w:p>
            <w:pPr>
              <w:spacing w:after="0"/>
              <w:rPr>
                <w:sz w:val="16"/>
                <w:szCs w:val="16"/>
                <w:color w:val="auto"/>
              </w:rPr>
            </w:pPr>
          </w:p>
        </w:tc>
        <w:tc>
          <w:tcPr>
            <w:tcW w:w="1060" w:type="dxa"/>
            <w:vAlign w:val="bottom"/>
            <w:tcBorders>
              <w:bottom w:val="single" w:sz="8" w:color="auto"/>
            </w:tcBorders>
            <w:vMerge w:val="continue"/>
            <w:shd w:val="clear" w:color="auto" w:fill="CEFFE7"/>
          </w:tcPr>
          <w:p>
            <w:pPr>
              <w:spacing w:after="0"/>
              <w:rPr>
                <w:sz w:val="16"/>
                <w:szCs w:val="16"/>
                <w:color w:val="auto"/>
              </w:rPr>
            </w:pPr>
          </w:p>
        </w:tc>
        <w:tc>
          <w:tcPr>
            <w:tcW w:w="420" w:type="dxa"/>
            <w:vAlign w:val="bottom"/>
            <w:tcBorders>
              <w:bottom w:val="single" w:sz="8" w:color="auto"/>
            </w:tcBorders>
            <w:vMerge w:val="continue"/>
            <w:shd w:val="clear" w:color="auto" w:fill="CEFFE7"/>
          </w:tcPr>
          <w:p>
            <w:pPr>
              <w:spacing w:after="0"/>
              <w:rPr>
                <w:sz w:val="16"/>
                <w:szCs w:val="16"/>
                <w:color w:val="auto"/>
              </w:rPr>
            </w:pPr>
          </w:p>
        </w:tc>
        <w:tc>
          <w:tcPr>
            <w:tcW w:w="800" w:type="dxa"/>
            <w:vAlign w:val="bottom"/>
            <w:tcBorders>
              <w:bottom w:val="single" w:sz="8" w:color="auto"/>
            </w:tcBorders>
            <w:vMerge w:val="continue"/>
            <w:shd w:val="clear" w:color="auto" w:fill="CEFFE7"/>
          </w:tcPr>
          <w:p>
            <w:pPr>
              <w:spacing w:after="0"/>
              <w:rPr>
                <w:sz w:val="16"/>
                <w:szCs w:val="16"/>
                <w:color w:val="auto"/>
              </w:rPr>
            </w:pPr>
          </w:p>
        </w:tc>
        <w:tc>
          <w:tcPr>
            <w:tcW w:w="100" w:type="dxa"/>
            <w:vAlign w:val="bottom"/>
            <w:tcBorders>
              <w:bottom w:val="single" w:sz="8" w:color="CEFFE7"/>
            </w:tcBorders>
            <w:shd w:val="clear" w:color="auto" w:fill="CEFFE7"/>
          </w:tcPr>
          <w:p>
            <w:pPr>
              <w:spacing w:after="0"/>
              <w:rPr>
                <w:sz w:val="16"/>
                <w:szCs w:val="16"/>
                <w:color w:val="auto"/>
              </w:rPr>
            </w:pPr>
          </w:p>
        </w:tc>
        <w:tc>
          <w:tcPr>
            <w:tcW w:w="1560" w:type="dxa"/>
            <w:vAlign w:val="bottom"/>
            <w:tcBorders>
              <w:bottom w:val="single" w:sz="8" w:color="CEFFE7"/>
            </w:tcBorders>
            <w:shd w:val="clear" w:color="auto" w:fill="CEFFE7"/>
          </w:tcPr>
          <w:p>
            <w:pPr>
              <w:spacing w:after="0"/>
              <w:rPr>
                <w:sz w:val="16"/>
                <w:szCs w:val="16"/>
                <w:color w:val="auto"/>
              </w:rPr>
            </w:pPr>
          </w:p>
        </w:tc>
        <w:tc>
          <w:tcPr>
            <w:tcW w:w="1160" w:type="dxa"/>
            <w:vAlign w:val="bottom"/>
            <w:tcBorders>
              <w:bottom w:val="single" w:sz="8" w:color="CEFFE7"/>
            </w:tcBorders>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56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348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6"/>
        </w:trPr>
        <w:tc>
          <w:tcPr>
            <w:tcW w:w="136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9"/>
          </w:tcPr>
          <w:p>
            <w:pPr>
              <w:jc w:val="center"/>
              <w:ind w:right="340"/>
              <w:spacing w:after="0"/>
              <w:rPr>
                <w:sz w:val="20"/>
                <w:szCs w:val="20"/>
                <w:color w:val="auto"/>
              </w:rPr>
            </w:pPr>
            <w:r>
              <w:rPr>
                <w:rFonts w:ascii="Arial" w:cs="Arial" w:eastAsia="Arial" w:hAnsi="Arial"/>
                <w:sz w:val="16"/>
                <w:szCs w:val="16"/>
                <w:color w:val="auto"/>
              </w:rPr>
              <w:t>Gross Margin (non-GAAP) (in</w:t>
            </w:r>
          </w:p>
        </w:tc>
        <w:tc>
          <w:tcPr>
            <w:tcW w:w="2520" w:type="dxa"/>
            <w:vAlign w:val="bottom"/>
            <w:gridSpan w:val="4"/>
          </w:tcPr>
          <w:p>
            <w:pPr>
              <w:jc w:val="center"/>
              <w:ind w:right="280"/>
              <w:spacing w:after="0"/>
              <w:rPr>
                <w:sz w:val="20"/>
                <w:szCs w:val="20"/>
                <w:color w:val="auto"/>
              </w:rPr>
            </w:pPr>
            <w:r>
              <w:rPr>
                <w:rFonts w:ascii="Arial" w:cs="Arial" w:eastAsia="Arial" w:hAnsi="Arial"/>
                <w:sz w:val="16"/>
                <w:szCs w:val="16"/>
                <w:color w:val="auto"/>
              </w:rPr>
              <w:t>Gas Utilities Quantities Sold &amp;</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50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6"/>
                <w:szCs w:val="16"/>
                <w:color w:val="auto"/>
              </w:rPr>
              <w:t>Revenue (in thousands)</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6"/>
                <w:szCs w:val="16"/>
                <w:color w:val="auto"/>
              </w:rPr>
              <w:t>thousands)</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6"/>
                <w:szCs w:val="16"/>
                <w:color w:val="auto"/>
                <w:w w:val="99"/>
              </w:rPr>
              <w:t>Transported (Dth)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580"/>
              <w:spacing w:after="0" w:line="174" w:lineRule="exact"/>
              <w:rPr>
                <w:sz w:val="20"/>
                <w:szCs w:val="20"/>
                <w:color w:val="auto"/>
              </w:rPr>
            </w:pPr>
            <w:r>
              <w:rPr>
                <w:rFonts w:ascii="Arial" w:cs="Arial" w:eastAsia="Arial" w:hAnsi="Arial"/>
                <w:sz w:val="16"/>
                <w:szCs w:val="16"/>
                <w:color w:val="auto"/>
              </w:rPr>
              <w:t>Nine Months Ended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center"/>
              <w:ind w:right="820"/>
              <w:spacing w:after="0" w:line="174" w:lineRule="exact"/>
              <w:rPr>
                <w:sz w:val="20"/>
                <w:szCs w:val="20"/>
                <w:color w:val="auto"/>
              </w:rPr>
            </w:pPr>
            <w:r>
              <w:rPr>
                <w:rFonts w:ascii="Arial" w:cs="Arial" w:eastAsia="Arial" w:hAnsi="Arial"/>
                <w:sz w:val="16"/>
                <w:szCs w:val="16"/>
                <w:color w:val="auto"/>
              </w:rPr>
              <w:t>Nine Months Ended</w:t>
            </w:r>
          </w:p>
        </w:tc>
        <w:tc>
          <w:tcPr>
            <w:tcW w:w="120" w:type="dxa"/>
            <w:vAlign w:val="bottom"/>
          </w:tcPr>
          <w:p>
            <w:pPr>
              <w:spacing w:after="0"/>
              <w:rPr>
                <w:sz w:val="15"/>
                <w:szCs w:val="15"/>
                <w:color w:val="auto"/>
              </w:rPr>
            </w:pPr>
          </w:p>
        </w:tc>
        <w:tc>
          <w:tcPr>
            <w:tcW w:w="2400" w:type="dxa"/>
            <w:vAlign w:val="bottom"/>
            <w:gridSpan w:val="3"/>
          </w:tcPr>
          <w:p>
            <w:pPr>
              <w:jc w:val="center"/>
              <w:ind w:right="380"/>
              <w:spacing w:after="0" w:line="174" w:lineRule="exact"/>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left="119"/>
              <w:spacing w:after="0"/>
              <w:rPr>
                <w:sz w:val="20"/>
                <w:szCs w:val="20"/>
                <w:color w:val="auto"/>
              </w:rPr>
            </w:pPr>
            <w:r>
              <w:rPr>
                <w:rFonts w:ascii="Arial" w:cs="Arial" w:eastAsia="Arial" w:hAnsi="Arial"/>
                <w:sz w:val="16"/>
                <w:szCs w:val="16"/>
                <w:color w:val="auto"/>
              </w:rPr>
              <w:t>September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left="99"/>
              <w:spacing w:after="0"/>
              <w:rPr>
                <w:sz w:val="20"/>
                <w:szCs w:val="20"/>
                <w:color w:val="auto"/>
              </w:rPr>
            </w:pPr>
            <w:r>
              <w:rPr>
                <w:rFonts w:ascii="Arial" w:cs="Arial" w:eastAsia="Arial" w:hAnsi="Arial"/>
                <w:sz w:val="16"/>
                <w:szCs w:val="16"/>
                <w:color w:val="auto"/>
              </w:rPr>
              <w:t>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3"/>
          </w:tcPr>
          <w:p>
            <w:pPr>
              <w:jc w:val="center"/>
              <w:ind w:right="38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401,413</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351,986</w:t>
            </w:r>
          </w:p>
        </w:tc>
        <w:tc>
          <w:tcPr>
            <w:tcW w:w="120" w:type="dxa"/>
            <w:vAlign w:val="bottom"/>
            <w:shd w:val="clear" w:color="auto" w:fill="CEFFE7"/>
          </w:tcPr>
          <w:p>
            <w:pPr>
              <w:spacing w:after="0"/>
              <w:rPr>
                <w:sz w:val="18"/>
                <w:szCs w:val="18"/>
                <w:color w:val="auto"/>
              </w:rPr>
            </w:pP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219,885</w:t>
            </w:r>
          </w:p>
        </w:tc>
        <w:tc>
          <w:tcPr>
            <w:tcW w:w="38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6"/>
              </w:rPr>
              <w:t>207,654</w:t>
            </w: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3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42,708,511</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40,790,670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155,015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127,617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66,447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39"/>
              <w:spacing w:after="0"/>
              <w:rPr>
                <w:sz w:val="20"/>
                <w:szCs w:val="20"/>
                <w:color w:val="auto"/>
              </w:rPr>
            </w:pPr>
            <w:r>
              <w:rPr>
                <w:rFonts w:ascii="Arial" w:cs="Arial" w:eastAsia="Arial" w:hAnsi="Arial"/>
                <w:sz w:val="16"/>
                <w:szCs w:val="16"/>
                <w:color w:val="auto"/>
              </w:rPr>
              <w:t>20,732,271</w:t>
            </w:r>
          </w:p>
        </w:tc>
        <w:tc>
          <w:tcPr>
            <w:tcW w:w="1120" w:type="dxa"/>
            <w:vAlign w:val="bottom"/>
          </w:tcPr>
          <w:p>
            <w:pPr>
              <w:jc w:val="right"/>
              <w:spacing w:after="0"/>
              <w:rPr>
                <w:sz w:val="20"/>
                <w:szCs w:val="20"/>
                <w:color w:val="auto"/>
              </w:rPr>
            </w:pPr>
            <w:r>
              <w:rPr>
                <w:rFonts w:ascii="Arial" w:cs="Arial" w:eastAsia="Arial" w:hAnsi="Arial"/>
                <w:sz w:val="16"/>
                <w:szCs w:val="16"/>
                <w:color w:val="auto"/>
              </w:rPr>
              <w:t>19,155,051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3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24,576</w:t>
            </w:r>
          </w:p>
        </w:tc>
        <w:tc>
          <w:tcPr>
            <w:tcW w:w="3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18,539</w:t>
            </w:r>
          </w:p>
        </w:tc>
        <w:tc>
          <w:tcPr>
            <w:tcW w:w="1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5,505</w:t>
            </w:r>
          </w:p>
        </w:tc>
        <w:tc>
          <w:tcPr>
            <w:tcW w:w="3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6,697</w:t>
            </w: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3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5,109,501</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5,771,732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1,816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80" w:type="dxa"/>
            <w:vAlign w:val="bottom"/>
            <w:tcBorders>
              <w:top w:val="single" w:sz="8" w:color="CEFFE7"/>
            </w:tcBorders>
            <w:gridSpan w:val="2"/>
            <w:shd w:val="clear" w:color="auto" w:fill="CEFFE7"/>
          </w:tcPr>
          <w:p>
            <w:pPr>
              <w:ind w:left="220"/>
              <w:spacing w:after="0"/>
              <w:rPr>
                <w:sz w:val="20"/>
                <w:szCs w:val="20"/>
                <w:color w:val="auto"/>
              </w:rPr>
            </w:pPr>
            <w:r>
              <w:rPr>
                <w:rFonts w:ascii="Arial" w:cs="Arial" w:eastAsia="Arial" w:hAnsi="Arial"/>
                <w:sz w:val="16"/>
                <w:szCs w:val="16"/>
                <w:color w:val="auto"/>
              </w:rPr>
              <w:t>Total Distribution</w:t>
            </w:r>
          </w:p>
        </w:tc>
        <w:tc>
          <w:tcPr>
            <w:tcW w:w="340" w:type="dxa"/>
            <w:vAlign w:val="bottom"/>
            <w:tcBorders>
              <w:top w:val="single" w:sz="8" w:color="auto"/>
              <w:bottom w:val="single" w:sz="8" w:color="auto"/>
            </w:tcBorders>
            <w:shd w:val="clear" w:color="auto" w:fill="CEFFE7"/>
          </w:tcPr>
          <w:p>
            <w:pPr>
              <w:spacing w:after="0"/>
              <w:rPr>
                <w:sz w:val="18"/>
                <w:szCs w:val="18"/>
                <w:color w:val="auto"/>
              </w:rPr>
            </w:pPr>
          </w:p>
        </w:tc>
        <w:tc>
          <w:tcPr>
            <w:tcW w:w="120" w:type="dxa"/>
            <w:vAlign w:val="bottom"/>
            <w:tcBorders>
              <w:top w:val="single" w:sz="8" w:color="auto"/>
              <w:bottom w:val="single" w:sz="8" w:color="auto"/>
            </w:tcBorders>
            <w:shd w:val="clear" w:color="auto" w:fill="CEFFE7"/>
          </w:tcPr>
          <w:p>
            <w:pPr>
              <w:spacing w:after="0"/>
              <w:rPr>
                <w:sz w:val="18"/>
                <w:szCs w:val="18"/>
                <w:color w:val="auto"/>
              </w:rPr>
            </w:pPr>
          </w:p>
        </w:tc>
        <w:tc>
          <w:tcPr>
            <w:tcW w:w="7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582,820</w:t>
            </w:r>
          </w:p>
        </w:tc>
        <w:tc>
          <w:tcPr>
            <w:tcW w:w="340" w:type="dxa"/>
            <w:vAlign w:val="bottom"/>
            <w:tcBorders>
              <w:top w:val="single" w:sz="8" w:color="auto"/>
              <w:bottom w:val="single" w:sz="8" w:color="auto"/>
            </w:tcBorders>
            <w:shd w:val="clear" w:color="auto" w:fill="CEFFE7"/>
          </w:tcPr>
          <w:p>
            <w:pPr>
              <w:spacing w:after="0"/>
              <w:rPr>
                <w:sz w:val="18"/>
                <w:szCs w:val="18"/>
                <w:color w:val="auto"/>
              </w:rPr>
            </w:pPr>
          </w:p>
        </w:tc>
        <w:tc>
          <w:tcPr>
            <w:tcW w:w="200" w:type="dxa"/>
            <w:vAlign w:val="bottom"/>
            <w:tcBorders>
              <w:top w:val="single" w:sz="8" w:color="auto"/>
              <w:bottom w:val="single" w:sz="8" w:color="auto"/>
            </w:tcBorders>
            <w:shd w:val="clear" w:color="auto" w:fill="CEFFE7"/>
          </w:tcPr>
          <w:p>
            <w:pPr>
              <w:spacing w:after="0"/>
              <w:rPr>
                <w:sz w:val="18"/>
                <w:szCs w:val="18"/>
                <w:color w:val="auto"/>
              </w:rPr>
            </w:pPr>
          </w:p>
        </w:tc>
        <w:tc>
          <w:tcPr>
            <w:tcW w:w="6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498,998</w:t>
            </w:r>
          </w:p>
        </w:tc>
        <w:tc>
          <w:tcPr>
            <w:tcW w:w="120" w:type="dxa"/>
            <w:vAlign w:val="bottom"/>
            <w:tcBorders>
              <w:top w:val="single" w:sz="8" w:color="CEFFE7"/>
            </w:tcBorders>
            <w:shd w:val="clear" w:color="auto" w:fill="CEFFE7"/>
          </w:tcPr>
          <w:p>
            <w:pPr>
              <w:spacing w:after="0"/>
              <w:rPr>
                <w:sz w:val="18"/>
                <w:szCs w:val="18"/>
                <w:color w:val="auto"/>
              </w:rPr>
            </w:pPr>
          </w:p>
        </w:tc>
        <w:tc>
          <w:tcPr>
            <w:tcW w:w="240" w:type="dxa"/>
            <w:vAlign w:val="bottom"/>
            <w:tcBorders>
              <w:top w:val="single" w:sz="8" w:color="auto"/>
              <w:bottom w:val="single" w:sz="8" w:color="auto"/>
            </w:tcBorders>
            <w:shd w:val="clear" w:color="auto" w:fill="CEFFE7"/>
          </w:tcPr>
          <w:p>
            <w:pPr>
              <w:spacing w:after="0"/>
              <w:rPr>
                <w:sz w:val="18"/>
                <w:szCs w:val="18"/>
                <w:color w:val="auto"/>
              </w:rPr>
            </w:pPr>
          </w:p>
        </w:tc>
        <w:tc>
          <w:tcPr>
            <w:tcW w:w="100" w:type="dxa"/>
            <w:vAlign w:val="bottom"/>
            <w:tcBorders>
              <w:top w:val="single" w:sz="8" w:color="auto"/>
              <w:bottom w:val="single" w:sz="8" w:color="auto"/>
            </w:tcBorders>
            <w:shd w:val="clear" w:color="auto" w:fill="CEFFE7"/>
          </w:tcPr>
          <w:p>
            <w:pPr>
              <w:spacing w:after="0"/>
              <w:rPr>
                <w:sz w:val="18"/>
                <w:szCs w:val="18"/>
                <w:color w:val="auto"/>
              </w:rPr>
            </w:pPr>
          </w:p>
        </w:tc>
        <w:tc>
          <w:tcPr>
            <w:tcW w:w="120" w:type="dxa"/>
            <w:vAlign w:val="bottom"/>
            <w:tcBorders>
              <w:top w:val="single" w:sz="8" w:color="auto"/>
              <w:bottom w:val="single" w:sz="8" w:color="auto"/>
            </w:tcBorders>
            <w:shd w:val="clear" w:color="auto" w:fill="CEFFE7"/>
          </w:tcPr>
          <w:p>
            <w:pPr>
              <w:spacing w:after="0"/>
              <w:rPr>
                <w:sz w:val="18"/>
                <w:szCs w:val="18"/>
                <w:color w:val="auto"/>
              </w:rPr>
            </w:pPr>
          </w:p>
        </w:tc>
        <w:tc>
          <w:tcPr>
            <w:tcW w:w="6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293,653</w:t>
            </w:r>
          </w:p>
        </w:tc>
        <w:tc>
          <w:tcPr>
            <w:tcW w:w="380" w:type="dxa"/>
            <w:vAlign w:val="bottom"/>
            <w:tcBorders>
              <w:top w:val="single" w:sz="8" w:color="auto"/>
              <w:bottom w:val="single" w:sz="8" w:color="auto"/>
            </w:tcBorders>
            <w:shd w:val="clear" w:color="auto" w:fill="CEFFE7"/>
          </w:tcPr>
          <w:p>
            <w:pPr>
              <w:spacing w:after="0"/>
              <w:rPr>
                <w:sz w:val="18"/>
                <w:szCs w:val="18"/>
                <w:color w:val="auto"/>
              </w:rPr>
            </w:pPr>
          </w:p>
        </w:tc>
        <w:tc>
          <w:tcPr>
            <w:tcW w:w="220" w:type="dxa"/>
            <w:vAlign w:val="bottom"/>
            <w:tcBorders>
              <w:top w:val="single" w:sz="8" w:color="auto"/>
              <w:bottom w:val="single" w:sz="8" w:color="auto"/>
            </w:tcBorders>
            <w:shd w:val="clear" w:color="auto" w:fill="CEFFE7"/>
          </w:tcPr>
          <w:p>
            <w:pPr>
              <w:spacing w:after="0"/>
              <w:rPr>
                <w:sz w:val="18"/>
                <w:szCs w:val="18"/>
                <w:color w:val="auto"/>
              </w:rPr>
            </w:pPr>
          </w:p>
        </w:tc>
        <w:tc>
          <w:tcPr>
            <w:tcW w:w="6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6"/>
              </w:rPr>
              <w:t>276,883</w:t>
            </w:r>
          </w:p>
        </w:tc>
        <w:tc>
          <w:tcPr>
            <w:tcW w:w="100" w:type="dxa"/>
            <w:vAlign w:val="bottom"/>
            <w:tcBorders>
              <w:top w:val="single" w:sz="8" w:color="CEFFE7"/>
            </w:tcBorders>
            <w:shd w:val="clear" w:color="auto" w:fill="CEFFE7"/>
          </w:tcPr>
          <w:p>
            <w:pPr>
              <w:spacing w:after="0"/>
              <w:rPr>
                <w:sz w:val="18"/>
                <w:szCs w:val="18"/>
                <w:color w:val="auto"/>
              </w:rPr>
            </w:pPr>
          </w:p>
        </w:tc>
        <w:tc>
          <w:tcPr>
            <w:tcW w:w="240" w:type="dxa"/>
            <w:vAlign w:val="bottom"/>
            <w:tcBorders>
              <w:top w:val="single" w:sz="8" w:color="auto"/>
              <w:bottom w:val="single" w:sz="8" w:color="auto"/>
            </w:tcBorders>
            <w:shd w:val="clear" w:color="auto" w:fill="CEFFE7"/>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68,550,283</w:t>
            </w:r>
          </w:p>
        </w:tc>
        <w:tc>
          <w:tcPr>
            <w:tcW w:w="11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65,717,453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3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117,797</w:t>
            </w:r>
          </w:p>
        </w:tc>
        <w:tc>
          <w:tcPr>
            <w:tcW w:w="34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113,799</w:t>
            </w:r>
          </w:p>
        </w:tc>
        <w:tc>
          <w:tcPr>
            <w:tcW w:w="1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117,797</w:t>
            </w:r>
          </w:p>
        </w:tc>
        <w:tc>
          <w:tcPr>
            <w:tcW w:w="3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6"/>
              </w:rPr>
              <w:t>113,770</w:t>
            </w: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38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114,124,253</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108,967,182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tcBorders>
              <w:bottom w:val="single" w:sz="8" w:color="CEFFE7"/>
            </w:tcBorders>
            <w:gridSpan w:val="2"/>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3480" w:type="dxa"/>
            <w:vAlign w:val="bottom"/>
            <w:tcBorders>
              <w:bottom w:val="single" w:sz="8" w:color="CEFFE7"/>
            </w:tcBorders>
            <w:gridSpan w:val="2"/>
            <w:shd w:val="clear" w:color="auto" w:fill="CEFFE7"/>
          </w:tcPr>
          <w:p>
            <w:pPr>
              <w:ind w:left="220"/>
              <w:spacing w:after="0"/>
              <w:rPr>
                <w:sz w:val="20"/>
                <w:szCs w:val="20"/>
                <w:color w:val="auto"/>
              </w:rPr>
            </w:pPr>
            <w:r>
              <w:rPr>
                <w:rFonts w:ascii="Arial" w:cs="Arial" w:eastAsia="Arial" w:hAnsi="Arial"/>
                <w:sz w:val="16"/>
                <w:szCs w:val="16"/>
                <w:color w:val="auto"/>
              </w:rPr>
              <w:t>Total Regulated</w:t>
            </w:r>
          </w:p>
        </w:tc>
        <w:tc>
          <w:tcPr>
            <w:tcW w:w="34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700,617</w:t>
            </w:r>
          </w:p>
        </w:tc>
        <w:tc>
          <w:tcPr>
            <w:tcW w:w="34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612,797</w:t>
            </w:r>
          </w:p>
        </w:tc>
        <w:tc>
          <w:tcPr>
            <w:tcW w:w="12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411,450</w:t>
            </w:r>
          </w:p>
        </w:tc>
        <w:tc>
          <w:tcPr>
            <w:tcW w:w="38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96"/>
              </w:rPr>
              <w:t>390,653</w:t>
            </w:r>
          </w:p>
        </w:tc>
        <w:tc>
          <w:tcPr>
            <w:tcW w:w="10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auto"/>
            </w:tcBorders>
            <w:shd w:val="clear" w:color="auto" w:fill="CEFFE7"/>
          </w:tcPr>
          <w:p>
            <w:pPr>
              <w:spacing w:after="0"/>
              <w:rPr>
                <w:sz w:val="23"/>
                <w:szCs w:val="23"/>
                <w:color w:val="auto"/>
              </w:rPr>
            </w:pPr>
          </w:p>
        </w:tc>
        <w:tc>
          <w:tcPr>
            <w:tcW w:w="1380" w:type="dxa"/>
            <w:vAlign w:val="bottom"/>
            <w:tcBorders>
              <w:bottom w:val="single" w:sz="8" w:color="auto"/>
            </w:tcBorders>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182,674,536</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174,684,635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1360" w:type="dxa"/>
            <w:vAlign w:val="bottom"/>
            <w:tcBorders>
              <w:top w:val="single" w:sz="8" w:color="CEFFE7"/>
            </w:tcBorders>
          </w:tcPr>
          <w:p>
            <w:pPr>
              <w:spacing w:after="0"/>
              <w:rPr>
                <w:sz w:val="9"/>
                <w:szCs w:val="9"/>
                <w:color w:val="auto"/>
              </w:rPr>
            </w:pPr>
          </w:p>
        </w:tc>
        <w:tc>
          <w:tcPr>
            <w:tcW w:w="2120" w:type="dxa"/>
            <w:vAlign w:val="bottom"/>
            <w:tcBorders>
              <w:top w:val="single" w:sz="8" w:color="CEFFE7"/>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EFFE7"/>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3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52,635</w:t>
            </w:r>
          </w:p>
        </w:tc>
        <w:tc>
          <w:tcPr>
            <w:tcW w:w="34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53,015</w:t>
            </w:r>
          </w:p>
        </w:tc>
        <w:tc>
          <w:tcPr>
            <w:tcW w:w="1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42,503</w:t>
            </w:r>
          </w:p>
        </w:tc>
        <w:tc>
          <w:tcPr>
            <w:tcW w:w="3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48,141</w:t>
            </w: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26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tcBorders>
              <w:bottom w:val="single" w:sz="8" w:color="CEFFE7"/>
            </w:tcBorders>
            <w:gridSpan w:val="2"/>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40" w:type="dxa"/>
            <w:vAlign w:val="bottom"/>
            <w:tcBorders>
              <w:bottom w:val="single" w:sz="8" w:color="CEFFE7"/>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260" w:type="dxa"/>
            <w:vAlign w:val="bottom"/>
            <w:tcBorders>
              <w:bottom w:val="single" w:sz="8" w:color="CEFFE7"/>
            </w:tcBorders>
          </w:tcPr>
          <w:p>
            <w:pPr>
              <w:spacing w:after="0"/>
              <w:rPr>
                <w:sz w:val="14"/>
                <w:szCs w:val="14"/>
                <w:color w:val="auto"/>
              </w:rPr>
            </w:pPr>
          </w:p>
        </w:tc>
        <w:tc>
          <w:tcPr>
            <w:tcW w:w="1120" w:type="dxa"/>
            <w:vAlign w:val="bottom"/>
            <w:tcBorders>
              <w:bottom w:val="single" w:sz="8" w:color="CEFFE7"/>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80" w:type="dxa"/>
            <w:vAlign w:val="bottom"/>
            <w:gridSpan w:val="2"/>
            <w:shd w:val="clear" w:color="auto" w:fill="CEFFE7"/>
          </w:tcPr>
          <w:p>
            <w:pPr>
              <w:ind w:left="220"/>
              <w:spacing w:after="0" w:line="158" w:lineRule="exact"/>
              <w:rPr>
                <w:sz w:val="20"/>
                <w:szCs w:val="20"/>
                <w:color w:val="auto"/>
              </w:rPr>
            </w:pPr>
            <w:r>
              <w:rPr>
                <w:rFonts w:ascii="Arial" w:cs="Arial" w:eastAsia="Arial" w:hAnsi="Arial"/>
                <w:sz w:val="16"/>
                <w:szCs w:val="16"/>
                <w:color w:val="auto"/>
              </w:rPr>
              <w:t>Total Gas Revenue &amp; Gross Margin (non-</w:t>
            </w:r>
          </w:p>
        </w:tc>
        <w:tc>
          <w:tcPr>
            <w:tcW w:w="340" w:type="dxa"/>
            <w:vAlign w:val="bottom"/>
            <w:vMerge w:val="restart"/>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EFFE7"/>
          </w:tcPr>
          <w:p>
            <w:pPr>
              <w:spacing w:after="0"/>
              <w:rPr>
                <w:sz w:val="13"/>
                <w:szCs w:val="13"/>
                <w:color w:val="auto"/>
              </w:rPr>
            </w:pP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753,252</w:t>
            </w:r>
          </w:p>
        </w:tc>
        <w:tc>
          <w:tcPr>
            <w:tcW w:w="340" w:type="dxa"/>
            <w:vAlign w:val="bottom"/>
            <w:vMerge w:val="restart"/>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3"/>
                <w:szCs w:val="13"/>
                <w:color w:val="auto"/>
              </w:rPr>
            </w:pPr>
          </w:p>
        </w:tc>
        <w:tc>
          <w:tcPr>
            <w:tcW w:w="6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665,812</w:t>
            </w:r>
          </w:p>
        </w:tc>
        <w:tc>
          <w:tcPr>
            <w:tcW w:w="120" w:type="dxa"/>
            <w:vAlign w:val="bottom"/>
            <w:shd w:val="clear" w:color="auto" w:fill="CEFFE7"/>
          </w:tcPr>
          <w:p>
            <w:pPr>
              <w:spacing w:after="0"/>
              <w:rPr>
                <w:sz w:val="13"/>
                <w:szCs w:val="13"/>
                <w:color w:val="auto"/>
              </w:rPr>
            </w:pPr>
          </w:p>
        </w:tc>
        <w:tc>
          <w:tcPr>
            <w:tcW w:w="240" w:type="dxa"/>
            <w:vAlign w:val="bottom"/>
            <w:vMerge w:val="restart"/>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EFFE7"/>
          </w:tcPr>
          <w:p>
            <w:pPr>
              <w:spacing w:after="0"/>
              <w:rPr>
                <w:sz w:val="13"/>
                <w:szCs w:val="13"/>
                <w:color w:val="auto"/>
              </w:rPr>
            </w:pPr>
          </w:p>
        </w:tc>
        <w:tc>
          <w:tcPr>
            <w:tcW w:w="120" w:type="dxa"/>
            <w:vAlign w:val="bottom"/>
            <w:shd w:val="clear" w:color="auto" w:fill="CEFFE7"/>
          </w:tcPr>
          <w:p>
            <w:pPr>
              <w:spacing w:after="0"/>
              <w:rPr>
                <w:sz w:val="13"/>
                <w:szCs w:val="13"/>
                <w:color w:val="auto"/>
              </w:rPr>
            </w:pPr>
          </w:p>
        </w:tc>
        <w:tc>
          <w:tcPr>
            <w:tcW w:w="6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453,953</w:t>
            </w:r>
          </w:p>
        </w:tc>
        <w:tc>
          <w:tcPr>
            <w:tcW w:w="380" w:type="dxa"/>
            <w:vAlign w:val="bottom"/>
            <w:vMerge w:val="restart"/>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spacing w:after="0"/>
              <w:rPr>
                <w:sz w:val="13"/>
                <w:szCs w:val="13"/>
                <w:color w:val="auto"/>
              </w:rPr>
            </w:pPr>
          </w:p>
        </w:tc>
        <w:tc>
          <w:tcPr>
            <w:tcW w:w="6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96"/>
              </w:rPr>
              <w:t>438,794</w:t>
            </w:r>
          </w:p>
        </w:tc>
        <w:tc>
          <w:tcPr>
            <w:tcW w:w="100" w:type="dxa"/>
            <w:vAlign w:val="bottom"/>
            <w:shd w:val="clear" w:color="auto" w:fill="CEFFE7"/>
          </w:tcPr>
          <w:p>
            <w:pPr>
              <w:spacing w:after="0"/>
              <w:rPr>
                <w:sz w:val="13"/>
                <w:szCs w:val="13"/>
                <w:color w:val="auto"/>
              </w:rPr>
            </w:pPr>
          </w:p>
        </w:tc>
        <w:tc>
          <w:tcPr>
            <w:tcW w:w="240" w:type="dxa"/>
            <w:vAlign w:val="bottom"/>
            <w:shd w:val="clear" w:color="auto" w:fill="CEFFE7"/>
          </w:tcPr>
          <w:p>
            <w:pPr>
              <w:spacing w:after="0"/>
              <w:rPr>
                <w:sz w:val="13"/>
                <w:szCs w:val="13"/>
                <w:color w:val="auto"/>
              </w:rPr>
            </w:pPr>
          </w:p>
        </w:tc>
        <w:tc>
          <w:tcPr>
            <w:tcW w:w="120" w:type="dxa"/>
            <w:vAlign w:val="bottom"/>
            <w:shd w:val="clear" w:color="auto" w:fill="CEFFE7"/>
          </w:tcPr>
          <w:p>
            <w:pPr>
              <w:spacing w:after="0"/>
              <w:rPr>
                <w:sz w:val="13"/>
                <w:szCs w:val="13"/>
                <w:color w:val="auto"/>
              </w:rPr>
            </w:pPr>
          </w:p>
        </w:tc>
        <w:tc>
          <w:tcPr>
            <w:tcW w:w="1260" w:type="dxa"/>
            <w:vAlign w:val="bottom"/>
            <w:shd w:val="clear" w:color="auto" w:fill="CEFFE7"/>
          </w:tcPr>
          <w:p>
            <w:pPr>
              <w:spacing w:after="0"/>
              <w:rPr>
                <w:sz w:val="13"/>
                <w:szCs w:val="13"/>
                <w:color w:val="auto"/>
              </w:rPr>
            </w:pPr>
          </w:p>
        </w:tc>
        <w:tc>
          <w:tcPr>
            <w:tcW w:w="1120" w:type="dxa"/>
            <w:vAlign w:val="bottom"/>
            <w:shd w:val="clear" w:color="auto" w:fill="CEFFE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480" w:type="dxa"/>
            <w:vAlign w:val="bottom"/>
            <w:tcBorders>
              <w:bottom w:val="single" w:sz="8" w:color="CEFFE7"/>
            </w:tcBorders>
            <w:gridSpan w:val="2"/>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340" w:type="dxa"/>
            <w:vAlign w:val="bottom"/>
            <w:tcBorders>
              <w:bottom w:val="single" w:sz="8" w:color="auto"/>
            </w:tcBorders>
            <w:vMerge w:val="continue"/>
            <w:shd w:val="clear" w:color="auto" w:fill="CEFFE7"/>
          </w:tcPr>
          <w:p>
            <w:pPr>
              <w:spacing w:after="0"/>
              <w:rPr>
                <w:sz w:val="16"/>
                <w:szCs w:val="16"/>
                <w:color w:val="auto"/>
              </w:rPr>
            </w:pPr>
          </w:p>
        </w:tc>
        <w:tc>
          <w:tcPr>
            <w:tcW w:w="120" w:type="dxa"/>
            <w:vAlign w:val="bottom"/>
            <w:tcBorders>
              <w:bottom w:val="single" w:sz="8" w:color="auto"/>
            </w:tcBorders>
            <w:shd w:val="clear" w:color="auto" w:fill="CEFFE7"/>
          </w:tcPr>
          <w:p>
            <w:pPr>
              <w:spacing w:after="0"/>
              <w:rPr>
                <w:sz w:val="16"/>
                <w:szCs w:val="16"/>
                <w:color w:val="auto"/>
              </w:rPr>
            </w:pPr>
          </w:p>
        </w:tc>
        <w:tc>
          <w:tcPr>
            <w:tcW w:w="720" w:type="dxa"/>
            <w:vAlign w:val="bottom"/>
            <w:tcBorders>
              <w:bottom w:val="single" w:sz="8" w:color="auto"/>
            </w:tcBorders>
            <w:vMerge w:val="continue"/>
            <w:shd w:val="clear" w:color="auto" w:fill="CEFFE7"/>
          </w:tcPr>
          <w:p>
            <w:pPr>
              <w:spacing w:after="0"/>
              <w:rPr>
                <w:sz w:val="16"/>
                <w:szCs w:val="16"/>
                <w:color w:val="auto"/>
              </w:rPr>
            </w:pPr>
          </w:p>
        </w:tc>
        <w:tc>
          <w:tcPr>
            <w:tcW w:w="340" w:type="dxa"/>
            <w:vAlign w:val="bottom"/>
            <w:tcBorders>
              <w:bottom w:val="single" w:sz="8" w:color="auto"/>
            </w:tcBorders>
            <w:vMerge w:val="continue"/>
            <w:shd w:val="clear" w:color="auto" w:fill="CEFFE7"/>
          </w:tcPr>
          <w:p>
            <w:pPr>
              <w:spacing w:after="0"/>
              <w:rPr>
                <w:sz w:val="16"/>
                <w:szCs w:val="16"/>
                <w:color w:val="auto"/>
              </w:rPr>
            </w:pPr>
          </w:p>
        </w:tc>
        <w:tc>
          <w:tcPr>
            <w:tcW w:w="200" w:type="dxa"/>
            <w:vAlign w:val="bottom"/>
            <w:tcBorders>
              <w:bottom w:val="single" w:sz="8" w:color="auto"/>
            </w:tcBorders>
            <w:shd w:val="clear" w:color="auto" w:fill="CEFFE7"/>
          </w:tcPr>
          <w:p>
            <w:pPr>
              <w:spacing w:after="0"/>
              <w:rPr>
                <w:sz w:val="16"/>
                <w:szCs w:val="16"/>
                <w:color w:val="auto"/>
              </w:rPr>
            </w:pPr>
          </w:p>
        </w:tc>
        <w:tc>
          <w:tcPr>
            <w:tcW w:w="660" w:type="dxa"/>
            <w:vAlign w:val="bottom"/>
            <w:tcBorders>
              <w:bottom w:val="single" w:sz="8" w:color="auto"/>
            </w:tcBorders>
            <w:vMerge w:val="continue"/>
            <w:shd w:val="clear" w:color="auto" w:fill="CEFFE7"/>
          </w:tcPr>
          <w:p>
            <w:pPr>
              <w:spacing w:after="0"/>
              <w:rPr>
                <w:sz w:val="16"/>
                <w:szCs w:val="16"/>
                <w:color w:val="auto"/>
              </w:rPr>
            </w:pPr>
          </w:p>
        </w:tc>
        <w:tc>
          <w:tcPr>
            <w:tcW w:w="120" w:type="dxa"/>
            <w:vAlign w:val="bottom"/>
            <w:tcBorders>
              <w:bottom w:val="single" w:sz="8" w:color="CEFFE7"/>
            </w:tcBorders>
            <w:shd w:val="clear" w:color="auto" w:fill="CEFFE7"/>
          </w:tcPr>
          <w:p>
            <w:pPr>
              <w:spacing w:after="0"/>
              <w:rPr>
                <w:sz w:val="16"/>
                <w:szCs w:val="16"/>
                <w:color w:val="auto"/>
              </w:rPr>
            </w:pPr>
          </w:p>
        </w:tc>
        <w:tc>
          <w:tcPr>
            <w:tcW w:w="240" w:type="dxa"/>
            <w:vAlign w:val="bottom"/>
            <w:tcBorders>
              <w:bottom w:val="single" w:sz="8" w:color="auto"/>
            </w:tcBorders>
            <w:vMerge w:val="continue"/>
            <w:shd w:val="clear" w:color="auto" w:fill="CEFFE7"/>
          </w:tcPr>
          <w:p>
            <w:pPr>
              <w:spacing w:after="0"/>
              <w:rPr>
                <w:sz w:val="16"/>
                <w:szCs w:val="16"/>
                <w:color w:val="auto"/>
              </w:rPr>
            </w:pPr>
          </w:p>
        </w:tc>
        <w:tc>
          <w:tcPr>
            <w:tcW w:w="100" w:type="dxa"/>
            <w:vAlign w:val="bottom"/>
            <w:tcBorders>
              <w:bottom w:val="single" w:sz="8" w:color="auto"/>
            </w:tcBorders>
            <w:shd w:val="clear" w:color="auto" w:fill="CEFFE7"/>
          </w:tcPr>
          <w:p>
            <w:pPr>
              <w:spacing w:after="0"/>
              <w:rPr>
                <w:sz w:val="16"/>
                <w:szCs w:val="16"/>
                <w:color w:val="auto"/>
              </w:rPr>
            </w:pPr>
          </w:p>
        </w:tc>
        <w:tc>
          <w:tcPr>
            <w:tcW w:w="120" w:type="dxa"/>
            <w:vAlign w:val="bottom"/>
            <w:tcBorders>
              <w:bottom w:val="single" w:sz="8" w:color="auto"/>
            </w:tcBorders>
            <w:shd w:val="clear" w:color="auto" w:fill="CEFFE7"/>
          </w:tcPr>
          <w:p>
            <w:pPr>
              <w:spacing w:after="0"/>
              <w:rPr>
                <w:sz w:val="16"/>
                <w:szCs w:val="16"/>
                <w:color w:val="auto"/>
              </w:rPr>
            </w:pPr>
          </w:p>
        </w:tc>
        <w:tc>
          <w:tcPr>
            <w:tcW w:w="680" w:type="dxa"/>
            <w:vAlign w:val="bottom"/>
            <w:tcBorders>
              <w:bottom w:val="single" w:sz="8" w:color="auto"/>
            </w:tcBorders>
            <w:vMerge w:val="continue"/>
            <w:shd w:val="clear" w:color="auto" w:fill="CEFFE7"/>
          </w:tcPr>
          <w:p>
            <w:pPr>
              <w:spacing w:after="0"/>
              <w:rPr>
                <w:sz w:val="16"/>
                <w:szCs w:val="16"/>
                <w:color w:val="auto"/>
              </w:rPr>
            </w:pPr>
          </w:p>
        </w:tc>
        <w:tc>
          <w:tcPr>
            <w:tcW w:w="380" w:type="dxa"/>
            <w:vAlign w:val="bottom"/>
            <w:tcBorders>
              <w:bottom w:val="single" w:sz="8" w:color="auto"/>
            </w:tcBorders>
            <w:vMerge w:val="continue"/>
            <w:shd w:val="clear" w:color="auto" w:fill="CEFFE7"/>
          </w:tcPr>
          <w:p>
            <w:pPr>
              <w:spacing w:after="0"/>
              <w:rPr>
                <w:sz w:val="16"/>
                <w:szCs w:val="16"/>
                <w:color w:val="auto"/>
              </w:rPr>
            </w:pPr>
          </w:p>
        </w:tc>
        <w:tc>
          <w:tcPr>
            <w:tcW w:w="220" w:type="dxa"/>
            <w:vAlign w:val="bottom"/>
            <w:tcBorders>
              <w:bottom w:val="single" w:sz="8" w:color="auto"/>
            </w:tcBorders>
            <w:shd w:val="clear" w:color="auto" w:fill="CEFFE7"/>
          </w:tcPr>
          <w:p>
            <w:pPr>
              <w:spacing w:after="0"/>
              <w:rPr>
                <w:sz w:val="16"/>
                <w:szCs w:val="16"/>
                <w:color w:val="auto"/>
              </w:rPr>
            </w:pPr>
          </w:p>
        </w:tc>
        <w:tc>
          <w:tcPr>
            <w:tcW w:w="660" w:type="dxa"/>
            <w:vAlign w:val="bottom"/>
            <w:tcBorders>
              <w:bottom w:val="single" w:sz="8" w:color="auto"/>
            </w:tcBorders>
            <w:vMerge w:val="continue"/>
            <w:shd w:val="clear" w:color="auto" w:fill="CEFFE7"/>
          </w:tcPr>
          <w:p>
            <w:pPr>
              <w:spacing w:after="0"/>
              <w:rPr>
                <w:sz w:val="16"/>
                <w:szCs w:val="16"/>
                <w:color w:val="auto"/>
              </w:rPr>
            </w:pPr>
          </w:p>
        </w:tc>
        <w:tc>
          <w:tcPr>
            <w:tcW w:w="100" w:type="dxa"/>
            <w:vAlign w:val="bottom"/>
            <w:tcBorders>
              <w:bottom w:val="single" w:sz="8" w:color="CEFFE7"/>
            </w:tcBorders>
            <w:shd w:val="clear" w:color="auto" w:fill="CEFFE7"/>
          </w:tcPr>
          <w:p>
            <w:pPr>
              <w:spacing w:after="0"/>
              <w:rPr>
                <w:sz w:val="16"/>
                <w:szCs w:val="16"/>
                <w:color w:val="auto"/>
              </w:rPr>
            </w:pPr>
          </w:p>
        </w:tc>
        <w:tc>
          <w:tcPr>
            <w:tcW w:w="240" w:type="dxa"/>
            <w:vAlign w:val="bottom"/>
            <w:tcBorders>
              <w:bottom w:val="single" w:sz="8" w:color="CEFFE7"/>
            </w:tcBorders>
            <w:shd w:val="clear" w:color="auto" w:fill="CEFFE7"/>
          </w:tcPr>
          <w:p>
            <w:pPr>
              <w:spacing w:after="0"/>
              <w:rPr>
                <w:sz w:val="16"/>
                <w:szCs w:val="16"/>
                <w:color w:val="auto"/>
              </w:rPr>
            </w:pPr>
          </w:p>
        </w:tc>
        <w:tc>
          <w:tcPr>
            <w:tcW w:w="120" w:type="dxa"/>
            <w:vAlign w:val="bottom"/>
            <w:tcBorders>
              <w:bottom w:val="single" w:sz="8" w:color="CEFFE7"/>
            </w:tcBorders>
            <w:shd w:val="clear" w:color="auto" w:fill="CEFFE7"/>
          </w:tcPr>
          <w:p>
            <w:pPr>
              <w:spacing w:after="0"/>
              <w:rPr>
                <w:sz w:val="16"/>
                <w:szCs w:val="16"/>
                <w:color w:val="auto"/>
              </w:rPr>
            </w:pPr>
          </w:p>
        </w:tc>
        <w:tc>
          <w:tcPr>
            <w:tcW w:w="1260" w:type="dxa"/>
            <w:vAlign w:val="bottom"/>
            <w:tcBorders>
              <w:bottom w:val="single" w:sz="8" w:color="CEFFE7"/>
            </w:tcBorders>
            <w:shd w:val="clear" w:color="auto" w:fill="CEFFE7"/>
          </w:tcPr>
          <w:p>
            <w:pPr>
              <w:spacing w:after="0"/>
              <w:rPr>
                <w:sz w:val="16"/>
                <w:szCs w:val="16"/>
                <w:color w:val="auto"/>
              </w:rPr>
            </w:pPr>
          </w:p>
        </w:tc>
        <w:tc>
          <w:tcPr>
            <w:tcW w:w="1120" w:type="dxa"/>
            <w:vAlign w:val="bottom"/>
            <w:tcBorders>
              <w:bottom w:val="single" w:sz="8" w:color="CEFFE7"/>
            </w:tcBorders>
            <w:shd w:val="clear" w:color="auto" w:fill="CEFFE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12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940" w:type="dxa"/>
            <w:vAlign w:val="bottom"/>
            <w:tcBorders>
              <w:top w:val="single" w:sz="8" w:color="CEFFE7"/>
              <w:bottom w:val="single" w:sz="8" w:color="auto"/>
            </w:tcBorders>
            <w:gridSpan w:val="4"/>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380" w:type="dxa"/>
            <w:vAlign w:val="bottom"/>
            <w:tcBorders>
              <w:top w:val="single" w:sz="8" w:color="CEFFE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center"/>
              <w:ind w:right="120"/>
              <w:spacing w:after="0"/>
              <w:rPr>
                <w:sz w:val="20"/>
                <w:szCs w:val="20"/>
                <w:color w:val="auto"/>
              </w:rPr>
            </w:pPr>
            <w:r>
              <w:rPr>
                <w:rFonts w:ascii="Arial" w:cs="Arial" w:eastAsia="Arial" w:hAnsi="Arial"/>
                <w:sz w:val="16"/>
                <w:szCs w:val="16"/>
                <w:color w:val="auto"/>
              </w:rPr>
              <w:t>Gross Margin (non-GAAP) (in</w:t>
            </w:r>
          </w:p>
        </w:tc>
        <w:tc>
          <w:tcPr>
            <w:tcW w:w="120" w:type="dxa"/>
            <w:vAlign w:val="bottom"/>
          </w:tcPr>
          <w:p>
            <w:pPr>
              <w:spacing w:after="0"/>
              <w:rPr>
                <w:sz w:val="24"/>
                <w:szCs w:val="24"/>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color w:val="auto"/>
              </w:rPr>
              <w:t>Gas Utilities Quantities Sold &amp;</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center"/>
              <w:ind w:left="39"/>
              <w:spacing w:after="0"/>
              <w:rPr>
                <w:sz w:val="20"/>
                <w:szCs w:val="20"/>
                <w:color w:val="auto"/>
              </w:rPr>
            </w:pPr>
            <w:r>
              <w:rPr>
                <w:rFonts w:ascii="Arial" w:cs="Arial" w:eastAsia="Arial" w:hAnsi="Arial"/>
                <w:sz w:val="16"/>
                <w:szCs w:val="16"/>
                <w:color w:val="auto"/>
              </w:rPr>
              <w:t>Revenue (in thousands)</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center"/>
              <w:ind w:right="800"/>
              <w:spacing w:after="0"/>
              <w:rPr>
                <w:sz w:val="20"/>
                <w:szCs w:val="20"/>
                <w:color w:val="auto"/>
              </w:rPr>
            </w:pPr>
            <w:r>
              <w:rPr>
                <w:rFonts w:ascii="Arial" w:cs="Arial" w:eastAsia="Arial" w:hAnsi="Arial"/>
                <w:sz w:val="16"/>
                <w:szCs w:val="16"/>
                <w:color w:val="auto"/>
              </w:rPr>
              <w:t>thousands)</w:t>
            </w: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Transported (Dth)</w:t>
            </w: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left="39"/>
              <w:spacing w:after="0" w:line="174" w:lineRule="exact"/>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center"/>
              <w:ind w:right="100"/>
              <w:spacing w:after="0" w:line="174" w:lineRule="exact"/>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15"/>
                <w:szCs w:val="15"/>
                <w:color w:val="auto"/>
              </w:rPr>
            </w:pPr>
          </w:p>
        </w:tc>
        <w:tc>
          <w:tcPr>
            <w:tcW w:w="2400" w:type="dxa"/>
            <w:vAlign w:val="bottom"/>
            <w:gridSpan w:val="3"/>
          </w:tcPr>
          <w:p>
            <w:pPr>
              <w:jc w:val="center"/>
              <w:spacing w:after="0" w:line="174" w:lineRule="exact"/>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jc w:val="center"/>
              <w:ind w:left="19"/>
              <w:spacing w:after="0"/>
              <w:rPr>
                <w:sz w:val="20"/>
                <w:szCs w:val="20"/>
                <w:color w:val="auto"/>
              </w:rPr>
            </w:pPr>
            <w:r>
              <w:rPr>
                <w:rFonts w:ascii="Arial" w:cs="Arial" w:eastAsia="Arial" w:hAnsi="Arial"/>
                <w:sz w:val="16"/>
                <w:szCs w:val="16"/>
                <w:color w:val="auto"/>
              </w:rPr>
              <w:t>September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6"/>
                <w:szCs w:val="16"/>
                <w:color w:val="auto"/>
              </w:rPr>
              <w:t>September 30,</w:t>
            </w:r>
          </w:p>
        </w:tc>
        <w:tc>
          <w:tcPr>
            <w:tcW w:w="120" w:type="dxa"/>
            <w:vAlign w:val="bottom"/>
          </w:tcPr>
          <w:p>
            <w:pPr>
              <w:spacing w:after="0"/>
              <w:rPr>
                <w:sz w:val="16"/>
                <w:szCs w:val="16"/>
                <w:color w:val="auto"/>
              </w:rPr>
            </w:pPr>
          </w:p>
        </w:tc>
        <w:tc>
          <w:tcPr>
            <w:tcW w:w="2400" w:type="dxa"/>
            <w:vAlign w:val="bottom"/>
            <w:gridSpan w:val="3"/>
          </w:tcPr>
          <w:p>
            <w:pPr>
              <w:jc w:val="center"/>
              <w:ind w:right="2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Arkansas Gas</w:t>
            </w:r>
          </w:p>
        </w:tc>
        <w:tc>
          <w:tcPr>
            <w:tcW w:w="460" w:type="dxa"/>
            <w:vAlign w:val="bottom"/>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25,188</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21,043</w:t>
            </w: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18,468</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EFFE7"/>
          </w:tcPr>
          <w:p>
            <w:pPr>
              <w:jc w:val="right"/>
              <w:ind w:right="60"/>
              <w:spacing w:after="0"/>
              <w:rPr>
                <w:sz w:val="20"/>
                <w:szCs w:val="20"/>
                <w:color w:val="auto"/>
              </w:rPr>
            </w:pPr>
            <w:r>
              <w:rPr>
                <w:rFonts w:ascii="Arial" w:cs="Arial" w:eastAsia="Arial" w:hAnsi="Arial"/>
                <w:sz w:val="16"/>
                <w:szCs w:val="16"/>
                <w:color w:val="auto"/>
              </w:rPr>
              <w:t>17,400</w:t>
            </w:r>
          </w:p>
        </w:tc>
        <w:tc>
          <w:tcPr>
            <w:tcW w:w="1380" w:type="dxa"/>
            <w:vAlign w:val="bottom"/>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4,319,944</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3,925,893</w:t>
            </w: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22,452</w:t>
            </w: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22,724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17,097</w:t>
            </w: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16,972</w:t>
            </w: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3,798,587</w:t>
            </w:r>
          </w:p>
        </w:tc>
        <w:tc>
          <w:tcPr>
            <w:tcW w:w="1120" w:type="dxa"/>
            <w:vAlign w:val="bottom"/>
          </w:tcPr>
          <w:p>
            <w:pPr>
              <w:jc w:val="right"/>
              <w:spacing w:after="0"/>
              <w:rPr>
                <w:sz w:val="20"/>
                <w:szCs w:val="20"/>
                <w:color w:val="auto"/>
              </w:rPr>
            </w:pPr>
            <w:r>
              <w:rPr>
                <w:rFonts w:ascii="Arial" w:cs="Arial" w:eastAsia="Arial" w:hAnsi="Arial"/>
                <w:sz w:val="16"/>
                <w:szCs w:val="16"/>
                <w:color w:val="auto"/>
              </w:rPr>
              <w:t>3,702,666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Iowa Gas</w:t>
            </w:r>
          </w:p>
        </w:tc>
        <w:tc>
          <w:tcPr>
            <w:tcW w:w="3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22,015</w:t>
            </w:r>
          </w:p>
        </w:tc>
        <w:tc>
          <w:tcPr>
            <w:tcW w:w="200" w:type="dxa"/>
            <w:vAlign w:val="bottom"/>
            <w:shd w:val="clear" w:color="auto" w:fill="CEFFE7"/>
          </w:tcPr>
          <w:p>
            <w:pPr>
              <w:spacing w:after="0"/>
              <w:rPr>
                <w:sz w:val="19"/>
                <w:szCs w:val="19"/>
                <w:color w:val="auto"/>
              </w:rPr>
            </w:pPr>
          </w:p>
        </w:tc>
        <w:tc>
          <w:tcPr>
            <w:tcW w:w="10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18,155</w:t>
            </w: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14,442</w:t>
            </w:r>
          </w:p>
        </w:tc>
        <w:tc>
          <w:tcPr>
            <w:tcW w:w="220" w:type="dxa"/>
            <w:vAlign w:val="bottom"/>
            <w:shd w:val="clear" w:color="auto" w:fill="CEFFE7"/>
          </w:tcPr>
          <w:p>
            <w:pPr>
              <w:spacing w:after="0"/>
              <w:rPr>
                <w:sz w:val="19"/>
                <w:szCs w:val="19"/>
                <w:color w:val="auto"/>
              </w:rPr>
            </w:pPr>
          </w:p>
        </w:tc>
        <w:tc>
          <w:tcPr>
            <w:tcW w:w="1000" w:type="dxa"/>
            <w:vAlign w:val="bottom"/>
            <w:gridSpan w:val="3"/>
            <w:shd w:val="clear" w:color="auto" w:fill="CEFFE7"/>
          </w:tcPr>
          <w:p>
            <w:pPr>
              <w:jc w:val="right"/>
              <w:ind w:right="60"/>
              <w:spacing w:after="0"/>
              <w:rPr>
                <w:sz w:val="20"/>
                <w:szCs w:val="20"/>
                <w:color w:val="auto"/>
              </w:rPr>
            </w:pPr>
            <w:r>
              <w:rPr>
                <w:rFonts w:ascii="Arial" w:cs="Arial" w:eastAsia="Arial" w:hAnsi="Arial"/>
                <w:sz w:val="16"/>
                <w:szCs w:val="16"/>
                <w:color w:val="auto"/>
              </w:rPr>
              <w:t>14,672</w:t>
            </w:r>
          </w:p>
        </w:tc>
        <w:tc>
          <w:tcPr>
            <w:tcW w:w="1380" w:type="dxa"/>
            <w:vAlign w:val="bottom"/>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5,810,932</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5,628,110</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Kansas Gas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25,972</w:t>
            </w: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18,591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13,600</w:t>
            </w: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13,099</w:t>
            </w: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9,075,960</w:t>
            </w:r>
          </w:p>
        </w:tc>
        <w:tc>
          <w:tcPr>
            <w:tcW w:w="1120" w:type="dxa"/>
            <w:vAlign w:val="bottom"/>
          </w:tcPr>
          <w:p>
            <w:pPr>
              <w:jc w:val="right"/>
              <w:spacing w:after="0"/>
              <w:rPr>
                <w:sz w:val="20"/>
                <w:szCs w:val="20"/>
                <w:color w:val="auto"/>
              </w:rPr>
            </w:pPr>
            <w:r>
              <w:rPr>
                <w:rFonts w:ascii="Arial" w:cs="Arial" w:eastAsia="Arial" w:hAnsi="Arial"/>
                <w:sz w:val="16"/>
                <w:szCs w:val="16"/>
                <w:color w:val="auto"/>
              </w:rPr>
              <w:t>8,564,408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Nebraska Gas</w:t>
            </w:r>
          </w:p>
        </w:tc>
        <w:tc>
          <w:tcPr>
            <w:tcW w:w="3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51,538</w:t>
            </w:r>
          </w:p>
        </w:tc>
        <w:tc>
          <w:tcPr>
            <w:tcW w:w="200" w:type="dxa"/>
            <w:vAlign w:val="bottom"/>
            <w:shd w:val="clear" w:color="auto" w:fill="CEFFE7"/>
          </w:tcPr>
          <w:p>
            <w:pPr>
              <w:spacing w:after="0"/>
              <w:rPr>
                <w:sz w:val="19"/>
                <w:szCs w:val="19"/>
                <w:color w:val="auto"/>
              </w:rPr>
            </w:pPr>
          </w:p>
        </w:tc>
        <w:tc>
          <w:tcPr>
            <w:tcW w:w="10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46,315</w:t>
            </w: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42,896</w:t>
            </w:r>
          </w:p>
        </w:tc>
        <w:tc>
          <w:tcPr>
            <w:tcW w:w="220" w:type="dxa"/>
            <w:vAlign w:val="bottom"/>
            <w:shd w:val="clear" w:color="auto" w:fill="CEFFE7"/>
          </w:tcPr>
          <w:p>
            <w:pPr>
              <w:spacing w:after="0"/>
              <w:rPr>
                <w:sz w:val="19"/>
                <w:szCs w:val="19"/>
                <w:color w:val="auto"/>
              </w:rPr>
            </w:pPr>
          </w:p>
        </w:tc>
        <w:tc>
          <w:tcPr>
            <w:tcW w:w="1000" w:type="dxa"/>
            <w:vAlign w:val="bottom"/>
            <w:gridSpan w:val="3"/>
            <w:shd w:val="clear" w:color="auto" w:fill="CEFFE7"/>
          </w:tcPr>
          <w:p>
            <w:pPr>
              <w:jc w:val="right"/>
              <w:ind w:right="60"/>
              <w:spacing w:after="0"/>
              <w:rPr>
                <w:sz w:val="20"/>
                <w:szCs w:val="20"/>
                <w:color w:val="auto"/>
              </w:rPr>
            </w:pPr>
            <w:r>
              <w:rPr>
                <w:rFonts w:ascii="Arial" w:cs="Arial" w:eastAsia="Arial" w:hAnsi="Arial"/>
                <w:sz w:val="16"/>
                <w:szCs w:val="16"/>
                <w:color w:val="auto"/>
              </w:rPr>
              <w:t>39,755</w:t>
            </w:r>
          </w:p>
        </w:tc>
        <w:tc>
          <w:tcPr>
            <w:tcW w:w="1380" w:type="dxa"/>
            <w:vAlign w:val="bottom"/>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16,174,821</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16,525,547</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Wyoming Gas</w:t>
            </w:r>
          </w:p>
        </w:tc>
        <w:tc>
          <w:tcPr>
            <w:tcW w:w="34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17,518</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17,101</w:t>
            </w:r>
          </w:p>
        </w:tc>
        <w:tc>
          <w:tcPr>
            <w:tcW w:w="10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15,046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14,996</w:t>
            </w:r>
          </w:p>
        </w:tc>
        <w:tc>
          <w:tcPr>
            <w:tcW w:w="120" w:type="dxa"/>
            <w:vAlign w:val="bottom"/>
            <w:tcBorders>
              <w:bottom w:val="single" w:sz="8" w:color="CEFFE7"/>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4,419,638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4,408,436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480" w:type="dxa"/>
            <w:vAlign w:val="bottom"/>
            <w:gridSpan w:val="2"/>
            <w:shd w:val="clear" w:color="auto" w:fill="CEFFE7"/>
          </w:tcPr>
          <w:p>
            <w:pPr>
              <w:ind w:left="220"/>
              <w:spacing w:after="0" w:line="161" w:lineRule="exact"/>
              <w:rPr>
                <w:sz w:val="20"/>
                <w:szCs w:val="20"/>
                <w:color w:val="auto"/>
              </w:rPr>
            </w:pPr>
            <w:r>
              <w:rPr>
                <w:rFonts w:ascii="Arial" w:cs="Arial" w:eastAsia="Arial" w:hAnsi="Arial"/>
                <w:sz w:val="16"/>
                <w:szCs w:val="16"/>
                <w:color w:val="auto"/>
              </w:rPr>
              <w:t>Total Gas Revenue &amp; Gross Margin (non-</w:t>
            </w:r>
          </w:p>
        </w:tc>
        <w:tc>
          <w:tcPr>
            <w:tcW w:w="460" w:type="dxa"/>
            <w:vAlign w:val="bottom"/>
            <w:gridSpan w:val="2"/>
            <w:vMerge w:val="restart"/>
            <w:shd w:val="clear" w:color="auto" w:fill="CEFFE7"/>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shd w:val="clear" w:color="auto" w:fill="CEFFE7"/>
          </w:tcPr>
          <w:p>
            <w:pPr>
              <w:jc w:val="right"/>
              <w:spacing w:after="0"/>
              <w:rPr>
                <w:sz w:val="20"/>
                <w:szCs w:val="20"/>
                <w:color w:val="auto"/>
              </w:rPr>
            </w:pPr>
            <w:r>
              <w:rPr>
                <w:rFonts w:ascii="Arial" w:cs="Arial" w:eastAsia="Arial" w:hAnsi="Arial"/>
                <w:sz w:val="16"/>
                <w:szCs w:val="16"/>
                <w:color w:val="auto"/>
              </w:rPr>
              <w:t>164,683</w:t>
            </w:r>
          </w:p>
        </w:tc>
        <w:tc>
          <w:tcPr>
            <w:tcW w:w="2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vMerge w:val="restart"/>
            <w:shd w:val="clear" w:color="auto" w:fill="CEFFE7"/>
          </w:tcPr>
          <w:p>
            <w:pPr>
              <w:jc w:val="right"/>
              <w:spacing w:after="0"/>
              <w:rPr>
                <w:sz w:val="20"/>
                <w:szCs w:val="20"/>
                <w:color w:val="auto"/>
              </w:rPr>
            </w:pPr>
            <w:r>
              <w:rPr>
                <w:rFonts w:ascii="Arial" w:cs="Arial" w:eastAsia="Arial" w:hAnsi="Arial"/>
                <w:sz w:val="16"/>
                <w:szCs w:val="16"/>
                <w:color w:val="auto"/>
              </w:rPr>
              <w:t>143,929</w:t>
            </w:r>
          </w:p>
        </w:tc>
        <w:tc>
          <w:tcPr>
            <w:tcW w:w="100" w:type="dxa"/>
            <w:vAlign w:val="bottom"/>
            <w:shd w:val="clear" w:color="auto" w:fill="CEFFE7"/>
          </w:tcPr>
          <w:p>
            <w:pPr>
              <w:spacing w:after="0"/>
              <w:rPr>
                <w:sz w:val="13"/>
                <w:szCs w:val="13"/>
                <w:color w:val="auto"/>
              </w:rPr>
            </w:pPr>
          </w:p>
        </w:tc>
        <w:tc>
          <w:tcPr>
            <w:tcW w:w="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shd w:val="clear" w:color="auto" w:fill="CEFFE7"/>
          </w:tcPr>
          <w:p>
            <w:pPr>
              <w:jc w:val="right"/>
              <w:spacing w:after="0"/>
              <w:rPr>
                <w:sz w:val="20"/>
                <w:szCs w:val="20"/>
                <w:color w:val="auto"/>
              </w:rPr>
            </w:pPr>
            <w:r>
              <w:rPr>
                <w:rFonts w:ascii="Arial" w:cs="Arial" w:eastAsia="Arial" w:hAnsi="Arial"/>
                <w:sz w:val="16"/>
                <w:szCs w:val="16"/>
                <w:color w:val="auto"/>
              </w:rPr>
              <w:t>121,549</w:t>
            </w:r>
          </w:p>
        </w:tc>
        <w:tc>
          <w:tcPr>
            <w:tcW w:w="2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vMerge w:val="restart"/>
            <w:shd w:val="clear" w:color="auto" w:fill="CEFFE7"/>
          </w:tcPr>
          <w:p>
            <w:pPr>
              <w:jc w:val="right"/>
              <w:ind w:right="60"/>
              <w:spacing w:after="0"/>
              <w:rPr>
                <w:sz w:val="20"/>
                <w:szCs w:val="20"/>
                <w:color w:val="auto"/>
              </w:rPr>
            </w:pPr>
            <w:r>
              <w:rPr>
                <w:rFonts w:ascii="Arial" w:cs="Arial" w:eastAsia="Arial" w:hAnsi="Arial"/>
                <w:sz w:val="16"/>
                <w:szCs w:val="16"/>
                <w:color w:val="auto"/>
              </w:rPr>
              <w:t>116,894</w:t>
            </w:r>
          </w:p>
        </w:tc>
        <w:tc>
          <w:tcPr>
            <w:tcW w:w="1380" w:type="dxa"/>
            <w:vAlign w:val="bottom"/>
            <w:gridSpan w:val="2"/>
            <w:vMerge w:val="restart"/>
            <w:shd w:val="clear" w:color="auto" w:fill="CEFFE7"/>
          </w:tcPr>
          <w:p>
            <w:pPr>
              <w:jc w:val="right"/>
              <w:ind w:right="59"/>
              <w:spacing w:after="0"/>
              <w:rPr>
                <w:sz w:val="20"/>
                <w:szCs w:val="20"/>
                <w:color w:val="auto"/>
              </w:rPr>
            </w:pPr>
            <w:r>
              <w:rPr>
                <w:rFonts w:ascii="Arial" w:cs="Arial" w:eastAsia="Arial" w:hAnsi="Arial"/>
                <w:sz w:val="16"/>
                <w:szCs w:val="16"/>
                <w:color w:val="auto"/>
              </w:rPr>
              <w:t>43,599,882</w:t>
            </w:r>
          </w:p>
        </w:tc>
        <w:tc>
          <w:tcPr>
            <w:tcW w:w="1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42,755,060</w:t>
            </w:r>
          </w:p>
        </w:tc>
        <w:tc>
          <w:tcPr>
            <w:tcW w:w="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480" w:type="dxa"/>
            <w:vAlign w:val="bottom"/>
            <w:gridSpan w:val="2"/>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460" w:type="dxa"/>
            <w:vAlign w:val="bottom"/>
            <w:gridSpan w:val="2"/>
            <w:vMerge w:val="continue"/>
            <w:shd w:val="clear" w:color="auto" w:fill="CEFFE7"/>
          </w:tcPr>
          <w:p>
            <w:pPr>
              <w:spacing w:after="0"/>
              <w:rPr>
                <w:sz w:val="16"/>
                <w:szCs w:val="16"/>
                <w:color w:val="auto"/>
              </w:rPr>
            </w:pPr>
          </w:p>
        </w:tc>
        <w:tc>
          <w:tcPr>
            <w:tcW w:w="1060" w:type="dxa"/>
            <w:vAlign w:val="bottom"/>
            <w:gridSpan w:val="2"/>
            <w:vMerge w:val="continue"/>
            <w:shd w:val="clear" w:color="auto" w:fill="CEFFE7"/>
          </w:tcPr>
          <w:p>
            <w:pPr>
              <w:spacing w:after="0"/>
              <w:rPr>
                <w:sz w:val="16"/>
                <w:szCs w:val="16"/>
                <w:color w:val="auto"/>
              </w:rPr>
            </w:pPr>
          </w:p>
        </w:tc>
        <w:tc>
          <w:tcPr>
            <w:tcW w:w="200" w:type="dxa"/>
            <w:vAlign w:val="bottom"/>
            <w:vMerge w:val="continue"/>
            <w:shd w:val="clear" w:color="auto" w:fill="CEFFE7"/>
          </w:tcPr>
          <w:p>
            <w:pPr>
              <w:spacing w:after="0"/>
              <w:rPr>
                <w:sz w:val="16"/>
                <w:szCs w:val="16"/>
                <w:color w:val="auto"/>
              </w:rPr>
            </w:pPr>
          </w:p>
        </w:tc>
        <w:tc>
          <w:tcPr>
            <w:tcW w:w="1020" w:type="dxa"/>
            <w:vAlign w:val="bottom"/>
            <w:gridSpan w:val="3"/>
            <w:vMerge w:val="continue"/>
            <w:shd w:val="clear" w:color="auto" w:fill="CEFFE7"/>
          </w:tcPr>
          <w:p>
            <w:pPr>
              <w:spacing w:after="0"/>
              <w:rPr>
                <w:sz w:val="16"/>
                <w:szCs w:val="16"/>
                <w:color w:val="auto"/>
              </w:rPr>
            </w:pPr>
          </w:p>
        </w:tc>
        <w:tc>
          <w:tcPr>
            <w:tcW w:w="100" w:type="dxa"/>
            <w:vAlign w:val="bottom"/>
            <w:shd w:val="clear" w:color="auto" w:fill="CEFFE7"/>
          </w:tcPr>
          <w:p>
            <w:pPr>
              <w:spacing w:after="0"/>
              <w:rPr>
                <w:sz w:val="16"/>
                <w:szCs w:val="16"/>
                <w:color w:val="auto"/>
              </w:rPr>
            </w:pPr>
          </w:p>
        </w:tc>
        <w:tc>
          <w:tcPr>
            <w:tcW w:w="120" w:type="dxa"/>
            <w:vAlign w:val="bottom"/>
            <w:vMerge w:val="continue"/>
            <w:shd w:val="clear" w:color="auto" w:fill="CEFFE7"/>
          </w:tcPr>
          <w:p>
            <w:pPr>
              <w:spacing w:after="0"/>
              <w:rPr>
                <w:sz w:val="16"/>
                <w:szCs w:val="16"/>
                <w:color w:val="auto"/>
              </w:rPr>
            </w:pPr>
          </w:p>
        </w:tc>
        <w:tc>
          <w:tcPr>
            <w:tcW w:w="1060" w:type="dxa"/>
            <w:vAlign w:val="bottom"/>
            <w:gridSpan w:val="2"/>
            <w:vMerge w:val="continue"/>
            <w:shd w:val="clear" w:color="auto" w:fill="CEFFE7"/>
          </w:tcPr>
          <w:p>
            <w:pPr>
              <w:spacing w:after="0"/>
              <w:rPr>
                <w:sz w:val="16"/>
                <w:szCs w:val="16"/>
                <w:color w:val="auto"/>
              </w:rPr>
            </w:pPr>
          </w:p>
        </w:tc>
        <w:tc>
          <w:tcPr>
            <w:tcW w:w="220" w:type="dxa"/>
            <w:vAlign w:val="bottom"/>
            <w:vMerge w:val="continue"/>
            <w:shd w:val="clear" w:color="auto" w:fill="CEFFE7"/>
          </w:tcPr>
          <w:p>
            <w:pPr>
              <w:spacing w:after="0"/>
              <w:rPr>
                <w:sz w:val="16"/>
                <w:szCs w:val="16"/>
                <w:color w:val="auto"/>
              </w:rPr>
            </w:pPr>
          </w:p>
        </w:tc>
        <w:tc>
          <w:tcPr>
            <w:tcW w:w="1000" w:type="dxa"/>
            <w:vAlign w:val="bottom"/>
            <w:gridSpan w:val="3"/>
            <w:vMerge w:val="continue"/>
            <w:shd w:val="clear" w:color="auto" w:fill="CEFFE7"/>
          </w:tcPr>
          <w:p>
            <w:pPr>
              <w:spacing w:after="0"/>
              <w:rPr>
                <w:sz w:val="16"/>
                <w:szCs w:val="16"/>
                <w:color w:val="auto"/>
              </w:rPr>
            </w:pPr>
          </w:p>
        </w:tc>
        <w:tc>
          <w:tcPr>
            <w:tcW w:w="1380" w:type="dxa"/>
            <w:vAlign w:val="bottom"/>
            <w:gridSpan w:val="2"/>
            <w:vMerge w:val="continue"/>
            <w:shd w:val="clear" w:color="auto" w:fill="CEFFE7"/>
          </w:tcPr>
          <w:p>
            <w:pPr>
              <w:spacing w:after="0"/>
              <w:rPr>
                <w:sz w:val="16"/>
                <w:szCs w:val="16"/>
                <w:color w:val="auto"/>
              </w:rPr>
            </w:pPr>
          </w:p>
        </w:tc>
        <w:tc>
          <w:tcPr>
            <w:tcW w:w="1120" w:type="dxa"/>
            <w:vAlign w:val="bottom"/>
            <w:vMerge w:val="continue"/>
            <w:shd w:val="clear" w:color="auto" w:fill="CEFFE7"/>
          </w:tcPr>
          <w:p>
            <w:pPr>
              <w:spacing w:after="0"/>
              <w:rPr>
                <w:sz w:val="16"/>
                <w:szCs w:val="16"/>
                <w:color w:val="auto"/>
              </w:rPr>
            </w:pPr>
          </w:p>
        </w:tc>
        <w:tc>
          <w:tcPr>
            <w:tcW w:w="2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12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40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center"/>
              <w:ind w:right="120"/>
              <w:spacing w:after="0"/>
              <w:rPr>
                <w:sz w:val="20"/>
                <w:szCs w:val="20"/>
                <w:color w:val="auto"/>
              </w:rPr>
            </w:pPr>
            <w:r>
              <w:rPr>
                <w:rFonts w:ascii="Arial" w:cs="Arial" w:eastAsia="Arial" w:hAnsi="Arial"/>
                <w:sz w:val="16"/>
                <w:szCs w:val="16"/>
                <w:color w:val="auto"/>
              </w:rPr>
              <w:t>Gross Margin (non-GAAP) (in</w:t>
            </w:r>
          </w:p>
        </w:tc>
        <w:tc>
          <w:tcPr>
            <w:tcW w:w="120" w:type="dxa"/>
            <w:vAlign w:val="bottom"/>
          </w:tcPr>
          <w:p>
            <w:pPr>
              <w:spacing w:after="0"/>
              <w:rPr>
                <w:sz w:val="24"/>
                <w:szCs w:val="24"/>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color w:val="auto"/>
              </w:rPr>
              <w:t>Gas Utilities Quantities Sold &amp;</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center"/>
              <w:ind w:left="39"/>
              <w:spacing w:after="0"/>
              <w:rPr>
                <w:sz w:val="20"/>
                <w:szCs w:val="20"/>
                <w:color w:val="auto"/>
              </w:rPr>
            </w:pPr>
            <w:r>
              <w:rPr>
                <w:rFonts w:ascii="Arial" w:cs="Arial" w:eastAsia="Arial" w:hAnsi="Arial"/>
                <w:sz w:val="16"/>
                <w:szCs w:val="16"/>
                <w:color w:val="auto"/>
              </w:rPr>
              <w:t>Revenue (in thousands)</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center"/>
              <w:ind w:right="800"/>
              <w:spacing w:after="0"/>
              <w:rPr>
                <w:sz w:val="20"/>
                <w:szCs w:val="20"/>
                <w:color w:val="auto"/>
              </w:rPr>
            </w:pPr>
            <w:r>
              <w:rPr>
                <w:rFonts w:ascii="Arial" w:cs="Arial" w:eastAsia="Arial" w:hAnsi="Arial"/>
                <w:sz w:val="16"/>
                <w:szCs w:val="16"/>
                <w:color w:val="auto"/>
              </w:rPr>
              <w:t>thousands)</w:t>
            </w: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Transported (Dth)</w:t>
            </w: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left="59"/>
              <w:spacing w:after="0" w:line="174" w:lineRule="exact"/>
              <w:rPr>
                <w:sz w:val="20"/>
                <w:szCs w:val="20"/>
                <w:color w:val="auto"/>
              </w:rPr>
            </w:pPr>
            <w:r>
              <w:rPr>
                <w:rFonts w:ascii="Arial" w:cs="Arial" w:eastAsia="Arial" w:hAnsi="Arial"/>
                <w:sz w:val="16"/>
                <w:szCs w:val="16"/>
                <w:color w:val="auto"/>
              </w:rPr>
              <w:t>Nine Months Ended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center"/>
              <w:ind w:right="100"/>
              <w:spacing w:after="0" w:line="174" w:lineRule="exact"/>
              <w:rPr>
                <w:sz w:val="20"/>
                <w:szCs w:val="20"/>
                <w:color w:val="auto"/>
              </w:rPr>
            </w:pPr>
            <w:r>
              <w:rPr>
                <w:rFonts w:ascii="Arial" w:cs="Arial" w:eastAsia="Arial" w:hAnsi="Arial"/>
                <w:sz w:val="16"/>
                <w:szCs w:val="16"/>
                <w:color w:val="auto"/>
              </w:rPr>
              <w:t>Nine Months Ended</w:t>
            </w:r>
          </w:p>
        </w:tc>
        <w:tc>
          <w:tcPr>
            <w:tcW w:w="120" w:type="dxa"/>
            <w:vAlign w:val="bottom"/>
          </w:tcPr>
          <w:p>
            <w:pPr>
              <w:spacing w:after="0"/>
              <w:rPr>
                <w:sz w:val="15"/>
                <w:szCs w:val="15"/>
                <w:color w:val="auto"/>
              </w:rPr>
            </w:pPr>
          </w:p>
        </w:tc>
        <w:tc>
          <w:tcPr>
            <w:tcW w:w="2400" w:type="dxa"/>
            <w:vAlign w:val="bottom"/>
            <w:gridSpan w:val="3"/>
          </w:tcPr>
          <w:p>
            <w:pPr>
              <w:jc w:val="center"/>
              <w:ind w:right="20"/>
              <w:spacing w:after="0" w:line="174" w:lineRule="exact"/>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jc w:val="center"/>
              <w:ind w:left="59"/>
              <w:spacing w:after="0"/>
              <w:rPr>
                <w:sz w:val="20"/>
                <w:szCs w:val="20"/>
                <w:color w:val="auto"/>
              </w:rPr>
            </w:pPr>
            <w:r>
              <w:rPr>
                <w:rFonts w:ascii="Arial" w:cs="Arial" w:eastAsia="Arial" w:hAnsi="Arial"/>
                <w:sz w:val="16"/>
                <w:szCs w:val="16"/>
                <w:color w:val="auto"/>
              </w:rPr>
              <w:t>September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6"/>
                <w:szCs w:val="16"/>
                <w:color w:val="auto"/>
              </w:rPr>
              <w:t>September 30,</w:t>
            </w:r>
          </w:p>
        </w:tc>
        <w:tc>
          <w:tcPr>
            <w:tcW w:w="120" w:type="dxa"/>
            <w:vAlign w:val="bottom"/>
          </w:tcPr>
          <w:p>
            <w:pPr>
              <w:spacing w:after="0"/>
              <w:rPr>
                <w:sz w:val="16"/>
                <w:szCs w:val="16"/>
                <w:color w:val="auto"/>
              </w:rPr>
            </w:pPr>
          </w:p>
        </w:tc>
        <w:tc>
          <w:tcPr>
            <w:tcW w:w="2400" w:type="dxa"/>
            <w:vAlign w:val="bottom"/>
            <w:gridSpan w:val="3"/>
          </w:tcPr>
          <w:p>
            <w:pPr>
              <w:jc w:val="center"/>
              <w:ind w:right="2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Arkansas Gas</w:t>
            </w:r>
          </w:p>
        </w:tc>
        <w:tc>
          <w:tcPr>
            <w:tcW w:w="4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145,176</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124,621</w:t>
            </w: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93,319</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EFFE7"/>
          </w:tcPr>
          <w:p>
            <w:pPr>
              <w:jc w:val="right"/>
              <w:ind w:right="60"/>
              <w:spacing w:after="0"/>
              <w:rPr>
                <w:sz w:val="20"/>
                <w:szCs w:val="20"/>
                <w:color w:val="auto"/>
              </w:rPr>
            </w:pPr>
            <w:r>
              <w:rPr>
                <w:rFonts w:ascii="Arial" w:cs="Arial" w:eastAsia="Arial" w:hAnsi="Arial"/>
                <w:sz w:val="16"/>
                <w:szCs w:val="16"/>
                <w:color w:val="auto"/>
              </w:rPr>
              <w:t>88,161</w:t>
            </w:r>
          </w:p>
        </w:tc>
        <w:tc>
          <w:tcPr>
            <w:tcW w:w="1380" w:type="dxa"/>
            <w:vAlign w:val="bottom"/>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23,345,095</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19,795,077</w:t>
            </w: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135,764</w:t>
            </w: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123,943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75,919</w:t>
            </w: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73,785</w:t>
            </w: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23,121,887</w:t>
            </w:r>
          </w:p>
        </w:tc>
        <w:tc>
          <w:tcPr>
            <w:tcW w:w="1120" w:type="dxa"/>
            <w:vAlign w:val="bottom"/>
          </w:tcPr>
          <w:p>
            <w:pPr>
              <w:jc w:val="right"/>
              <w:spacing w:after="0"/>
              <w:rPr>
                <w:sz w:val="20"/>
                <w:szCs w:val="20"/>
                <w:color w:val="auto"/>
              </w:rPr>
            </w:pPr>
            <w:r>
              <w:rPr>
                <w:rFonts w:ascii="Arial" w:cs="Arial" w:eastAsia="Arial" w:hAnsi="Arial"/>
                <w:sz w:val="16"/>
                <w:szCs w:val="16"/>
                <w:color w:val="auto"/>
              </w:rPr>
              <w:t>21,845,915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Iowa Gas</w:t>
            </w:r>
          </w:p>
        </w:tc>
        <w:tc>
          <w:tcPr>
            <w:tcW w:w="3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108,600</w:t>
            </w:r>
          </w:p>
        </w:tc>
        <w:tc>
          <w:tcPr>
            <w:tcW w:w="200" w:type="dxa"/>
            <w:vAlign w:val="bottom"/>
            <w:shd w:val="clear" w:color="auto" w:fill="CEFFE7"/>
          </w:tcPr>
          <w:p>
            <w:pPr>
              <w:spacing w:after="0"/>
              <w:rPr>
                <w:sz w:val="19"/>
                <w:szCs w:val="19"/>
                <w:color w:val="auto"/>
              </w:rPr>
            </w:pPr>
          </w:p>
        </w:tc>
        <w:tc>
          <w:tcPr>
            <w:tcW w:w="10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94,386</w:t>
            </w: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53,082</w:t>
            </w:r>
          </w:p>
        </w:tc>
        <w:tc>
          <w:tcPr>
            <w:tcW w:w="220" w:type="dxa"/>
            <w:vAlign w:val="bottom"/>
            <w:shd w:val="clear" w:color="auto" w:fill="CEFFE7"/>
          </w:tcPr>
          <w:p>
            <w:pPr>
              <w:spacing w:after="0"/>
              <w:rPr>
                <w:sz w:val="19"/>
                <w:szCs w:val="19"/>
                <w:color w:val="auto"/>
              </w:rPr>
            </w:pPr>
          </w:p>
        </w:tc>
        <w:tc>
          <w:tcPr>
            <w:tcW w:w="1000" w:type="dxa"/>
            <w:vAlign w:val="bottom"/>
            <w:gridSpan w:val="3"/>
            <w:shd w:val="clear" w:color="auto" w:fill="CEFFE7"/>
          </w:tcPr>
          <w:p>
            <w:pPr>
              <w:jc w:val="right"/>
              <w:ind w:right="60"/>
              <w:spacing w:after="0"/>
              <w:rPr>
                <w:sz w:val="20"/>
                <w:szCs w:val="20"/>
                <w:color w:val="auto"/>
              </w:rPr>
            </w:pPr>
            <w:r>
              <w:rPr>
                <w:rFonts w:ascii="Arial" w:cs="Arial" w:eastAsia="Arial" w:hAnsi="Arial"/>
                <w:sz w:val="16"/>
                <w:szCs w:val="16"/>
                <w:color w:val="auto"/>
              </w:rPr>
              <w:t>50,355</w:t>
            </w:r>
          </w:p>
        </w:tc>
        <w:tc>
          <w:tcPr>
            <w:tcW w:w="1380" w:type="dxa"/>
            <w:vAlign w:val="bottom"/>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27,141,518</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25,429,502</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Kansas Gas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87,198</w:t>
            </w: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70,571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45,110</w:t>
            </w: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44,162</w:t>
            </w: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26,694,184</w:t>
            </w:r>
          </w:p>
        </w:tc>
        <w:tc>
          <w:tcPr>
            <w:tcW w:w="1120" w:type="dxa"/>
            <w:vAlign w:val="bottom"/>
          </w:tcPr>
          <w:p>
            <w:pPr>
              <w:jc w:val="right"/>
              <w:spacing w:after="0"/>
              <w:rPr>
                <w:sz w:val="20"/>
                <w:szCs w:val="20"/>
                <w:color w:val="auto"/>
              </w:rPr>
            </w:pPr>
            <w:r>
              <w:rPr>
                <w:rFonts w:ascii="Arial" w:cs="Arial" w:eastAsia="Arial" w:hAnsi="Arial"/>
                <w:sz w:val="16"/>
                <w:szCs w:val="16"/>
                <w:color w:val="auto"/>
              </w:rPr>
              <w:t>25,202,180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Nebraska Gas</w:t>
            </w:r>
          </w:p>
        </w:tc>
        <w:tc>
          <w:tcPr>
            <w:tcW w:w="3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187,673</w:t>
            </w:r>
          </w:p>
        </w:tc>
        <w:tc>
          <w:tcPr>
            <w:tcW w:w="200" w:type="dxa"/>
            <w:vAlign w:val="bottom"/>
            <w:shd w:val="clear" w:color="auto" w:fill="CEFFE7"/>
          </w:tcPr>
          <w:p>
            <w:pPr>
              <w:spacing w:after="0"/>
              <w:rPr>
                <w:sz w:val="19"/>
                <w:szCs w:val="19"/>
                <w:color w:val="auto"/>
              </w:rPr>
            </w:pPr>
          </w:p>
        </w:tc>
        <w:tc>
          <w:tcPr>
            <w:tcW w:w="10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170,447</w:t>
            </w: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124,923</w:t>
            </w:r>
          </w:p>
        </w:tc>
        <w:tc>
          <w:tcPr>
            <w:tcW w:w="220" w:type="dxa"/>
            <w:vAlign w:val="bottom"/>
            <w:shd w:val="clear" w:color="auto" w:fill="CEFFE7"/>
          </w:tcPr>
          <w:p>
            <w:pPr>
              <w:spacing w:after="0"/>
              <w:rPr>
                <w:sz w:val="19"/>
                <w:szCs w:val="19"/>
                <w:color w:val="auto"/>
              </w:rPr>
            </w:pPr>
          </w:p>
        </w:tc>
        <w:tc>
          <w:tcPr>
            <w:tcW w:w="1000" w:type="dxa"/>
            <w:vAlign w:val="bottom"/>
            <w:gridSpan w:val="3"/>
            <w:shd w:val="clear" w:color="auto" w:fill="CEFFE7"/>
          </w:tcPr>
          <w:p>
            <w:pPr>
              <w:jc w:val="right"/>
              <w:ind w:right="60"/>
              <w:spacing w:after="0"/>
              <w:rPr>
                <w:sz w:val="20"/>
                <w:szCs w:val="20"/>
                <w:color w:val="auto"/>
              </w:rPr>
            </w:pPr>
            <w:r>
              <w:rPr>
                <w:rFonts w:ascii="Arial" w:cs="Arial" w:eastAsia="Arial" w:hAnsi="Arial"/>
                <w:sz w:val="16"/>
                <w:szCs w:val="16"/>
                <w:color w:val="auto"/>
              </w:rPr>
              <w:t>122,140</w:t>
            </w:r>
          </w:p>
        </w:tc>
        <w:tc>
          <w:tcPr>
            <w:tcW w:w="1380" w:type="dxa"/>
            <w:vAlign w:val="bottom"/>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59,281,802</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56,857,061</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Wyoming Gas</w:t>
            </w:r>
          </w:p>
        </w:tc>
        <w:tc>
          <w:tcPr>
            <w:tcW w:w="34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88,841</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81,844</w:t>
            </w:r>
          </w:p>
        </w:tc>
        <w:tc>
          <w:tcPr>
            <w:tcW w:w="10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61,600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60,191</w:t>
            </w:r>
          </w:p>
        </w:tc>
        <w:tc>
          <w:tcPr>
            <w:tcW w:w="120" w:type="dxa"/>
            <w:vAlign w:val="bottom"/>
            <w:tcBorders>
              <w:bottom w:val="single" w:sz="8" w:color="CEFFE7"/>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23,090,050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25,554,900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480" w:type="dxa"/>
            <w:vAlign w:val="bottom"/>
            <w:gridSpan w:val="2"/>
            <w:shd w:val="clear" w:color="auto" w:fill="CEFFE7"/>
          </w:tcPr>
          <w:p>
            <w:pPr>
              <w:ind w:left="220"/>
              <w:spacing w:after="0" w:line="161" w:lineRule="exact"/>
              <w:rPr>
                <w:sz w:val="20"/>
                <w:szCs w:val="20"/>
                <w:color w:val="auto"/>
              </w:rPr>
            </w:pPr>
            <w:r>
              <w:rPr>
                <w:rFonts w:ascii="Arial" w:cs="Arial" w:eastAsia="Arial" w:hAnsi="Arial"/>
                <w:sz w:val="16"/>
                <w:szCs w:val="16"/>
                <w:color w:val="auto"/>
              </w:rPr>
              <w:t>Total Gas Revenue &amp; Gross Margin (non-</w:t>
            </w:r>
          </w:p>
        </w:tc>
        <w:tc>
          <w:tcPr>
            <w:tcW w:w="460" w:type="dxa"/>
            <w:vAlign w:val="bottom"/>
            <w:gridSpan w:val="2"/>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shd w:val="clear" w:color="auto" w:fill="CEFFE7"/>
          </w:tcPr>
          <w:p>
            <w:pPr>
              <w:jc w:val="right"/>
              <w:spacing w:after="0"/>
              <w:rPr>
                <w:sz w:val="20"/>
                <w:szCs w:val="20"/>
                <w:color w:val="auto"/>
              </w:rPr>
            </w:pPr>
            <w:r>
              <w:rPr>
                <w:rFonts w:ascii="Arial" w:cs="Arial" w:eastAsia="Arial" w:hAnsi="Arial"/>
                <w:sz w:val="16"/>
                <w:szCs w:val="16"/>
                <w:color w:val="auto"/>
              </w:rPr>
              <w:t>753,252</w:t>
            </w:r>
          </w:p>
        </w:tc>
        <w:tc>
          <w:tcPr>
            <w:tcW w:w="2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vMerge w:val="restart"/>
            <w:shd w:val="clear" w:color="auto" w:fill="CEFFE7"/>
          </w:tcPr>
          <w:p>
            <w:pPr>
              <w:jc w:val="right"/>
              <w:spacing w:after="0"/>
              <w:rPr>
                <w:sz w:val="20"/>
                <w:szCs w:val="20"/>
                <w:color w:val="auto"/>
              </w:rPr>
            </w:pPr>
            <w:r>
              <w:rPr>
                <w:rFonts w:ascii="Arial" w:cs="Arial" w:eastAsia="Arial" w:hAnsi="Arial"/>
                <w:sz w:val="16"/>
                <w:szCs w:val="16"/>
                <w:color w:val="auto"/>
              </w:rPr>
              <w:t>665,812</w:t>
            </w:r>
          </w:p>
        </w:tc>
        <w:tc>
          <w:tcPr>
            <w:tcW w:w="100" w:type="dxa"/>
            <w:vAlign w:val="bottom"/>
            <w:shd w:val="clear" w:color="auto" w:fill="CEFFE7"/>
          </w:tcPr>
          <w:p>
            <w:pPr>
              <w:spacing w:after="0"/>
              <w:rPr>
                <w:sz w:val="13"/>
                <w:szCs w:val="13"/>
                <w:color w:val="auto"/>
              </w:rPr>
            </w:pPr>
          </w:p>
        </w:tc>
        <w:tc>
          <w:tcPr>
            <w:tcW w:w="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shd w:val="clear" w:color="auto" w:fill="CEFFE7"/>
          </w:tcPr>
          <w:p>
            <w:pPr>
              <w:jc w:val="right"/>
              <w:spacing w:after="0"/>
              <w:rPr>
                <w:sz w:val="20"/>
                <w:szCs w:val="20"/>
                <w:color w:val="auto"/>
              </w:rPr>
            </w:pPr>
            <w:r>
              <w:rPr>
                <w:rFonts w:ascii="Arial" w:cs="Arial" w:eastAsia="Arial" w:hAnsi="Arial"/>
                <w:sz w:val="16"/>
                <w:szCs w:val="16"/>
                <w:color w:val="auto"/>
              </w:rPr>
              <w:t>453,953</w:t>
            </w:r>
          </w:p>
        </w:tc>
        <w:tc>
          <w:tcPr>
            <w:tcW w:w="2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vMerge w:val="restart"/>
            <w:shd w:val="clear" w:color="auto" w:fill="CEFFE7"/>
          </w:tcPr>
          <w:p>
            <w:pPr>
              <w:jc w:val="right"/>
              <w:ind w:right="60"/>
              <w:spacing w:after="0"/>
              <w:rPr>
                <w:sz w:val="20"/>
                <w:szCs w:val="20"/>
                <w:color w:val="auto"/>
              </w:rPr>
            </w:pPr>
            <w:r>
              <w:rPr>
                <w:rFonts w:ascii="Arial" w:cs="Arial" w:eastAsia="Arial" w:hAnsi="Arial"/>
                <w:sz w:val="16"/>
                <w:szCs w:val="16"/>
                <w:color w:val="auto"/>
              </w:rPr>
              <w:t>438,794</w:t>
            </w:r>
          </w:p>
        </w:tc>
        <w:tc>
          <w:tcPr>
            <w:tcW w:w="1380" w:type="dxa"/>
            <w:vAlign w:val="bottom"/>
            <w:gridSpan w:val="2"/>
            <w:vMerge w:val="restart"/>
            <w:shd w:val="clear" w:color="auto" w:fill="CEFFE7"/>
          </w:tcPr>
          <w:p>
            <w:pPr>
              <w:jc w:val="right"/>
              <w:ind w:right="59"/>
              <w:spacing w:after="0"/>
              <w:rPr>
                <w:sz w:val="20"/>
                <w:szCs w:val="20"/>
                <w:color w:val="auto"/>
              </w:rPr>
            </w:pPr>
            <w:r>
              <w:rPr>
                <w:rFonts w:ascii="Arial" w:cs="Arial" w:eastAsia="Arial" w:hAnsi="Arial"/>
                <w:sz w:val="16"/>
                <w:szCs w:val="16"/>
                <w:color w:val="auto"/>
              </w:rPr>
              <w:t>182,674,536</w:t>
            </w:r>
          </w:p>
        </w:tc>
        <w:tc>
          <w:tcPr>
            <w:tcW w:w="1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174,684,635</w:t>
            </w:r>
          </w:p>
        </w:tc>
        <w:tc>
          <w:tcPr>
            <w:tcW w:w="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480" w:type="dxa"/>
            <w:vAlign w:val="bottom"/>
            <w:gridSpan w:val="2"/>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460" w:type="dxa"/>
            <w:vAlign w:val="bottom"/>
            <w:gridSpan w:val="2"/>
            <w:vMerge w:val="continue"/>
            <w:shd w:val="clear" w:color="auto" w:fill="CEFFE7"/>
          </w:tcPr>
          <w:p>
            <w:pPr>
              <w:spacing w:after="0"/>
              <w:rPr>
                <w:sz w:val="16"/>
                <w:szCs w:val="16"/>
                <w:color w:val="auto"/>
              </w:rPr>
            </w:pPr>
          </w:p>
        </w:tc>
        <w:tc>
          <w:tcPr>
            <w:tcW w:w="1060" w:type="dxa"/>
            <w:vAlign w:val="bottom"/>
            <w:gridSpan w:val="2"/>
            <w:vMerge w:val="continue"/>
            <w:shd w:val="clear" w:color="auto" w:fill="CEFFE7"/>
          </w:tcPr>
          <w:p>
            <w:pPr>
              <w:spacing w:after="0"/>
              <w:rPr>
                <w:sz w:val="16"/>
                <w:szCs w:val="16"/>
                <w:color w:val="auto"/>
              </w:rPr>
            </w:pPr>
          </w:p>
        </w:tc>
        <w:tc>
          <w:tcPr>
            <w:tcW w:w="200" w:type="dxa"/>
            <w:vAlign w:val="bottom"/>
            <w:vMerge w:val="continue"/>
            <w:shd w:val="clear" w:color="auto" w:fill="CEFFE7"/>
          </w:tcPr>
          <w:p>
            <w:pPr>
              <w:spacing w:after="0"/>
              <w:rPr>
                <w:sz w:val="16"/>
                <w:szCs w:val="16"/>
                <w:color w:val="auto"/>
              </w:rPr>
            </w:pPr>
          </w:p>
        </w:tc>
        <w:tc>
          <w:tcPr>
            <w:tcW w:w="1020" w:type="dxa"/>
            <w:vAlign w:val="bottom"/>
            <w:gridSpan w:val="3"/>
            <w:vMerge w:val="continue"/>
            <w:shd w:val="clear" w:color="auto" w:fill="CEFFE7"/>
          </w:tcPr>
          <w:p>
            <w:pPr>
              <w:spacing w:after="0"/>
              <w:rPr>
                <w:sz w:val="16"/>
                <w:szCs w:val="16"/>
                <w:color w:val="auto"/>
              </w:rPr>
            </w:pPr>
          </w:p>
        </w:tc>
        <w:tc>
          <w:tcPr>
            <w:tcW w:w="100" w:type="dxa"/>
            <w:vAlign w:val="bottom"/>
            <w:shd w:val="clear" w:color="auto" w:fill="CEFFE7"/>
          </w:tcPr>
          <w:p>
            <w:pPr>
              <w:spacing w:after="0"/>
              <w:rPr>
                <w:sz w:val="16"/>
                <w:szCs w:val="16"/>
                <w:color w:val="auto"/>
              </w:rPr>
            </w:pPr>
          </w:p>
        </w:tc>
        <w:tc>
          <w:tcPr>
            <w:tcW w:w="120" w:type="dxa"/>
            <w:vAlign w:val="bottom"/>
            <w:vMerge w:val="continue"/>
            <w:shd w:val="clear" w:color="auto" w:fill="CEFFE7"/>
          </w:tcPr>
          <w:p>
            <w:pPr>
              <w:spacing w:after="0"/>
              <w:rPr>
                <w:sz w:val="16"/>
                <w:szCs w:val="16"/>
                <w:color w:val="auto"/>
              </w:rPr>
            </w:pPr>
          </w:p>
        </w:tc>
        <w:tc>
          <w:tcPr>
            <w:tcW w:w="1060" w:type="dxa"/>
            <w:vAlign w:val="bottom"/>
            <w:gridSpan w:val="2"/>
            <w:vMerge w:val="continue"/>
            <w:shd w:val="clear" w:color="auto" w:fill="CEFFE7"/>
          </w:tcPr>
          <w:p>
            <w:pPr>
              <w:spacing w:after="0"/>
              <w:rPr>
                <w:sz w:val="16"/>
                <w:szCs w:val="16"/>
                <w:color w:val="auto"/>
              </w:rPr>
            </w:pPr>
          </w:p>
        </w:tc>
        <w:tc>
          <w:tcPr>
            <w:tcW w:w="220" w:type="dxa"/>
            <w:vAlign w:val="bottom"/>
            <w:vMerge w:val="continue"/>
            <w:shd w:val="clear" w:color="auto" w:fill="CEFFE7"/>
          </w:tcPr>
          <w:p>
            <w:pPr>
              <w:spacing w:after="0"/>
              <w:rPr>
                <w:sz w:val="16"/>
                <w:szCs w:val="16"/>
                <w:color w:val="auto"/>
              </w:rPr>
            </w:pPr>
          </w:p>
        </w:tc>
        <w:tc>
          <w:tcPr>
            <w:tcW w:w="1000" w:type="dxa"/>
            <w:vAlign w:val="bottom"/>
            <w:gridSpan w:val="3"/>
            <w:vMerge w:val="continue"/>
            <w:shd w:val="clear" w:color="auto" w:fill="CEFFE7"/>
          </w:tcPr>
          <w:p>
            <w:pPr>
              <w:spacing w:after="0"/>
              <w:rPr>
                <w:sz w:val="16"/>
                <w:szCs w:val="16"/>
                <w:color w:val="auto"/>
              </w:rPr>
            </w:pPr>
          </w:p>
        </w:tc>
        <w:tc>
          <w:tcPr>
            <w:tcW w:w="1380" w:type="dxa"/>
            <w:vAlign w:val="bottom"/>
            <w:gridSpan w:val="2"/>
            <w:vMerge w:val="continue"/>
            <w:shd w:val="clear" w:color="auto" w:fill="CEFFE7"/>
          </w:tcPr>
          <w:p>
            <w:pPr>
              <w:spacing w:after="0"/>
              <w:rPr>
                <w:sz w:val="16"/>
                <w:szCs w:val="16"/>
                <w:color w:val="auto"/>
              </w:rPr>
            </w:pPr>
          </w:p>
        </w:tc>
        <w:tc>
          <w:tcPr>
            <w:tcW w:w="1120" w:type="dxa"/>
            <w:vAlign w:val="bottom"/>
            <w:vMerge w:val="continue"/>
            <w:shd w:val="clear" w:color="auto" w:fill="CEFFE7"/>
          </w:tcPr>
          <w:p>
            <w:pPr>
              <w:spacing w:after="0"/>
              <w:rPr>
                <w:sz w:val="16"/>
                <w:szCs w:val="16"/>
                <w:color w:val="auto"/>
              </w:rPr>
            </w:pPr>
          </w:p>
        </w:tc>
        <w:tc>
          <w:tcPr>
            <w:tcW w:w="2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12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8"/>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0" w:type="dxa"/>
            <w:vAlign w:val="bottom"/>
            <w:gridSpan w:val="2"/>
          </w:tcPr>
          <w:p>
            <w:pPr>
              <w:jc w:val="right"/>
              <w:ind w:right="259"/>
              <w:spacing w:after="0"/>
              <w:rPr>
                <w:sz w:val="20"/>
                <w:szCs w:val="20"/>
                <w:color w:val="auto"/>
              </w:rPr>
            </w:pPr>
            <w:r>
              <w:rPr>
                <w:rFonts w:ascii="Arial" w:cs="Arial" w:eastAsia="Arial" w:hAnsi="Arial"/>
                <w:sz w:val="16"/>
                <w:szCs w:val="16"/>
                <w:color w:val="auto"/>
              </w:rPr>
              <w:t>Three Months Ended September 30,</w:t>
            </w:r>
          </w:p>
        </w:tc>
        <w:tc>
          <w:tcPr>
            <w:tcW w:w="1160" w:type="dxa"/>
            <w:vAlign w:val="bottom"/>
          </w:tcPr>
          <w:p>
            <w:pPr>
              <w:spacing w:after="0"/>
              <w:rPr>
                <w:sz w:val="16"/>
                <w:szCs w:val="16"/>
                <w:color w:val="auto"/>
              </w:rPr>
            </w:pPr>
          </w:p>
        </w:tc>
      </w:tr>
      <w:tr>
        <w:trPr>
          <w:trHeight w:val="219"/>
        </w:trPr>
        <w:tc>
          <w:tcPr>
            <w:tcW w:w="56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rPr>
              <w:t>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160" w:type="dxa"/>
            <w:vAlign w:val="bottom"/>
            <w:tcBorders>
              <w:bottom w:val="single" w:sz="8" w:color="auto"/>
            </w:tcBorders>
          </w:tcPr>
          <w:p>
            <w:pPr>
              <w:spacing w:after="0"/>
              <w:rPr>
                <w:sz w:val="19"/>
                <w:szCs w:val="19"/>
                <w:color w:val="auto"/>
              </w:rPr>
            </w:pPr>
          </w:p>
        </w:tc>
      </w:tr>
      <w:tr>
        <w:trPr>
          <w:trHeight w:val="174"/>
        </w:trPr>
        <w:tc>
          <w:tcPr>
            <w:tcW w:w="5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tcPr>
          <w:p>
            <w:pPr>
              <w:jc w:val="center"/>
              <w:ind w:left="139"/>
              <w:spacing w:after="0" w:line="174" w:lineRule="exact"/>
              <w:rPr>
                <w:sz w:val="20"/>
                <w:szCs w:val="20"/>
                <w:color w:val="auto"/>
              </w:rPr>
            </w:pPr>
            <w:r>
              <w:rPr>
                <w:rFonts w:ascii="Arial" w:cs="Arial" w:eastAsia="Arial" w:hAnsi="Arial"/>
                <w:sz w:val="16"/>
                <w:szCs w:val="16"/>
                <w:color w:val="auto"/>
              </w:rPr>
              <w:t>Variance</w:t>
            </w:r>
          </w:p>
        </w:tc>
        <w:tc>
          <w:tcPr>
            <w:tcW w:w="1540" w:type="dxa"/>
            <w:vAlign w:val="bottom"/>
          </w:tcPr>
          <w:p>
            <w:pPr>
              <w:spacing w:after="0"/>
              <w:rPr>
                <w:sz w:val="15"/>
                <w:szCs w:val="15"/>
                <w:color w:val="auto"/>
              </w:rPr>
            </w:pPr>
          </w:p>
        </w:tc>
        <w:tc>
          <w:tcPr>
            <w:tcW w:w="1160" w:type="dxa"/>
            <w:vAlign w:val="bottom"/>
          </w:tcPr>
          <w:p>
            <w:pPr>
              <w:jc w:val="center"/>
              <w:ind w:right="79"/>
              <w:spacing w:after="0" w:line="174" w:lineRule="exact"/>
              <w:rPr>
                <w:sz w:val="20"/>
                <w:szCs w:val="20"/>
                <w:color w:val="auto"/>
              </w:rPr>
            </w:pPr>
            <w:r>
              <w:rPr>
                <w:rFonts w:ascii="Arial" w:cs="Arial" w:eastAsia="Arial" w:hAnsi="Arial"/>
                <w:sz w:val="16"/>
                <w:szCs w:val="16"/>
                <w:color w:val="auto"/>
              </w:rPr>
              <w:t>Variance</w:t>
            </w:r>
          </w:p>
        </w:tc>
      </w:tr>
      <w:tr>
        <w:trPr>
          <w:trHeight w:val="19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Actual</w:t>
            </w:r>
          </w:p>
        </w:tc>
        <w:tc>
          <w:tcPr>
            <w:tcW w:w="18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9"/>
              </w:rPr>
              <w:t>from Normal</w:t>
            </w: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Actual</w:t>
            </w: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from Normal</w:t>
            </w:r>
          </w:p>
        </w:tc>
      </w:tr>
      <w:tr>
        <w:trPr>
          <w:trHeight w:val="212"/>
        </w:trPr>
        <w:tc>
          <w:tcPr>
            <w:tcW w:w="5640" w:type="dxa"/>
            <w:vAlign w:val="bottom"/>
            <w:shd w:val="clear" w:color="auto" w:fill="CEFFE7"/>
          </w:tcPr>
          <w:p>
            <w:pPr>
              <w:ind w:left="140"/>
              <w:spacing w:after="0" w:line="21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11</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(74)%</w:t>
            </w:r>
          </w:p>
        </w:tc>
        <w:tc>
          <w:tcPr>
            <w:tcW w:w="154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rPr>
              <w:t>24</w:t>
            </w:r>
          </w:p>
        </w:tc>
        <w:tc>
          <w:tcPr>
            <w:tcW w:w="116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rPr>
              <w:t>(44)%</w:t>
            </w:r>
          </w:p>
        </w:tc>
      </w:tr>
      <w:tr>
        <w:trPr>
          <w:trHeight w:val="213"/>
        </w:trPr>
        <w:tc>
          <w:tcPr>
            <w:tcW w:w="5640" w:type="dxa"/>
            <w:vAlign w:val="bottom"/>
          </w:tcPr>
          <w:p>
            <w:pPr>
              <w:ind w:left="140"/>
              <w:spacing w:after="0"/>
              <w:rPr>
                <w:sz w:val="20"/>
                <w:szCs w:val="20"/>
                <w:color w:val="auto"/>
              </w:rPr>
            </w:pPr>
            <w:r>
              <w:rPr>
                <w:rFonts w:ascii="Arial" w:cs="Arial" w:eastAsia="Arial" w:hAnsi="Arial"/>
                <w:sz w:val="16"/>
                <w:szCs w:val="16"/>
                <w:color w:val="auto"/>
              </w:rPr>
              <w:t>Colorado Gas</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rPr>
              <w:t>92</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(51)%</w:t>
            </w:r>
          </w:p>
        </w:tc>
        <w:tc>
          <w:tcPr>
            <w:tcW w:w="1540" w:type="dxa"/>
            <w:vAlign w:val="bottom"/>
          </w:tcPr>
          <w:p>
            <w:pPr>
              <w:jc w:val="center"/>
              <w:ind w:right="239"/>
              <w:spacing w:after="0"/>
              <w:rPr>
                <w:sz w:val="20"/>
                <w:szCs w:val="20"/>
                <w:color w:val="auto"/>
              </w:rPr>
            </w:pPr>
            <w:r>
              <w:rPr>
                <w:rFonts w:ascii="Arial" w:cs="Arial" w:eastAsia="Arial" w:hAnsi="Arial"/>
                <w:sz w:val="16"/>
                <w:szCs w:val="16"/>
                <w:color w:val="auto"/>
                <w:w w:val="97"/>
              </w:rPr>
              <w:t>159</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rPr>
              <w:t>(26)%</w:t>
            </w:r>
          </w:p>
        </w:tc>
      </w:tr>
      <w:tr>
        <w:trPr>
          <w:trHeight w:val="219"/>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Iowa Gas</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42</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(70)%</w:t>
            </w:r>
          </w:p>
        </w:tc>
        <w:tc>
          <w:tcPr>
            <w:tcW w:w="154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w w:val="97"/>
              </w:rPr>
              <w:t>140</w:t>
            </w:r>
          </w:p>
        </w:tc>
        <w:tc>
          <w:tcPr>
            <w:tcW w:w="116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rPr>
              <w:t>1%</w:t>
            </w:r>
          </w:p>
        </w:tc>
      </w:tr>
      <w:tr>
        <w:trPr>
          <w:trHeight w:val="216"/>
        </w:trPr>
        <w:tc>
          <w:tcPr>
            <w:tcW w:w="56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rPr>
              <w:t>10</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(82)%</w:t>
            </w:r>
          </w:p>
        </w:tc>
        <w:tc>
          <w:tcPr>
            <w:tcW w:w="1540" w:type="dxa"/>
            <w:vAlign w:val="bottom"/>
          </w:tcPr>
          <w:p>
            <w:pPr>
              <w:jc w:val="center"/>
              <w:ind w:right="239"/>
              <w:spacing w:after="0"/>
              <w:rPr>
                <w:sz w:val="20"/>
                <w:szCs w:val="20"/>
                <w:color w:val="auto"/>
              </w:rPr>
            </w:pPr>
            <w:r>
              <w:rPr>
                <w:rFonts w:ascii="Arial" w:cs="Arial" w:eastAsia="Arial" w:hAnsi="Arial"/>
                <w:sz w:val="16"/>
                <w:szCs w:val="16"/>
                <w:color w:val="auto"/>
              </w:rPr>
              <w:t>70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99"/>
              </w:rPr>
              <w:t>27%</w:t>
            </w:r>
          </w:p>
        </w:tc>
      </w:tr>
      <w:tr>
        <w:trPr>
          <w:trHeight w:val="216"/>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Nebraska Gas</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33</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(70)%</w:t>
            </w:r>
          </w:p>
        </w:tc>
        <w:tc>
          <w:tcPr>
            <w:tcW w:w="154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w w:val="97"/>
              </w:rPr>
              <w:t>109</w:t>
            </w:r>
          </w:p>
        </w:tc>
        <w:tc>
          <w:tcPr>
            <w:tcW w:w="1160" w:type="dxa"/>
            <w:vAlign w:val="bottom"/>
            <w:shd w:val="clear" w:color="auto" w:fill="CEFFE7"/>
          </w:tcPr>
          <w:p>
            <w:pPr>
              <w:jc w:val="center"/>
              <w:ind w:right="99"/>
              <w:spacing w:after="0"/>
              <w:rPr>
                <w:sz w:val="20"/>
                <w:szCs w:val="20"/>
                <w:color w:val="auto"/>
              </w:rPr>
            </w:pPr>
            <w:r>
              <w:rPr>
                <w:rFonts w:ascii="Arial" w:cs="Arial" w:eastAsia="Arial" w:hAnsi="Arial"/>
                <w:sz w:val="16"/>
                <w:szCs w:val="16"/>
                <w:color w:val="auto"/>
              </w:rPr>
              <w:t>(1)%</w:t>
            </w:r>
          </w:p>
        </w:tc>
      </w:tr>
      <w:tr>
        <w:trPr>
          <w:trHeight w:val="213"/>
        </w:trPr>
        <w:tc>
          <w:tcPr>
            <w:tcW w:w="5640" w:type="dxa"/>
            <w:vAlign w:val="bottom"/>
          </w:tcPr>
          <w:p>
            <w:pPr>
              <w:ind w:left="140"/>
              <w:spacing w:after="0"/>
              <w:rPr>
                <w:sz w:val="20"/>
                <w:szCs w:val="20"/>
                <w:color w:val="auto"/>
              </w:rPr>
            </w:pPr>
            <w:r>
              <w:rPr>
                <w:rFonts w:ascii="Arial" w:cs="Arial" w:eastAsia="Arial" w:hAnsi="Arial"/>
                <w:sz w:val="16"/>
                <w:szCs w:val="16"/>
                <w:color w:val="auto"/>
              </w:rPr>
              <w:t>Wyoming Gas</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w w:val="97"/>
              </w:rPr>
              <w:t>153</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(50)%</w:t>
            </w:r>
          </w:p>
        </w:tc>
        <w:tc>
          <w:tcPr>
            <w:tcW w:w="1540" w:type="dxa"/>
            <w:vAlign w:val="bottom"/>
          </w:tcPr>
          <w:p>
            <w:pPr>
              <w:jc w:val="center"/>
              <w:ind w:right="239"/>
              <w:spacing w:after="0"/>
              <w:rPr>
                <w:sz w:val="20"/>
                <w:szCs w:val="20"/>
                <w:color w:val="auto"/>
              </w:rPr>
            </w:pPr>
            <w:r>
              <w:rPr>
                <w:rFonts w:ascii="Arial" w:cs="Arial" w:eastAsia="Arial" w:hAnsi="Arial"/>
                <w:sz w:val="16"/>
                <w:szCs w:val="16"/>
                <w:color w:val="auto"/>
                <w:w w:val="97"/>
              </w:rPr>
              <w:t>245</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rPr>
              <w:t>(20)%</w:t>
            </w:r>
          </w:p>
        </w:tc>
      </w:tr>
      <w:tr>
        <w:trPr>
          <w:trHeight w:val="219"/>
        </w:trPr>
        <w:tc>
          <w:tcPr>
            <w:tcW w:w="564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Combined Gas </w:t>
            </w:r>
            <w:r>
              <w:rPr>
                <w:rFonts w:ascii="Arial" w:cs="Arial" w:eastAsia="Arial" w:hAnsi="Arial"/>
                <w:sz w:val="21"/>
                <w:szCs w:val="21"/>
                <w:color w:val="auto"/>
                <w:vertAlign w:val="superscript"/>
              </w:rPr>
              <w:t>(b)</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53</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(61)%</w:t>
            </w:r>
          </w:p>
        </w:tc>
        <w:tc>
          <w:tcPr>
            <w:tcW w:w="154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w w:val="97"/>
              </w:rPr>
              <w:t>125</w:t>
            </w:r>
          </w:p>
        </w:tc>
        <w:tc>
          <w:tcPr>
            <w:tcW w:w="116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rPr>
              <w:t>(13)%</w:t>
            </w:r>
          </w:p>
        </w:tc>
      </w:tr>
      <w:tr>
        <w:trPr>
          <w:trHeight w:val="629"/>
        </w:trPr>
        <w:tc>
          <w:tcPr>
            <w:tcW w:w="5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0" w:type="dxa"/>
            <w:vAlign w:val="bottom"/>
            <w:gridSpan w:val="2"/>
          </w:tcPr>
          <w:p>
            <w:pPr>
              <w:jc w:val="right"/>
              <w:ind w:right="299"/>
              <w:spacing w:after="0"/>
              <w:rPr>
                <w:sz w:val="20"/>
                <w:szCs w:val="20"/>
                <w:color w:val="auto"/>
              </w:rPr>
            </w:pPr>
            <w:r>
              <w:rPr>
                <w:rFonts w:ascii="Arial" w:cs="Arial" w:eastAsia="Arial" w:hAnsi="Arial"/>
                <w:sz w:val="16"/>
                <w:szCs w:val="16"/>
                <w:color w:val="auto"/>
              </w:rPr>
              <w:t>Nine Months Ended September 30,</w:t>
            </w:r>
          </w:p>
        </w:tc>
        <w:tc>
          <w:tcPr>
            <w:tcW w:w="1160" w:type="dxa"/>
            <w:vAlign w:val="bottom"/>
          </w:tcPr>
          <w:p>
            <w:pPr>
              <w:spacing w:after="0"/>
              <w:rPr>
                <w:sz w:val="24"/>
                <w:szCs w:val="24"/>
                <w:color w:val="auto"/>
              </w:rPr>
            </w:pPr>
          </w:p>
        </w:tc>
      </w:tr>
      <w:tr>
        <w:trPr>
          <w:trHeight w:val="219"/>
        </w:trPr>
        <w:tc>
          <w:tcPr>
            <w:tcW w:w="56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rPr>
              <w:t>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160" w:type="dxa"/>
            <w:vAlign w:val="bottom"/>
            <w:tcBorders>
              <w:bottom w:val="single" w:sz="8" w:color="auto"/>
            </w:tcBorders>
          </w:tcPr>
          <w:p>
            <w:pPr>
              <w:spacing w:after="0"/>
              <w:rPr>
                <w:sz w:val="19"/>
                <w:szCs w:val="19"/>
                <w:color w:val="auto"/>
              </w:rPr>
            </w:pPr>
          </w:p>
        </w:tc>
      </w:tr>
      <w:tr>
        <w:trPr>
          <w:trHeight w:val="174"/>
        </w:trPr>
        <w:tc>
          <w:tcPr>
            <w:tcW w:w="5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tcPr>
          <w:p>
            <w:pPr>
              <w:jc w:val="center"/>
              <w:ind w:left="139"/>
              <w:spacing w:after="0" w:line="174" w:lineRule="exact"/>
              <w:rPr>
                <w:sz w:val="20"/>
                <w:szCs w:val="20"/>
                <w:color w:val="auto"/>
              </w:rPr>
            </w:pPr>
            <w:r>
              <w:rPr>
                <w:rFonts w:ascii="Arial" w:cs="Arial" w:eastAsia="Arial" w:hAnsi="Arial"/>
                <w:sz w:val="16"/>
                <w:szCs w:val="16"/>
                <w:color w:val="auto"/>
              </w:rPr>
              <w:t>Variance</w:t>
            </w:r>
          </w:p>
        </w:tc>
        <w:tc>
          <w:tcPr>
            <w:tcW w:w="1540" w:type="dxa"/>
            <w:vAlign w:val="bottom"/>
          </w:tcPr>
          <w:p>
            <w:pPr>
              <w:spacing w:after="0"/>
              <w:rPr>
                <w:sz w:val="15"/>
                <w:szCs w:val="15"/>
                <w:color w:val="auto"/>
              </w:rPr>
            </w:pPr>
          </w:p>
        </w:tc>
        <w:tc>
          <w:tcPr>
            <w:tcW w:w="1160" w:type="dxa"/>
            <w:vAlign w:val="bottom"/>
          </w:tcPr>
          <w:p>
            <w:pPr>
              <w:jc w:val="center"/>
              <w:ind w:right="79"/>
              <w:spacing w:after="0" w:line="174" w:lineRule="exact"/>
              <w:rPr>
                <w:sz w:val="20"/>
                <w:szCs w:val="20"/>
                <w:color w:val="auto"/>
              </w:rPr>
            </w:pPr>
            <w:r>
              <w:rPr>
                <w:rFonts w:ascii="Arial" w:cs="Arial" w:eastAsia="Arial" w:hAnsi="Arial"/>
                <w:sz w:val="16"/>
                <w:szCs w:val="16"/>
                <w:color w:val="auto"/>
              </w:rPr>
              <w:t>Variance</w:t>
            </w:r>
          </w:p>
        </w:tc>
      </w:tr>
      <w:tr>
        <w:trPr>
          <w:trHeight w:val="19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Actual</w:t>
            </w:r>
          </w:p>
        </w:tc>
        <w:tc>
          <w:tcPr>
            <w:tcW w:w="18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9"/>
              </w:rPr>
              <w:t>from Normal</w:t>
            </w: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Actual</w:t>
            </w: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from Normal</w:t>
            </w:r>
          </w:p>
        </w:tc>
      </w:tr>
      <w:tr>
        <w:trPr>
          <w:trHeight w:val="213"/>
        </w:trPr>
        <w:tc>
          <w:tcPr>
            <w:tcW w:w="5640" w:type="dxa"/>
            <w:vAlign w:val="bottom"/>
            <w:shd w:val="clear" w:color="auto" w:fill="CEFFE7"/>
          </w:tcPr>
          <w:p>
            <w:pPr>
              <w:ind w:left="140"/>
              <w:spacing w:after="0" w:line="21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2,515</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1%</w:t>
            </w:r>
          </w:p>
        </w:tc>
        <w:tc>
          <w:tcPr>
            <w:tcW w:w="154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rPr>
              <w:t>2,036</w:t>
            </w:r>
          </w:p>
        </w:tc>
        <w:tc>
          <w:tcPr>
            <w:tcW w:w="116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rPr>
              <w:t>(18)%</w:t>
            </w:r>
          </w:p>
        </w:tc>
      </w:tr>
      <w:tr>
        <w:trPr>
          <w:trHeight w:val="213"/>
        </w:trPr>
        <w:tc>
          <w:tcPr>
            <w:tcW w:w="5640" w:type="dxa"/>
            <w:vAlign w:val="bottom"/>
          </w:tcPr>
          <w:p>
            <w:pPr>
              <w:ind w:left="140"/>
              <w:spacing w:after="0"/>
              <w:rPr>
                <w:sz w:val="20"/>
                <w:szCs w:val="20"/>
                <w:color w:val="auto"/>
              </w:rPr>
            </w:pPr>
            <w:r>
              <w:rPr>
                <w:rFonts w:ascii="Arial" w:cs="Arial" w:eastAsia="Arial" w:hAnsi="Arial"/>
                <w:sz w:val="16"/>
                <w:szCs w:val="16"/>
                <w:color w:val="auto"/>
              </w:rPr>
              <w:t>Colorado Gas</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rPr>
              <w:t>3,922</w:t>
            </w:r>
          </w:p>
        </w:tc>
        <w:tc>
          <w:tcPr>
            <w:tcW w:w="1860" w:type="dxa"/>
            <w:vAlign w:val="bottom"/>
          </w:tcPr>
          <w:p>
            <w:pPr>
              <w:jc w:val="center"/>
              <w:ind w:left="119"/>
              <w:spacing w:after="0"/>
              <w:rPr>
                <w:sz w:val="20"/>
                <w:szCs w:val="20"/>
                <w:color w:val="auto"/>
              </w:rPr>
            </w:pPr>
            <w:r>
              <w:rPr>
                <w:rFonts w:ascii="Arial" w:cs="Arial" w:eastAsia="Arial" w:hAnsi="Arial"/>
                <w:sz w:val="16"/>
                <w:szCs w:val="16"/>
                <w:color w:val="auto"/>
              </w:rPr>
              <w:t>(4)%</w:t>
            </w:r>
          </w:p>
        </w:tc>
        <w:tc>
          <w:tcPr>
            <w:tcW w:w="1540" w:type="dxa"/>
            <w:vAlign w:val="bottom"/>
          </w:tcPr>
          <w:p>
            <w:pPr>
              <w:jc w:val="center"/>
              <w:ind w:right="239"/>
              <w:spacing w:after="0"/>
              <w:rPr>
                <w:sz w:val="20"/>
                <w:szCs w:val="20"/>
                <w:color w:val="auto"/>
              </w:rPr>
            </w:pPr>
            <w:r>
              <w:rPr>
                <w:rFonts w:ascii="Arial" w:cs="Arial" w:eastAsia="Arial" w:hAnsi="Arial"/>
                <w:sz w:val="16"/>
                <w:szCs w:val="16"/>
                <w:color w:val="auto"/>
              </w:rPr>
              <w:t>3,797</w:t>
            </w:r>
          </w:p>
        </w:tc>
        <w:tc>
          <w:tcPr>
            <w:tcW w:w="1160" w:type="dxa"/>
            <w:vAlign w:val="bottom"/>
          </w:tcPr>
          <w:p>
            <w:pPr>
              <w:jc w:val="center"/>
              <w:ind w:right="99"/>
              <w:spacing w:after="0"/>
              <w:rPr>
                <w:sz w:val="20"/>
                <w:szCs w:val="20"/>
                <w:color w:val="auto"/>
              </w:rPr>
            </w:pPr>
            <w:r>
              <w:rPr>
                <w:rFonts w:ascii="Arial" w:cs="Arial" w:eastAsia="Arial" w:hAnsi="Arial"/>
                <w:sz w:val="16"/>
                <w:szCs w:val="16"/>
                <w:color w:val="auto"/>
              </w:rPr>
              <w:t>(7)%</w:t>
            </w:r>
          </w:p>
        </w:tc>
      </w:tr>
      <w:tr>
        <w:trPr>
          <w:trHeight w:val="219"/>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Iowa Gas</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4,155</w:t>
            </w:r>
          </w:p>
        </w:tc>
        <w:tc>
          <w:tcPr>
            <w:tcW w:w="18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(1)%</w:t>
            </w:r>
          </w:p>
        </w:tc>
        <w:tc>
          <w:tcPr>
            <w:tcW w:w="154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rPr>
              <w:t>4,104</w:t>
            </w:r>
          </w:p>
        </w:tc>
        <w:tc>
          <w:tcPr>
            <w:tcW w:w="1160" w:type="dxa"/>
            <w:vAlign w:val="bottom"/>
            <w:shd w:val="clear" w:color="auto" w:fill="CEFFE7"/>
          </w:tcPr>
          <w:p>
            <w:pPr>
              <w:jc w:val="center"/>
              <w:ind w:right="99"/>
              <w:spacing w:after="0"/>
              <w:rPr>
                <w:sz w:val="20"/>
                <w:szCs w:val="20"/>
                <w:color w:val="auto"/>
              </w:rPr>
            </w:pPr>
            <w:r>
              <w:rPr>
                <w:rFonts w:ascii="Arial" w:cs="Arial" w:eastAsia="Arial" w:hAnsi="Arial"/>
                <w:sz w:val="16"/>
                <w:szCs w:val="16"/>
                <w:color w:val="auto"/>
              </w:rPr>
              <w:t>(2)%</w:t>
            </w:r>
          </w:p>
        </w:tc>
      </w:tr>
      <w:tr>
        <w:trPr>
          <w:trHeight w:val="216"/>
        </w:trPr>
        <w:tc>
          <w:tcPr>
            <w:tcW w:w="56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rPr>
              <w:t>3,079</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4%</w:t>
            </w:r>
          </w:p>
        </w:tc>
        <w:tc>
          <w:tcPr>
            <w:tcW w:w="1540" w:type="dxa"/>
            <w:vAlign w:val="bottom"/>
          </w:tcPr>
          <w:p>
            <w:pPr>
              <w:jc w:val="center"/>
              <w:ind w:right="239"/>
              <w:spacing w:after="0"/>
              <w:rPr>
                <w:sz w:val="20"/>
                <w:szCs w:val="20"/>
                <w:color w:val="auto"/>
              </w:rPr>
            </w:pPr>
            <w:r>
              <w:rPr>
                <w:rFonts w:ascii="Arial" w:cs="Arial" w:eastAsia="Arial" w:hAnsi="Arial"/>
                <w:sz w:val="16"/>
                <w:szCs w:val="16"/>
                <w:color w:val="auto"/>
              </w:rPr>
              <w:t>2,851</w:t>
            </w:r>
          </w:p>
        </w:tc>
        <w:tc>
          <w:tcPr>
            <w:tcW w:w="1160" w:type="dxa"/>
            <w:vAlign w:val="bottom"/>
          </w:tcPr>
          <w:p>
            <w:pPr>
              <w:jc w:val="center"/>
              <w:ind w:right="99"/>
              <w:spacing w:after="0"/>
              <w:rPr>
                <w:sz w:val="20"/>
                <w:szCs w:val="20"/>
                <w:color w:val="auto"/>
              </w:rPr>
            </w:pPr>
            <w:r>
              <w:rPr>
                <w:rFonts w:ascii="Arial" w:cs="Arial" w:eastAsia="Arial" w:hAnsi="Arial"/>
                <w:sz w:val="16"/>
                <w:szCs w:val="16"/>
                <w:color w:val="auto"/>
              </w:rPr>
              <w:t>(4)%</w:t>
            </w:r>
          </w:p>
        </w:tc>
      </w:tr>
      <w:tr>
        <w:trPr>
          <w:trHeight w:val="216"/>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Nebraska Gas</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3,754</w:t>
            </w:r>
          </w:p>
        </w:tc>
        <w:tc>
          <w:tcPr>
            <w:tcW w:w="18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(1)%</w:t>
            </w:r>
          </w:p>
        </w:tc>
        <w:tc>
          <w:tcPr>
            <w:tcW w:w="154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rPr>
              <w:t>3,636</w:t>
            </w:r>
          </w:p>
        </w:tc>
        <w:tc>
          <w:tcPr>
            <w:tcW w:w="1160" w:type="dxa"/>
            <w:vAlign w:val="bottom"/>
            <w:shd w:val="clear" w:color="auto" w:fill="CEFFE7"/>
          </w:tcPr>
          <w:p>
            <w:pPr>
              <w:jc w:val="center"/>
              <w:ind w:right="99"/>
              <w:spacing w:after="0"/>
              <w:rPr>
                <w:sz w:val="20"/>
                <w:szCs w:val="20"/>
                <w:color w:val="auto"/>
              </w:rPr>
            </w:pPr>
            <w:r>
              <w:rPr>
                <w:rFonts w:ascii="Arial" w:cs="Arial" w:eastAsia="Arial" w:hAnsi="Arial"/>
                <w:sz w:val="16"/>
                <w:szCs w:val="16"/>
                <w:color w:val="auto"/>
              </w:rPr>
              <w:t>(4)%</w:t>
            </w:r>
          </w:p>
        </w:tc>
      </w:tr>
      <w:tr>
        <w:trPr>
          <w:trHeight w:val="213"/>
        </w:trPr>
        <w:tc>
          <w:tcPr>
            <w:tcW w:w="5640" w:type="dxa"/>
            <w:vAlign w:val="bottom"/>
          </w:tcPr>
          <w:p>
            <w:pPr>
              <w:ind w:left="140"/>
              <w:spacing w:after="0"/>
              <w:rPr>
                <w:sz w:val="20"/>
                <w:szCs w:val="20"/>
                <w:color w:val="auto"/>
              </w:rPr>
            </w:pPr>
            <w:r>
              <w:rPr>
                <w:rFonts w:ascii="Arial" w:cs="Arial" w:eastAsia="Arial" w:hAnsi="Arial"/>
                <w:sz w:val="16"/>
                <w:szCs w:val="16"/>
                <w:color w:val="auto"/>
              </w:rPr>
              <w:t>Wyoming Gas</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rPr>
              <w:t>4,778</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1%</w:t>
            </w:r>
          </w:p>
        </w:tc>
        <w:tc>
          <w:tcPr>
            <w:tcW w:w="1540" w:type="dxa"/>
            <w:vAlign w:val="bottom"/>
          </w:tcPr>
          <w:p>
            <w:pPr>
              <w:jc w:val="center"/>
              <w:ind w:right="239"/>
              <w:spacing w:after="0"/>
              <w:rPr>
                <w:sz w:val="20"/>
                <w:szCs w:val="20"/>
                <w:color w:val="auto"/>
              </w:rPr>
            </w:pPr>
            <w:r>
              <w:rPr>
                <w:rFonts w:ascii="Arial" w:cs="Arial" w:eastAsia="Arial" w:hAnsi="Arial"/>
                <w:sz w:val="16"/>
                <w:szCs w:val="16"/>
                <w:color w:val="auto"/>
              </w:rPr>
              <w:t>4,678</w:t>
            </w:r>
          </w:p>
        </w:tc>
        <w:tc>
          <w:tcPr>
            <w:tcW w:w="1160" w:type="dxa"/>
            <w:vAlign w:val="bottom"/>
          </w:tcPr>
          <w:p>
            <w:pPr>
              <w:jc w:val="center"/>
              <w:ind w:right="99"/>
              <w:spacing w:after="0"/>
              <w:rPr>
                <w:sz w:val="20"/>
                <w:szCs w:val="20"/>
                <w:color w:val="auto"/>
              </w:rPr>
            </w:pPr>
            <w:r>
              <w:rPr>
                <w:rFonts w:ascii="Arial" w:cs="Arial" w:eastAsia="Arial" w:hAnsi="Arial"/>
                <w:sz w:val="16"/>
                <w:szCs w:val="16"/>
                <w:color w:val="auto"/>
              </w:rPr>
              <w:t>(1)%</w:t>
            </w:r>
          </w:p>
        </w:tc>
      </w:tr>
      <w:tr>
        <w:trPr>
          <w:trHeight w:val="219"/>
        </w:trPr>
        <w:tc>
          <w:tcPr>
            <w:tcW w:w="564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Combined Gas </w:t>
            </w:r>
            <w:r>
              <w:rPr>
                <w:rFonts w:ascii="Arial" w:cs="Arial" w:eastAsia="Arial" w:hAnsi="Arial"/>
                <w:sz w:val="21"/>
                <w:szCs w:val="21"/>
                <w:color w:val="auto"/>
                <w:vertAlign w:val="superscript"/>
              </w:rPr>
              <w:t>(b)</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3,978</w:t>
            </w:r>
          </w:p>
        </w:tc>
        <w:tc>
          <w:tcPr>
            <w:tcW w:w="18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w w:val="99"/>
              </w:rPr>
              <w:t>—%</w:t>
            </w:r>
          </w:p>
        </w:tc>
        <w:tc>
          <w:tcPr>
            <w:tcW w:w="154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rPr>
              <w:t>3,731</w:t>
            </w:r>
          </w:p>
        </w:tc>
        <w:tc>
          <w:tcPr>
            <w:tcW w:w="1160" w:type="dxa"/>
            <w:vAlign w:val="bottom"/>
            <w:shd w:val="clear" w:color="auto" w:fill="CEFFE7"/>
          </w:tcPr>
          <w:p>
            <w:pPr>
              <w:jc w:val="center"/>
              <w:ind w:right="99"/>
              <w:spacing w:after="0"/>
              <w:rPr>
                <w:sz w:val="20"/>
                <w:szCs w:val="20"/>
                <w:color w:val="auto"/>
              </w:rPr>
            </w:pPr>
            <w:r>
              <w:rPr>
                <w:rFonts w:ascii="Arial" w:cs="Arial" w:eastAsia="Arial" w:hAnsi="Arial"/>
                <w:sz w:val="16"/>
                <w:szCs w:val="16"/>
                <w:color w:val="auto"/>
              </w:rPr>
              <w:t>(4)%</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 w:lineRule="exact"/>
        <w:rPr>
          <w:rFonts w:ascii="Arial" w:cs="Arial" w:eastAsia="Arial" w:hAnsi="Arial"/>
          <w:sz w:val="14"/>
          <w:szCs w:val="14"/>
          <w:color w:val="auto"/>
        </w:rPr>
      </w:pPr>
    </w:p>
    <w:p>
      <w:pPr>
        <w:ind w:left="340" w:right="520" w:hanging="332"/>
        <w:spacing w:after="0" w:line="258" w:lineRule="auto"/>
        <w:tabs>
          <w:tab w:leader="none" w:pos="349"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68" w:lineRule="exact"/>
        <w:rPr>
          <w:sz w:val="20"/>
          <w:szCs w:val="20"/>
          <w:color w:val="auto"/>
        </w:rPr>
      </w:pPr>
    </w:p>
    <w:p>
      <w:pPr>
        <w:ind w:right="2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more information on recent regulatory activity and enacted regulatory provisions with respect to the states in which our Utilities operate, see </w:t>
      </w:r>
      <w:hyperlink w:anchor="page16">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and Part I, Items 1 and 2 and Part II, Item 8 of our 2020 Annual Report on Form 10-K.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Generation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Our Power Generation segment operating results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5"/>
          </w:tcPr>
          <w:p>
            <w:pPr>
              <w:jc w:val="right"/>
              <w:ind w:right="319"/>
              <w:spacing w:after="0"/>
              <w:rPr>
                <w:sz w:val="20"/>
                <w:szCs w:val="20"/>
                <w:color w:val="auto"/>
              </w:rPr>
            </w:pPr>
            <w:r>
              <w:rPr>
                <w:rFonts w:ascii="Arial" w:cs="Arial" w:eastAsia="Arial" w:hAnsi="Arial"/>
                <w:sz w:val="16"/>
                <w:szCs w:val="16"/>
                <w:color w:val="auto"/>
              </w:rPr>
              <w:t>Three Months Ended September 30,</w:t>
            </w:r>
          </w:p>
        </w:tc>
        <w:tc>
          <w:tcPr>
            <w:tcW w:w="240" w:type="dxa"/>
            <w:vAlign w:val="bottom"/>
          </w:tcPr>
          <w:p>
            <w:pPr>
              <w:spacing w:after="0"/>
              <w:rPr>
                <w:sz w:val="16"/>
                <w:szCs w:val="16"/>
                <w:color w:val="auto"/>
              </w:rPr>
            </w:pPr>
          </w:p>
        </w:tc>
        <w:tc>
          <w:tcPr>
            <w:tcW w:w="3160" w:type="dxa"/>
            <w:vAlign w:val="bottom"/>
            <w:gridSpan w:val="5"/>
          </w:tcPr>
          <w:p>
            <w:pPr>
              <w:jc w:val="right"/>
              <w:ind w:right="35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r>
      <w:tr>
        <w:trPr>
          <w:trHeight w:val="145"/>
        </w:trPr>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3"/>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26,520</w:t>
            </w:r>
          </w:p>
        </w:tc>
        <w:tc>
          <w:tcPr>
            <w:tcW w:w="320" w:type="dxa"/>
            <w:vAlign w:val="bottom"/>
            <w:tcBorders>
              <w:bottom w:val="single" w:sz="8" w:color="auto"/>
            </w:tcBorders>
            <w:shd w:val="clear" w:color="auto" w:fill="CEFFE7"/>
          </w:tcPr>
          <w:p>
            <w:pPr>
              <w:jc w:val="center"/>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26,518</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81,031</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78,606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2,425</w:t>
            </w:r>
          </w:p>
        </w:tc>
      </w:tr>
      <w:tr>
        <w:trPr>
          <w:trHeight w:val="145"/>
        </w:trPr>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Fuel expense</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2,547</w:t>
            </w:r>
          </w:p>
        </w:tc>
        <w:tc>
          <w:tcPr>
            <w:tcW w:w="32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2,320</w:t>
            </w: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227</w:t>
            </w: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7,839</w:t>
            </w:r>
          </w:p>
        </w:tc>
        <w:tc>
          <w:tcPr>
            <w:tcW w:w="28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6,692</w:t>
            </w: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1,147</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8,233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10,539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24,913</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24,886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5,417</w:t>
            </w:r>
          </w:p>
        </w:tc>
        <w:tc>
          <w:tcPr>
            <w:tcW w:w="3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4,921</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496</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15,437</w:t>
            </w:r>
          </w:p>
        </w:tc>
        <w:tc>
          <w:tcPr>
            <w:tcW w:w="28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15,539</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(102)</w:t>
            </w:r>
          </w:p>
        </w:tc>
      </w:tr>
      <w:tr>
        <w:trPr>
          <w:trHeight w:val="210"/>
        </w:trPr>
        <w:tc>
          <w:tcPr>
            <w:tcW w:w="444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operating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16,197</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48,189</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47,117</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w:t>
            </w:r>
          </w:p>
        </w:tc>
      </w:tr>
      <w:tr>
        <w:trPr>
          <w:trHeight w:val="145"/>
        </w:trPr>
        <w:tc>
          <w:tcPr>
            <w:tcW w:w="4440" w:type="dxa"/>
            <w:vAlign w:val="bottom"/>
            <w:shd w:val="clear" w:color="auto" w:fill="CEFFE7"/>
          </w:tcPr>
          <w:p>
            <w:pPr>
              <w:spacing w:after="0"/>
              <w:rPr>
                <w:sz w:val="12"/>
                <w:szCs w:val="12"/>
                <w:color w:val="auto"/>
              </w:rPr>
            </w:pPr>
          </w:p>
        </w:tc>
        <w:tc>
          <w:tcPr>
            <w:tcW w:w="240" w:type="dxa"/>
            <w:vAlign w:val="bottom"/>
            <w:tcBorders>
              <w:bottom w:val="single" w:sz="8" w:color="auto"/>
            </w:tcBorders>
            <w:shd w:val="clear" w:color="auto" w:fill="CEFFE7"/>
          </w:tcPr>
          <w:p>
            <w:pPr>
              <w:spacing w:after="0"/>
              <w:rPr>
                <w:sz w:val="12"/>
                <w:szCs w:val="12"/>
                <w:color w:val="auto"/>
              </w:rPr>
            </w:pPr>
          </w:p>
        </w:tc>
        <w:tc>
          <w:tcPr>
            <w:tcW w:w="840" w:type="dxa"/>
            <w:vAlign w:val="bottom"/>
            <w:tcBorders>
              <w:bottom w:val="single" w:sz="8" w:color="auto"/>
            </w:tcBorders>
            <w:shd w:val="clear" w:color="auto" w:fill="CEFFE7"/>
          </w:tcPr>
          <w:p>
            <w:pPr>
              <w:spacing w:after="0"/>
              <w:rPr>
                <w:sz w:val="12"/>
                <w:szCs w:val="12"/>
                <w:color w:val="auto"/>
              </w:rPr>
            </w:pPr>
          </w:p>
        </w:tc>
        <w:tc>
          <w:tcPr>
            <w:tcW w:w="320" w:type="dxa"/>
            <w:vAlign w:val="bottom"/>
            <w:tcBorders>
              <w:bottom w:val="single" w:sz="8" w:color="auto"/>
            </w:tcBorders>
            <w:shd w:val="clear" w:color="auto" w:fill="CEFFE7"/>
          </w:tcPr>
          <w:p>
            <w:pPr>
              <w:spacing w:after="0"/>
              <w:rPr>
                <w:sz w:val="12"/>
                <w:szCs w:val="12"/>
                <w:color w:val="auto"/>
              </w:rPr>
            </w:pPr>
          </w:p>
        </w:tc>
        <w:tc>
          <w:tcPr>
            <w:tcW w:w="840" w:type="dxa"/>
            <w:vAlign w:val="bottom"/>
            <w:tcBorders>
              <w:bottom w:val="single" w:sz="8" w:color="auto"/>
            </w:tcBorders>
            <w:shd w:val="clear" w:color="auto" w:fill="CEFFE7"/>
          </w:tcPr>
          <w:p>
            <w:pPr>
              <w:spacing w:after="0"/>
              <w:rPr>
                <w:sz w:val="12"/>
                <w:szCs w:val="12"/>
                <w:color w:val="auto"/>
              </w:rPr>
            </w:pPr>
          </w:p>
        </w:tc>
        <w:tc>
          <w:tcPr>
            <w:tcW w:w="200" w:type="dxa"/>
            <w:vAlign w:val="bottom"/>
            <w:tcBorders>
              <w:bottom w:val="single" w:sz="8" w:color="auto"/>
            </w:tcBorders>
            <w:shd w:val="clear" w:color="auto" w:fill="CEFFE7"/>
          </w:tcPr>
          <w:p>
            <w:pPr>
              <w:spacing w:after="0"/>
              <w:rPr>
                <w:sz w:val="12"/>
                <w:szCs w:val="12"/>
                <w:color w:val="auto"/>
              </w:rPr>
            </w:pPr>
          </w:p>
        </w:tc>
        <w:tc>
          <w:tcPr>
            <w:tcW w:w="960" w:type="dxa"/>
            <w:vAlign w:val="bottom"/>
            <w:tcBorders>
              <w:bottom w:val="single" w:sz="8" w:color="auto"/>
            </w:tcBorders>
            <w:shd w:val="clear" w:color="auto" w:fill="CEFFE7"/>
          </w:tcPr>
          <w:p>
            <w:pPr>
              <w:spacing w:after="0"/>
              <w:rPr>
                <w:sz w:val="12"/>
                <w:szCs w:val="12"/>
                <w:color w:val="auto"/>
              </w:rPr>
            </w:pPr>
          </w:p>
        </w:tc>
        <w:tc>
          <w:tcPr>
            <w:tcW w:w="240" w:type="dxa"/>
            <w:vAlign w:val="bottom"/>
            <w:tcBorders>
              <w:bottom w:val="single" w:sz="8" w:color="auto"/>
            </w:tcBorders>
            <w:shd w:val="clear" w:color="auto" w:fill="CEFFE7"/>
          </w:tcPr>
          <w:p>
            <w:pPr>
              <w:spacing w:after="0"/>
              <w:rPr>
                <w:sz w:val="12"/>
                <w:szCs w:val="12"/>
                <w:color w:val="auto"/>
              </w:rPr>
            </w:pPr>
          </w:p>
        </w:tc>
        <w:tc>
          <w:tcPr>
            <w:tcW w:w="860" w:type="dxa"/>
            <w:vAlign w:val="bottom"/>
            <w:tcBorders>
              <w:bottom w:val="single" w:sz="8" w:color="auto"/>
            </w:tcBorders>
            <w:shd w:val="clear" w:color="auto" w:fill="CEFFE7"/>
          </w:tcPr>
          <w:p>
            <w:pPr>
              <w:spacing w:after="0"/>
              <w:rPr>
                <w:sz w:val="12"/>
                <w:szCs w:val="12"/>
                <w:color w:val="auto"/>
              </w:rPr>
            </w:pPr>
          </w:p>
        </w:tc>
        <w:tc>
          <w:tcPr>
            <w:tcW w:w="280" w:type="dxa"/>
            <w:vAlign w:val="bottom"/>
            <w:tcBorders>
              <w:bottom w:val="single" w:sz="8" w:color="auto"/>
            </w:tcBorders>
            <w:shd w:val="clear" w:color="auto" w:fill="CEFFE7"/>
          </w:tcPr>
          <w:p>
            <w:pPr>
              <w:spacing w:after="0"/>
              <w:rPr>
                <w:sz w:val="12"/>
                <w:szCs w:val="12"/>
                <w:color w:val="auto"/>
              </w:rPr>
            </w:pPr>
          </w:p>
        </w:tc>
        <w:tc>
          <w:tcPr>
            <w:tcW w:w="860" w:type="dxa"/>
            <w:vAlign w:val="bottom"/>
            <w:tcBorders>
              <w:bottom w:val="single" w:sz="8" w:color="auto"/>
            </w:tcBorders>
            <w:shd w:val="clear" w:color="auto" w:fill="CEFFE7"/>
          </w:tcPr>
          <w:p>
            <w:pPr>
              <w:spacing w:after="0"/>
              <w:rPr>
                <w:sz w:val="12"/>
                <w:szCs w:val="12"/>
                <w:color w:val="auto"/>
              </w:rPr>
            </w:pPr>
          </w:p>
        </w:tc>
        <w:tc>
          <w:tcPr>
            <w:tcW w:w="200" w:type="dxa"/>
            <w:vAlign w:val="bottom"/>
            <w:tcBorders>
              <w:bottom w:val="single" w:sz="8" w:color="auto"/>
            </w:tcBorders>
            <w:shd w:val="clear" w:color="auto" w:fill="CEFFE7"/>
          </w:tcPr>
          <w:p>
            <w:pPr>
              <w:spacing w:after="0"/>
              <w:rPr>
                <w:sz w:val="12"/>
                <w:szCs w:val="12"/>
                <w:color w:val="auto"/>
              </w:rPr>
            </w:pPr>
          </w:p>
        </w:tc>
        <w:tc>
          <w:tcPr>
            <w:tcW w:w="960" w:type="dxa"/>
            <w:vAlign w:val="bottom"/>
            <w:tcBorders>
              <w:bottom w:val="single" w:sz="8" w:color="auto"/>
            </w:tcBorders>
            <w:shd w:val="clear" w:color="auto" w:fill="CEFFE7"/>
          </w:tcPr>
          <w:p>
            <w:pPr>
              <w:spacing w:after="0"/>
              <w:rPr>
                <w:sz w:val="12"/>
                <w:szCs w:val="12"/>
                <w:color w:val="auto"/>
              </w:rPr>
            </w:pPr>
          </w:p>
        </w:tc>
      </w:tr>
      <w:tr>
        <w:trPr>
          <w:trHeight w:val="209"/>
        </w:trPr>
        <w:tc>
          <w:tcPr>
            <w:tcW w:w="444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10,323</w:t>
            </w:r>
          </w:p>
        </w:tc>
        <w:tc>
          <w:tcPr>
            <w:tcW w:w="3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32,842</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w:t>
            </w: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22"/>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jc w:val="center"/>
              <w:ind w:right="19"/>
              <w:spacing w:after="0"/>
              <w:rPr>
                <w:sz w:val="20"/>
                <w:szCs w:val="20"/>
                <w:color w:val="auto"/>
              </w:rPr>
            </w:pPr>
            <w:r>
              <w:rPr>
                <w:rFonts w:ascii="Arial" w:cs="Arial" w:eastAsia="Arial" w:hAnsi="Arial"/>
                <w:sz w:val="16"/>
                <w:szCs w:val="16"/>
                <w:color w:val="auto"/>
              </w:rPr>
              <w:t>45</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1"/>
        </w:trPr>
        <w:tc>
          <w:tcPr>
            <w:tcW w:w="4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2021 Compared to the Three Months Ended September 30, 2020:</w:t>
      </w:r>
    </w:p>
    <w:p>
      <w:pPr>
        <w:spacing w:after="0" w:line="24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increase in current year adjusted operating income was primarily driven by a prior year $3.1 million expense related to the early retirement of certain assets partially offset by $2.3 million of negative impacts from a current year unplanned outage at Wygen I.</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2021 Compared to the Nine Months Ended September 30, 2020:</w:t>
      </w:r>
    </w:p>
    <w:p>
      <w:pPr>
        <w:spacing w:after="0" w:line="24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Adjusted operating income increased compared to the same period in the prior year primarily due to a prior year $3.1 million expense related to the early retirement of certain assets and $1.7 million of favorable Winter Storm Uri impacts realized under Black Hills Wyoming’s Economy Energy PSA partially offset by negative impacts of current year planned and unplanned outages.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Revenue (in thousands)</w:t>
            </w:r>
          </w:p>
        </w:tc>
        <w:tc>
          <w:tcPr>
            <w:tcW w:w="19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 xml:space="preserve">Quantities Sold (MWh) </w:t>
            </w:r>
            <w:r>
              <w:rPr>
                <w:rFonts w:ascii="Arial" w:cs="Arial" w:eastAsia="Arial" w:hAnsi="Arial"/>
                <w:sz w:val="18"/>
                <w:szCs w:val="18"/>
                <w:color w:val="auto"/>
                <w:vertAlign w:val="superscript"/>
              </w:rPr>
              <w:t>(a)</w:t>
            </w: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Revenue (in thousands)</w:t>
            </w:r>
          </w:p>
        </w:tc>
        <w:tc>
          <w:tcPr>
            <w:tcW w:w="19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 xml:space="preserve">Quantities Sold (MWh) </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4"/>
          </w:tcPr>
          <w:p>
            <w:pPr>
              <w:jc w:val="right"/>
              <w:ind w:right="28"/>
              <w:spacing w:after="0"/>
              <w:rPr>
                <w:sz w:val="20"/>
                <w:szCs w:val="20"/>
                <w:color w:val="auto"/>
              </w:rPr>
            </w:pPr>
            <w:r>
              <w:rPr>
                <w:rFonts w:ascii="Arial" w:cs="Arial" w:eastAsia="Arial" w:hAnsi="Arial"/>
                <w:sz w:val="14"/>
                <w:szCs w:val="14"/>
                <w:color w:val="auto"/>
              </w:rPr>
              <w:t>Three Months Ended September 30,</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8"/>
              <w:spacing w:after="0"/>
              <w:rPr>
                <w:sz w:val="20"/>
                <w:szCs w:val="20"/>
                <w:color w:val="auto"/>
              </w:rPr>
            </w:pPr>
            <w:r>
              <w:rPr>
                <w:rFonts w:ascii="Arial" w:cs="Arial" w:eastAsia="Arial" w:hAnsi="Arial"/>
                <w:sz w:val="14"/>
                <w:szCs w:val="14"/>
                <w:color w:val="auto"/>
              </w:rPr>
              <w:t>Nine Months Ended 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2020</w:t>
            </w: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2021</w:t>
            </w: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2021</w:t>
            </w: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3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Black Hills Colorado IPP</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14,627</w:t>
            </w:r>
          </w:p>
        </w:tc>
        <w:tc>
          <w:tcPr>
            <w:tcW w:w="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14,527</w:t>
            </w:r>
          </w:p>
        </w:tc>
        <w:tc>
          <w:tcPr>
            <w:tcW w:w="1240" w:type="dxa"/>
            <w:vAlign w:val="bottom"/>
            <w:shd w:val="clear" w:color="auto" w:fill="CEFFE7"/>
          </w:tcPr>
          <w:p>
            <w:pPr>
              <w:jc w:val="right"/>
              <w:ind w:right="268"/>
              <w:spacing w:after="0"/>
              <w:rPr>
                <w:sz w:val="20"/>
                <w:szCs w:val="20"/>
                <w:color w:val="auto"/>
              </w:rPr>
            </w:pPr>
            <w:r>
              <w:rPr>
                <w:rFonts w:ascii="Arial" w:cs="Arial" w:eastAsia="Arial" w:hAnsi="Arial"/>
                <w:sz w:val="14"/>
                <w:szCs w:val="14"/>
                <w:color w:val="auto"/>
              </w:rPr>
              <w:t>275,237</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301,934</w:t>
            </w:r>
          </w:p>
        </w:tc>
        <w:tc>
          <w:tcPr>
            <w:tcW w:w="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42,862</w:t>
            </w:r>
          </w:p>
        </w:tc>
        <w:tc>
          <w:tcPr>
            <w:tcW w:w="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42,917</w:t>
            </w:r>
          </w:p>
        </w:tc>
        <w:tc>
          <w:tcPr>
            <w:tcW w:w="1180" w:type="dxa"/>
            <w:vAlign w:val="bottom"/>
            <w:shd w:val="clear" w:color="auto" w:fill="CEFFE7"/>
          </w:tcPr>
          <w:p>
            <w:pPr>
              <w:jc w:val="right"/>
              <w:ind w:right="228"/>
              <w:spacing w:after="0"/>
              <w:rPr>
                <w:sz w:val="20"/>
                <w:szCs w:val="20"/>
                <w:color w:val="auto"/>
              </w:rPr>
            </w:pPr>
            <w:r>
              <w:rPr>
                <w:rFonts w:ascii="Arial" w:cs="Arial" w:eastAsia="Arial" w:hAnsi="Arial"/>
                <w:sz w:val="14"/>
                <w:szCs w:val="14"/>
                <w:color w:val="auto"/>
              </w:rPr>
              <w:t>718,496</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830,860</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Black Hills Wyoming </w:t>
            </w:r>
            <w:r>
              <w:rPr>
                <w:rFonts w:ascii="Arial" w:cs="Arial" w:eastAsia="Arial" w:hAnsi="Arial"/>
                <w:sz w:val="18"/>
                <w:szCs w:val="18"/>
                <w:color w:val="auto"/>
                <w:vertAlign w:val="superscript"/>
              </w:rPr>
              <w:t>(b)</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10,634</w:t>
            </w:r>
          </w:p>
        </w:tc>
        <w:tc>
          <w:tcPr>
            <w:tcW w:w="2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10,757</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146,525</w:t>
            </w:r>
          </w:p>
        </w:tc>
        <w:tc>
          <w:tcPr>
            <w:tcW w:w="740" w:type="dxa"/>
            <w:vAlign w:val="bottom"/>
          </w:tcPr>
          <w:p>
            <w:pPr>
              <w:jc w:val="right"/>
              <w:spacing w:after="0"/>
              <w:rPr>
                <w:sz w:val="20"/>
                <w:szCs w:val="20"/>
                <w:color w:val="auto"/>
              </w:rPr>
            </w:pPr>
            <w:r>
              <w:rPr>
                <w:rFonts w:ascii="Arial" w:cs="Arial" w:eastAsia="Arial" w:hAnsi="Arial"/>
                <w:sz w:val="14"/>
                <w:szCs w:val="14"/>
                <w:color w:val="auto"/>
              </w:rPr>
              <w:t>157,855</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34,208</w:t>
            </w:r>
          </w:p>
        </w:tc>
        <w:tc>
          <w:tcPr>
            <w:tcW w:w="24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31,403</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453,291</w:t>
            </w:r>
          </w:p>
        </w:tc>
        <w:tc>
          <w:tcPr>
            <w:tcW w:w="800" w:type="dxa"/>
            <w:vAlign w:val="bottom"/>
          </w:tcPr>
          <w:p>
            <w:pPr>
              <w:jc w:val="right"/>
              <w:spacing w:after="0"/>
              <w:rPr>
                <w:sz w:val="20"/>
                <w:szCs w:val="20"/>
                <w:color w:val="auto"/>
              </w:rPr>
            </w:pPr>
            <w:r>
              <w:rPr>
                <w:rFonts w:ascii="Arial" w:cs="Arial" w:eastAsia="Arial" w:hAnsi="Arial"/>
                <w:sz w:val="14"/>
                <w:szCs w:val="14"/>
                <w:color w:val="auto"/>
              </w:rPr>
              <w:t>471,073</w:t>
            </w:r>
          </w:p>
        </w:tc>
        <w:tc>
          <w:tcPr>
            <w:tcW w:w="0" w:type="dxa"/>
            <w:vAlign w:val="bottom"/>
          </w:tcPr>
          <w:p>
            <w:pPr>
              <w:spacing w:after="0"/>
              <w:rPr>
                <w:sz w:val="1"/>
                <w:szCs w:val="1"/>
                <w:color w:val="auto"/>
              </w:rPr>
            </w:pPr>
          </w:p>
        </w:tc>
      </w:tr>
      <w:tr>
        <w:trPr>
          <w:trHeight w:val="189"/>
        </w:trPr>
        <w:tc>
          <w:tcPr>
            <w:tcW w:w="3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Black Hills Electric Generation</w:t>
            </w:r>
          </w:p>
        </w:tc>
        <w:tc>
          <w:tcPr>
            <w:tcW w:w="14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1,259</w:t>
            </w:r>
          </w:p>
        </w:tc>
        <w:tc>
          <w:tcPr>
            <w:tcW w:w="240" w:type="dxa"/>
            <w:vAlign w:val="bottom"/>
            <w:tcBorders>
              <w:bottom w:val="single" w:sz="8" w:color="auto"/>
            </w:tcBorders>
            <w:shd w:val="clear" w:color="auto" w:fill="CEFFE7"/>
          </w:tcPr>
          <w:p>
            <w:pPr>
              <w:spacing w:after="0"/>
              <w:rPr>
                <w:sz w:val="16"/>
                <w:szCs w:val="16"/>
                <w:color w:val="auto"/>
              </w:rPr>
            </w:pPr>
          </w:p>
        </w:tc>
        <w:tc>
          <w:tcPr>
            <w:tcW w:w="84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1,234</w:t>
            </w:r>
          </w:p>
        </w:tc>
        <w:tc>
          <w:tcPr>
            <w:tcW w:w="1240" w:type="dxa"/>
            <w:vAlign w:val="bottom"/>
            <w:tcBorders>
              <w:bottom w:val="single" w:sz="8" w:color="auto"/>
            </w:tcBorders>
            <w:shd w:val="clear" w:color="auto" w:fill="CEFFE7"/>
          </w:tcPr>
          <w:p>
            <w:pPr>
              <w:jc w:val="right"/>
              <w:ind w:right="268"/>
              <w:spacing w:after="0"/>
              <w:rPr>
                <w:sz w:val="20"/>
                <w:szCs w:val="20"/>
                <w:color w:val="auto"/>
              </w:rPr>
            </w:pPr>
            <w:r>
              <w:rPr>
                <w:rFonts w:ascii="Arial" w:cs="Arial" w:eastAsia="Arial" w:hAnsi="Arial"/>
                <w:sz w:val="14"/>
                <w:szCs w:val="14"/>
                <w:color w:val="auto"/>
              </w:rPr>
              <w:t>72,493</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65,697</w:t>
            </w:r>
          </w:p>
        </w:tc>
        <w:tc>
          <w:tcPr>
            <w:tcW w:w="18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3,961</w:t>
            </w:r>
          </w:p>
        </w:tc>
        <w:tc>
          <w:tcPr>
            <w:tcW w:w="24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4,286</w:t>
            </w:r>
          </w:p>
        </w:tc>
        <w:tc>
          <w:tcPr>
            <w:tcW w:w="1180" w:type="dxa"/>
            <w:vAlign w:val="bottom"/>
            <w:tcBorders>
              <w:bottom w:val="single" w:sz="8" w:color="auto"/>
            </w:tcBorders>
            <w:shd w:val="clear" w:color="auto" w:fill="CEFFE7"/>
          </w:tcPr>
          <w:p>
            <w:pPr>
              <w:jc w:val="right"/>
              <w:ind w:right="228"/>
              <w:spacing w:after="0"/>
              <w:rPr>
                <w:sz w:val="20"/>
                <w:szCs w:val="20"/>
                <w:color w:val="auto"/>
              </w:rPr>
            </w:pPr>
            <w:r>
              <w:rPr>
                <w:rFonts w:ascii="Arial" w:cs="Arial" w:eastAsia="Arial" w:hAnsi="Arial"/>
                <w:sz w:val="14"/>
                <w:szCs w:val="14"/>
                <w:color w:val="auto"/>
              </w:rPr>
              <w:t>257,511</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255,605</w:t>
            </w:r>
          </w:p>
        </w:tc>
        <w:tc>
          <w:tcPr>
            <w:tcW w:w="0" w:type="dxa"/>
            <w:vAlign w:val="bottom"/>
          </w:tcPr>
          <w:p>
            <w:pPr>
              <w:spacing w:after="0"/>
              <w:rPr>
                <w:sz w:val="1"/>
                <w:szCs w:val="1"/>
                <w:color w:val="auto"/>
              </w:rPr>
            </w:pPr>
          </w:p>
        </w:tc>
      </w:tr>
      <w:tr>
        <w:trPr>
          <w:trHeight w:val="133"/>
        </w:trPr>
        <w:tc>
          <w:tcPr>
            <w:tcW w:w="3200" w:type="dxa"/>
            <w:vAlign w:val="bottom"/>
          </w:tcPr>
          <w:p>
            <w:pPr>
              <w:ind w:left="140"/>
              <w:spacing w:after="0" w:line="133" w:lineRule="exact"/>
              <w:rPr>
                <w:sz w:val="20"/>
                <w:szCs w:val="20"/>
                <w:color w:val="auto"/>
              </w:rPr>
            </w:pPr>
            <w:r>
              <w:rPr>
                <w:rFonts w:ascii="Arial" w:cs="Arial" w:eastAsia="Arial" w:hAnsi="Arial"/>
                <w:sz w:val="14"/>
                <w:szCs w:val="14"/>
                <w:color w:val="auto"/>
              </w:rPr>
              <w:t>Total Power Generation Revenue and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26,520</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26,518</w:t>
            </w:r>
          </w:p>
        </w:tc>
        <w:tc>
          <w:tcPr>
            <w:tcW w:w="1240" w:type="dxa"/>
            <w:vAlign w:val="bottom"/>
            <w:vMerge w:val="restart"/>
          </w:tcPr>
          <w:p>
            <w:pPr>
              <w:jc w:val="right"/>
              <w:ind w:right="268"/>
              <w:spacing w:after="0"/>
              <w:rPr>
                <w:sz w:val="20"/>
                <w:szCs w:val="20"/>
                <w:color w:val="auto"/>
              </w:rPr>
            </w:pPr>
            <w:r>
              <w:rPr>
                <w:rFonts w:ascii="Arial" w:cs="Arial" w:eastAsia="Arial" w:hAnsi="Arial"/>
                <w:sz w:val="14"/>
                <w:szCs w:val="14"/>
                <w:color w:val="auto"/>
              </w:rPr>
              <w:t>494,255</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525,486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81,031</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color w:val="auto"/>
              </w:rPr>
              <w:t>78,606</w:t>
            </w:r>
          </w:p>
        </w:tc>
        <w:tc>
          <w:tcPr>
            <w:tcW w:w="1180" w:type="dxa"/>
            <w:vAlign w:val="bottom"/>
            <w:vMerge w:val="restart"/>
          </w:tcPr>
          <w:p>
            <w:pPr>
              <w:jc w:val="right"/>
              <w:ind w:right="228"/>
              <w:spacing w:after="0"/>
              <w:rPr>
                <w:sz w:val="20"/>
                <w:szCs w:val="20"/>
                <w:color w:val="auto"/>
              </w:rPr>
            </w:pPr>
            <w:r>
              <w:rPr>
                <w:rFonts w:ascii="Arial" w:cs="Arial" w:eastAsia="Arial" w:hAnsi="Arial"/>
                <w:sz w:val="14"/>
                <w:szCs w:val="14"/>
                <w:color w:val="auto"/>
              </w:rPr>
              <w:t>1,429,298</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1,557,538</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4" w:lineRule="exact"/>
              <w:rPr>
                <w:sz w:val="20"/>
                <w:szCs w:val="20"/>
                <w:color w:val="auto"/>
              </w:rPr>
            </w:pPr>
            <w:r>
              <w:rPr>
                <w:rFonts w:ascii="Arial" w:cs="Arial" w:eastAsia="Arial" w:hAnsi="Arial"/>
                <w:sz w:val="14"/>
                <w:szCs w:val="14"/>
                <w:color w:val="auto"/>
              </w:rPr>
              <w:t>Quantities Sold</w:t>
            </w:r>
          </w:p>
        </w:tc>
        <w:tc>
          <w:tcPr>
            <w:tcW w:w="14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80" w:type="dxa"/>
            <w:vAlign w:val="bottom"/>
            <w:gridSpan w:val="2"/>
          </w:tcPr>
          <w:p>
            <w:pPr>
              <w:jc w:val="right"/>
              <w:ind w:right="159"/>
              <w:spacing w:after="0"/>
              <w:rPr>
                <w:sz w:val="20"/>
                <w:szCs w:val="20"/>
                <w:color w:val="auto"/>
              </w:rPr>
            </w:pPr>
            <w:r>
              <w:rPr>
                <w:rFonts w:ascii="Arial" w:cs="Arial" w:eastAsia="Arial" w:hAnsi="Arial"/>
                <w:sz w:val="16"/>
                <w:szCs w:val="16"/>
                <w:color w:val="auto"/>
              </w:rPr>
              <w:t>Three Months Ended September 30,</w:t>
            </w:r>
          </w:p>
        </w:tc>
        <w:tc>
          <w:tcPr>
            <w:tcW w:w="2860" w:type="dxa"/>
            <w:vAlign w:val="bottom"/>
            <w:gridSpan w:val="2"/>
          </w:tcPr>
          <w:p>
            <w:pPr>
              <w:jc w:val="right"/>
              <w:ind w:right="79"/>
              <w:spacing w:after="0"/>
              <w:rPr>
                <w:sz w:val="20"/>
                <w:szCs w:val="20"/>
                <w:color w:val="auto"/>
              </w:rPr>
            </w:pPr>
            <w:r>
              <w:rPr>
                <w:rFonts w:ascii="Arial" w:cs="Arial" w:eastAsia="Arial" w:hAnsi="Arial"/>
                <w:sz w:val="16"/>
                <w:szCs w:val="16"/>
                <w:color w:val="auto"/>
              </w:rPr>
              <w:t>Nine Months Ended September 30,</w:t>
            </w:r>
          </w:p>
        </w:tc>
      </w:tr>
      <w:tr>
        <w:trPr>
          <w:trHeight w:val="222"/>
        </w:trPr>
        <w:tc>
          <w:tcPr>
            <w:tcW w:w="3740" w:type="dxa"/>
            <w:vAlign w:val="bottom"/>
            <w:tcBorders>
              <w:bottom w:val="single" w:sz="8" w:color="auto"/>
            </w:tcBorders>
          </w:tcPr>
          <w:p>
            <w:pPr>
              <w:ind w:left="20"/>
              <w:spacing w:after="0" w:line="222" w:lineRule="exact"/>
              <w:rPr>
                <w:sz w:val="20"/>
                <w:szCs w:val="20"/>
                <w:color w:val="auto"/>
              </w:rPr>
            </w:pPr>
            <w:r>
              <w:rPr>
                <w:rFonts w:ascii="Arial" w:cs="Arial" w:eastAsia="Arial" w:hAnsi="Arial"/>
                <w:sz w:val="16"/>
                <w:szCs w:val="16"/>
                <w:color w:val="auto"/>
              </w:rPr>
              <w:t xml:space="preserve">Quantities Generated and Purchased (MWh) </w:t>
            </w:r>
            <w:r>
              <w:rPr>
                <w:rFonts w:ascii="Arial" w:cs="Arial" w:eastAsia="Arial" w:hAnsi="Arial"/>
                <w:sz w:val="21"/>
                <w:szCs w:val="21"/>
                <w:color w:val="auto"/>
                <w:vertAlign w:val="superscript"/>
              </w:rPr>
              <w:t>(a)</w:t>
            </w:r>
          </w:p>
        </w:tc>
        <w:tc>
          <w:tcPr>
            <w:tcW w:w="1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Fuel Type</w:t>
            </w:r>
          </w:p>
        </w:tc>
        <w:tc>
          <w:tcPr>
            <w:tcW w:w="16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2021</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16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2021</w:t>
            </w: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740" w:type="dxa"/>
            <w:vAlign w:val="bottom"/>
            <w:shd w:val="clear" w:color="auto" w:fill="CEFFE7"/>
          </w:tcPr>
          <w:p>
            <w:pPr>
              <w:ind w:left="360"/>
              <w:spacing w:after="0"/>
              <w:rPr>
                <w:sz w:val="20"/>
                <w:szCs w:val="20"/>
                <w:color w:val="auto"/>
              </w:rPr>
            </w:pPr>
            <w:r>
              <w:rPr>
                <w:rFonts w:ascii="Arial" w:cs="Arial" w:eastAsia="Arial" w:hAnsi="Arial"/>
                <w:sz w:val="16"/>
                <w:szCs w:val="16"/>
                <w:color w:val="auto"/>
              </w:rPr>
              <w:t>Black Hills Colorado IPP</w:t>
            </w:r>
          </w:p>
        </w:tc>
        <w:tc>
          <w:tcPr>
            <w:tcW w:w="166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Natural Gas</w:t>
            </w:r>
          </w:p>
        </w:tc>
        <w:tc>
          <w:tcPr>
            <w:tcW w:w="168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275,237</w:t>
            </w:r>
          </w:p>
        </w:tc>
        <w:tc>
          <w:tcPr>
            <w:tcW w:w="1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301,934</w:t>
            </w: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718,496</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830,860</w:t>
            </w:r>
          </w:p>
        </w:tc>
      </w:tr>
      <w:tr>
        <w:trPr>
          <w:trHeight w:val="216"/>
        </w:trPr>
        <w:tc>
          <w:tcPr>
            <w:tcW w:w="37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Black Hills Wyoming </w:t>
            </w:r>
            <w:r>
              <w:rPr>
                <w:rFonts w:ascii="Arial" w:cs="Arial" w:eastAsia="Arial" w:hAnsi="Arial"/>
                <w:sz w:val="21"/>
                <w:szCs w:val="21"/>
                <w:color w:val="auto"/>
                <w:vertAlign w:val="superscript"/>
              </w:rPr>
              <w:t>(b)</w:t>
            </w:r>
          </w:p>
        </w:tc>
        <w:tc>
          <w:tcPr>
            <w:tcW w:w="1660" w:type="dxa"/>
            <w:vAlign w:val="bottom"/>
          </w:tcPr>
          <w:p>
            <w:pPr>
              <w:jc w:val="center"/>
              <w:ind w:right="19"/>
              <w:spacing w:after="0"/>
              <w:rPr>
                <w:sz w:val="20"/>
                <w:szCs w:val="20"/>
                <w:color w:val="auto"/>
              </w:rPr>
            </w:pPr>
            <w:r>
              <w:rPr>
                <w:rFonts w:ascii="Arial" w:cs="Arial" w:eastAsia="Arial" w:hAnsi="Arial"/>
                <w:sz w:val="16"/>
                <w:szCs w:val="16"/>
                <w:color w:val="auto"/>
                <w:w w:val="97"/>
              </w:rPr>
              <w:t>Coal</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123,705</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139,313</w:t>
            </w:r>
          </w:p>
        </w:tc>
        <w:tc>
          <w:tcPr>
            <w:tcW w:w="1660" w:type="dxa"/>
            <w:vAlign w:val="bottom"/>
          </w:tcPr>
          <w:p>
            <w:pPr>
              <w:jc w:val="right"/>
              <w:ind w:right="219"/>
              <w:spacing w:after="0"/>
              <w:rPr>
                <w:sz w:val="20"/>
                <w:szCs w:val="20"/>
                <w:color w:val="auto"/>
              </w:rPr>
            </w:pPr>
            <w:r>
              <w:rPr>
                <w:rFonts w:ascii="Arial" w:cs="Arial" w:eastAsia="Arial" w:hAnsi="Arial"/>
                <w:sz w:val="16"/>
                <w:szCs w:val="16"/>
                <w:color w:val="auto"/>
              </w:rPr>
              <w:t>388,059</w:t>
            </w:r>
          </w:p>
        </w:tc>
        <w:tc>
          <w:tcPr>
            <w:tcW w:w="1200" w:type="dxa"/>
            <w:vAlign w:val="bottom"/>
          </w:tcPr>
          <w:p>
            <w:pPr>
              <w:jc w:val="right"/>
              <w:spacing w:after="0"/>
              <w:rPr>
                <w:sz w:val="20"/>
                <w:szCs w:val="20"/>
                <w:color w:val="auto"/>
              </w:rPr>
            </w:pPr>
            <w:r>
              <w:rPr>
                <w:rFonts w:ascii="Arial" w:cs="Arial" w:eastAsia="Arial" w:hAnsi="Arial"/>
                <w:sz w:val="16"/>
                <w:szCs w:val="16"/>
                <w:color w:val="auto"/>
              </w:rPr>
              <w:t>408,545</w:t>
            </w:r>
          </w:p>
        </w:tc>
      </w:tr>
      <w:tr>
        <w:trPr>
          <w:trHeight w:val="213"/>
        </w:trPr>
        <w:tc>
          <w:tcPr>
            <w:tcW w:w="3740" w:type="dxa"/>
            <w:vAlign w:val="bottom"/>
            <w:shd w:val="clear" w:color="auto" w:fill="CEFFE7"/>
          </w:tcPr>
          <w:p>
            <w:pPr>
              <w:ind w:left="360"/>
              <w:spacing w:after="0"/>
              <w:rPr>
                <w:sz w:val="20"/>
                <w:szCs w:val="20"/>
                <w:color w:val="auto"/>
              </w:rPr>
            </w:pPr>
            <w:r>
              <w:rPr>
                <w:rFonts w:ascii="Arial" w:cs="Arial" w:eastAsia="Arial" w:hAnsi="Arial"/>
                <w:sz w:val="16"/>
                <w:szCs w:val="16"/>
                <w:color w:val="auto"/>
              </w:rPr>
              <w:t>Black Hills Electric Generation</w:t>
            </w:r>
          </w:p>
        </w:tc>
        <w:tc>
          <w:tcPr>
            <w:tcW w:w="166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w w:val="98"/>
              </w:rPr>
              <w:t>Wind</w:t>
            </w:r>
          </w:p>
        </w:tc>
        <w:tc>
          <w:tcPr>
            <w:tcW w:w="16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72,493</w:t>
            </w:r>
          </w:p>
        </w:tc>
        <w:tc>
          <w:tcPr>
            <w:tcW w:w="1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65,697</w:t>
            </w:r>
          </w:p>
        </w:tc>
        <w:tc>
          <w:tcPr>
            <w:tcW w:w="166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257,511</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255,605</w:t>
            </w:r>
          </w:p>
        </w:tc>
      </w:tr>
      <w:tr>
        <w:trPr>
          <w:trHeight w:val="213"/>
        </w:trPr>
        <w:tc>
          <w:tcPr>
            <w:tcW w:w="3740" w:type="dxa"/>
            <w:vAlign w:val="bottom"/>
          </w:tcPr>
          <w:p>
            <w:pPr>
              <w:ind w:left="800"/>
              <w:spacing w:after="0"/>
              <w:rPr>
                <w:sz w:val="20"/>
                <w:szCs w:val="20"/>
                <w:color w:val="auto"/>
              </w:rPr>
            </w:pPr>
            <w:r>
              <w:rPr>
                <w:rFonts w:ascii="Arial" w:cs="Arial" w:eastAsia="Arial" w:hAnsi="Arial"/>
                <w:sz w:val="16"/>
                <w:szCs w:val="16"/>
                <w:color w:val="auto"/>
              </w:rPr>
              <w:t>Total Generated</w:t>
            </w:r>
          </w:p>
        </w:tc>
        <w:tc>
          <w:tcPr>
            <w:tcW w:w="1660" w:type="dxa"/>
            <w:vAlign w:val="bottom"/>
          </w:tcPr>
          <w:p>
            <w:pPr>
              <w:spacing w:after="0"/>
              <w:rPr>
                <w:sz w:val="18"/>
                <w:szCs w:val="18"/>
                <w:color w:val="auto"/>
              </w:rPr>
            </w:pP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471,435</w:t>
            </w: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506,944</w:t>
            </w: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1,364,066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1,495,010</w:t>
            </w:r>
          </w:p>
        </w:tc>
      </w:tr>
      <w:tr>
        <w:trPr>
          <w:trHeight w:val="20"/>
        </w:trPr>
        <w:tc>
          <w:tcPr>
            <w:tcW w:w="3740" w:type="dxa"/>
            <w:vAlign w:val="bottom"/>
            <w:tcBorders>
              <w:bottom w:val="single" w:sz="8" w:color="CEFFE7"/>
            </w:tcBorders>
          </w:tcPr>
          <w:p>
            <w:pPr>
              <w:spacing w:after="0" w:line="20" w:lineRule="exact"/>
              <w:rPr>
                <w:sz w:val="1"/>
                <w:szCs w:val="1"/>
                <w:color w:val="auto"/>
              </w:rPr>
            </w:pPr>
          </w:p>
        </w:tc>
        <w:tc>
          <w:tcPr>
            <w:tcW w:w="1660" w:type="dxa"/>
            <w:vAlign w:val="bottom"/>
            <w:tcBorders>
              <w:bottom w:val="single" w:sz="8" w:color="CEFFE7"/>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5"/>
        </w:trPr>
        <w:tc>
          <w:tcPr>
            <w:tcW w:w="3740" w:type="dxa"/>
            <w:vAlign w:val="bottom"/>
            <w:shd w:val="clear" w:color="auto" w:fill="CEFFE7"/>
          </w:tcPr>
          <w:p>
            <w:pPr>
              <w:spacing w:after="0"/>
              <w:rPr>
                <w:sz w:val="6"/>
                <w:szCs w:val="6"/>
                <w:color w:val="auto"/>
              </w:rPr>
            </w:pPr>
          </w:p>
        </w:tc>
        <w:tc>
          <w:tcPr>
            <w:tcW w:w="1660" w:type="dxa"/>
            <w:vAlign w:val="bottom"/>
            <w:shd w:val="clear" w:color="auto" w:fill="CEFFE7"/>
          </w:tcPr>
          <w:p>
            <w:pPr>
              <w:spacing w:after="0"/>
              <w:rPr>
                <w:sz w:val="6"/>
                <w:szCs w:val="6"/>
                <w:color w:val="auto"/>
              </w:rPr>
            </w:pPr>
          </w:p>
        </w:tc>
        <w:tc>
          <w:tcPr>
            <w:tcW w:w="1680" w:type="dxa"/>
            <w:vAlign w:val="bottom"/>
            <w:shd w:val="clear" w:color="auto" w:fill="CEFFE7"/>
          </w:tcPr>
          <w:p>
            <w:pPr>
              <w:spacing w:after="0"/>
              <w:rPr>
                <w:sz w:val="6"/>
                <w:szCs w:val="6"/>
                <w:color w:val="auto"/>
              </w:rPr>
            </w:pPr>
          </w:p>
        </w:tc>
        <w:tc>
          <w:tcPr>
            <w:tcW w:w="1300" w:type="dxa"/>
            <w:vAlign w:val="bottom"/>
            <w:shd w:val="clear" w:color="auto" w:fill="CEFFE7"/>
          </w:tcPr>
          <w:p>
            <w:pPr>
              <w:spacing w:after="0"/>
              <w:rPr>
                <w:sz w:val="6"/>
                <w:szCs w:val="6"/>
                <w:color w:val="auto"/>
              </w:rPr>
            </w:pPr>
          </w:p>
        </w:tc>
        <w:tc>
          <w:tcPr>
            <w:tcW w:w="1660" w:type="dxa"/>
            <w:vAlign w:val="bottom"/>
            <w:shd w:val="clear" w:color="auto" w:fill="CEFFE7"/>
          </w:tcPr>
          <w:p>
            <w:pPr>
              <w:spacing w:after="0"/>
              <w:rPr>
                <w:sz w:val="6"/>
                <w:szCs w:val="6"/>
                <w:color w:val="auto"/>
              </w:rPr>
            </w:pPr>
          </w:p>
        </w:tc>
        <w:tc>
          <w:tcPr>
            <w:tcW w:w="1200" w:type="dxa"/>
            <w:vAlign w:val="bottom"/>
            <w:shd w:val="clear" w:color="auto" w:fill="CEFFE7"/>
          </w:tcPr>
          <w:p>
            <w:pPr>
              <w:spacing w:after="0"/>
              <w:rPr>
                <w:sz w:val="6"/>
                <w:szCs w:val="6"/>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Purchased</w:t>
            </w: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740" w:type="dxa"/>
            <w:vAlign w:val="bottom"/>
            <w:shd w:val="clear" w:color="auto" w:fill="CEFFE7"/>
          </w:tcPr>
          <w:p>
            <w:pPr>
              <w:ind w:left="360"/>
              <w:spacing w:after="0" w:line="219" w:lineRule="exact"/>
              <w:rPr>
                <w:sz w:val="20"/>
                <w:szCs w:val="20"/>
                <w:color w:val="auto"/>
              </w:rPr>
            </w:pPr>
            <w:r>
              <w:rPr>
                <w:rFonts w:ascii="Arial" w:cs="Arial" w:eastAsia="Arial" w:hAnsi="Arial"/>
                <w:sz w:val="16"/>
                <w:szCs w:val="16"/>
                <w:color w:val="auto"/>
              </w:rPr>
              <w:t xml:space="preserve">Black Hills Wyoming </w:t>
            </w:r>
            <w:r>
              <w:rPr>
                <w:rFonts w:ascii="Arial" w:cs="Arial" w:eastAsia="Arial" w:hAnsi="Arial"/>
                <w:sz w:val="21"/>
                <w:szCs w:val="21"/>
                <w:color w:val="auto"/>
                <w:vertAlign w:val="superscript"/>
              </w:rPr>
              <w:t>(b)</w:t>
            </w:r>
          </w:p>
        </w:tc>
        <w:tc>
          <w:tcPr>
            <w:tcW w:w="166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w w:val="99"/>
              </w:rPr>
              <w:t>Various</w:t>
            </w:r>
          </w:p>
        </w:tc>
        <w:tc>
          <w:tcPr>
            <w:tcW w:w="16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23,575</w:t>
            </w:r>
          </w:p>
        </w:tc>
        <w:tc>
          <w:tcPr>
            <w:tcW w:w="1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18,004</w:t>
            </w:r>
          </w:p>
        </w:tc>
        <w:tc>
          <w:tcPr>
            <w:tcW w:w="166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68,184</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62,097</w:t>
            </w:r>
          </w:p>
        </w:tc>
      </w:tr>
      <w:tr>
        <w:trPr>
          <w:trHeight w:val="210"/>
        </w:trPr>
        <w:tc>
          <w:tcPr>
            <w:tcW w:w="3740" w:type="dxa"/>
            <w:vAlign w:val="bottom"/>
          </w:tcPr>
          <w:p>
            <w:pPr>
              <w:ind w:left="800"/>
              <w:spacing w:after="0"/>
              <w:rPr>
                <w:sz w:val="20"/>
                <w:szCs w:val="20"/>
                <w:color w:val="auto"/>
              </w:rPr>
            </w:pPr>
            <w:r>
              <w:rPr>
                <w:rFonts w:ascii="Arial" w:cs="Arial" w:eastAsia="Arial" w:hAnsi="Arial"/>
                <w:sz w:val="16"/>
                <w:szCs w:val="16"/>
                <w:color w:val="auto"/>
              </w:rPr>
              <w:t>Total Purchased</w:t>
            </w:r>
          </w:p>
        </w:tc>
        <w:tc>
          <w:tcPr>
            <w:tcW w:w="1660" w:type="dxa"/>
            <w:vAlign w:val="bottom"/>
          </w:tcPr>
          <w:p>
            <w:pPr>
              <w:spacing w:after="0"/>
              <w:rPr>
                <w:sz w:val="18"/>
                <w:szCs w:val="18"/>
                <w:color w:val="auto"/>
              </w:rPr>
            </w:pP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23,575</w:t>
            </w: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18,004</w:t>
            </w: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68,184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62,097</w:t>
            </w:r>
          </w:p>
        </w:tc>
      </w:tr>
      <w:tr>
        <w:trPr>
          <w:trHeight w:val="20"/>
        </w:trPr>
        <w:tc>
          <w:tcPr>
            <w:tcW w:w="3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Company uses and losses are not included in the quantities sold, generated, and purchased.</w:t>
      </w:r>
    </w:p>
    <w:p>
      <w:pPr>
        <w:spacing w:after="0" w:line="1" w:lineRule="exact"/>
        <w:rPr>
          <w:rFonts w:ascii="Arial" w:cs="Arial" w:eastAsia="Arial" w:hAnsi="Arial"/>
          <w:sz w:val="14"/>
          <w:szCs w:val="14"/>
          <w:color w:val="auto"/>
        </w:rPr>
      </w:pPr>
    </w:p>
    <w:p>
      <w:pPr>
        <w:jc w:val="both"/>
        <w:ind w:left="340" w:right="320" w:hanging="332"/>
        <w:spacing w:after="0" w:line="249" w:lineRule="auto"/>
        <w:tabs>
          <w:tab w:leader="none" w:pos="352" w:val="left"/>
        </w:tabs>
        <w:numPr>
          <w:ilvl w:val="0"/>
          <w:numId w:val="39"/>
        </w:numPr>
        <w:rPr>
          <w:rFonts w:ascii="Arial" w:cs="Arial" w:eastAsia="Arial" w:hAnsi="Arial"/>
          <w:sz w:val="14"/>
          <w:szCs w:val="14"/>
          <w:color w:val="auto"/>
        </w:rPr>
      </w:pPr>
      <w:r>
        <w:rPr>
          <w:rFonts w:ascii="Arial" w:cs="Arial" w:eastAsia="Arial" w:hAnsi="Arial"/>
          <w:sz w:val="14"/>
          <w:szCs w:val="14"/>
          <w:color w:val="auto"/>
        </w:rPr>
        <w:t>Under the 20-year Economy Energy PSA with the City of Gillette effective September 2014, Black Hills Wyoming purchases energy on behalf of the City of Gillette and sells that energy to the City of Gillette. MWh sold may not equal MWh generated and purchased due to a dispatch agreement that Black Hills Wyoming has with South Dakota Electric to cover energy imbalances.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580" w:type="dxa"/>
            <w:vAlign w:val="bottom"/>
            <w:gridSpan w:val="2"/>
          </w:tcPr>
          <w:p>
            <w:pPr>
              <w:jc w:val="right"/>
              <w:ind w:right="279"/>
              <w:spacing w:after="0"/>
              <w:rPr>
                <w:sz w:val="20"/>
                <w:szCs w:val="20"/>
                <w:color w:val="auto"/>
              </w:rPr>
            </w:pPr>
            <w:r>
              <w:rPr>
                <w:rFonts w:ascii="Arial" w:cs="Arial" w:eastAsia="Arial" w:hAnsi="Arial"/>
                <w:sz w:val="16"/>
                <w:szCs w:val="16"/>
                <w:color w:val="auto"/>
              </w:rPr>
              <w:t>Three Months Ended September 30,</w:t>
            </w:r>
          </w:p>
        </w:tc>
        <w:tc>
          <w:tcPr>
            <w:tcW w:w="2960" w:type="dxa"/>
            <w:vAlign w:val="bottom"/>
            <w:gridSpan w:val="2"/>
          </w:tcPr>
          <w:p>
            <w:pPr>
              <w:jc w:val="right"/>
              <w:ind w:right="159"/>
              <w:spacing w:after="0"/>
              <w:rPr>
                <w:sz w:val="20"/>
                <w:szCs w:val="20"/>
                <w:color w:val="auto"/>
              </w:rPr>
            </w:pPr>
            <w:r>
              <w:rPr>
                <w:rFonts w:ascii="Arial" w:cs="Arial" w:eastAsia="Arial" w:hAnsi="Arial"/>
                <w:sz w:val="16"/>
                <w:szCs w:val="16"/>
                <w:color w:val="auto"/>
              </w:rPr>
              <w:t>Nine Months Ended September 30,</w:t>
            </w:r>
          </w:p>
        </w:tc>
      </w:tr>
      <w:tr>
        <w:trPr>
          <w:trHeight w:val="222"/>
        </w:trPr>
        <w:tc>
          <w:tcPr>
            <w:tcW w:w="4700" w:type="dxa"/>
            <w:vAlign w:val="bottom"/>
            <w:tcBorders>
              <w:bottom w:val="single" w:sz="8" w:color="auto"/>
            </w:tcBorders>
          </w:tcPr>
          <w:p>
            <w:pPr>
              <w:ind w:left="20"/>
              <w:spacing w:after="0" w:line="222" w:lineRule="exact"/>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21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2021</w:t>
            </w: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2020</w:t>
            </w:r>
          </w:p>
        </w:tc>
        <w:tc>
          <w:tcPr>
            <w:tcW w:w="17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2021</w:t>
            </w: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r>
      <w:tr>
        <w:trPr>
          <w:trHeight w:val="250"/>
        </w:trPr>
        <w:tc>
          <w:tcPr>
            <w:tcW w:w="47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47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218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84.9 %</w:t>
            </w:r>
          </w:p>
        </w:tc>
        <w:tc>
          <w:tcPr>
            <w:tcW w:w="14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96.1 %</w:t>
            </w:r>
          </w:p>
        </w:tc>
        <w:tc>
          <w:tcPr>
            <w:tcW w:w="17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90.4 %</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94.5 %</w:t>
            </w: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w:t>
            </w:r>
            <w:r>
              <w:rPr>
                <w:rFonts w:ascii="Arial" w:cs="Arial" w:eastAsia="Arial" w:hAnsi="Arial"/>
                <w:sz w:val="21"/>
                <w:szCs w:val="21"/>
                <w:color w:val="auto"/>
                <w:vertAlign w:val="superscript"/>
              </w:rPr>
              <w:t>(b)</w:t>
            </w:r>
          </w:p>
        </w:tc>
        <w:tc>
          <w:tcPr>
            <w:tcW w:w="2180" w:type="dxa"/>
            <w:vAlign w:val="bottom"/>
          </w:tcPr>
          <w:p>
            <w:pPr>
              <w:jc w:val="right"/>
              <w:ind w:right="219"/>
              <w:spacing w:after="0"/>
              <w:rPr>
                <w:sz w:val="20"/>
                <w:szCs w:val="20"/>
                <w:color w:val="auto"/>
              </w:rPr>
            </w:pPr>
            <w:r>
              <w:rPr>
                <w:rFonts w:ascii="Arial" w:cs="Arial" w:eastAsia="Arial" w:hAnsi="Arial"/>
                <w:sz w:val="16"/>
                <w:szCs w:val="16"/>
                <w:color w:val="auto"/>
              </w:rPr>
              <w:t>99.7 %</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99.8 %</w:t>
            </w:r>
          </w:p>
        </w:tc>
        <w:tc>
          <w:tcPr>
            <w:tcW w:w="1720" w:type="dxa"/>
            <w:vAlign w:val="bottom"/>
          </w:tcPr>
          <w:p>
            <w:pPr>
              <w:jc w:val="right"/>
              <w:ind w:right="199"/>
              <w:spacing w:after="0"/>
              <w:rPr>
                <w:sz w:val="20"/>
                <w:szCs w:val="20"/>
                <w:color w:val="auto"/>
              </w:rPr>
            </w:pPr>
            <w:r>
              <w:rPr>
                <w:rFonts w:ascii="Arial" w:cs="Arial" w:eastAsia="Arial" w:hAnsi="Arial"/>
                <w:sz w:val="16"/>
                <w:szCs w:val="16"/>
                <w:color w:val="auto"/>
              </w:rPr>
              <w:t>95.3 %</w:t>
            </w:r>
          </w:p>
        </w:tc>
        <w:tc>
          <w:tcPr>
            <w:tcW w:w="1240" w:type="dxa"/>
            <w:vAlign w:val="bottom"/>
          </w:tcPr>
          <w:p>
            <w:pPr>
              <w:jc w:val="right"/>
              <w:spacing w:after="0"/>
              <w:rPr>
                <w:sz w:val="20"/>
                <w:szCs w:val="20"/>
                <w:color w:val="auto"/>
              </w:rPr>
            </w:pPr>
            <w:r>
              <w:rPr>
                <w:rFonts w:ascii="Arial" w:cs="Arial" w:eastAsia="Arial" w:hAnsi="Arial"/>
                <w:sz w:val="16"/>
                <w:szCs w:val="16"/>
                <w:color w:val="auto"/>
              </w:rPr>
              <w:t>99.6 %</w:t>
            </w:r>
          </w:p>
        </w:tc>
      </w:tr>
      <w:tr>
        <w:trPr>
          <w:trHeight w:val="216"/>
        </w:trPr>
        <w:tc>
          <w:tcPr>
            <w:tcW w:w="4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218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96.2 %</w:t>
            </w:r>
          </w:p>
        </w:tc>
        <w:tc>
          <w:tcPr>
            <w:tcW w:w="14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90.6 %</w:t>
            </w:r>
          </w:p>
        </w:tc>
        <w:tc>
          <w:tcPr>
            <w:tcW w:w="17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95.9 %</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92.8 %</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2180" w:type="dxa"/>
            <w:vAlign w:val="bottom"/>
          </w:tcPr>
          <w:p>
            <w:pPr>
              <w:jc w:val="right"/>
              <w:ind w:right="219"/>
              <w:spacing w:after="0"/>
              <w:rPr>
                <w:sz w:val="20"/>
                <w:szCs w:val="20"/>
                <w:color w:val="auto"/>
              </w:rPr>
            </w:pPr>
            <w:r>
              <w:rPr>
                <w:rFonts w:ascii="Arial" w:cs="Arial" w:eastAsia="Arial" w:hAnsi="Arial"/>
                <w:sz w:val="16"/>
                <w:szCs w:val="16"/>
                <w:color w:val="auto"/>
              </w:rPr>
              <w:t>96.0 %</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95.8 %</w:t>
            </w:r>
          </w:p>
        </w:tc>
        <w:tc>
          <w:tcPr>
            <w:tcW w:w="1720" w:type="dxa"/>
            <w:vAlign w:val="bottom"/>
          </w:tcPr>
          <w:p>
            <w:pPr>
              <w:jc w:val="right"/>
              <w:ind w:right="199"/>
              <w:spacing w:after="0"/>
              <w:rPr>
                <w:sz w:val="20"/>
                <w:szCs w:val="20"/>
                <w:color w:val="auto"/>
              </w:rPr>
            </w:pPr>
            <w:r>
              <w:rPr>
                <w:rFonts w:ascii="Arial" w:cs="Arial" w:eastAsia="Arial" w:hAnsi="Arial"/>
                <w:sz w:val="16"/>
                <w:szCs w:val="16"/>
                <w:color w:val="auto"/>
              </w:rPr>
              <w:t>94.7 %</w:t>
            </w:r>
          </w:p>
        </w:tc>
        <w:tc>
          <w:tcPr>
            <w:tcW w:w="1240" w:type="dxa"/>
            <w:vAlign w:val="bottom"/>
          </w:tcPr>
          <w:p>
            <w:pPr>
              <w:jc w:val="right"/>
              <w:spacing w:after="0"/>
              <w:rPr>
                <w:sz w:val="20"/>
                <w:szCs w:val="20"/>
                <w:color w:val="auto"/>
              </w:rPr>
            </w:pPr>
            <w:r>
              <w:rPr>
                <w:rFonts w:ascii="Arial" w:cs="Arial" w:eastAsia="Arial" w:hAnsi="Arial"/>
                <w:sz w:val="16"/>
                <w:szCs w:val="16"/>
                <w:color w:val="auto"/>
              </w:rPr>
              <w:t>96.3 %</w:t>
            </w:r>
          </w:p>
        </w:tc>
      </w:tr>
      <w:tr>
        <w:trPr>
          <w:trHeight w:val="165"/>
        </w:trPr>
        <w:tc>
          <w:tcPr>
            <w:tcW w:w="4700" w:type="dxa"/>
            <w:vAlign w:val="bottom"/>
            <w:shd w:val="clear" w:color="auto" w:fill="CEFFE7"/>
          </w:tcPr>
          <w:p>
            <w:pPr>
              <w:spacing w:after="0"/>
              <w:rPr>
                <w:sz w:val="14"/>
                <w:szCs w:val="14"/>
                <w:color w:val="auto"/>
              </w:rPr>
            </w:pPr>
          </w:p>
        </w:tc>
        <w:tc>
          <w:tcPr>
            <w:tcW w:w="2180" w:type="dxa"/>
            <w:vAlign w:val="bottom"/>
            <w:shd w:val="clear" w:color="auto" w:fill="CEFFE7"/>
          </w:tcPr>
          <w:p>
            <w:pPr>
              <w:spacing w:after="0"/>
              <w:rPr>
                <w:sz w:val="14"/>
                <w:szCs w:val="14"/>
                <w:color w:val="auto"/>
              </w:rPr>
            </w:pPr>
          </w:p>
        </w:tc>
        <w:tc>
          <w:tcPr>
            <w:tcW w:w="1400" w:type="dxa"/>
            <w:vAlign w:val="bottom"/>
            <w:shd w:val="clear" w:color="auto" w:fill="CEFFE7"/>
          </w:tcPr>
          <w:p>
            <w:pPr>
              <w:spacing w:after="0"/>
              <w:rPr>
                <w:sz w:val="14"/>
                <w:szCs w:val="14"/>
                <w:color w:val="auto"/>
              </w:rPr>
            </w:pPr>
          </w:p>
        </w:tc>
        <w:tc>
          <w:tcPr>
            <w:tcW w:w="1720" w:type="dxa"/>
            <w:vAlign w:val="bottom"/>
            <w:shd w:val="clear" w:color="auto" w:fill="CEFFE7"/>
          </w:tcPr>
          <w:p>
            <w:pPr>
              <w:spacing w:after="0"/>
              <w:rPr>
                <w:sz w:val="14"/>
                <w:szCs w:val="14"/>
                <w:color w:val="auto"/>
              </w:rPr>
            </w:pPr>
          </w:p>
        </w:tc>
        <w:tc>
          <w:tcPr>
            <w:tcW w:w="1240" w:type="dxa"/>
            <w:vAlign w:val="bottom"/>
            <w:shd w:val="clear" w:color="auto" w:fill="CEFFE7"/>
          </w:tcPr>
          <w:p>
            <w:pPr>
              <w:spacing w:after="0"/>
              <w:rPr>
                <w:sz w:val="14"/>
                <w:szCs w:val="14"/>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2180" w:type="dxa"/>
            <w:vAlign w:val="bottom"/>
          </w:tcPr>
          <w:p>
            <w:pPr>
              <w:jc w:val="right"/>
              <w:ind w:right="219"/>
              <w:spacing w:after="0"/>
              <w:rPr>
                <w:sz w:val="20"/>
                <w:szCs w:val="20"/>
                <w:color w:val="auto"/>
              </w:rPr>
            </w:pPr>
            <w:r>
              <w:rPr>
                <w:rFonts w:ascii="Arial" w:cs="Arial" w:eastAsia="Arial" w:hAnsi="Arial"/>
                <w:sz w:val="16"/>
                <w:szCs w:val="16"/>
                <w:color w:val="auto"/>
              </w:rPr>
              <w:t>21.5 %</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19.4 %</w:t>
            </w:r>
          </w:p>
        </w:tc>
        <w:tc>
          <w:tcPr>
            <w:tcW w:w="1720" w:type="dxa"/>
            <w:vAlign w:val="bottom"/>
          </w:tcPr>
          <w:p>
            <w:pPr>
              <w:jc w:val="right"/>
              <w:ind w:right="199"/>
              <w:spacing w:after="0"/>
              <w:rPr>
                <w:sz w:val="20"/>
                <w:szCs w:val="20"/>
                <w:color w:val="auto"/>
              </w:rPr>
            </w:pPr>
            <w:r>
              <w:rPr>
                <w:rFonts w:ascii="Arial" w:cs="Arial" w:eastAsia="Arial" w:hAnsi="Arial"/>
                <w:sz w:val="16"/>
                <w:szCs w:val="16"/>
                <w:color w:val="auto"/>
              </w:rPr>
              <w:t>25.6 %</w:t>
            </w:r>
          </w:p>
        </w:tc>
        <w:tc>
          <w:tcPr>
            <w:tcW w:w="1240" w:type="dxa"/>
            <w:vAlign w:val="bottom"/>
          </w:tcPr>
          <w:p>
            <w:pPr>
              <w:jc w:val="right"/>
              <w:spacing w:after="0"/>
              <w:rPr>
                <w:sz w:val="20"/>
                <w:szCs w:val="20"/>
                <w:color w:val="auto"/>
              </w:rPr>
            </w:pPr>
            <w:r>
              <w:rPr>
                <w:rFonts w:ascii="Arial" w:cs="Arial" w:eastAsia="Arial" w:hAnsi="Arial"/>
                <w:sz w:val="16"/>
                <w:szCs w:val="16"/>
                <w:color w:val="auto"/>
              </w:rPr>
              <w:t>25.7 %</w:t>
            </w:r>
          </w:p>
        </w:tc>
      </w:tr>
      <w:tr>
        <w:trPr>
          <w:trHeight w:val="294"/>
        </w:trPr>
        <w:tc>
          <w:tcPr>
            <w:tcW w:w="4700" w:type="dxa"/>
            <w:vAlign w:val="bottom"/>
          </w:tcPr>
          <w:p>
            <w:pPr>
              <w:spacing w:after="0"/>
              <w:rPr>
                <w:sz w:val="20"/>
                <w:szCs w:val="20"/>
                <w:color w:val="auto"/>
              </w:rPr>
            </w:pPr>
            <w:r>
              <w:rPr>
                <w:rFonts w:ascii="Arial" w:cs="Arial" w:eastAsia="Arial" w:hAnsi="Arial"/>
                <w:sz w:val="16"/>
                <w:szCs w:val="16"/>
                <w:color w:val="auto"/>
              </w:rPr>
              <w:t>____________________</w:t>
            </w:r>
          </w:p>
        </w:tc>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2021 included planned and unplanned outages at Wygen I and planned outages at Pueblo Airport Generation.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20"/>
                <w:szCs w:val="20"/>
                <w:color w:val="auto"/>
              </w:rPr>
            </w:pPr>
            <w:r>
              <w:rPr>
                <w:rFonts w:ascii="Arial" w:cs="Arial" w:eastAsia="Arial" w:hAnsi="Arial"/>
                <w:sz w:val="16"/>
                <w:szCs w:val="16"/>
                <w:b w:val="1"/>
                <w:bCs w:val="1"/>
                <w:color w:val="auto"/>
              </w:rPr>
              <w:t>Mining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32"/>
        </w:trPr>
        <w:tc>
          <w:tcPr>
            <w:tcW w:w="5220" w:type="dxa"/>
            <w:vAlign w:val="bottom"/>
            <w:gridSpan w:val="3"/>
          </w:tcPr>
          <w:p>
            <w:pPr>
              <w:spacing w:after="0"/>
              <w:rPr>
                <w:sz w:val="20"/>
                <w:szCs w:val="20"/>
                <w:color w:val="auto"/>
              </w:rPr>
            </w:pPr>
            <w:r>
              <w:rPr>
                <w:rFonts w:ascii="Arial" w:cs="Arial" w:eastAsia="Arial" w:hAnsi="Arial"/>
                <w:sz w:val="16"/>
                <w:szCs w:val="16"/>
                <w:color w:val="auto"/>
              </w:rPr>
              <w:t>Our Mining segment operating results were as follows (in thousands):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5"/>
          </w:tcPr>
          <w:p>
            <w:pPr>
              <w:jc w:val="right"/>
              <w:ind w:right="399"/>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24"/>
                <w:szCs w:val="24"/>
                <w:color w:val="auto"/>
              </w:rPr>
            </w:pPr>
          </w:p>
        </w:tc>
        <w:tc>
          <w:tcPr>
            <w:tcW w:w="3340" w:type="dxa"/>
            <w:vAlign w:val="bottom"/>
            <w:gridSpan w:val="5"/>
          </w:tcPr>
          <w:p>
            <w:pPr>
              <w:jc w:val="right"/>
              <w:ind w:right="45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Variance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Variance</w:t>
            </w:r>
          </w:p>
        </w:tc>
      </w:tr>
      <w:tr>
        <w:trPr>
          <w:trHeight w:val="253"/>
        </w:trPr>
        <w:tc>
          <w:tcPr>
            <w:tcW w:w="4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3"/>
        </w:trPr>
        <w:tc>
          <w:tcPr>
            <w:tcW w:w="40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16,388</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15,236</w:t>
            </w:r>
          </w:p>
        </w:tc>
        <w:tc>
          <w:tcPr>
            <w:tcW w:w="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1,152</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45,489</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45,857</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(368)</w:t>
            </w:r>
          </w:p>
        </w:tc>
      </w:tr>
      <w:tr>
        <w:trPr>
          <w:trHeight w:val="253"/>
        </w:trPr>
        <w:tc>
          <w:tcPr>
            <w:tcW w:w="4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40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9,344</w:t>
            </w:r>
          </w:p>
        </w:tc>
        <w:tc>
          <w:tcPr>
            <w:tcW w:w="28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8,923</w:t>
            </w:r>
          </w:p>
        </w:tc>
        <w:tc>
          <w:tcPr>
            <w:tcW w:w="2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421</w:t>
            </w: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26,956</w:t>
            </w:r>
          </w:p>
        </w:tc>
        <w:tc>
          <w:tcPr>
            <w:tcW w:w="28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28,481</w:t>
            </w: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(1,525)</w:t>
            </w:r>
          </w:p>
        </w:tc>
      </w:tr>
      <w:tr>
        <w:trPr>
          <w:trHeight w:val="213"/>
        </w:trPr>
        <w:tc>
          <w:tcPr>
            <w:tcW w:w="40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6,720</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7,384</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w:t>
            </w:r>
          </w:p>
        </w:tc>
      </w:tr>
      <w:tr>
        <w:trPr>
          <w:trHeight w:val="210"/>
        </w:trPr>
        <w:tc>
          <w:tcPr>
            <w:tcW w:w="4060" w:type="dxa"/>
            <w:vAlign w:val="bottom"/>
            <w:shd w:val="clear" w:color="auto" w:fill="CEFFE7"/>
          </w:tcPr>
          <w:p>
            <w:pPr>
              <w:ind w:left="5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11,480</w:t>
            </w:r>
          </w:p>
        </w:tc>
        <w:tc>
          <w:tcPr>
            <w:tcW w:w="28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11,731</w:t>
            </w:r>
          </w:p>
        </w:tc>
        <w:tc>
          <w:tcPr>
            <w:tcW w:w="24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(251)</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33,676</w:t>
            </w:r>
          </w:p>
        </w:tc>
        <w:tc>
          <w:tcPr>
            <w:tcW w:w="2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35,865</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(2,189)</w:t>
            </w:r>
          </w:p>
        </w:tc>
      </w:tr>
      <w:tr>
        <w:trPr>
          <w:trHeight w:val="253"/>
        </w:trPr>
        <w:tc>
          <w:tcPr>
            <w:tcW w:w="4060" w:type="dxa"/>
            <w:vAlign w:val="bottom"/>
            <w:tcBorders>
              <w:bottom w:val="single" w:sz="8" w:color="CEFFE7"/>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34"/>
        </w:trPr>
        <w:tc>
          <w:tcPr>
            <w:tcW w:w="40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Adjusted operating income</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4,908</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3,505</w:t>
            </w:r>
          </w:p>
        </w:tc>
        <w:tc>
          <w:tcPr>
            <w:tcW w:w="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1,403</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11,813</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9,992</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1,821</w:t>
            </w:r>
          </w:p>
        </w:tc>
      </w:tr>
      <w:tr>
        <w:trPr>
          <w:trHeight w:val="20"/>
        </w:trPr>
        <w:tc>
          <w:tcPr>
            <w:tcW w:w="406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2021 Compared to the Three Months Ended September 30,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reflecting a 6% increase in price per ton sold driven by contract price adjustments based on actual mining costs.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2021 Compared to the Nine Months Ended September 30, 2020:</w:t>
      </w:r>
    </w:p>
    <w:p>
      <w:pPr>
        <w:spacing w:after="0" w:line="24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Current year revenue was comparable due to fewer tons sold driven primarily by planned and unplanned outages at the Gillette, Wyoming energy complex mostly offset by a 4% increase in price per ton sold driven by contract price adjustments based on actual mining costs. Operating expenses decreased primarily due to lower overburden and processing costs.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operating statistics for our Mining segment (in thousands, except for Revenue per ton):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2920" w:type="dxa"/>
            <w:vAlign w:val="bottom"/>
            <w:gridSpan w:val="4"/>
          </w:tcPr>
          <w:p>
            <w:pPr>
              <w:jc w:val="right"/>
              <w:ind w:right="79"/>
              <w:spacing w:after="0"/>
              <w:rPr>
                <w:sz w:val="20"/>
                <w:szCs w:val="20"/>
                <w:color w:val="auto"/>
              </w:rPr>
            </w:pPr>
            <w:r>
              <w:rPr>
                <w:rFonts w:ascii="Arial" w:cs="Arial" w:eastAsia="Arial" w:hAnsi="Arial"/>
                <w:sz w:val="16"/>
                <w:szCs w:val="16"/>
                <w:color w:val="auto"/>
              </w:rPr>
              <w:t>Three Months Ended September 30,</w:t>
            </w:r>
          </w:p>
        </w:tc>
        <w:tc>
          <w:tcPr>
            <w:tcW w:w="220" w:type="dxa"/>
            <w:vAlign w:val="bottom"/>
          </w:tcPr>
          <w:p>
            <w:pPr>
              <w:spacing w:after="0"/>
              <w:rPr>
                <w:sz w:val="16"/>
                <w:szCs w:val="16"/>
                <w:color w:val="auto"/>
              </w:rPr>
            </w:pPr>
          </w:p>
        </w:tc>
        <w:tc>
          <w:tcPr>
            <w:tcW w:w="2740" w:type="dxa"/>
            <w:vAlign w:val="bottom"/>
            <w:gridSpan w:val="3"/>
          </w:tcPr>
          <w:p>
            <w:pPr>
              <w:jc w:val="right"/>
              <w:ind w:right="9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5360" w:type="dxa"/>
            <w:vAlign w:val="bottom"/>
            <w:tcBorders>
              <w:bottom w:val="single" w:sz="8" w:color="CEFFE7"/>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13"/>
        </w:trPr>
        <w:tc>
          <w:tcPr>
            <w:tcW w:w="53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Tons of coal sold</w:t>
            </w:r>
          </w:p>
        </w:tc>
        <w:tc>
          <w:tcPr>
            <w:tcW w:w="940" w:type="dxa"/>
            <w:vAlign w:val="bottom"/>
            <w:shd w:val="clear" w:color="auto" w:fill="CEFFE7"/>
          </w:tcPr>
          <w:p>
            <w:pPr>
              <w:spacing w:after="0"/>
              <w:rPr>
                <w:sz w:val="18"/>
                <w:szCs w:val="18"/>
                <w:color w:val="auto"/>
              </w:rPr>
            </w:pP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960</w:t>
            </w:r>
          </w:p>
        </w:tc>
        <w:tc>
          <w:tcPr>
            <w:tcW w:w="340" w:type="dxa"/>
            <w:vAlign w:val="bottom"/>
            <w:shd w:val="clear" w:color="auto" w:fill="CEFFE7"/>
          </w:tcPr>
          <w:p>
            <w:pPr>
              <w:spacing w:after="0"/>
              <w:rPr>
                <w:sz w:val="18"/>
                <w:szCs w:val="18"/>
                <w:color w:val="auto"/>
              </w:rPr>
            </w:pPr>
          </w:p>
        </w:tc>
        <w:tc>
          <w:tcPr>
            <w:tcW w:w="11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940</w:t>
            </w:r>
          </w:p>
        </w:tc>
        <w:tc>
          <w:tcPr>
            <w:tcW w:w="22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2,691</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2,808</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Cubic yards of overburden moved</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1,757</w:t>
            </w: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1,595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5,188</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6,073</w:t>
            </w:r>
          </w:p>
        </w:tc>
      </w:tr>
      <w:tr>
        <w:trPr>
          <w:trHeight w:val="273"/>
        </w:trPr>
        <w:tc>
          <w:tcPr>
            <w:tcW w:w="5360" w:type="dxa"/>
            <w:vAlign w:val="bottom"/>
            <w:shd w:val="clear" w:color="auto" w:fill="CEFFE7"/>
          </w:tcPr>
          <w:p>
            <w:pPr>
              <w:spacing w:after="0"/>
              <w:rPr>
                <w:sz w:val="23"/>
                <w:szCs w:val="23"/>
                <w:color w:val="auto"/>
              </w:rPr>
            </w:pPr>
          </w:p>
        </w:tc>
        <w:tc>
          <w:tcPr>
            <w:tcW w:w="9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2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Revenue per ton</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16.47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16.26</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15.64</w:t>
            </w:r>
          </w:p>
        </w:tc>
      </w:tr>
    </w:tbl>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20"/>
                <w:szCs w:val="20"/>
                <w:color w:val="auto"/>
              </w:rPr>
            </w:pPr>
            <w:r>
              <w:rPr>
                <w:rFonts w:ascii="Arial" w:cs="Arial" w:eastAsia="Arial" w:hAnsi="Arial"/>
                <w:sz w:val="16"/>
                <w:szCs w:val="16"/>
                <w:b w:val="1"/>
                <w:bCs w:val="1"/>
                <w:color w:val="auto"/>
              </w:rPr>
              <w:t>Corporate and Other</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6"/>
                <w:szCs w:val="16"/>
                <w:color w:val="auto"/>
              </w:rPr>
              <w:t>Corporate and Other operating results were as follows (in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0"/>
        </w:trPr>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24"/>
                <w:szCs w:val="24"/>
                <w:color w:val="auto"/>
              </w:rPr>
            </w:pPr>
          </w:p>
        </w:tc>
        <w:tc>
          <w:tcPr>
            <w:tcW w:w="3160" w:type="dxa"/>
            <w:vAlign w:val="bottom"/>
            <w:gridSpan w:val="5"/>
          </w:tcPr>
          <w:p>
            <w:pPr>
              <w:jc w:val="center"/>
              <w:ind w:right="15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Variance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r>
      <w:tr>
        <w:trPr>
          <w:trHeight w:val="253"/>
        </w:trPr>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41"/>
        </w:trPr>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Adjusted operating income (loss)</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(223)</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(3,526)</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(3,418)</w:t>
            </w:r>
          </w:p>
        </w:tc>
      </w:tr>
      <w:tr>
        <w:trPr>
          <w:trHeight w:val="20"/>
        </w:trPr>
        <w:tc>
          <w:tcPr>
            <w:tcW w:w="444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2021 Compared to the Three Months Ended September 30,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income was comparable to the same period in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2021 Compared to the Nine Months Ended September 30, 2020:</w:t>
      </w:r>
    </w:p>
    <w:p>
      <w:pPr>
        <w:spacing w:after="0" w:line="248"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The variance in Adjusted operating income (loss) was primarily due to a prior year favorable true-up of employee costs which was allocated to our subsidiaries in the current year. This allocation was offset in our business segments and had no impact to consolidated results.</w:t>
      </w:r>
    </w:p>
    <w:p>
      <w:pPr>
        <w:sectPr>
          <w:pgSz w:w="11900" w:h="16838" w:orient="portrait"/>
          <w:cols w:equalWidth="0" w:num="1">
            <w:col w:w="11240"/>
          </w:cols>
          <w:pgMar w:left="320" w:top="121" w:right="3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Impairment of Investment, Other Income (Expense) and Income Tax (Expense)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5"/>
          </w:tcPr>
          <w:p>
            <w:pPr>
              <w:jc w:val="right"/>
              <w:ind w:right="399"/>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16"/>
                <w:szCs w:val="16"/>
                <w:color w:val="auto"/>
              </w:rPr>
            </w:pPr>
          </w:p>
        </w:tc>
        <w:tc>
          <w:tcPr>
            <w:tcW w:w="3340" w:type="dxa"/>
            <w:vAlign w:val="bottom"/>
            <w:gridSpan w:val="5"/>
          </w:tcPr>
          <w:p>
            <w:pPr>
              <w:jc w:val="right"/>
              <w:ind w:right="45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Variance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Variance</w:t>
            </w:r>
          </w:p>
        </w:tc>
      </w:tr>
      <w:tr>
        <w:trPr>
          <w:trHeight w:val="209"/>
        </w:trPr>
        <w:tc>
          <w:tcPr>
            <w:tcW w:w="404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3"/>
        </w:trPr>
        <w:tc>
          <w:tcPr>
            <w:tcW w:w="40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(38,018)</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(36,041)</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(1,977)</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(113,820)</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(107,039)</w:t>
            </w:r>
          </w:p>
        </w:tc>
        <w:tc>
          <w:tcPr>
            <w:tcW w:w="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(6,781)</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(6,859)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6,859</w:t>
            </w:r>
          </w:p>
        </w:tc>
      </w:tr>
      <w:tr>
        <w:trPr>
          <w:trHeight w:val="219"/>
        </w:trPr>
        <w:tc>
          <w:tcPr>
            <w:tcW w:w="40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26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1,560</w:t>
            </w: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(1,193)</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2,753</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1,635</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(703)</w:t>
            </w:r>
          </w:p>
        </w:tc>
        <w:tc>
          <w:tcPr>
            <w:tcW w:w="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2,338</w:t>
            </w: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(5,253)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(6,333)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(25,484)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19,151</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2021 Compared to the Three Months Ended September 30,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6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increase in Interest expense, net was due to higher debt balances driven by the August 2021 senior unsecured notes and February 2021 term loan partially offset by lower interest rates.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w:t>
      </w:r>
    </w:p>
    <w:p>
      <w:pPr>
        <w:spacing w:after="0" w:line="26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increase in Other income was primarily due to lower non-service pension costs driven by a lower discount rate, lower costs for our non-qualified benefit plans which were driven by market performance and recognition of death benefits from Company-owned life insurance.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2021 Compared to the Nine Months Ended September 30,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6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increase in Interest expense, net was due to higher debt balances driven by the August 2021 senior unsecured notes, February 2021 term loan and the June 2020 senior unsecured notes partially offset by lower interest rates.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Investment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 the prior year, we recorded a pre-tax non-cash write-down of $6.9 million in our investment in equity securities of a privately held oil and gas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impairment was triggered by continued adverse changes in future natural gas prices and liquidity concerns at the privately held oil and gas company.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w:t>
      </w:r>
    </w:p>
    <w:p>
      <w:pPr>
        <w:spacing w:after="0" w:line="26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increase in Other income was primarily due to lower non-service pension costs driven by a lower discount rate and recognition of death benefits from Company-owned life insurance.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264" w:lineRule="exact"/>
        <w:rPr>
          <w:sz w:val="20"/>
          <w:szCs w:val="20"/>
          <w:color w:val="auto"/>
        </w:rPr>
      </w:pPr>
    </w:p>
    <w:p>
      <w:pPr>
        <w:ind w:right="1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the nine months ended September 30, 2021, the effective tax rate was 3.5% compared to 13.6% for the same period in 2020. See </w:t>
      </w:r>
      <w:hyperlink w:anchor="page30">
        <w:r>
          <w:rPr>
            <w:rFonts w:ascii="Arial" w:cs="Arial" w:eastAsia="Arial" w:hAnsi="Arial"/>
            <w:sz w:val="16"/>
            <w:szCs w:val="16"/>
            <w:u w:val="single" w:color="auto"/>
            <w:color w:val="0000FF"/>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discussion of effective tax rate variances.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2020 Annual Report on Form 10-K except as described below.</w:t>
      </w:r>
    </w:p>
    <w:p>
      <w:pPr>
        <w:spacing w:after="0" w:line="222" w:lineRule="exact"/>
        <w:rPr>
          <w:sz w:val="20"/>
          <w:szCs w:val="20"/>
          <w:color w:val="auto"/>
        </w:rPr>
      </w:pPr>
    </w:p>
    <w:p>
      <w:pPr>
        <w:ind w:right="1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 response to the February 2021 Winter Storm Uri, we took steps to maintain adequate liquidity to operate our businesses and fund our capital investment program as discussed in the </w:t>
      </w:r>
      <w:hyperlink w:anchor="page34">
        <w:r>
          <w:rPr>
            <w:rFonts w:ascii="Arial" w:cs="Arial" w:eastAsia="Arial" w:hAnsi="Arial"/>
            <w:sz w:val="16"/>
            <w:szCs w:val="16"/>
            <w:u w:val="single" w:color="auto"/>
            <w:color w:val="0000FF"/>
          </w:rPr>
          <w:t>Recent Developments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above and in further detail in </w:t>
      </w:r>
      <w:hyperlink w:anchor="page20">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nine months ended September 30,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provided by (used in):</w:t>
            </w:r>
          </w:p>
        </w:tc>
        <w:tc>
          <w:tcPr>
            <w:tcW w:w="29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Variance</w:t>
            </w:r>
          </w:p>
        </w:tc>
      </w:tr>
      <w:tr>
        <w:trPr>
          <w:trHeight w:val="213"/>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activities</w:t>
            </w:r>
          </w:p>
        </w:tc>
        <w:tc>
          <w:tcPr>
            <w:tcW w:w="29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w w:val="99"/>
              </w:rPr>
              <w:t>(144,760)</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419,459</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(564,219)</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219"/>
              <w:spacing w:after="0"/>
              <w:rPr>
                <w:sz w:val="20"/>
                <w:szCs w:val="20"/>
                <w:color w:val="auto"/>
              </w:rPr>
            </w:pPr>
            <w:r>
              <w:rPr>
                <w:rFonts w:ascii="Arial" w:cs="Arial" w:eastAsia="Arial" w:hAnsi="Arial"/>
                <w:sz w:val="16"/>
                <w:szCs w:val="16"/>
                <w:color w:val="auto"/>
                <w:w w:val="99"/>
              </w:rPr>
              <w:t>(484,106)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199"/>
              <w:spacing w:after="0"/>
              <w:rPr>
                <w:sz w:val="20"/>
                <w:szCs w:val="20"/>
                <w:color w:val="auto"/>
              </w:rPr>
            </w:pPr>
            <w:r>
              <w:rPr>
                <w:rFonts w:ascii="Arial" w:cs="Arial" w:eastAsia="Arial" w:hAnsi="Arial"/>
                <w:sz w:val="16"/>
                <w:szCs w:val="16"/>
                <w:color w:val="auto"/>
              </w:rPr>
              <w:t>(529,724)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45,618</w:t>
            </w:r>
          </w:p>
        </w:tc>
      </w:tr>
      <w:tr>
        <w:trPr>
          <w:trHeight w:val="219"/>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Financing activities</w:t>
            </w:r>
          </w:p>
        </w:tc>
        <w:tc>
          <w:tcPr>
            <w:tcW w:w="29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633,061</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107,819</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525,242</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2021 Compared to the Nine Months Ended September 30,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$564 million lower than the same period in 2020. The variance to the prior year was primarily attributable to:</w:t>
      </w:r>
    </w:p>
    <w:p>
      <w:pPr>
        <w:spacing w:after="0" w:line="248" w:lineRule="exact"/>
        <w:rPr>
          <w:sz w:val="20"/>
          <w:szCs w:val="20"/>
          <w:color w:val="auto"/>
        </w:rPr>
      </w:pPr>
    </w:p>
    <w:p>
      <w:pPr>
        <w:ind w:left="660" w:right="320" w:hanging="328"/>
        <w:spacing w:after="0" w:line="260"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Cash earnings (net income plus non-cash adjustments) were $14 million lower for the nine months ended September 30, 2021 compared to the same period in the prior year primarily driven by higher operating expenses and higher interest expenses;</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Net inflows from changes in certain operating assets and liabilities were $560 million lower, primarily attributable to:</w:t>
      </w:r>
    </w:p>
    <w:p>
      <w:pPr>
        <w:spacing w:after="0" w:line="248" w:lineRule="exact"/>
        <w:rPr>
          <w:rFonts w:ascii="Arial" w:cs="Arial" w:eastAsia="Arial" w:hAnsi="Arial"/>
          <w:sz w:val="16"/>
          <w:szCs w:val="16"/>
          <w:color w:val="auto"/>
        </w:rPr>
      </w:pPr>
    </w:p>
    <w:p>
      <w:pPr>
        <w:ind w:left="1140" w:right="200" w:hanging="322"/>
        <w:spacing w:after="0" w:line="260" w:lineRule="auto"/>
        <w:tabs>
          <w:tab w:leader="none" w:pos="1130" w:val="left"/>
        </w:tabs>
        <w:numPr>
          <w:ilvl w:val="1"/>
          <w:numId w:val="41"/>
        </w:numPr>
        <w:rPr>
          <w:rFonts w:ascii="Arial" w:cs="Arial" w:eastAsia="Arial" w:hAnsi="Arial"/>
          <w:sz w:val="16"/>
          <w:szCs w:val="16"/>
          <w:color w:val="auto"/>
        </w:rPr>
      </w:pPr>
      <w:r>
        <w:rPr>
          <w:rFonts w:ascii="Arial" w:cs="Arial" w:eastAsia="Arial" w:hAnsi="Arial"/>
          <w:sz w:val="16"/>
          <w:szCs w:val="16"/>
          <w:color w:val="auto"/>
        </w:rPr>
        <w:t>Cash outflows increased by $553 million as a result of changes in our regulatory assets and liabilities primarily driven by incremental costs from Winter Storm Uri;</w:t>
      </w:r>
    </w:p>
    <w:p>
      <w:pPr>
        <w:spacing w:after="0" w:line="222" w:lineRule="exact"/>
        <w:rPr>
          <w:rFonts w:ascii="Arial" w:cs="Arial" w:eastAsia="Arial" w:hAnsi="Arial"/>
          <w:sz w:val="16"/>
          <w:szCs w:val="16"/>
          <w:color w:val="auto"/>
        </w:rPr>
      </w:pPr>
    </w:p>
    <w:p>
      <w:pPr>
        <w:ind w:left="1140" w:right="380" w:hanging="322"/>
        <w:spacing w:after="0" w:line="260" w:lineRule="auto"/>
        <w:tabs>
          <w:tab w:leader="none" w:pos="1130" w:val="left"/>
        </w:tabs>
        <w:numPr>
          <w:ilvl w:val="1"/>
          <w:numId w:val="41"/>
        </w:numPr>
        <w:rPr>
          <w:rFonts w:ascii="Arial" w:cs="Arial" w:eastAsia="Arial" w:hAnsi="Arial"/>
          <w:sz w:val="16"/>
          <w:szCs w:val="16"/>
          <w:color w:val="auto"/>
        </w:rPr>
      </w:pPr>
      <w:r>
        <w:rPr>
          <w:rFonts w:ascii="Arial" w:cs="Arial" w:eastAsia="Arial" w:hAnsi="Arial"/>
          <w:sz w:val="16"/>
          <w:szCs w:val="16"/>
          <w:color w:val="auto"/>
        </w:rPr>
        <w:t>Cash outflows increased by $9.0 million as a result of decreases in accounts payable and accrued liabilities primarily driven by payment timing related to payroll taxes;</w:t>
      </w:r>
    </w:p>
    <w:p>
      <w:pPr>
        <w:spacing w:after="0" w:line="222" w:lineRule="exact"/>
        <w:rPr>
          <w:rFonts w:ascii="Arial" w:cs="Arial" w:eastAsia="Arial" w:hAnsi="Arial"/>
          <w:sz w:val="16"/>
          <w:szCs w:val="16"/>
          <w:color w:val="auto"/>
        </w:rPr>
      </w:pPr>
    </w:p>
    <w:p>
      <w:pPr>
        <w:ind w:left="1140" w:right="120" w:hanging="322"/>
        <w:spacing w:after="0" w:line="260" w:lineRule="auto"/>
        <w:tabs>
          <w:tab w:leader="none" w:pos="1130" w:val="left"/>
        </w:tabs>
        <w:numPr>
          <w:ilvl w:val="1"/>
          <w:numId w:val="41"/>
        </w:numPr>
        <w:rPr>
          <w:rFonts w:ascii="Arial" w:cs="Arial" w:eastAsia="Arial" w:hAnsi="Arial"/>
          <w:sz w:val="16"/>
          <w:szCs w:val="16"/>
          <w:color w:val="auto"/>
        </w:rPr>
      </w:pPr>
      <w:r>
        <w:rPr>
          <w:rFonts w:ascii="Arial" w:cs="Arial" w:eastAsia="Arial" w:hAnsi="Arial"/>
          <w:sz w:val="16"/>
          <w:szCs w:val="16"/>
          <w:color w:val="auto"/>
        </w:rPr>
        <w:t>Cash inflows decreased by $2.3 million as a result of changes in accounts receivable and other current assets primarily driven by increased collections of accounts receivable mostly offset by increased purchases of natural gas in storage;</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Cash outflows decreased by $13 million due to pension contributions made in the prior year;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Cash outflows increased by $2.9 million for other operating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$46 million lower than the same period in 2020. The variance to the prior year was primarily attributable to:</w:t>
      </w:r>
    </w:p>
    <w:p>
      <w:pPr>
        <w:spacing w:after="0" w:line="248" w:lineRule="exact"/>
        <w:rPr>
          <w:sz w:val="20"/>
          <w:szCs w:val="20"/>
          <w:color w:val="auto"/>
        </w:rPr>
      </w:pPr>
    </w:p>
    <w:p>
      <w:pPr>
        <w:ind w:left="660" w:right="60" w:hanging="328"/>
        <w:spacing w:after="0" w:line="253"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Capital expenditures of $498 million for the nine months ended September 30, 2021 compared to $536 million for the same period in the prior year. Lower current year expenditures are driven by lower programmatic safety, reliability and integrity spending at our Gas Utilities segment</w:t>
      </w:r>
      <w:r>
        <w:rPr>
          <w:rFonts w:ascii="Arial" w:cs="Arial" w:eastAsia="Arial" w:hAnsi="Arial"/>
          <w:sz w:val="16"/>
          <w:szCs w:val="16"/>
          <w:color w:val="auto"/>
          <w:strike w:val="1"/>
        </w:rPr>
        <w:t>s</w:t>
      </w:r>
      <w:r>
        <w:rPr>
          <w:rFonts w:ascii="Arial" w:cs="Arial" w:eastAsia="Arial" w:hAnsi="Arial"/>
          <w:sz w:val="16"/>
          <w:szCs w:val="16"/>
          <w:color w:val="auto"/>
        </w:rPr>
        <w:t xml:space="preserve"> and the prior year Corriedale wind project at our Electric Utilities segment; and</w:t>
      </w:r>
    </w:p>
    <w:p>
      <w:pPr>
        <w:spacing w:after="0" w:line="228" w:lineRule="exact"/>
        <w:rPr>
          <w:rFonts w:ascii="Arial" w:cs="Arial" w:eastAsia="Arial" w:hAnsi="Arial"/>
          <w:sz w:val="16"/>
          <w:szCs w:val="16"/>
          <w:color w:val="auto"/>
        </w:rPr>
      </w:pPr>
    </w:p>
    <w:p>
      <w:pPr>
        <w:ind w:left="660" w:right="360" w:hanging="328"/>
        <w:spacing w:after="0" w:line="260"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Cash inflows increased by $7.5 million for other investing activities which was primarily driven by the sales of transmission assets and facilities, none of which were individually significant.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was $525 million higher than the same period in 2020. The variance to the prior year was primarily attributable to:</w:t>
      </w:r>
    </w:p>
    <w:p>
      <w:pPr>
        <w:spacing w:after="0" w:line="248"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inflows increased $562 million due to short-term and long-term borrowings in excess of repayments;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inflows decreased $36 million due to lower issuances of common stock;</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outflows increased $7.0 million due to increased dividends paid on common stock;</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outflows decreased $2.4 million due to decreased distributions to non-controlling interests;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outflows decreased by $3.7 million for other financing activities.</w:t>
      </w:r>
    </w:p>
    <w:p>
      <w:pPr>
        <w:sectPr>
          <w:pgSz w:w="11900" w:h="16838" w:orient="portrait"/>
          <w:cols w:equalWidth="0" w:num="1">
            <w:col w:w="11220"/>
          </w:cols>
          <w:pgMar w:left="320" w:top="121" w:right="359" w:bottom="1440" w:gutter="0" w:footer="0" w:header="0"/>
        </w:sect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ind w:right="7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On July 19, 2021, we amended and restated our corporate Revolving Credit Facility under similar terms and conditions, See </w:t>
      </w:r>
      <w:hyperlink w:anchor="page20">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more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CP Program had the following borrowings, outstanding letters of credit and available capacity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color w:val="auto"/>
              </w:rPr>
              <w:t>Current</w:t>
            </w:r>
          </w:p>
        </w:tc>
        <w:tc>
          <w:tcPr>
            <w:tcW w:w="220" w:type="dxa"/>
            <w:vAlign w:val="bottom"/>
          </w:tcPr>
          <w:p>
            <w:pPr>
              <w:spacing w:after="0"/>
              <w:rPr>
                <w:sz w:val="21"/>
                <w:szCs w:val="21"/>
                <w:color w:val="auto"/>
              </w:rPr>
            </w:pPr>
          </w:p>
        </w:tc>
        <w:tc>
          <w:tcPr>
            <w:tcW w:w="2160" w:type="dxa"/>
            <w:vAlign w:val="bottom"/>
          </w:tcPr>
          <w:p>
            <w:pPr>
              <w:jc w:val="center"/>
              <w:ind w:right="99"/>
              <w:spacing w:after="0"/>
              <w:rPr>
                <w:sz w:val="20"/>
                <w:szCs w:val="20"/>
                <w:color w:val="auto"/>
              </w:rPr>
            </w:pPr>
            <w:r>
              <w:rPr>
                <w:rFonts w:ascii="Arial" w:cs="Arial" w:eastAsia="Arial" w:hAnsi="Arial"/>
                <w:sz w:val="16"/>
                <w:szCs w:val="16"/>
                <w:color w:val="auto"/>
              </w:rPr>
              <w:t>Short-term borrowings at</w:t>
            </w:r>
          </w:p>
        </w:tc>
        <w:tc>
          <w:tcPr>
            <w:tcW w:w="200" w:type="dxa"/>
            <w:vAlign w:val="bottom"/>
          </w:tcPr>
          <w:p>
            <w:pPr>
              <w:spacing w:after="0"/>
              <w:rPr>
                <w:sz w:val="21"/>
                <w:szCs w:val="21"/>
                <w:color w:val="auto"/>
              </w:rPr>
            </w:pPr>
          </w:p>
        </w:tc>
        <w:tc>
          <w:tcPr>
            <w:tcW w:w="1760" w:type="dxa"/>
            <w:vAlign w:val="bottom"/>
          </w:tcPr>
          <w:p>
            <w:pPr>
              <w:ind w:left="60"/>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at</w:t>
            </w:r>
          </w:p>
        </w:tc>
        <w:tc>
          <w:tcPr>
            <w:tcW w:w="240" w:type="dxa"/>
            <w:vAlign w:val="bottom"/>
          </w:tcPr>
          <w:p>
            <w:pPr>
              <w:spacing w:after="0"/>
              <w:rPr>
                <w:sz w:val="21"/>
                <w:szCs w:val="21"/>
                <w:color w:val="auto"/>
              </w:rPr>
            </w:pPr>
          </w:p>
        </w:tc>
        <w:tc>
          <w:tcPr>
            <w:tcW w:w="1940" w:type="dxa"/>
            <w:vAlign w:val="bottom"/>
          </w:tcPr>
          <w:p>
            <w:pPr>
              <w:ind w:left="120"/>
              <w:spacing w:after="0"/>
              <w:rPr>
                <w:sz w:val="20"/>
                <w:szCs w:val="20"/>
                <w:color w:val="auto"/>
              </w:rPr>
            </w:pPr>
            <w:r>
              <w:rPr>
                <w:rFonts w:ascii="Arial" w:cs="Arial" w:eastAsia="Arial" w:hAnsi="Arial"/>
                <w:sz w:val="16"/>
                <w:szCs w:val="16"/>
                <w:color w:val="auto"/>
              </w:rPr>
              <w:t>Available Capacity at</w:t>
            </w:r>
          </w:p>
        </w:tc>
      </w:tr>
      <w:tr>
        <w:trPr>
          <w:trHeight w:val="19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Capacity</w:t>
            </w: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September 30, 2021</w:t>
            </w: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September 30, 2021</w:t>
            </w: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September 30, 2021</w:t>
            </w:r>
          </w:p>
        </w:tc>
      </w:tr>
      <w:tr>
        <w:trPr>
          <w:trHeight w:val="174"/>
        </w:trPr>
        <w:tc>
          <w:tcPr>
            <w:tcW w:w="2240" w:type="dxa"/>
            <w:vAlign w:val="bottom"/>
            <w:shd w:val="clear" w:color="auto" w:fill="CEFFE7"/>
          </w:tcPr>
          <w:p>
            <w:pPr>
              <w:ind w:left="20"/>
              <w:spacing w:after="0" w:line="174" w:lineRule="exact"/>
              <w:rPr>
                <w:sz w:val="20"/>
                <w:szCs w:val="20"/>
                <w:color w:val="auto"/>
              </w:rPr>
            </w:pPr>
            <w:r>
              <w:rPr>
                <w:rFonts w:ascii="Arial" w:cs="Arial" w:eastAsia="Arial" w:hAnsi="Arial"/>
                <w:sz w:val="16"/>
                <w:szCs w:val="16"/>
                <w:color w:val="auto"/>
              </w:rPr>
              <w:t>Revolving Credit Facility and</w:t>
            </w:r>
          </w:p>
        </w:tc>
        <w:tc>
          <w:tcPr>
            <w:tcW w:w="124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98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216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76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1940" w:type="dxa"/>
            <w:vAlign w:val="bottom"/>
            <w:shd w:val="clear" w:color="auto" w:fill="CEFFE7"/>
          </w:tcPr>
          <w:p>
            <w:pPr>
              <w:spacing w:after="0"/>
              <w:rPr>
                <w:sz w:val="15"/>
                <w:szCs w:val="15"/>
                <w:color w:val="auto"/>
              </w:rPr>
            </w:pPr>
          </w:p>
        </w:tc>
      </w:tr>
      <w:tr>
        <w:trPr>
          <w:trHeight w:val="201"/>
        </w:trPr>
        <w:tc>
          <w:tcPr>
            <w:tcW w:w="2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July 19, 2026</w:t>
            </w:r>
          </w:p>
        </w:tc>
        <w:tc>
          <w:tcPr>
            <w:tcW w:w="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750</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333</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394</w:t>
            </w:r>
          </w:p>
        </w:tc>
      </w:tr>
      <w:tr>
        <w:trPr>
          <w:trHeight w:val="275"/>
        </w:trPr>
        <w:tc>
          <w:tcPr>
            <w:tcW w:w="2240" w:type="dxa"/>
            <w:vAlign w:val="bottom"/>
          </w:tcPr>
          <w:p>
            <w:pPr>
              <w:spacing w:after="0"/>
              <w:rPr>
                <w:sz w:val="20"/>
                <w:szCs w:val="20"/>
                <w:color w:val="auto"/>
              </w:rPr>
            </w:pPr>
            <w:r>
              <w:rPr>
                <w:rFonts w:ascii="Arial" w:cs="Arial" w:eastAsia="Arial" w:hAnsi="Arial"/>
                <w:sz w:val="16"/>
                <w:szCs w:val="16"/>
                <w:color w:val="auto"/>
              </w:rPr>
              <w:t>__________</w:t>
            </w: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r>
    </w:tbl>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rate on short-term borrowings related to our Revolving Credit Facility and CP Program at September 30, 2021 was 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Short-term borrowing activity related to our Revolving Credit Facility and CP Program for the nine months ended September 30, 2021 was: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9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(dollars in millions)</w:t>
            </w:r>
          </w:p>
        </w:tc>
      </w:tr>
      <w:tr>
        <w:trPr>
          <w:trHeight w:val="213"/>
        </w:trPr>
        <w:tc>
          <w:tcPr>
            <w:tcW w:w="6920" w:type="dxa"/>
            <w:vAlign w:val="bottom"/>
            <w:shd w:val="clear" w:color="auto" w:fill="CEFFE7"/>
          </w:tcPr>
          <w:p>
            <w:pPr>
              <w:spacing w:after="0"/>
              <w:rPr>
                <w:sz w:val="20"/>
                <w:szCs w:val="20"/>
                <w:color w:val="auto"/>
              </w:rPr>
            </w:pPr>
            <w:r>
              <w:rPr>
                <w:rFonts w:ascii="Arial" w:cs="Arial" w:eastAsia="Arial" w:hAnsi="Arial"/>
                <w:sz w:val="16"/>
                <w:szCs w:val="16"/>
                <w:color w:val="auto"/>
              </w:rPr>
              <w:t>Maximum amount outstanding (based on daily outstanding balances)</w:t>
            </w:r>
          </w:p>
        </w:tc>
        <w:tc>
          <w:tcPr>
            <w:tcW w:w="224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333</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Average amount outstanding (based on daily outstanding balances)</w:t>
            </w:r>
          </w:p>
        </w:tc>
        <w:tc>
          <w:tcPr>
            <w:tcW w:w="2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19"/>
              <w:spacing w:after="0"/>
              <w:rPr>
                <w:sz w:val="20"/>
                <w:szCs w:val="20"/>
                <w:color w:val="auto"/>
              </w:rPr>
            </w:pPr>
            <w:r>
              <w:rPr>
                <w:rFonts w:ascii="Arial" w:cs="Arial" w:eastAsia="Arial" w:hAnsi="Arial"/>
                <w:sz w:val="16"/>
                <w:szCs w:val="16"/>
                <w:color w:val="auto"/>
              </w:rPr>
              <w:t>224</w:t>
            </w:r>
          </w:p>
        </w:tc>
      </w:tr>
      <w:tr>
        <w:trPr>
          <w:trHeight w:val="219"/>
        </w:trPr>
        <w:tc>
          <w:tcPr>
            <w:tcW w:w="6920" w:type="dxa"/>
            <w:vAlign w:val="bottom"/>
            <w:shd w:val="clear" w:color="auto" w:fill="CEFFE7"/>
          </w:tcPr>
          <w:p>
            <w:pPr>
              <w:spacing w:after="0"/>
              <w:rPr>
                <w:sz w:val="20"/>
                <w:szCs w:val="20"/>
                <w:color w:val="auto"/>
              </w:rPr>
            </w:pPr>
            <w:r>
              <w:rPr>
                <w:rFonts w:ascii="Arial" w:cs="Arial" w:eastAsia="Arial" w:hAnsi="Arial"/>
                <w:sz w:val="16"/>
                <w:szCs w:val="16"/>
                <w:color w:val="auto"/>
              </w:rPr>
              <w:t>Weighted average interest rates</w:t>
            </w:r>
          </w:p>
        </w:tc>
        <w:tc>
          <w:tcPr>
            <w:tcW w:w="2240" w:type="dxa"/>
            <w:vAlign w:val="bottom"/>
            <w:shd w:val="clear" w:color="auto" w:fill="CEFFE7"/>
          </w:tcPr>
          <w:p>
            <w:pPr>
              <w:spacing w:after="0"/>
              <w:rPr>
                <w:sz w:val="19"/>
                <w:szCs w:val="19"/>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0.21 %</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Loan</w:t>
      </w:r>
    </w:p>
    <w:p>
      <w:pPr>
        <w:spacing w:after="0" w:line="24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20">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information related to our term loan.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6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20">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information related to our long-term debt.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68" w:lineRule="exact"/>
        <w:rPr>
          <w:sz w:val="20"/>
          <w:szCs w:val="20"/>
          <w:color w:val="auto"/>
        </w:rPr>
      </w:pPr>
    </w:p>
    <w:p>
      <w:pPr>
        <w:jc w:val="both"/>
        <w:ind w:right="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September 30, 2021. See </w:t>
      </w:r>
      <w:hyperlink w:anchor="page20">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68"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In the fourth quarter of 2021, we plan to fund our capital plan and strategic objectives by using cash generated from operating activities, our Revolving Credit Facility and CP Program and issuing an additional $40 million to $60 million of common stock under the ATM.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6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After assessing the current operating performance, liquidity and credit ratings of the Company, management believes that the Company will have access to the capital markets at prevailing market rates for companies with comparable credit ratings.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at September 30,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5540" w:type="dxa"/>
            <w:vAlign w:val="bottom"/>
            <w:tcBorders>
              <w:bottom w:val="single" w:sz="8" w:color="auto"/>
            </w:tcBorders>
          </w:tcPr>
          <w:p>
            <w:pPr>
              <w:jc w:val="center"/>
              <w:ind w:left="2359"/>
              <w:spacing w:after="0"/>
              <w:rPr>
                <w:sz w:val="20"/>
                <w:szCs w:val="20"/>
                <w:color w:val="auto"/>
              </w:rPr>
            </w:pPr>
            <w:r>
              <w:rPr>
                <w:rFonts w:ascii="Arial" w:cs="Arial" w:eastAsia="Arial" w:hAnsi="Arial"/>
                <w:sz w:val="16"/>
                <w:szCs w:val="16"/>
                <w:b w:val="1"/>
                <w:bCs w:val="1"/>
                <w:color w:val="auto"/>
              </w:rPr>
              <w:t>Senior Unsecured Rating</w:t>
            </w:r>
          </w:p>
        </w:tc>
        <w:tc>
          <w:tcPr>
            <w:tcW w:w="15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Outlook</w:t>
            </w:r>
          </w:p>
        </w:tc>
      </w:tr>
      <w:tr>
        <w:trPr>
          <w:trHeight w:val="213"/>
        </w:trPr>
        <w:tc>
          <w:tcPr>
            <w:tcW w:w="418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5540" w:type="dxa"/>
            <w:vAlign w:val="bottom"/>
          </w:tcPr>
          <w:p>
            <w:pPr>
              <w:jc w:val="center"/>
              <w:ind w:left="2359"/>
              <w:spacing w:after="0"/>
              <w:rPr>
                <w:sz w:val="20"/>
                <w:szCs w:val="20"/>
                <w:color w:val="auto"/>
              </w:rPr>
            </w:pPr>
            <w:r>
              <w:rPr>
                <w:rFonts w:ascii="Arial" w:cs="Arial" w:eastAsia="Arial" w:hAnsi="Arial"/>
                <w:sz w:val="16"/>
                <w:szCs w:val="16"/>
                <w:color w:val="auto"/>
              </w:rPr>
              <w:t>Baa2</w:t>
            </w:r>
          </w:p>
        </w:tc>
        <w:tc>
          <w:tcPr>
            <w:tcW w:w="1520" w:type="dxa"/>
            <w:vAlign w:val="bottom"/>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75"/>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554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April 10, 2020, S&amp;P reported BBB+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December 21, 2020, Moody’s reported Baa2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September 17, 2021, Fitch reported BBB+ rating and maintained a Stable outlook.</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20"/>
                <w:szCs w:val="20"/>
                <w:color w:val="auto"/>
              </w:rPr>
            </w:pPr>
            <w:r>
              <w:rPr>
                <w:rFonts w:ascii="Arial" w:cs="Arial" w:eastAsia="Arial" w:hAnsi="Arial"/>
                <w:sz w:val="16"/>
                <w:szCs w:val="16"/>
                <w:color w:val="auto"/>
              </w:rPr>
              <w:t>The following table represents the credit ratings of South Dakota Electric at September 30, 2021:</w:t>
            </w:r>
          </w:p>
        </w:tc>
        <w:tc>
          <w:tcPr>
            <w:tcW w:w="3420" w:type="dxa"/>
            <w:vAlign w:val="bottom"/>
          </w:tcPr>
          <w:p>
            <w:pPr>
              <w:spacing w:after="0"/>
              <w:rPr>
                <w:sz w:val="16"/>
                <w:szCs w:val="16"/>
                <w:color w:val="auto"/>
              </w:rPr>
            </w:pPr>
          </w:p>
        </w:tc>
      </w:tr>
      <w:tr>
        <w:trPr>
          <w:trHeight w:val="327"/>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34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Senior Secured Rating</w:t>
            </w:r>
          </w:p>
        </w:tc>
      </w:tr>
      <w:tr>
        <w:trPr>
          <w:trHeight w:val="213"/>
        </w:trPr>
        <w:tc>
          <w:tcPr>
            <w:tcW w:w="7820" w:type="dxa"/>
            <w:vAlign w:val="bottom"/>
            <w:shd w:val="clear" w:color="auto" w:fill="CEFFE7"/>
          </w:tcPr>
          <w:p>
            <w:pPr>
              <w:ind w:left="20"/>
              <w:spacing w:after="0" w:line="212" w:lineRule="exact"/>
              <w:rPr>
                <w:sz w:val="20"/>
                <w:szCs w:val="20"/>
                <w:color w:val="auto"/>
              </w:rPr>
            </w:pPr>
            <w:r>
              <w:rPr>
                <w:rFonts w:ascii="Arial" w:cs="Arial" w:eastAsia="Arial" w:hAnsi="Arial"/>
                <w:sz w:val="24"/>
                <w:szCs w:val="24"/>
                <w:color w:val="auto"/>
                <w:vertAlign w:val="subscript"/>
              </w:rPr>
              <w:t>S&amp;P</w:t>
            </w:r>
            <w:r>
              <w:rPr>
                <w:rFonts w:ascii="Arial" w:cs="Arial" w:eastAsia="Arial" w:hAnsi="Arial"/>
                <w:sz w:val="9"/>
                <w:szCs w:val="9"/>
                <w:color w:val="auto"/>
              </w:rPr>
              <w:t xml:space="preserve"> (a)</w:t>
            </w:r>
          </w:p>
        </w:tc>
        <w:tc>
          <w:tcPr>
            <w:tcW w:w="34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3"/>
              </w:rPr>
              <w:t>A</w:t>
            </w:r>
          </w:p>
        </w:tc>
      </w:tr>
      <w:tr>
        <w:trPr>
          <w:trHeight w:val="216"/>
        </w:trPr>
        <w:tc>
          <w:tcPr>
            <w:tcW w:w="7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3420" w:type="dxa"/>
            <w:vAlign w:val="bottom"/>
          </w:tcPr>
          <w:p>
            <w:pPr>
              <w:jc w:val="center"/>
              <w:ind w:left="19"/>
              <w:spacing w:after="0"/>
              <w:rPr>
                <w:sz w:val="20"/>
                <w:szCs w:val="20"/>
                <w:color w:val="auto"/>
              </w:rPr>
            </w:pPr>
            <w:r>
              <w:rPr>
                <w:rFonts w:ascii="Arial" w:cs="Arial" w:eastAsia="Arial" w:hAnsi="Arial"/>
                <w:sz w:val="16"/>
                <w:szCs w:val="16"/>
                <w:color w:val="auto"/>
              </w:rPr>
              <w:t>A1</w:t>
            </w:r>
          </w:p>
        </w:tc>
      </w:tr>
      <w:tr>
        <w:trPr>
          <w:trHeight w:val="216"/>
        </w:trPr>
        <w:tc>
          <w:tcPr>
            <w:tcW w:w="782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34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3"/>
              </w:rPr>
              <w:t>A</w:t>
            </w:r>
          </w:p>
        </w:tc>
      </w:tr>
      <w:tr>
        <w:trPr>
          <w:trHeight w:val="288"/>
        </w:trPr>
        <w:tc>
          <w:tcPr>
            <w:tcW w:w="7820" w:type="dxa"/>
            <w:vAlign w:val="bottom"/>
          </w:tcPr>
          <w:p>
            <w:pPr>
              <w:spacing w:after="0"/>
              <w:rPr>
                <w:sz w:val="20"/>
                <w:szCs w:val="20"/>
                <w:color w:val="auto"/>
              </w:rPr>
            </w:pPr>
            <w:r>
              <w:rPr>
                <w:rFonts w:ascii="Arial" w:cs="Arial" w:eastAsia="Arial" w:hAnsi="Arial"/>
                <w:sz w:val="16"/>
                <w:szCs w:val="16"/>
                <w:color w:val="auto"/>
              </w:rPr>
              <w:t>__________</w:t>
            </w:r>
          </w:p>
        </w:tc>
        <w:tc>
          <w:tcPr>
            <w:tcW w:w="3420" w:type="dxa"/>
            <w:vAlign w:val="bottom"/>
          </w:tcPr>
          <w:p>
            <w:pPr>
              <w:spacing w:after="0"/>
              <w:rPr>
                <w:sz w:val="24"/>
                <w:szCs w:val="24"/>
                <w:color w:val="auto"/>
              </w:rPr>
            </w:pPr>
          </w:p>
        </w:tc>
      </w:tr>
    </w:tbl>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 April 16, 2020, S&amp;P reported A rating.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 December 21, 2020, Moody’s reported A1 rating.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 September 17, 2021, Fitch reported A rating.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32"/>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6"/>
        </w:trPr>
        <w:tc>
          <w:tcPr>
            <w:tcW w:w="2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 xml:space="preserve">Forecasted </w:t>
            </w:r>
            <w:r>
              <w:rPr>
                <w:rFonts w:ascii="Arial" w:cs="Arial" w:eastAsia="Arial" w:hAnsi="Arial"/>
                <w:sz w:val="21"/>
                <w:szCs w:val="21"/>
                <w:b w:val="1"/>
                <w:bCs w:val="1"/>
                <w:color w:val="auto"/>
                <w:w w:val="95"/>
                <w:vertAlign w:val="superscript"/>
              </w:rPr>
              <w:t>(c)</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8"/>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tcPr>
          <w:p>
            <w:pPr>
              <w:jc w:val="center"/>
              <w:ind w:right="280"/>
              <w:spacing w:after="0" w:line="168" w:lineRule="exact"/>
              <w:rPr>
                <w:sz w:val="20"/>
                <w:szCs w:val="20"/>
                <w:color w:val="auto"/>
              </w:rPr>
            </w:pPr>
            <w:r>
              <w:rPr>
                <w:rFonts w:ascii="Arial" w:cs="Arial" w:eastAsia="Arial" w:hAnsi="Arial"/>
                <w:sz w:val="16"/>
                <w:szCs w:val="16"/>
                <w:color w:val="auto"/>
              </w:rPr>
              <w:t>Nine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6"/>
                <w:szCs w:val="16"/>
                <w:color w:val="auto"/>
              </w:rPr>
              <w:t>Capital Expenditures by Segment</w:t>
            </w:r>
          </w:p>
        </w:tc>
        <w:tc>
          <w:tcPr>
            <w:tcW w:w="180" w:type="dxa"/>
            <w:vAlign w:val="bottom"/>
          </w:tcPr>
          <w:p>
            <w:pPr>
              <w:spacing w:after="0"/>
              <w:rPr>
                <w:sz w:val="17"/>
                <w:szCs w:val="17"/>
                <w:color w:val="auto"/>
              </w:rPr>
            </w:pPr>
          </w:p>
        </w:tc>
        <w:tc>
          <w:tcPr>
            <w:tcW w:w="2060" w:type="dxa"/>
            <w:vAlign w:val="bottom"/>
            <w:gridSpan w:val="2"/>
          </w:tcPr>
          <w:p>
            <w:pPr>
              <w:jc w:val="center"/>
              <w:ind w:right="300"/>
              <w:spacing w:after="0" w:line="204" w:lineRule="exact"/>
              <w:rPr>
                <w:sz w:val="20"/>
                <w:szCs w:val="20"/>
                <w:color w:val="auto"/>
              </w:rPr>
            </w:pPr>
            <w:r>
              <w:rPr>
                <w:rFonts w:ascii="Arial" w:cs="Arial" w:eastAsia="Arial" w:hAnsi="Arial"/>
                <w:sz w:val="16"/>
                <w:szCs w:val="16"/>
                <w:color w:val="auto"/>
                <w:w w:val="98"/>
              </w:rPr>
              <w:t xml:space="preserve">September 30, 2021 </w:t>
            </w:r>
            <w:r>
              <w:rPr>
                <w:rFonts w:ascii="Arial" w:cs="Arial" w:eastAsia="Arial" w:hAnsi="Arial"/>
                <w:sz w:val="21"/>
                <w:szCs w:val="21"/>
                <w:color w:val="auto"/>
                <w:w w:val="98"/>
                <w:vertAlign w:val="superscript"/>
              </w:rPr>
              <w:t>(a)</w:t>
            </w:r>
          </w:p>
        </w:tc>
        <w:tc>
          <w:tcPr>
            <w:tcW w:w="240" w:type="dxa"/>
            <w:vAlign w:val="bottom"/>
          </w:tcPr>
          <w:p>
            <w:pPr>
              <w:spacing w:after="0"/>
              <w:rPr>
                <w:sz w:val="17"/>
                <w:szCs w:val="17"/>
                <w:color w:val="auto"/>
              </w:rPr>
            </w:pPr>
          </w:p>
        </w:tc>
        <w:tc>
          <w:tcPr>
            <w:tcW w:w="1040" w:type="dxa"/>
            <w:vAlign w:val="bottom"/>
          </w:tcPr>
          <w:p>
            <w:pPr>
              <w:jc w:val="right"/>
              <w:ind w:right="279"/>
              <w:spacing w:after="0" w:line="204" w:lineRule="exact"/>
              <w:rPr>
                <w:sz w:val="20"/>
                <w:szCs w:val="20"/>
                <w:color w:val="auto"/>
              </w:rPr>
            </w:pPr>
            <w:r>
              <w:rPr>
                <w:rFonts w:ascii="Arial" w:cs="Arial" w:eastAsia="Arial" w:hAnsi="Arial"/>
                <w:sz w:val="16"/>
                <w:szCs w:val="16"/>
                <w:color w:val="auto"/>
              </w:rPr>
              <w:t xml:space="preserve">2021 </w:t>
            </w:r>
            <w:r>
              <w:rPr>
                <w:rFonts w:ascii="Arial" w:cs="Arial" w:eastAsia="Arial" w:hAnsi="Arial"/>
                <w:sz w:val="21"/>
                <w:szCs w:val="21"/>
                <w:color w:val="auto"/>
                <w:vertAlign w:val="superscript"/>
              </w:rPr>
              <w:t>(b)</w:t>
            </w:r>
          </w:p>
        </w:tc>
        <w:tc>
          <w:tcPr>
            <w:tcW w:w="32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7"/>
                <w:szCs w:val="17"/>
                <w:color w:val="auto"/>
              </w:rPr>
            </w:pP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7"/>
                <w:szCs w:val="17"/>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color w:val="auto"/>
              </w:rPr>
              <w:t>2025</w:t>
            </w:r>
          </w:p>
        </w:tc>
      </w:tr>
      <w:tr>
        <w:trPr>
          <w:trHeight w:val="196"/>
        </w:trPr>
        <w:tc>
          <w:tcPr>
            <w:tcW w:w="24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Borders>
              <w:top w:val="single" w:sz="8" w:color="auto"/>
            </w:tcBorders>
            <w:shd w:val="clear" w:color="auto" w:fill="CEFFE7"/>
          </w:tcPr>
          <w:p>
            <w:pPr>
              <w:spacing w:after="0"/>
              <w:rPr>
                <w:sz w:val="17"/>
                <w:szCs w:val="17"/>
                <w:color w:val="auto"/>
              </w:rPr>
            </w:pPr>
          </w:p>
        </w:tc>
        <w:tc>
          <w:tcPr>
            <w:tcW w:w="1960" w:type="dxa"/>
            <w:vAlign w:val="bottom"/>
            <w:tcBorders>
              <w:top w:val="single" w:sz="8" w:color="auto"/>
            </w:tcBorders>
            <w:shd w:val="clear" w:color="auto" w:fill="CEFFE7"/>
          </w:tcPr>
          <w:p>
            <w:pPr>
              <w:spacing w:after="0"/>
              <w:rPr>
                <w:sz w:val="17"/>
                <w:szCs w:val="17"/>
                <w:color w:val="auto"/>
              </w:rPr>
            </w:pPr>
          </w:p>
        </w:tc>
        <w:tc>
          <w:tcPr>
            <w:tcW w:w="100" w:type="dxa"/>
            <w:vAlign w:val="bottom"/>
            <w:tcBorders>
              <w:top w:val="single" w:sz="8" w:color="CEFFE7"/>
            </w:tcBorders>
            <w:shd w:val="clear" w:color="auto" w:fill="CEFFE7"/>
          </w:tcPr>
          <w:p>
            <w:pPr>
              <w:spacing w:after="0"/>
              <w:rPr>
                <w:sz w:val="17"/>
                <w:szCs w:val="17"/>
                <w:color w:val="auto"/>
              </w:rPr>
            </w:pPr>
          </w:p>
        </w:tc>
        <w:tc>
          <w:tcPr>
            <w:tcW w:w="240" w:type="dxa"/>
            <w:vAlign w:val="bottom"/>
            <w:tcBorders>
              <w:top w:val="single" w:sz="8" w:color="auto"/>
            </w:tcBorders>
            <w:shd w:val="clear" w:color="auto" w:fill="CEFFE7"/>
          </w:tcPr>
          <w:p>
            <w:pPr>
              <w:spacing w:after="0"/>
              <w:rPr>
                <w:sz w:val="17"/>
                <w:szCs w:val="17"/>
                <w:color w:val="auto"/>
              </w:rPr>
            </w:pPr>
          </w:p>
        </w:tc>
        <w:tc>
          <w:tcPr>
            <w:tcW w:w="104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160" w:type="dxa"/>
            <w:vAlign w:val="bottom"/>
            <w:tcBorders>
              <w:top w:val="single" w:sz="8" w:color="auto"/>
            </w:tcBorders>
            <w:shd w:val="clear" w:color="auto" w:fill="CEFFE7"/>
          </w:tcPr>
          <w:p>
            <w:pPr>
              <w:spacing w:after="0"/>
              <w:rPr>
                <w:sz w:val="17"/>
                <w:szCs w:val="17"/>
                <w:color w:val="auto"/>
              </w:rPr>
            </w:pPr>
          </w:p>
        </w:tc>
        <w:tc>
          <w:tcPr>
            <w:tcW w:w="116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1020" w:type="dxa"/>
            <w:vAlign w:val="bottom"/>
            <w:tcBorders>
              <w:top w:val="single" w:sz="8" w:color="auto"/>
            </w:tcBorders>
            <w:shd w:val="clear" w:color="auto" w:fill="CEFFE7"/>
          </w:tcPr>
          <w:p>
            <w:pPr>
              <w:spacing w:after="0"/>
              <w:rPr>
                <w:sz w:val="17"/>
                <w:szCs w:val="17"/>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271</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Gas Utilities</w:t>
            </w:r>
          </w:p>
        </w:tc>
        <w:tc>
          <w:tcPr>
            <w:tcW w:w="180" w:type="dxa"/>
            <w:vAlign w:val="bottom"/>
            <w:shd w:val="clear" w:color="auto" w:fill="CEFFE7"/>
          </w:tcPr>
          <w:p>
            <w:pPr>
              <w:spacing w:after="0"/>
              <w:rPr>
                <w:sz w:val="19"/>
                <w:szCs w:val="19"/>
                <w:color w:val="auto"/>
              </w:rPr>
            </w:pPr>
          </w:p>
        </w:tc>
        <w:tc>
          <w:tcPr>
            <w:tcW w:w="1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393</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363</w:t>
            </w:r>
          </w:p>
        </w:tc>
        <w:tc>
          <w:tcPr>
            <w:tcW w:w="16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383</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386</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Power Generation</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Mining</w:t>
            </w:r>
          </w:p>
        </w:tc>
        <w:tc>
          <w:tcPr>
            <w:tcW w:w="180" w:type="dxa"/>
            <w:vAlign w:val="bottom"/>
            <w:shd w:val="clear" w:color="auto" w:fill="CEFFE7"/>
          </w:tcPr>
          <w:p>
            <w:pPr>
              <w:spacing w:after="0"/>
              <w:rPr>
                <w:sz w:val="19"/>
                <w:szCs w:val="19"/>
                <w:color w:val="auto"/>
              </w:rPr>
            </w:pPr>
          </w:p>
        </w:tc>
        <w:tc>
          <w:tcPr>
            <w:tcW w:w="1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246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(d)</w:t>
            </w:r>
          </w:p>
        </w:tc>
        <w:tc>
          <w:tcPr>
            <w:tcW w:w="180" w:type="dxa"/>
            <w:vAlign w:val="bottom"/>
            <w:shd w:val="clear" w:color="auto" w:fill="CEFFE7"/>
          </w:tcPr>
          <w:p>
            <w:pPr>
              <w:spacing w:after="0"/>
              <w:rPr>
                <w:sz w:val="19"/>
                <w:szCs w:val="19"/>
                <w:color w:val="auto"/>
              </w:rPr>
            </w:pPr>
          </w:p>
        </w:tc>
        <w:tc>
          <w:tcPr>
            <w:tcW w:w="206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w:t>
            </w:r>
          </w:p>
        </w:tc>
      </w:tr>
      <w:tr>
        <w:trPr>
          <w:trHeight w:val="206"/>
        </w:trPr>
        <w:tc>
          <w:tcPr>
            <w:tcW w:w="24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w:t>
            </w:r>
          </w:p>
        </w:tc>
      </w:tr>
      <w:tr>
        <w:trPr>
          <w:trHeight w:val="24"/>
        </w:trPr>
        <w:tc>
          <w:tcPr>
            <w:tcW w:w="2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00" w:hanging="332"/>
        <w:spacing w:after="0" w:line="241" w:lineRule="auto"/>
        <w:tabs>
          <w:tab w:leader="none" w:pos="352"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hyperlink w:anchor="page11">
        <w:r>
          <w:rPr>
            <w:rFonts w:ascii="Arial" w:cs="Arial" w:eastAsia="Arial" w:hAnsi="Arial"/>
            <w:sz w:val="14"/>
            <w:szCs w:val="14"/>
            <w:u w:val="single" w:color="auto"/>
            <w:color w:val="0000FF"/>
          </w:rPr>
          <w:t>Condensed Consolidated Statements of Cash Flows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the Condensed Consolidated Financial Statements.</w:t>
      </w: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actual capital expenditures for the nine months ended September 30, 2021.</w:t>
      </w:r>
    </w:p>
    <w:p>
      <w:pPr>
        <w:spacing w:after="0" w:line="1" w:lineRule="exact"/>
        <w:rPr>
          <w:rFonts w:ascii="Arial" w:cs="Arial" w:eastAsia="Arial" w:hAnsi="Arial"/>
          <w:sz w:val="14"/>
          <w:szCs w:val="14"/>
          <w:color w:val="auto"/>
        </w:rPr>
      </w:pPr>
    </w:p>
    <w:p>
      <w:pPr>
        <w:ind w:left="340" w:right="420" w:hanging="332"/>
        <w:spacing w:after="0" w:line="241" w:lineRule="auto"/>
        <w:tabs>
          <w:tab w:leader="none" w:pos="341"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The increase in forecasted capital expenditures is primarily driven by the </w:t>
      </w:r>
      <w:r>
        <w:rPr>
          <w:rFonts w:ascii="Arial" w:cs="Arial" w:eastAsia="Arial" w:hAnsi="Arial"/>
          <w:sz w:val="14"/>
          <w:szCs w:val="14"/>
          <w:i w:val="1"/>
          <w:iCs w:val="1"/>
          <w:color w:val="auto"/>
        </w:rPr>
        <w:t>Ready Wyoming</w:t>
      </w:r>
      <w:r>
        <w:rPr>
          <w:rFonts w:ascii="Arial" w:cs="Arial" w:eastAsia="Arial" w:hAnsi="Arial"/>
          <w:sz w:val="14"/>
          <w:szCs w:val="14"/>
          <w:color w:val="auto"/>
        </w:rPr>
        <w:t xml:space="preserve"> transmission project at our Electric Utilities. Additionally, we have identified various other projects at our Electric and Gas Utilities that were previously disclosed as Incremental.</w:t>
      </w: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6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Dividends paid on our common stock totaled $107 million for the nine months ended September 30, 2021, or $0.565 per share per quarter. On October 26, 2021, our board of directors declared a quarterly dividend of $0.595 per share payable December 1, 2021, equivalent to an annual dividend of $2.38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26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8">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recent updates to our purchase obligations.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Critical Accounting Policies Involving Significant Estimates</w:t>
      </w:r>
    </w:p>
    <w:p>
      <w:pPr>
        <w:spacing w:after="0" w:line="26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There have been no material changes in our critical accounting estimates from those reported in our 2020 Annual Report on Form 10-K. We continue to closely monitor the impacts of COVID-19 and Winter Storm Uri on our critical accounting estimates including, but not limited to, collectibility of customer receivables, cost recoverability through regulatory assets, impairment risk of goodwill and long-lived assets, valuation of pension assets and liabilities and contingent liabilities. For more information on our critical accounting estimates, see Part II, Item 7 of our 2020 Annual Report on Form 10-K.</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New Accounting Pronouncements</w:t>
      </w:r>
    </w:p>
    <w:p>
      <w:pPr>
        <w:spacing w:after="0" w:line="268" w:lineRule="exact"/>
        <w:rPr>
          <w:sz w:val="20"/>
          <w:szCs w:val="20"/>
          <w:color w:val="auto"/>
        </w:rPr>
      </w:pPr>
    </w:p>
    <w:p>
      <w:pPr>
        <w:ind w:right="8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Other than the pronouncements reported in our 2020 Annual Report on Form 10-K and those discussed in </w:t>
      </w:r>
      <w:hyperlink w:anchor="page15">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Annual Report on Form 10-K.</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7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September 30, 2021. Based on their evaluation, they have concluded that our disclosure controls and procedures were effective at September 30, 2021.</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During the quarter ended September 30, 2021, there have been no changes in our internal controls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7" w:lineRule="exact"/>
        <w:rPr>
          <w:sz w:val="20"/>
          <w:szCs w:val="20"/>
          <w:color w:val="auto"/>
        </w:rPr>
      </w:pPr>
    </w:p>
    <w:p>
      <w:pPr>
        <w:ind w:right="2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information regarding legal proceedings, see Note 3 in Item 8 of our 2020 Annual Report on Form 10-K and </w:t>
      </w:r>
      <w:hyperlink w:anchor="page18">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Item 1 of Part I of this Quarterly Report on Form 10-Q.</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2020 Annual Report on Form 10-K.</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September 30,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Maximum Number (or</w:t>
            </w:r>
          </w:p>
        </w:tc>
      </w:tr>
      <w:tr>
        <w:trPr>
          <w:trHeight w:val="162"/>
        </w:trPr>
        <w:tc>
          <w:tcPr>
            <w:tcW w:w="3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Total Number of Shares</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Approximate Dollar Value)</w:t>
            </w:r>
          </w:p>
        </w:tc>
      </w:tr>
      <w:tr>
        <w:trPr>
          <w:trHeight w:val="162"/>
        </w:trPr>
        <w:tc>
          <w:tcPr>
            <w:tcW w:w="3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w w:val="99"/>
              </w:rPr>
              <w:t>of Shares That May Yet</w:t>
            </w:r>
          </w:p>
        </w:tc>
      </w:tr>
      <w:tr>
        <w:trPr>
          <w:trHeight w:val="159"/>
        </w:trPr>
        <w:tc>
          <w:tcPr>
            <w:tcW w:w="3760" w:type="dxa"/>
            <w:vAlign w:val="bottom"/>
          </w:tcPr>
          <w:p>
            <w:pPr>
              <w:spacing w:after="0"/>
              <w:rPr>
                <w:sz w:val="13"/>
                <w:szCs w:val="13"/>
                <w:color w:val="auto"/>
              </w:rPr>
            </w:pPr>
          </w:p>
        </w:tc>
        <w:tc>
          <w:tcPr>
            <w:tcW w:w="2020" w:type="dxa"/>
            <w:vAlign w:val="bottom"/>
          </w:tcPr>
          <w:p>
            <w:pPr>
              <w:jc w:val="right"/>
              <w:ind w:right="79"/>
              <w:spacing w:after="0" w:line="159" w:lineRule="exact"/>
              <w:rPr>
                <w:sz w:val="20"/>
                <w:szCs w:val="20"/>
                <w:color w:val="auto"/>
              </w:rPr>
            </w:pPr>
            <w:r>
              <w:rPr>
                <w:rFonts w:ascii="Arial" w:cs="Arial" w:eastAsia="Arial" w:hAnsi="Arial"/>
                <w:sz w:val="16"/>
                <w:szCs w:val="16"/>
                <w:color w:val="auto"/>
              </w:rPr>
              <w:t>Total Number of Shares</w:t>
            </w:r>
          </w:p>
        </w:tc>
        <w:tc>
          <w:tcPr>
            <w:tcW w:w="1580" w:type="dxa"/>
            <w:vAlign w:val="bottom"/>
            <w:gridSpan w:val="2"/>
          </w:tcPr>
          <w:p>
            <w:pPr>
              <w:jc w:val="right"/>
              <w:spacing w:after="0" w:line="159" w:lineRule="exact"/>
              <w:rPr>
                <w:sz w:val="20"/>
                <w:szCs w:val="20"/>
                <w:color w:val="auto"/>
              </w:rPr>
            </w:pPr>
            <w:r>
              <w:rPr>
                <w:rFonts w:ascii="Arial" w:cs="Arial" w:eastAsia="Arial" w:hAnsi="Arial"/>
                <w:sz w:val="16"/>
                <w:szCs w:val="16"/>
                <w:color w:val="auto"/>
              </w:rPr>
              <w:t>Average Price Paid</w:t>
            </w:r>
          </w:p>
        </w:tc>
        <w:tc>
          <w:tcPr>
            <w:tcW w:w="1940" w:type="dxa"/>
            <w:vAlign w:val="bottom"/>
          </w:tcPr>
          <w:p>
            <w:pPr>
              <w:jc w:val="center"/>
              <w:spacing w:after="0" w:line="159" w:lineRule="exact"/>
              <w:rPr>
                <w:sz w:val="20"/>
                <w:szCs w:val="20"/>
                <w:color w:val="auto"/>
              </w:rPr>
            </w:pPr>
            <w:r>
              <w:rPr>
                <w:rFonts w:ascii="Arial" w:cs="Arial" w:eastAsia="Arial" w:hAnsi="Arial"/>
                <w:sz w:val="16"/>
                <w:szCs w:val="16"/>
                <w:color w:val="auto"/>
              </w:rPr>
              <w:t>Publicly Announced Plans</w:t>
            </w:r>
          </w:p>
        </w:tc>
        <w:tc>
          <w:tcPr>
            <w:tcW w:w="1940" w:type="dxa"/>
            <w:vAlign w:val="bottom"/>
          </w:tcPr>
          <w:p>
            <w:pPr>
              <w:jc w:val="right"/>
              <w:spacing w:after="0" w:line="159" w:lineRule="exact"/>
              <w:rPr>
                <w:sz w:val="20"/>
                <w:szCs w:val="20"/>
                <w:color w:val="auto"/>
              </w:rPr>
            </w:pPr>
            <w:r>
              <w:rPr>
                <w:rFonts w:ascii="Arial" w:cs="Arial" w:eastAsia="Arial" w:hAnsi="Arial"/>
                <w:sz w:val="16"/>
                <w:szCs w:val="16"/>
                <w:color w:val="auto"/>
              </w:rPr>
              <w:t>Be Purchased Under the</w:t>
            </w:r>
          </w:p>
        </w:tc>
      </w:tr>
      <w:tr>
        <w:trPr>
          <w:trHeight w:val="20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Period</w:t>
            </w:r>
          </w:p>
        </w:tc>
        <w:tc>
          <w:tcPr>
            <w:tcW w:w="2020" w:type="dxa"/>
            <w:vAlign w:val="bottom"/>
            <w:tcBorders>
              <w:bottom w:val="single" w:sz="8" w:color="auto"/>
            </w:tcBorders>
          </w:tcPr>
          <w:p>
            <w:pPr>
              <w:jc w:val="right"/>
              <w:ind w:right="459"/>
              <w:spacing w:after="0" w:line="204"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per 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Plans or Programs</w:t>
            </w:r>
          </w:p>
        </w:tc>
      </w:tr>
      <w:tr>
        <w:trPr>
          <w:trHeight w:val="209"/>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July 1, 2021 - July 31, 2021</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66.21</w:t>
            </w:r>
          </w:p>
        </w:tc>
        <w:tc>
          <w:tcPr>
            <w:tcW w:w="1940" w:type="dxa"/>
            <w:vAlign w:val="bottom"/>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August 1, 2021 - August 31, 2021</w:t>
            </w:r>
          </w:p>
        </w:tc>
        <w:tc>
          <w:tcPr>
            <w:tcW w:w="2020" w:type="dxa"/>
            <w:vAlign w:val="bottom"/>
          </w:tcPr>
          <w:p>
            <w:pPr>
              <w:jc w:val="right"/>
              <w:spacing w:after="0"/>
              <w:rPr>
                <w:sz w:val="20"/>
                <w:szCs w:val="20"/>
                <w:color w:val="auto"/>
              </w:rPr>
            </w:pPr>
            <w:r>
              <w:rPr>
                <w:rFonts w:ascii="Arial" w:cs="Arial" w:eastAsia="Arial" w:hAnsi="Arial"/>
                <w:sz w:val="16"/>
                <w:szCs w:val="16"/>
                <w:color w:val="auto"/>
              </w:rPr>
              <w:t>260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70.24</w:t>
            </w: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September 1, 2021 - September 30, 2021</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71.52</w:t>
            </w:r>
          </w:p>
        </w:tc>
        <w:tc>
          <w:tcPr>
            <w:tcW w:w="1940" w:type="dxa"/>
            <w:vAlign w:val="bottom"/>
            <w:tcBorders>
              <w:bottom w:val="single" w:sz="8" w:color="auto"/>
            </w:tcBorders>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17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70.21</w:t>
            </w: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7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right="860" w:hanging="332"/>
        <w:spacing w:after="0" w:line="258" w:lineRule="auto"/>
        <w:tabs>
          <w:tab w:leader="none" w:pos="352" w:val="left"/>
        </w:tabs>
        <w:numPr>
          <w:ilvl w:val="0"/>
          <w:numId w:val="48"/>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Omnibus Incentive Plan for payment of taxes associated with the vesting of various equity compensation plans.</w:t>
      </w:r>
    </w:p>
    <w:p>
      <w:pPr>
        <w:spacing w:after="0" w:line="200" w:lineRule="exact"/>
        <w:rPr>
          <w:sz w:val="20"/>
          <w:szCs w:val="20"/>
          <w:color w:val="auto"/>
        </w:rPr>
      </w:pPr>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7" w:lineRule="exact"/>
        <w:rPr>
          <w:sz w:val="20"/>
          <w:szCs w:val="20"/>
          <w:color w:val="auto"/>
        </w:rPr>
      </w:pPr>
    </w:p>
    <w:p>
      <w:pPr>
        <w:ind w:right="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hyperlink w:anchor="page60">
        <w:r>
          <w:rPr>
            <w:rFonts w:ascii="Arial" w:cs="Arial" w:eastAsia="Arial" w:hAnsi="Arial"/>
            <w:sz w:val="16"/>
            <w:szCs w:val="16"/>
            <w:u w:val="single" w:color="auto"/>
            <w:color w:val="0000FF"/>
          </w:rPr>
          <w:t>Exhibit 95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Quarterly Report on Form 10-Q.</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Number</w:t>
            </w:r>
          </w:p>
        </w:tc>
        <w:tc>
          <w:tcPr>
            <w:tcW w:w="8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9"/>
          </w:tcPr>
          <w:p>
            <w:pPr>
              <w:ind w:left="820"/>
              <w:spacing w:after="0"/>
              <w:rPr>
                <w:sz w:val="20"/>
                <w:szCs w:val="20"/>
                <w:color w:val="auto"/>
              </w:rPr>
            </w:pPr>
            <w:r>
              <w:rPr>
                <w:rFonts w:ascii="Arial" w:cs="Arial" w:eastAsia="Arial" w:hAnsi="Arial"/>
                <w:sz w:val="16"/>
                <w:szCs w:val="16"/>
                <w:b w:val="1"/>
                <w:bCs w:val="1"/>
                <w:color w:val="auto"/>
              </w:rPr>
              <w:t>Description</w:t>
            </w:r>
          </w:p>
        </w:tc>
      </w:tr>
      <w:tr>
        <w:trPr>
          <w:trHeight w:val="145"/>
        </w:trPr>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4.1</w:t>
            </w:r>
          </w:p>
        </w:tc>
        <w:tc>
          <w:tcPr>
            <w:tcW w:w="9900" w:type="dxa"/>
            <w:vAlign w:val="bottom"/>
            <w:gridSpan w:val="12"/>
            <w:shd w:val="clear" w:color="auto" w:fill="CEFFE7"/>
          </w:tcPr>
          <w:p>
            <w:pPr>
              <w:spacing w:after="0" w:line="175" w:lineRule="exact"/>
              <w:rPr>
                <w:rFonts w:ascii="Arial" w:cs="Arial" w:eastAsia="Arial" w:hAnsi="Arial"/>
                <w:sz w:val="16"/>
                <w:szCs w:val="16"/>
                <w:color w:val="0000FF"/>
              </w:rPr>
            </w:pPr>
            <w:hyperlink r:id="rId105">
              <w:r>
                <w:rPr>
                  <w:rFonts w:ascii="Arial" w:cs="Arial" w:eastAsia="Arial" w:hAnsi="Arial"/>
                  <w:sz w:val="16"/>
                  <w:szCs w:val="16"/>
                  <w:color w:val="0000FF"/>
                </w:rPr>
                <w:t>Tenth Supplemental Indenture dated as of August 26, 2021 (filed as Exhibit 4.1 to the Registrant’s Form 8-K filed on August 26, 2021).</w:t>
              </w:r>
            </w:hyperlink>
          </w:p>
        </w:tc>
      </w:tr>
      <w:tr>
        <w:trPr>
          <w:trHeight w:val="175"/>
        </w:trPr>
        <w:tc>
          <w:tcPr>
            <w:tcW w:w="1340" w:type="dxa"/>
            <w:vAlign w:val="bottom"/>
            <w:tcBorders>
              <w:top w:val="single" w:sz="8" w:color="CEFFE7"/>
            </w:tcBorders>
          </w:tcPr>
          <w:p>
            <w:pPr>
              <w:ind w:left="20"/>
              <w:spacing w:after="0" w:line="175" w:lineRule="exact"/>
              <w:rPr>
                <w:sz w:val="20"/>
                <w:szCs w:val="20"/>
                <w:color w:val="auto"/>
              </w:rPr>
            </w:pPr>
            <w:r>
              <w:rPr>
                <w:rFonts w:ascii="Arial" w:cs="Arial" w:eastAsia="Arial" w:hAnsi="Arial"/>
                <w:sz w:val="16"/>
                <w:szCs w:val="16"/>
                <w:color w:val="auto"/>
              </w:rPr>
              <w:t>10.1</w:t>
            </w:r>
          </w:p>
        </w:tc>
        <w:tc>
          <w:tcPr>
            <w:tcW w:w="9600" w:type="dxa"/>
            <w:vAlign w:val="bottom"/>
            <w:tcBorders>
              <w:top w:val="single" w:sz="8" w:color="0000FF"/>
            </w:tcBorders>
            <w:gridSpan w:val="9"/>
          </w:tcPr>
          <w:p>
            <w:pPr>
              <w:spacing w:after="0" w:line="175" w:lineRule="exact"/>
              <w:rPr>
                <w:rFonts w:ascii="Arial" w:cs="Arial" w:eastAsia="Arial" w:hAnsi="Arial"/>
                <w:sz w:val="16"/>
                <w:szCs w:val="16"/>
                <w:color w:val="0000FF"/>
              </w:rPr>
            </w:pPr>
            <w:hyperlink r:id="rId106">
              <w:r>
                <w:rPr>
                  <w:rFonts w:ascii="Arial" w:cs="Arial" w:eastAsia="Arial" w:hAnsi="Arial"/>
                  <w:sz w:val="16"/>
                  <w:szCs w:val="16"/>
                  <w:color w:val="0000FF"/>
                </w:rPr>
                <w:t xml:space="preserve">Fourth Amended and Restated Credit Agreement dated as of July 19, 2021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 Credit Facility), among</w:t>
              </w:r>
            </w:hyperlink>
          </w:p>
        </w:tc>
        <w:tc>
          <w:tcPr>
            <w:tcW w:w="300" w:type="dxa"/>
            <w:vAlign w:val="bottom"/>
            <w:tcBorders>
              <w:top w:val="single" w:sz="8" w:color="CEFFE7"/>
            </w:tcBorders>
            <w:gridSpan w:val="3"/>
          </w:tcPr>
          <w:p>
            <w:pPr>
              <w:spacing w:after="0"/>
              <w:rPr>
                <w:sz w:val="15"/>
                <w:szCs w:val="15"/>
                <w:color w:val="auto"/>
              </w:rPr>
            </w:pPr>
          </w:p>
        </w:tc>
      </w:tr>
      <w:tr>
        <w:trPr>
          <w:trHeight w:val="142"/>
        </w:trPr>
        <w:tc>
          <w:tcPr>
            <w:tcW w:w="1340" w:type="dxa"/>
            <w:vAlign w:val="bottom"/>
          </w:tcPr>
          <w:p>
            <w:pPr>
              <w:spacing w:after="0"/>
              <w:rPr>
                <w:sz w:val="12"/>
                <w:szCs w:val="12"/>
                <w:color w:val="auto"/>
              </w:rPr>
            </w:pPr>
          </w:p>
        </w:tc>
        <w:tc>
          <w:tcPr>
            <w:tcW w:w="95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Black Hills Corporation, as Borrower, the financial institutions party thereto, as Banks, and U.S. Bank, National Association, as</w:t>
              </w:r>
            </w:hyperlink>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02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Administrative Agent (filed as Exhibit 10.1 to the Registrant’s Form 8-K filed on July 19, 2021).</w:t>
              </w:r>
            </w:hyperlink>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31.1*</w:t>
            </w:r>
          </w:p>
        </w:tc>
        <w:tc>
          <w:tcPr>
            <w:tcW w:w="9900" w:type="dxa"/>
            <w:vAlign w:val="bottom"/>
            <w:gridSpan w:val="12"/>
            <w:shd w:val="clear" w:color="auto" w:fill="CEFFE7"/>
          </w:tcPr>
          <w:p>
            <w:pPr>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Certification of Chief Executive Officer pursuant to Rule 13a - 14(a) of the Securities Exchange Act of 1934, as adopted pursuant to</w:t>
              </w:r>
            </w:hyperlink>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380" w:type="dxa"/>
            <w:vAlign w:val="bottom"/>
            <w:tcBorders>
              <w:top w:val="single" w:sz="8" w:color="0000FF"/>
            </w:tcBorders>
            <w:gridSpan w:val="7"/>
            <w:shd w:val="clear" w:color="auto" w:fill="CEFFE7"/>
          </w:tcPr>
          <w:p>
            <w:pPr>
              <w:spacing w:after="0" w:line="142" w:lineRule="exact"/>
              <w:rPr>
                <w:rFonts w:ascii="Arial" w:cs="Arial" w:eastAsia="Arial" w:hAnsi="Arial"/>
                <w:sz w:val="16"/>
                <w:szCs w:val="16"/>
                <w:color w:val="0000FF"/>
              </w:rPr>
            </w:pPr>
            <w:hyperlink w:anchor="page56">
              <w:r>
                <w:rPr>
                  <w:rFonts w:ascii="Arial" w:cs="Arial" w:eastAsia="Arial" w:hAnsi="Arial"/>
                  <w:sz w:val="16"/>
                  <w:szCs w:val="16"/>
                  <w:color w:val="0000FF"/>
                </w:rPr>
                <w:t>Section 302 of the Sarbanes - Oxley Act of 2002.</w:t>
              </w:r>
            </w:hyperlink>
          </w:p>
        </w:tc>
        <w:tc>
          <w:tcPr>
            <w:tcW w:w="280" w:type="dxa"/>
            <w:vAlign w:val="bottom"/>
            <w:tcBorders>
              <w:top w:val="single" w:sz="8" w:color="CEFFE7"/>
            </w:tcBorders>
            <w:gridSpan w:val="3"/>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200" w:type="dxa"/>
            <w:vAlign w:val="bottom"/>
            <w:tcBorders>
              <w:top w:val="single" w:sz="8" w:color="CEFFE7"/>
            </w:tcBorders>
            <w:shd w:val="clear" w:color="auto" w:fill="CEFFE7"/>
          </w:tcPr>
          <w:p>
            <w:pPr>
              <w:spacing w:after="0"/>
              <w:rPr>
                <w:sz w:val="12"/>
                <w:szCs w:val="12"/>
                <w:color w:val="auto"/>
              </w:rPr>
            </w:pP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860" w:type="dxa"/>
            <w:vAlign w:val="bottom"/>
            <w:tcBorders>
              <w:top w:val="single" w:sz="8" w:color="0000FF"/>
            </w:tcBorders>
            <w:shd w:val="clear" w:color="auto" w:fill="CEFFE7"/>
          </w:tcPr>
          <w:p>
            <w:pPr>
              <w:spacing w:after="0" w:line="20" w:lineRule="exact"/>
              <w:rPr>
                <w:sz w:val="1"/>
                <w:szCs w:val="1"/>
                <w:color w:val="auto"/>
              </w:rPr>
            </w:pPr>
          </w:p>
        </w:tc>
        <w:tc>
          <w:tcPr>
            <w:tcW w:w="26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3040" w:type="dxa"/>
            <w:vAlign w:val="bottom"/>
            <w:tcBorders>
              <w:top w:val="single" w:sz="8" w:color="CEFFE7"/>
            </w:tcBorders>
            <w:shd w:val="clear" w:color="auto" w:fill="CEFFE7"/>
          </w:tcPr>
          <w:p>
            <w:pPr>
              <w:spacing w:after="0" w:line="20" w:lineRule="exact"/>
              <w:rPr>
                <w:sz w:val="1"/>
                <w:szCs w:val="1"/>
                <w:color w:val="auto"/>
              </w:rPr>
            </w:pPr>
          </w:p>
        </w:tc>
        <w:tc>
          <w:tcPr>
            <w:tcW w:w="2300" w:type="dxa"/>
            <w:vAlign w:val="bottom"/>
            <w:tcBorders>
              <w:top w:val="single" w:sz="8" w:color="CEFFE7"/>
            </w:tcBorders>
            <w:shd w:val="clear" w:color="auto" w:fill="CEFFE7"/>
          </w:tcPr>
          <w:p>
            <w:pPr>
              <w:spacing w:after="0" w:line="20" w:lineRule="exact"/>
              <w:rPr>
                <w:sz w:val="1"/>
                <w:szCs w:val="1"/>
                <w:color w:val="auto"/>
              </w:rPr>
            </w:pPr>
          </w:p>
        </w:tc>
        <w:tc>
          <w:tcPr>
            <w:tcW w:w="3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00" w:type="dxa"/>
            <w:vAlign w:val="bottom"/>
            <w:gridSpan w:val="12"/>
          </w:tcPr>
          <w:p>
            <w:pPr>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Certification of Chief Financial Officer pursuant to Rule 13a - 14(a) of the Securities Exchange Act of 1934, as adopted pursuant to</w:t>
              </w:r>
            </w:hyperlink>
          </w:p>
        </w:tc>
      </w:tr>
      <w:tr>
        <w:trPr>
          <w:trHeight w:val="142"/>
        </w:trPr>
        <w:tc>
          <w:tcPr>
            <w:tcW w:w="1340" w:type="dxa"/>
            <w:vAlign w:val="bottom"/>
          </w:tcPr>
          <w:p>
            <w:pPr>
              <w:spacing w:after="0"/>
              <w:rPr>
                <w:sz w:val="12"/>
                <w:szCs w:val="12"/>
                <w:color w:val="auto"/>
              </w:rPr>
            </w:pPr>
          </w:p>
        </w:tc>
        <w:tc>
          <w:tcPr>
            <w:tcW w:w="932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57">
              <w:r>
                <w:rPr>
                  <w:rFonts w:ascii="Arial" w:cs="Arial" w:eastAsia="Arial" w:hAnsi="Arial"/>
                  <w:sz w:val="16"/>
                  <w:szCs w:val="16"/>
                  <w:color w:val="0000FF"/>
                </w:rPr>
                <w:t>Section 302 of the Sarbanes - Oxley Act of 2002.</w:t>
              </w:r>
            </w:hyperlink>
          </w:p>
        </w:tc>
        <w:tc>
          <w:tcPr>
            <w:tcW w:w="34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32.1*</w:t>
            </w:r>
          </w:p>
        </w:tc>
        <w:tc>
          <w:tcPr>
            <w:tcW w:w="9900" w:type="dxa"/>
            <w:vAlign w:val="bottom"/>
            <w:gridSpan w:val="12"/>
            <w:shd w:val="clear" w:color="auto" w:fill="CEFFE7"/>
          </w:tcPr>
          <w:p>
            <w:pPr>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Certification of Chief Executive Officer pursuant to 18 U.S.C. Section 1350, as adopted pursuant to Section 906 of the Sarbanes - Oxley</w:t>
              </w:r>
            </w:hyperlink>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860" w:type="dxa"/>
            <w:vAlign w:val="bottom"/>
            <w:tcBorders>
              <w:top w:val="single" w:sz="8" w:color="0000FF"/>
              <w:bottom w:val="single" w:sz="8" w:color="0000FF"/>
            </w:tcBorders>
            <w:shd w:val="clear" w:color="auto" w:fill="CEFFE7"/>
          </w:tcPr>
          <w:p>
            <w:pPr>
              <w:spacing w:after="0" w:line="142" w:lineRule="exact"/>
              <w:rPr>
                <w:rFonts w:ascii="Arial" w:cs="Arial" w:eastAsia="Arial" w:hAnsi="Arial"/>
                <w:sz w:val="16"/>
                <w:szCs w:val="16"/>
                <w:color w:val="0000FF"/>
                <w:w w:val="98"/>
              </w:rPr>
            </w:pPr>
            <w:hyperlink w:anchor="page58">
              <w:r>
                <w:rPr>
                  <w:rFonts w:ascii="Arial" w:cs="Arial" w:eastAsia="Arial" w:hAnsi="Arial"/>
                  <w:sz w:val="16"/>
                  <w:szCs w:val="16"/>
                  <w:color w:val="0000FF"/>
                  <w:w w:val="98"/>
                </w:rPr>
                <w:t>Act of 2002.</w:t>
              </w:r>
            </w:hyperlink>
          </w:p>
        </w:tc>
        <w:tc>
          <w:tcPr>
            <w:tcW w:w="8840" w:type="dxa"/>
            <w:vAlign w:val="bottom"/>
            <w:tcBorders>
              <w:top w:val="single" w:sz="8" w:color="0000FF"/>
              <w:bottom w:val="single" w:sz="8" w:color="CEFFE7"/>
            </w:tcBorders>
            <w:gridSpan w:val="10"/>
            <w:shd w:val="clear" w:color="auto" w:fill="CEFFE7"/>
          </w:tcPr>
          <w:p>
            <w:pPr>
              <w:spacing w:after="0"/>
              <w:rPr>
                <w:sz w:val="14"/>
                <w:szCs w:val="14"/>
                <w:color w:val="auto"/>
              </w:rPr>
            </w:pPr>
          </w:p>
        </w:tc>
        <w:tc>
          <w:tcPr>
            <w:tcW w:w="20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32.2*</w:t>
            </w:r>
          </w:p>
        </w:tc>
        <w:tc>
          <w:tcPr>
            <w:tcW w:w="9900" w:type="dxa"/>
            <w:vAlign w:val="bottom"/>
            <w:gridSpan w:val="12"/>
          </w:tcPr>
          <w:p>
            <w:pPr>
              <w:spacing w:after="0" w:line="175" w:lineRule="exact"/>
              <w:rPr>
                <w:rFonts w:ascii="Arial" w:cs="Arial" w:eastAsia="Arial" w:hAnsi="Arial"/>
                <w:sz w:val="16"/>
                <w:szCs w:val="16"/>
                <w:color w:val="0000FF"/>
              </w:rPr>
            </w:pPr>
            <w:hyperlink w:anchor="page59">
              <w:r>
                <w:rPr>
                  <w:rFonts w:ascii="Arial" w:cs="Arial" w:eastAsia="Arial" w:hAnsi="Arial"/>
                  <w:sz w:val="16"/>
                  <w:szCs w:val="16"/>
                  <w:color w:val="0000FF"/>
                </w:rPr>
                <w:t>Certification of Chief Financial Officer pursuant to 18 U.S.C. Section 1350, as adopted pursuant to Section 906 of the Sarbanes - Oxley</w:t>
              </w:r>
            </w:hyperlink>
          </w:p>
        </w:tc>
      </w:tr>
      <w:tr>
        <w:trPr>
          <w:trHeight w:val="142"/>
        </w:trPr>
        <w:tc>
          <w:tcPr>
            <w:tcW w:w="1340" w:type="dxa"/>
            <w:vAlign w:val="bottom"/>
          </w:tcPr>
          <w:p>
            <w:pPr>
              <w:spacing w:after="0"/>
              <w:rPr>
                <w:sz w:val="12"/>
                <w:szCs w:val="12"/>
                <w:color w:val="auto"/>
              </w:rPr>
            </w:pPr>
          </w:p>
        </w:tc>
        <w:tc>
          <w:tcPr>
            <w:tcW w:w="96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59">
              <w:r>
                <w:rPr>
                  <w:rFonts w:ascii="Arial" w:cs="Arial" w:eastAsia="Arial" w:hAnsi="Arial"/>
                  <w:sz w:val="16"/>
                  <w:szCs w:val="16"/>
                  <w:color w:val="0000FF"/>
                </w:rPr>
                <w:t>Act of 2002.</w:t>
              </w:r>
            </w:hyperlink>
          </w:p>
        </w:tc>
        <w:tc>
          <w:tcPr>
            <w:tcW w:w="240" w:type="dxa"/>
            <w:vAlign w:val="bottom"/>
            <w:gridSpan w:val="2"/>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95*</w:t>
            </w:r>
          </w:p>
        </w:tc>
        <w:tc>
          <w:tcPr>
            <w:tcW w:w="9900" w:type="dxa"/>
            <w:vAlign w:val="bottom"/>
            <w:gridSpan w:val="12"/>
            <w:shd w:val="clear" w:color="auto" w:fill="CEFFE7"/>
          </w:tcPr>
          <w:p>
            <w:pPr>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Mine Safety and Health Administration Safety Data.</w:t>
              </w:r>
            </w:hyperlink>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860" w:type="dxa"/>
            <w:vAlign w:val="bottom"/>
            <w:tcBorders>
              <w:top w:val="single" w:sz="8" w:color="0000FF"/>
            </w:tcBorders>
            <w:shd w:val="clear" w:color="auto" w:fill="CEFFE7"/>
          </w:tcPr>
          <w:p>
            <w:pPr>
              <w:spacing w:after="0" w:line="20" w:lineRule="exact"/>
              <w:rPr>
                <w:sz w:val="1"/>
                <w:szCs w:val="1"/>
                <w:color w:val="auto"/>
              </w:rPr>
            </w:pPr>
          </w:p>
        </w:tc>
        <w:tc>
          <w:tcPr>
            <w:tcW w:w="26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3040" w:type="dxa"/>
            <w:vAlign w:val="bottom"/>
            <w:tcBorders>
              <w:top w:val="single" w:sz="8" w:color="CEFFE7"/>
            </w:tcBorders>
            <w:shd w:val="clear" w:color="auto" w:fill="CEFFE7"/>
          </w:tcPr>
          <w:p>
            <w:pPr>
              <w:spacing w:after="0" w:line="20" w:lineRule="exact"/>
              <w:rPr>
                <w:sz w:val="1"/>
                <w:szCs w:val="1"/>
                <w:color w:val="auto"/>
              </w:rPr>
            </w:pPr>
          </w:p>
        </w:tc>
        <w:tc>
          <w:tcPr>
            <w:tcW w:w="2300" w:type="dxa"/>
            <w:vAlign w:val="bottom"/>
            <w:tcBorders>
              <w:top w:val="single" w:sz="8" w:color="CEFFE7"/>
            </w:tcBorders>
            <w:shd w:val="clear" w:color="auto" w:fill="CEFFE7"/>
          </w:tcPr>
          <w:p>
            <w:pPr>
              <w:spacing w:after="0" w:line="20" w:lineRule="exact"/>
              <w:rPr>
                <w:sz w:val="1"/>
                <w:szCs w:val="1"/>
                <w:color w:val="auto"/>
              </w:rPr>
            </w:pPr>
          </w:p>
        </w:tc>
        <w:tc>
          <w:tcPr>
            <w:tcW w:w="3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r>
      <w:tr>
        <w:trPr>
          <w:trHeight w:val="177"/>
        </w:trPr>
        <w:tc>
          <w:tcPr>
            <w:tcW w:w="1340" w:type="dxa"/>
            <w:vAlign w:val="bottom"/>
          </w:tcPr>
          <w:p>
            <w:pPr>
              <w:ind w:left="20"/>
              <w:spacing w:after="0" w:line="178" w:lineRule="exact"/>
              <w:rPr>
                <w:sz w:val="20"/>
                <w:szCs w:val="20"/>
                <w:color w:val="auto"/>
              </w:rPr>
            </w:pPr>
            <w:r>
              <w:rPr>
                <w:rFonts w:ascii="Arial" w:cs="Arial" w:eastAsia="Arial" w:hAnsi="Arial"/>
                <w:sz w:val="16"/>
                <w:szCs w:val="16"/>
                <w:color w:val="auto"/>
              </w:rPr>
              <w:t>101.INS*</w:t>
            </w:r>
          </w:p>
        </w:tc>
        <w:tc>
          <w:tcPr>
            <w:tcW w:w="9900" w:type="dxa"/>
            <w:vAlign w:val="bottom"/>
            <w:gridSpan w:val="12"/>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198"/>
        </w:trPr>
        <w:tc>
          <w:tcPr>
            <w:tcW w:w="1340" w:type="dxa"/>
            <w:vAlign w:val="bottom"/>
          </w:tcPr>
          <w:p>
            <w:pPr>
              <w:spacing w:after="0"/>
              <w:rPr>
                <w:sz w:val="17"/>
                <w:szCs w:val="17"/>
                <w:color w:val="auto"/>
              </w:rPr>
            </w:pPr>
          </w:p>
        </w:tc>
        <w:tc>
          <w:tcPr>
            <w:tcW w:w="9900" w:type="dxa"/>
            <w:vAlign w:val="bottom"/>
            <w:gridSpan w:val="12"/>
          </w:tcPr>
          <w:p>
            <w:pPr>
              <w:spacing w:after="0"/>
              <w:rPr>
                <w:sz w:val="20"/>
                <w:szCs w:val="20"/>
                <w:color w:val="auto"/>
              </w:rPr>
            </w:pPr>
            <w:r>
              <w:rPr>
                <w:rFonts w:ascii="Arial" w:cs="Arial" w:eastAsia="Arial" w:hAnsi="Arial"/>
                <w:sz w:val="16"/>
                <w:szCs w:val="16"/>
                <w:color w:val="auto"/>
              </w:rPr>
              <w:t>within the Inline XBRL document</w:t>
            </w:r>
          </w:p>
        </w:tc>
      </w:tr>
      <w:tr>
        <w:trPr>
          <w:trHeight w:val="219"/>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101.SCH*</w:t>
            </w:r>
          </w:p>
        </w:tc>
        <w:tc>
          <w:tcPr>
            <w:tcW w:w="9900" w:type="dxa"/>
            <w:vAlign w:val="bottom"/>
            <w:gridSpan w:val="12"/>
            <w:shd w:val="clear" w:color="auto" w:fill="CEFFE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3"/>
        </w:trPr>
        <w:tc>
          <w:tcPr>
            <w:tcW w:w="1340" w:type="dxa"/>
            <w:vAlign w:val="bottom"/>
          </w:tcPr>
          <w:p>
            <w:pPr>
              <w:ind w:left="20"/>
              <w:spacing w:after="0"/>
              <w:rPr>
                <w:sz w:val="20"/>
                <w:szCs w:val="20"/>
                <w:color w:val="auto"/>
              </w:rPr>
            </w:pPr>
            <w:r>
              <w:rPr>
                <w:rFonts w:ascii="Arial" w:cs="Arial" w:eastAsia="Arial" w:hAnsi="Arial"/>
                <w:sz w:val="16"/>
                <w:szCs w:val="16"/>
                <w:color w:val="auto"/>
              </w:rPr>
              <w:t>101.CAL*</w:t>
            </w:r>
          </w:p>
        </w:tc>
        <w:tc>
          <w:tcPr>
            <w:tcW w:w="9900" w:type="dxa"/>
            <w:vAlign w:val="bottom"/>
            <w:gridSpan w:val="12"/>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9"/>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101.DEF*</w:t>
            </w:r>
          </w:p>
        </w:tc>
        <w:tc>
          <w:tcPr>
            <w:tcW w:w="9900" w:type="dxa"/>
            <w:vAlign w:val="bottom"/>
            <w:gridSpan w:val="12"/>
            <w:shd w:val="clear" w:color="auto" w:fill="CEFFE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3"/>
        </w:trPr>
        <w:tc>
          <w:tcPr>
            <w:tcW w:w="1340" w:type="dxa"/>
            <w:vAlign w:val="bottom"/>
          </w:tcPr>
          <w:p>
            <w:pPr>
              <w:ind w:left="20"/>
              <w:spacing w:after="0"/>
              <w:rPr>
                <w:sz w:val="20"/>
                <w:szCs w:val="20"/>
                <w:color w:val="auto"/>
              </w:rPr>
            </w:pPr>
            <w:r>
              <w:rPr>
                <w:rFonts w:ascii="Arial" w:cs="Arial" w:eastAsia="Arial" w:hAnsi="Arial"/>
                <w:sz w:val="16"/>
                <w:szCs w:val="16"/>
                <w:color w:val="auto"/>
              </w:rPr>
              <w:t>101.LAB*</w:t>
            </w:r>
          </w:p>
        </w:tc>
        <w:tc>
          <w:tcPr>
            <w:tcW w:w="9900" w:type="dxa"/>
            <w:vAlign w:val="bottom"/>
            <w:gridSpan w:val="12"/>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9"/>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101.PRE*</w:t>
            </w:r>
          </w:p>
        </w:tc>
        <w:tc>
          <w:tcPr>
            <w:tcW w:w="9900" w:type="dxa"/>
            <w:vAlign w:val="bottom"/>
            <w:gridSpan w:val="12"/>
            <w:shd w:val="clear" w:color="auto" w:fill="CEFFE7"/>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0"/>
        </w:trPr>
        <w:tc>
          <w:tcPr>
            <w:tcW w:w="1340" w:type="dxa"/>
            <w:vAlign w:val="bottom"/>
          </w:tcPr>
          <w:p>
            <w:pPr>
              <w:ind w:left="20"/>
              <w:spacing w:after="0"/>
              <w:rPr>
                <w:sz w:val="20"/>
                <w:szCs w:val="20"/>
                <w:color w:val="auto"/>
              </w:rPr>
            </w:pPr>
            <w:r>
              <w:rPr>
                <w:rFonts w:ascii="Arial" w:cs="Arial" w:eastAsia="Arial" w:hAnsi="Arial"/>
                <w:sz w:val="16"/>
                <w:szCs w:val="16"/>
                <w:color w:val="auto"/>
              </w:rPr>
              <w:t>104*</w:t>
            </w:r>
          </w:p>
        </w:tc>
        <w:tc>
          <w:tcPr>
            <w:tcW w:w="9900" w:type="dxa"/>
            <w:vAlign w:val="bottom"/>
            <w:gridSpan w:val="12"/>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864"/>
        </w:trPr>
        <w:tc>
          <w:tcPr>
            <w:tcW w:w="1340" w:type="dxa"/>
            <w:vAlign w:val="bottom"/>
          </w:tcPr>
          <w:p>
            <w:pPr>
              <w:spacing w:after="0"/>
              <w:rPr>
                <w:sz w:val="24"/>
                <w:szCs w:val="24"/>
                <w:color w:val="auto"/>
              </w:rPr>
            </w:pPr>
          </w:p>
        </w:tc>
        <w:tc>
          <w:tcPr>
            <w:tcW w:w="6720" w:type="dxa"/>
            <w:vAlign w:val="bottom"/>
            <w:gridSpan w:val="4"/>
          </w:tcPr>
          <w:p>
            <w:pPr>
              <w:ind w:left="4200"/>
              <w:spacing w:after="0"/>
              <w:rPr>
                <w:sz w:val="20"/>
                <w:szCs w:val="20"/>
                <w:color w:val="auto"/>
              </w:rPr>
            </w:pPr>
            <w:r>
              <w:rPr>
                <w:rFonts w:ascii="Arial" w:cs="Arial" w:eastAsia="Arial" w:hAnsi="Arial"/>
                <w:sz w:val="16"/>
                <w:szCs w:val="16"/>
                <w:color w:val="auto"/>
              </w:rPr>
              <w:t>54</w:t>
            </w: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0"/>
        </w:trPr>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31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BLACK HILLS CORPORATION</w:t>
      </w:r>
    </w:p>
    <w:p>
      <w:pPr>
        <w:spacing w:after="0" w:line="14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10795</wp:posOffset>
            </wp:positionV>
            <wp:extent cx="3703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0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10795</wp:posOffset>
            </wp:positionV>
            <wp:extent cx="3703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Richard W. Kinzley, Senior Vice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19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November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000"/>
          </w:cols>
          <w:pgMar w:left="320" w:top="121" w:right="57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31.1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383" w:lineRule="exact"/>
        <w:rPr>
          <w:sz w:val="20"/>
          <w:szCs w:val="20"/>
          <w:color w:val="auto"/>
        </w:rPr>
      </w:pPr>
    </w:p>
    <w:p>
      <w:pPr>
        <w:ind w:left="800" w:hanging="774"/>
        <w:spacing w:after="0"/>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2021</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29317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31.2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Richard W. Kinzley, certify that:</w:t>
      </w:r>
    </w:p>
    <w:p>
      <w:pPr>
        <w:spacing w:after="0" w:line="383" w:lineRule="exact"/>
        <w:rPr>
          <w:sz w:val="20"/>
          <w:szCs w:val="20"/>
          <w:color w:val="auto"/>
        </w:rPr>
      </w:pPr>
    </w:p>
    <w:p>
      <w:pPr>
        <w:ind w:left="800" w:hanging="774"/>
        <w:spacing w:after="0"/>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2021</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10795</wp:posOffset>
            </wp:positionV>
            <wp:extent cx="29317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32.1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2021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15" w:lineRule="exact"/>
        <w:rPr>
          <w:sz w:val="20"/>
          <w:szCs w:val="20"/>
          <w:color w:val="auto"/>
        </w:rPr>
      </w:pPr>
    </w:p>
    <w:p>
      <w:pPr>
        <w:ind w:left="1600" w:hanging="791"/>
        <w:spacing w:after="0"/>
        <w:tabs>
          <w:tab w:leader="none" w:pos="1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2021</w:t>
      </w:r>
    </w:p>
    <w:p>
      <w:pPr>
        <w:spacing w:after="0" w:line="30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10795</wp:posOffset>
            </wp:positionV>
            <wp:extent cx="29317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2021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15" w:lineRule="exact"/>
        <w:rPr>
          <w:sz w:val="20"/>
          <w:szCs w:val="20"/>
          <w:color w:val="auto"/>
        </w:rPr>
      </w:pPr>
    </w:p>
    <w:p>
      <w:pPr>
        <w:ind w:left="1600" w:hanging="791"/>
        <w:spacing w:after="0"/>
        <w:tabs>
          <w:tab w:leader="none" w:pos="1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2021</w:t>
      </w:r>
    </w:p>
    <w:p>
      <w:pPr>
        <w:spacing w:after="0" w:line="30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29317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95</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21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September 30, 2021.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235" w:lineRule="exact"/>
        <w:rPr>
          <w:sz w:val="20"/>
          <w:szCs w:val="20"/>
          <w:color w:val="auto"/>
        </w:rPr>
      </w:pPr>
    </w:p>
    <w:p>
      <w:pPr>
        <w:ind w:left="660" w:right="100" w:hanging="328"/>
        <w:spacing w:after="0" w:line="260"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Total number of orders issued under section 104(b) of the Mine Act;</w:t>
      </w:r>
    </w:p>
    <w:p>
      <w:pPr>
        <w:spacing w:after="0" w:line="248" w:lineRule="exact"/>
        <w:rPr>
          <w:rFonts w:ascii="Arial" w:cs="Arial" w:eastAsia="Arial" w:hAnsi="Arial"/>
          <w:sz w:val="16"/>
          <w:szCs w:val="16"/>
          <w:color w:val="auto"/>
        </w:rPr>
      </w:pPr>
    </w:p>
    <w:p>
      <w:pPr>
        <w:ind w:left="660" w:right="360" w:hanging="328"/>
        <w:spacing w:after="0" w:line="260"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Total number of imminent danger orders issued under section 107(a) of the Mine Act;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Total dollar value of proposed assessments from MSHA under the Mine Act.</w:t>
      </w:r>
    </w:p>
    <w:p>
      <w:pPr>
        <w:spacing w:after="0" w:line="2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table below sets forth the total number of citations and/or orders issued by MSHA to WRDC under the indicated provisions of the Mine Act, together with the total dollar value of proposed MSHA assessments received during the three months ended September 30, 2021 and legal actions pending before the Federal Mine Safety and Health Review Commission, together with the Administrative Law Judges thereof, for WRDC, our only mining complex. All citations were abated within 24 hours of issue.</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Mine Act Section</w:t>
            </w:r>
          </w:p>
        </w:tc>
        <w:tc>
          <w:tcPr>
            <w:tcW w:w="6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4"/>
              </w:rPr>
              <w:t>Legal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104 S&amp;S Citations</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0"/>
                <w:szCs w:val="10"/>
                <w:color w:val="auto"/>
              </w:rPr>
            </w:pPr>
          </w:p>
        </w:tc>
        <w:tc>
          <w:tcPr>
            <w:tcW w:w="9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Mine Act</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32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8"/>
              </w:rPr>
              <w:t>Total Dollar Value Total Number Received Notice of</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issued during</w:t>
            </w:r>
          </w:p>
        </w:tc>
        <w:tc>
          <w:tcPr>
            <w:tcW w:w="640" w:type="dxa"/>
            <w:vAlign w:val="bottom"/>
            <w:vMerge w:val="continue"/>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Section</w:t>
            </w:r>
          </w:p>
        </w:tc>
        <w:tc>
          <w:tcPr>
            <w:tcW w:w="960" w:type="dxa"/>
            <w:vAlign w:val="bottom"/>
            <w:vMerge w:val="continue"/>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107(a)</w:t>
            </w:r>
          </w:p>
        </w:tc>
        <w:tc>
          <w:tcPr>
            <w:tcW w:w="3220" w:type="dxa"/>
            <w:vAlign w:val="bottom"/>
            <w:gridSpan w:val="4"/>
            <w:vMerge w:val="continue"/>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Pending as</w:t>
            </w:r>
          </w:p>
        </w:tc>
        <w:tc>
          <w:tcPr>
            <w:tcW w:w="7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Actions</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Mine/ MSHA</w:t>
            </w:r>
          </w:p>
        </w:tc>
        <w:tc>
          <w:tcPr>
            <w:tcW w:w="11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6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104(d)</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Section 110(b)</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Imminent</w:t>
            </w:r>
          </w:p>
        </w:tc>
        <w:tc>
          <w:tcPr>
            <w:tcW w:w="18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of Proposed</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Mining</w:t>
            </w:r>
          </w:p>
        </w:tc>
        <w:tc>
          <w:tcPr>
            <w:tcW w:w="11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Potential to Have</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Last Day</w:t>
            </w: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Initiated</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67"/>
        </w:trPr>
        <w:tc>
          <w:tcPr>
            <w:tcW w:w="1120" w:type="dxa"/>
            <w:vAlign w:val="bottom"/>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3"/>
              </w:rPr>
              <w:t>ended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Citations and</w:t>
            </w:r>
          </w:p>
        </w:tc>
        <w:tc>
          <w:tcPr>
            <w:tcW w:w="960" w:type="dxa"/>
            <w:vAlign w:val="bottom"/>
          </w:tcPr>
          <w:p>
            <w:pPr>
              <w:jc w:val="right"/>
              <w:ind w:right="377"/>
              <w:spacing w:after="0"/>
              <w:rPr>
                <w:sz w:val="20"/>
                <w:szCs w:val="20"/>
                <w:color w:val="auto"/>
              </w:rPr>
            </w:pPr>
            <w:r>
              <w:rPr>
                <w:rFonts w:ascii="Arial" w:cs="Arial" w:eastAsia="Arial" w:hAnsi="Arial"/>
                <w:sz w:val="13"/>
                <w:szCs w:val="13"/>
                <w:b w:val="1"/>
                <w:bCs w:val="1"/>
                <w:color w:val="auto"/>
              </w:rPr>
              <w:t>(2)</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Danger</w:t>
            </w:r>
          </w:p>
        </w:tc>
        <w:tc>
          <w:tcPr>
            <w:tcW w:w="18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9"/>
              </w:rPr>
              <w:t>MSHA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Related</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Pattern Under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During</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130"/>
        </w:trPr>
        <w:tc>
          <w:tcPr>
            <w:tcW w:w="11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Identification</w:t>
            </w:r>
          </w:p>
        </w:tc>
        <w:tc>
          <w:tcPr>
            <w:tcW w:w="11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September 30,</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Violations (#)</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80" w:type="dxa"/>
            <w:vAlign w:val="bottom"/>
          </w:tcPr>
          <w:p>
            <w:pPr>
              <w:spacing w:after="0"/>
              <w:rPr>
                <w:sz w:val="11"/>
                <w:szCs w:val="11"/>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7"/>
              </w:rPr>
              <w:t>Assessments</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Section 104(e)</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Period (#) (a)</w:t>
            </w:r>
          </w:p>
        </w:tc>
        <w:tc>
          <w:tcPr>
            <w:tcW w:w="7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Period (#)</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72"/>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(yes/no)</w:t>
            </w:r>
          </w:p>
        </w:tc>
        <w:tc>
          <w:tcPr>
            <w:tcW w:w="8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20" w:type="dxa"/>
            <w:vAlign w:val="bottom"/>
          </w:tcPr>
          <w:p>
            <w:pPr>
              <w:ind w:left="20"/>
              <w:spacing w:after="0" w:line="126" w:lineRule="exact"/>
              <w:rPr>
                <w:sz w:val="20"/>
                <w:szCs w:val="20"/>
                <w:color w:val="auto"/>
              </w:rPr>
            </w:pPr>
            <w:r>
              <w:rPr>
                <w:rFonts w:ascii="Arial" w:cs="Arial" w:eastAsia="Arial" w:hAnsi="Arial"/>
                <w:sz w:val="13"/>
                <w:szCs w:val="13"/>
                <w:color w:val="auto"/>
                <w:w w:val="98"/>
              </w:rPr>
              <w:t>Wyodak Coal Mine</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ind w:left="80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880" w:type="dxa"/>
            <w:vAlign w:val="bottom"/>
            <w:vMerge w:val="restart"/>
          </w:tcPr>
          <w:p>
            <w:pPr>
              <w:ind w:left="6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5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120" w:type="dxa"/>
            <w:vAlign w:val="bottom"/>
          </w:tcPr>
          <w:p>
            <w:pPr>
              <w:ind w:left="20"/>
              <w:spacing w:after="0"/>
              <w:rPr>
                <w:sz w:val="20"/>
                <w:szCs w:val="20"/>
                <w:color w:val="auto"/>
              </w:rPr>
            </w:pPr>
            <w:r>
              <w:rPr>
                <w:rFonts w:ascii="Arial" w:cs="Arial" w:eastAsia="Arial" w:hAnsi="Arial"/>
                <w:sz w:val="13"/>
                <w:szCs w:val="13"/>
                <w:color w:val="auto"/>
              </w:rPr>
              <w:t>- 4800083</w:t>
            </w:r>
          </w:p>
        </w:tc>
        <w:tc>
          <w:tcPr>
            <w:tcW w:w="11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5" w:lineRule="exact"/>
        <w:rPr>
          <w:sz w:val="20"/>
          <w:szCs w:val="20"/>
          <w:color w:val="auto"/>
        </w:rPr>
      </w:pPr>
    </w:p>
    <w:p>
      <w:pPr>
        <w:ind w:left="340" w:right="200" w:hanging="332"/>
        <w:spacing w:after="0" w:line="249" w:lineRule="auto"/>
        <w:tabs>
          <w:tab w:leader="none" w:pos="349"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The types of proceedings by class: (1) contests of citations and orders - none; (2) contests of proposed penalties - none; (3) complaints for compensation - none; (4) complaints of discharge, discrimination or interference under Section 105 of the </w:t>
      </w:r>
      <w:r>
        <w:rPr>
          <w:rFonts w:ascii="Arial" w:cs="Arial" w:eastAsia="Arial" w:hAnsi="Arial"/>
          <w:sz w:val="16"/>
          <w:szCs w:val="16"/>
          <w:color w:val="auto"/>
        </w:rPr>
        <w:t>Mine Act - none; (5) applications for temporary relief - none; and (6) appeals of</w:t>
      </w:r>
      <w:r>
        <w:rPr>
          <w:rFonts w:ascii="Arial" w:cs="Arial" w:eastAsia="Arial" w:hAnsi="Arial"/>
          <w:sz w:val="14"/>
          <w:szCs w:val="14"/>
          <w:color w:val="auto"/>
        </w:rPr>
        <w:t xml:space="preserve"> </w:t>
      </w:r>
      <w:r>
        <w:rPr>
          <w:rFonts w:ascii="Arial" w:cs="Arial" w:eastAsia="Arial" w:hAnsi="Arial"/>
          <w:sz w:val="16"/>
          <w:szCs w:val="16"/>
          <w:color w:val="auto"/>
        </w:rPr>
        <w:t>judges' decisions or orders to the FMSHRC - none.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1)"/>
      <w:numFmt w:val="decimal"/>
      <w:start w:val="5"/>
    </w:lvl>
  </w:abstractNum>
  <w:abstractNum w:abstractNumId="8">
    <w:nsid w:val="737B8DDC"/>
    <w:multiLevelType w:val="hybridMultilevel"/>
    <w:lvl w:ilvl="0">
      <w:lvlJc w:val="left"/>
      <w:lvlText w:val="(%1)"/>
      <w:numFmt w:val="decimal"/>
      <w:start w:val="6"/>
    </w:lvl>
  </w:abstractNum>
  <w:abstractNum w:abstractNumId="9">
    <w:nsid w:val="6CEAF087"/>
    <w:multiLevelType w:val="hybridMultilevel"/>
    <w:lvl w:ilvl="0">
      <w:lvlJc w:val="left"/>
      <w:lvlText w:val="(%1)"/>
      <w:numFmt w:val="decimal"/>
      <w:start w:val="7"/>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decimal"/>
      <w:start w:val="8"/>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decimal"/>
      <w:start w:val="9"/>
    </w:lvl>
  </w:abstractNum>
  <w:abstractNum w:abstractNumId="17">
    <w:nsid w:val="5072367"/>
    <w:multiLevelType w:val="hybridMultilevel"/>
    <w:lvl w:ilvl="0">
      <w:lvlJc w:val="left"/>
      <w:lvlText w:val="(%1)"/>
      <w:numFmt w:val="decimal"/>
      <w:start w:val="10"/>
    </w:lvl>
  </w:abstractNum>
  <w:abstractNum w:abstractNumId="18">
    <w:nsid w:val="3804823E"/>
    <w:multiLevelType w:val="hybridMultilevel"/>
    <w:lvl w:ilvl="0">
      <w:lvlJc w:val="left"/>
      <w:lvlText w:val="(%1)"/>
      <w:numFmt w:val="decimal"/>
      <w:start w:val="11"/>
    </w:lvl>
  </w:abstractNum>
  <w:abstractNum w:abstractNumId="19">
    <w:nsid w:val="77465F01"/>
    <w:multiLevelType w:val="hybridMultilevel"/>
    <w:lvl w:ilvl="0">
      <w:lvlJc w:val="left"/>
      <w:lvlText w:val="(%1)"/>
      <w:numFmt w:val="decimal"/>
      <w:start w:val="12"/>
    </w:lvl>
  </w:abstractNum>
  <w:abstractNum w:abstractNumId="20">
    <w:nsid w:val="7724C67E"/>
    <w:multiLevelType w:val="hybridMultilevel"/>
    <w:lvl w:ilvl="0">
      <w:lvlJc w:val="left"/>
      <w:lvlText w:val="(%1)"/>
      <w:numFmt w:val="decimal"/>
      <w:start w:val="13"/>
    </w:lvl>
  </w:abstractNum>
  <w:abstractNum w:abstractNumId="21">
    <w:nsid w:val="5C482A97"/>
    <w:multiLevelType w:val="hybridMultilevel"/>
    <w:lvl w:ilvl="0">
      <w:lvlJc w:val="left"/>
      <w:lvlText w:val="(%1)"/>
      <w:numFmt w:val="decimal"/>
      <w:start w:val="14"/>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
      <w:numFmt w:val="bullet"/>
      <w:start w:val="1"/>
    </w:lvl>
    <w:lvl w:ilvl="1">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05" Type="http://schemas.openxmlformats.org/officeDocument/2006/relationships/hyperlink" Target="https://www.sec.gov/Archives/edgar/data/1130464/000110465921109815/tm2125215d4_ex4-1.htm" TargetMode="External"/><Relationship Id="rId106" Type="http://schemas.openxmlformats.org/officeDocument/2006/relationships/hyperlink" Target="https://www.sec.gov/Archives/edgar/data/1130464/000113046421000026/exhibit10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2021-11-03T10:54:04Z</dcterms:created>
  <dcterms:modified xsi:type="dcterms:W3CDTF">2021-11-03T10:54:04Z</dcterms:modified>
</cp:coreProperties>
</file>