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262" w:lineRule="exact"/>
        <w:rPr>
          <w:sz w:val="24"/>
          <w:szCs w:val="24"/>
          <w:color w:val="auto"/>
        </w:rPr>
      </w:pPr>
    </w:p>
    <w:p>
      <w:pPr>
        <w:jc w:val="center"/>
        <w:ind w:left="4000" w:right="1400" w:hanging="2599"/>
        <w:spacing w:after="0" w:line="256" w:lineRule="auto"/>
        <w:tabs>
          <w:tab w:leader="none" w:pos="15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5" w:lineRule="exact"/>
        <w:rPr>
          <w:sz w:val="24"/>
          <w:szCs w:val="24"/>
          <w:color w:val="auto"/>
        </w:rPr>
      </w:pPr>
    </w:p>
    <w:p>
      <w:pPr>
        <w:jc w:val="center"/>
        <w:ind w:left="3520" w:right="1400" w:hanging="2122"/>
        <w:spacing w:after="0" w:line="270" w:lineRule="auto"/>
        <w:tabs>
          <w:tab w:leader="none" w:pos="1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Incorporated in South Dakota IRS Identification Number 46-0458824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32" w:lineRule="exact"/>
        <w:rPr>
          <w:sz w:val="24"/>
          <w:szCs w:val="24"/>
          <w:color w:val="auto"/>
        </w:rPr>
      </w:pPr>
    </w:p>
    <w:p>
      <w:pPr>
        <w:jc w:val="both"/>
        <w:ind w:right="400"/>
        <w:spacing w:after="0" w:line="18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1" w:lineRule="exact"/>
        <w:rPr>
          <w:sz w:val="24"/>
          <w:szCs w:val="24"/>
          <w:color w:val="auto"/>
        </w:rPr>
      </w:pPr>
    </w:p>
    <w:p>
      <w:pPr>
        <w:ind w:right="420"/>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40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320" w:space="720"/>
            <w:col w:w="1460" w:space="720"/>
            <w:col w:w="402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00" w:space="720"/>
            <w:col w:w="3380"/>
          </w:cols>
          <w:pgMar w:left="320" w:top="233" w:right="339" w:bottom="1440" w:gutter="0" w:footer="0" w:header="0"/>
          <w:type w:val="continuous"/>
        </w:sectPr>
      </w:pP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3900"/>
              <w:spacing w:after="0"/>
              <w:rPr>
                <w:sz w:val="20"/>
                <w:szCs w:val="20"/>
                <w:color w:val="auto"/>
              </w:rPr>
            </w:pPr>
            <w:r>
              <w:rPr>
                <w:rFonts w:ascii="Arial" w:cs="Arial" w:eastAsia="Arial" w:hAnsi="Arial"/>
                <w:sz w:val="16"/>
                <w:szCs w:val="16"/>
                <w:color w:val="auto"/>
              </w:rPr>
              <w:t>Class</w:t>
            </w:r>
          </w:p>
        </w:tc>
        <w:tc>
          <w:tcPr>
            <w:tcW w:w="5340" w:type="dxa"/>
            <w:vAlign w:val="bottom"/>
          </w:tcPr>
          <w:p>
            <w:pPr>
              <w:ind w:left="360"/>
              <w:spacing w:after="0"/>
              <w:rPr>
                <w:sz w:val="20"/>
                <w:szCs w:val="20"/>
                <w:color w:val="auto"/>
              </w:rPr>
            </w:pPr>
            <w:r>
              <w:rPr>
                <w:rFonts w:ascii="Arial" w:cs="Arial" w:eastAsia="Arial" w:hAnsi="Arial"/>
                <w:sz w:val="16"/>
                <w:szCs w:val="16"/>
                <w:color w:val="auto"/>
              </w:rPr>
              <w:t>Outstanding at July 29, 2022</w:t>
            </w:r>
          </w:p>
        </w:tc>
      </w:tr>
      <w:tr>
        <w:trPr>
          <w:trHeight w:val="216"/>
        </w:trPr>
        <w:tc>
          <w:tcPr>
            <w:tcW w:w="5900" w:type="dxa"/>
            <w:vAlign w:val="bottom"/>
          </w:tcPr>
          <w:p>
            <w:pPr>
              <w:ind w:left="3260"/>
              <w:spacing w:after="0"/>
              <w:rPr>
                <w:sz w:val="20"/>
                <w:szCs w:val="20"/>
                <w:color w:val="auto"/>
              </w:rPr>
            </w:pPr>
            <w:r>
              <w:rPr>
                <w:rFonts w:ascii="Arial" w:cs="Arial" w:eastAsia="Arial" w:hAnsi="Arial"/>
                <w:sz w:val="16"/>
                <w:szCs w:val="16"/>
                <w:color w:val="auto"/>
              </w:rPr>
              <w:t>Common stock, $1.00 par value</w:t>
            </w:r>
          </w:p>
        </w:tc>
        <w:tc>
          <w:tcPr>
            <w:tcW w:w="5340" w:type="dxa"/>
            <w:vAlign w:val="bottom"/>
          </w:tcPr>
          <w:p>
            <w:pPr>
              <w:ind w:left="520"/>
              <w:spacing w:after="0"/>
              <w:rPr>
                <w:sz w:val="20"/>
                <w:szCs w:val="20"/>
                <w:color w:val="auto"/>
              </w:rPr>
            </w:pPr>
            <w:r>
              <w:rPr>
                <w:rFonts w:ascii="Arial" w:cs="Arial" w:eastAsia="Arial" w:hAnsi="Arial"/>
                <w:sz w:val="16"/>
                <w:szCs w:val="16"/>
                <w:color w:val="auto"/>
              </w:rPr>
              <w:t>65,079,859 shares</w:t>
            </w:r>
          </w:p>
        </w:tc>
      </w:tr>
      <w:tr>
        <w:trPr>
          <w:trHeight w:val="1008"/>
        </w:trPr>
        <w:tc>
          <w:tcPr>
            <w:tcW w:w="59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gridSpan w:val="8"/>
          </w:tcPr>
          <w:p>
            <w:pPr>
              <w:ind w:left="60"/>
              <w:spacing w:after="0"/>
              <w:rPr>
                <w:sz w:val="20"/>
                <w:szCs w:val="20"/>
                <w:color w:val="auto"/>
              </w:rPr>
            </w:pPr>
            <w:r>
              <w:rPr>
                <w:rFonts w:ascii="Arial" w:cs="Arial" w:eastAsia="Arial" w:hAnsi="Arial"/>
                <w:sz w:val="16"/>
                <w:szCs w:val="16"/>
                <w:b w:val="1"/>
                <w:bCs w:val="1"/>
                <w:color w:val="auto"/>
              </w:rPr>
              <w:t>TABLE OF CONTENTS</w:t>
            </w:r>
          </w:p>
        </w:tc>
        <w:tc>
          <w:tcPr>
            <w:tcW w:w="1500" w:type="dxa"/>
            <w:vAlign w:val="bottom"/>
            <w:gridSpan w:val="5"/>
            <w:vMerge w:val="restart"/>
          </w:tcPr>
          <w:p>
            <w:pPr>
              <w:ind w:left="5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9"/>
        </w:trPr>
        <w:tc>
          <w:tcPr>
            <w:tcW w:w="2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140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460" w:type="dxa"/>
            <w:vAlign w:val="bottom"/>
            <w:tcBorders>
              <w:bottom w:val="single" w:sz="8" w:color="CEFFE7"/>
            </w:tcBorders>
          </w:tcPr>
          <w:p>
            <w:pPr>
              <w:spacing w:after="0"/>
              <w:rPr>
                <w:sz w:val="18"/>
                <w:szCs w:val="18"/>
                <w:color w:val="auto"/>
              </w:rPr>
            </w:pPr>
          </w:p>
        </w:tc>
        <w:tc>
          <w:tcPr>
            <w:tcW w:w="52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380" w:type="dxa"/>
            <w:vAlign w:val="bottom"/>
            <w:tcBorders>
              <w:bottom w:val="single" w:sz="8" w:color="CEFFE7"/>
            </w:tcBorders>
          </w:tcPr>
          <w:p>
            <w:pPr>
              <w:spacing w:after="0"/>
              <w:rPr>
                <w:sz w:val="18"/>
                <w:szCs w:val="18"/>
                <w:color w:val="auto"/>
              </w:rPr>
            </w:pPr>
          </w:p>
        </w:tc>
        <w:tc>
          <w:tcPr>
            <w:tcW w:w="3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180" w:type="dxa"/>
            <w:vAlign w:val="bottom"/>
            <w:tcBorders>
              <w:bottom w:val="single" w:sz="8" w:color="CEFFE7"/>
            </w:tcBorders>
          </w:tcPr>
          <w:p>
            <w:pPr>
              <w:spacing w:after="0"/>
              <w:rPr>
                <w:sz w:val="18"/>
                <w:szCs w:val="18"/>
                <w:color w:val="auto"/>
              </w:rPr>
            </w:pPr>
          </w:p>
        </w:tc>
        <w:tc>
          <w:tcPr>
            <w:tcW w:w="22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320" w:type="dxa"/>
            <w:vAlign w:val="bottom"/>
            <w:tcBorders>
              <w:bottom w:val="single" w:sz="8" w:color="CEFFE7"/>
            </w:tcBorders>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6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32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60" w:type="dxa"/>
            <w:vAlign w:val="bottom"/>
            <w:tcBorders>
              <w:bottom w:val="single" w:sz="8" w:color="CEFFE7"/>
            </w:tcBorders>
          </w:tcPr>
          <w:p>
            <w:pPr>
              <w:spacing w:after="0"/>
              <w:rPr>
                <w:sz w:val="18"/>
                <w:szCs w:val="18"/>
                <w:color w:val="auto"/>
              </w:rPr>
            </w:pPr>
          </w:p>
        </w:tc>
        <w:tc>
          <w:tcPr>
            <w:tcW w:w="600" w:type="dxa"/>
            <w:vAlign w:val="bottom"/>
            <w:tcBorders>
              <w:bottom w:val="single" w:sz="8" w:color="CEFFE7"/>
            </w:tcBorders>
          </w:tcPr>
          <w:p>
            <w:pPr>
              <w:spacing w:after="0"/>
              <w:rPr>
                <w:sz w:val="18"/>
                <w:szCs w:val="18"/>
                <w:color w:val="auto"/>
              </w:rPr>
            </w:pPr>
          </w:p>
        </w:tc>
        <w:tc>
          <w:tcPr>
            <w:tcW w:w="3520" w:type="dxa"/>
            <w:vAlign w:val="bottom"/>
            <w:tcBorders>
              <w:bottom w:val="single" w:sz="8" w:color="CEFFE7"/>
            </w:tcBorders>
          </w:tcPr>
          <w:p>
            <w:pPr>
              <w:spacing w:after="0"/>
              <w:rPr>
                <w:sz w:val="18"/>
                <w:szCs w:val="18"/>
                <w:color w:val="auto"/>
              </w:rPr>
            </w:pPr>
          </w:p>
        </w:tc>
        <w:tc>
          <w:tcPr>
            <w:tcW w:w="15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700" w:type="dxa"/>
            <w:vAlign w:val="bottom"/>
            <w:gridSpan w:val="28"/>
            <w:shd w:val="clear" w:color="auto" w:fill="CEFFE7"/>
          </w:tcPr>
          <w:p>
            <w:pPr>
              <w:ind w:left="20"/>
              <w:spacing w:after="0" w:line="170" w:lineRule="exact"/>
              <w:rPr>
                <w:sz w:val="20"/>
                <w:szCs w:val="20"/>
                <w:color w:val="auto"/>
              </w:rPr>
            </w:pPr>
            <w:r>
              <w:rPr>
                <w:rFonts w:ascii="Arial" w:cs="Arial" w:eastAsia="Arial" w:hAnsi="Arial"/>
                <w:sz w:val="16"/>
                <w:szCs w:val="16"/>
                <w:color w:val="0000FF"/>
              </w:rPr>
              <w:t>Glossary of Terms and Abbreviations</w:t>
            </w:r>
          </w:p>
        </w:tc>
        <w:tc>
          <w:tcPr>
            <w:tcW w:w="800" w:type="dxa"/>
            <w:vAlign w:val="bottom"/>
            <w:gridSpan w:val="3"/>
            <w:shd w:val="clear" w:color="auto" w:fill="CEFFE7"/>
          </w:tcPr>
          <w:p>
            <w:pPr>
              <w:jc w:val="center"/>
              <w:ind w:left="619"/>
              <w:spacing w:after="0" w:line="170" w:lineRule="exact"/>
              <w:rPr>
                <w:sz w:val="20"/>
                <w:szCs w:val="20"/>
                <w:color w:val="auto"/>
              </w:rPr>
            </w:pPr>
            <w:r>
              <w:rPr>
                <w:rFonts w:ascii="Arial" w:cs="Arial" w:eastAsia="Arial" w:hAnsi="Arial"/>
                <w:sz w:val="16"/>
                <w:szCs w:val="16"/>
                <w:color w:val="0000FF"/>
              </w:rPr>
              <w:t>4</w:t>
            </w:r>
          </w:p>
        </w:tc>
        <w:tc>
          <w:tcPr>
            <w:tcW w:w="40" w:type="dxa"/>
            <w:vAlign w:val="bottom"/>
            <w:shd w:val="clear" w:color="auto" w:fill="CEFFE7"/>
          </w:tcPr>
          <w:p>
            <w:pPr>
              <w:spacing w:after="0"/>
              <w:rPr>
                <w:sz w:val="16"/>
                <w:szCs w:val="16"/>
                <w:color w:val="auto"/>
              </w:rPr>
            </w:pPr>
          </w:p>
        </w:tc>
        <w:tc>
          <w:tcPr>
            <w:tcW w:w="66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EFFE7"/>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gridSpan w:val="6"/>
          </w:tcPr>
          <w:p>
            <w:pPr>
              <w:spacing w:after="0" w:line="175" w:lineRule="exact"/>
              <w:rPr>
                <w:sz w:val="20"/>
                <w:szCs w:val="20"/>
                <w:color w:val="auto"/>
              </w:rPr>
            </w:pPr>
            <w:r>
              <w:rPr>
                <w:rFonts w:ascii="Arial" w:cs="Arial" w:eastAsia="Arial" w:hAnsi="Arial"/>
                <w:sz w:val="16"/>
                <w:szCs w:val="16"/>
                <w:color w:val="0000FF"/>
              </w:rPr>
              <w:t>Forward-Looking Information</w:t>
            </w:r>
          </w:p>
        </w:tc>
        <w:tc>
          <w:tcPr>
            <w:tcW w:w="7040" w:type="dxa"/>
            <w:vAlign w:val="bottom"/>
            <w:tcBorders>
              <w:top w:val="single" w:sz="8" w:color="CEFFE7"/>
            </w:tcBorders>
            <w:gridSpan w:val="20"/>
          </w:tcPr>
          <w:p>
            <w:pPr>
              <w:spacing w:after="0"/>
              <w:rPr>
                <w:sz w:val="15"/>
                <w:szCs w:val="15"/>
                <w:color w:val="auto"/>
              </w:rPr>
            </w:pPr>
          </w:p>
        </w:tc>
        <w:tc>
          <w:tcPr>
            <w:tcW w:w="700" w:type="dxa"/>
            <w:vAlign w:val="bottom"/>
            <w:tcBorders>
              <w:top w:val="single" w:sz="8" w:color="CEFFE7"/>
            </w:tcBorders>
            <w:gridSpan w:val="2"/>
          </w:tcPr>
          <w:p>
            <w:pPr>
              <w:spacing w:after="0"/>
              <w:rPr>
                <w:sz w:val="15"/>
                <w:szCs w:val="15"/>
                <w:color w:val="auto"/>
              </w:rPr>
            </w:pPr>
          </w:p>
        </w:tc>
        <w:tc>
          <w:tcPr>
            <w:tcW w:w="100" w:type="dxa"/>
            <w:vAlign w:val="bottom"/>
            <w:tcBorders>
              <w:top w:val="single" w:sz="8" w:color="0000FF"/>
            </w:tcBorders>
          </w:tcPr>
          <w:p>
            <w:pPr>
              <w:jc w:val="center"/>
              <w:spacing w:after="0" w:line="175" w:lineRule="exact"/>
              <w:rPr>
                <w:sz w:val="20"/>
                <w:szCs w:val="20"/>
                <w:color w:val="auto"/>
              </w:rPr>
            </w:pPr>
            <w:r>
              <w:rPr>
                <w:rFonts w:ascii="Arial" w:cs="Arial" w:eastAsia="Arial" w:hAnsi="Arial"/>
                <w:sz w:val="16"/>
                <w:szCs w:val="16"/>
                <w:color w:val="0000FF"/>
              </w:rPr>
              <w:t>7</w:t>
            </w:r>
          </w:p>
        </w:tc>
        <w:tc>
          <w:tcPr>
            <w:tcW w:w="40" w:type="dxa"/>
            <w:vAlign w:val="bottom"/>
            <w:tcBorders>
              <w:top w:val="single" w:sz="8" w:color="CEFFE7"/>
            </w:tcBorders>
          </w:tcPr>
          <w:p>
            <w:pPr>
              <w:spacing w:after="0"/>
              <w:rPr>
                <w:sz w:val="15"/>
                <w:szCs w:val="15"/>
                <w:color w:val="auto"/>
              </w:rPr>
            </w:pPr>
          </w:p>
        </w:tc>
        <w:tc>
          <w:tcPr>
            <w:tcW w:w="660" w:type="dxa"/>
            <w:vAlign w:val="bottom"/>
            <w:tcBorders>
              <w:top w:val="single" w:sz="8" w:color="CEFFE7"/>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520" w:type="dxa"/>
            <w:vAlign w:val="bottom"/>
            <w:gridSpan w:val="2"/>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700" w:type="dxa"/>
            <w:vAlign w:val="bottom"/>
            <w:gridSpan w:val="28"/>
          </w:tcPr>
          <w:p>
            <w:pPr>
              <w:ind w:left="20"/>
              <w:spacing w:after="0" w:line="175" w:lineRule="exact"/>
              <w:rPr>
                <w:sz w:val="20"/>
                <w:szCs w:val="20"/>
                <w:color w:val="auto"/>
              </w:rPr>
            </w:pPr>
            <w:r>
              <w:rPr>
                <w:rFonts w:ascii="Arial" w:cs="Arial" w:eastAsia="Arial" w:hAnsi="Arial"/>
                <w:sz w:val="16"/>
                <w:szCs w:val="16"/>
                <w:color w:val="0000FF"/>
              </w:rPr>
              <w:t>PART I. FINANCIAL INFORMATION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25"/>
          </w:tcPr>
          <w:p>
            <w:pPr>
              <w:spacing w:after="0" w:line="175" w:lineRule="exact"/>
              <w:rPr>
                <w:sz w:val="20"/>
                <w:szCs w:val="20"/>
                <w:color w:val="auto"/>
              </w:rPr>
            </w:pPr>
            <w:r>
              <w:rPr>
                <w:rFonts w:ascii="Arial" w:cs="Arial" w:eastAsia="Arial" w:hAnsi="Arial"/>
                <w:sz w:val="16"/>
                <w:szCs w:val="16"/>
                <w:color w:val="0000FF"/>
              </w:rPr>
              <w:t>Financial Statements - unaudited</w:t>
            </w:r>
          </w:p>
        </w:tc>
        <w:tc>
          <w:tcPr>
            <w:tcW w:w="800" w:type="dxa"/>
            <w:vAlign w:val="bottom"/>
            <w:gridSpan w:val="3"/>
          </w:tcPr>
          <w:p>
            <w:pPr>
              <w:jc w:val="center"/>
              <w:ind w:left="619"/>
              <w:spacing w:after="0" w:line="175" w:lineRule="exact"/>
              <w:rPr>
                <w:sz w:val="20"/>
                <w:szCs w:val="20"/>
                <w:color w:val="auto"/>
              </w:rPr>
            </w:pPr>
            <w:r>
              <w:rPr>
                <w:rFonts w:ascii="Arial" w:cs="Arial" w:eastAsia="Arial" w:hAnsi="Arial"/>
                <w:sz w:val="16"/>
                <w:szCs w:val="16"/>
                <w:color w:val="0000FF"/>
              </w:rPr>
              <w:t>8</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Statements of Income</w:t>
            </w:r>
          </w:p>
        </w:tc>
        <w:tc>
          <w:tcPr>
            <w:tcW w:w="800" w:type="dxa"/>
            <w:vAlign w:val="bottom"/>
            <w:gridSpan w:val="3"/>
            <w:shd w:val="clear" w:color="auto" w:fill="CEFFE7"/>
          </w:tcPr>
          <w:p>
            <w:pPr>
              <w:jc w:val="center"/>
              <w:ind w:left="619"/>
              <w:spacing w:after="0" w:line="175" w:lineRule="exact"/>
              <w:rPr>
                <w:sz w:val="20"/>
                <w:szCs w:val="20"/>
                <w:color w:val="auto"/>
              </w:rPr>
            </w:pPr>
            <w:r>
              <w:rPr>
                <w:rFonts w:ascii="Arial" w:cs="Arial" w:eastAsia="Arial" w:hAnsi="Arial"/>
                <w:sz w:val="16"/>
                <w:szCs w:val="16"/>
                <w:color w:val="0000FF"/>
              </w:rPr>
              <w:t>8</w:t>
            </w:r>
          </w:p>
        </w:tc>
        <w:tc>
          <w:tcPr>
            <w:tcW w:w="40" w:type="dxa"/>
            <w:vAlign w:val="bottom"/>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sz w:val="20"/>
                <w:szCs w:val="20"/>
                <w:color w:val="auto"/>
              </w:rPr>
            </w:pPr>
            <w:r>
              <w:rPr>
                <w:rFonts w:ascii="Arial" w:cs="Arial" w:eastAsia="Arial" w:hAnsi="Arial"/>
                <w:sz w:val="16"/>
                <w:szCs w:val="16"/>
                <w:color w:val="0000FF"/>
              </w:rPr>
              <w:t>Condensed Consolidated Statements of Comprehensive Income</w:t>
            </w:r>
          </w:p>
        </w:tc>
        <w:tc>
          <w:tcPr>
            <w:tcW w:w="800" w:type="dxa"/>
            <w:vAlign w:val="bottom"/>
            <w:gridSpan w:val="3"/>
          </w:tcPr>
          <w:p>
            <w:pPr>
              <w:jc w:val="center"/>
              <w:ind w:left="619"/>
              <w:spacing w:after="0" w:line="175" w:lineRule="exact"/>
              <w:rPr>
                <w:sz w:val="20"/>
                <w:szCs w:val="20"/>
                <w:color w:val="auto"/>
              </w:rPr>
            </w:pPr>
            <w:r>
              <w:rPr>
                <w:rFonts w:ascii="Arial" w:cs="Arial" w:eastAsia="Arial" w:hAnsi="Arial"/>
                <w:sz w:val="16"/>
                <w:szCs w:val="16"/>
                <w:color w:val="0000FF"/>
              </w:rPr>
              <w:t>9</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Balance Sheets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10</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sz w:val="20"/>
                <w:szCs w:val="20"/>
                <w:color w:val="auto"/>
              </w:rPr>
            </w:pPr>
            <w:r>
              <w:rPr>
                <w:rFonts w:ascii="Arial" w:cs="Arial" w:eastAsia="Arial" w:hAnsi="Arial"/>
                <w:sz w:val="16"/>
                <w:szCs w:val="16"/>
                <w:color w:val="0000FF"/>
              </w:rPr>
              <w:t>Condensed Consolidated Statements of Cash Flows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5"/>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Statements of Equity</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5"/>
          </w:tcPr>
          <w:p>
            <w:pPr>
              <w:ind w:left="120"/>
              <w:spacing w:after="0" w:line="175" w:lineRule="exact"/>
              <w:rPr>
                <w:sz w:val="20"/>
                <w:szCs w:val="20"/>
                <w:color w:val="auto"/>
              </w:rPr>
            </w:pPr>
            <w:r>
              <w:rPr>
                <w:rFonts w:ascii="Arial" w:cs="Arial" w:eastAsia="Arial" w:hAnsi="Arial"/>
                <w:sz w:val="16"/>
                <w:szCs w:val="16"/>
                <w:color w:val="0000FF"/>
              </w:rPr>
              <w:t>Notes to Condensed Consolidated Financial Statements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1. Management’s Statement</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14</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2. Regulatory Matters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3. Commitments, Contingencies and Guarantees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17</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4. Revenue</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5. Financing</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20</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6. Earnings Per Share</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7. Risk Management and Derivatives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21</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8. Fair Value Measurements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9. Other Comprehensive Income</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27</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10. Employee Benefit Plans</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11. Income Taxes</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29</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40" w:type="dxa"/>
            <w:vAlign w:val="bottom"/>
            <w:gridSpan w:val="24"/>
          </w:tcPr>
          <w:p>
            <w:pPr>
              <w:ind w:left="80"/>
              <w:spacing w:after="0" w:line="175" w:lineRule="exact"/>
              <w:rPr>
                <w:sz w:val="20"/>
                <w:szCs w:val="20"/>
                <w:color w:val="auto"/>
              </w:rPr>
            </w:pPr>
            <w:r>
              <w:rPr>
                <w:rFonts w:ascii="Arial" w:cs="Arial" w:eastAsia="Arial" w:hAnsi="Arial"/>
                <w:sz w:val="16"/>
                <w:szCs w:val="16"/>
                <w:color w:val="0000FF"/>
              </w:rPr>
              <w:t>Note 12. Business Segment Information</w:t>
            </w:r>
          </w:p>
        </w:tc>
        <w:tc>
          <w:tcPr>
            <w:tcW w:w="1500" w:type="dxa"/>
            <w:vAlign w:val="bottom"/>
            <w:gridSpan w:val="5"/>
          </w:tcPr>
          <w:p>
            <w:pPr>
              <w:jc w:val="center"/>
              <w:spacing w:after="0" w:line="175" w:lineRule="exact"/>
              <w:rPr>
                <w:sz w:val="20"/>
                <w:szCs w:val="20"/>
                <w:color w:val="auto"/>
              </w:rPr>
            </w:pPr>
            <w:r>
              <w:rPr>
                <w:rFonts w:ascii="Arial" w:cs="Arial" w:eastAsia="Arial" w:hAnsi="Arial"/>
                <w:sz w:val="16"/>
                <w:szCs w:val="16"/>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140" w:type="dxa"/>
            <w:vAlign w:val="bottom"/>
            <w:gridSpan w:val="24"/>
            <w:shd w:val="clear" w:color="auto" w:fill="CEFFE7"/>
          </w:tcPr>
          <w:p>
            <w:pPr>
              <w:ind w:left="80"/>
              <w:spacing w:after="0" w:line="175" w:lineRule="exact"/>
              <w:rPr>
                <w:sz w:val="20"/>
                <w:szCs w:val="20"/>
                <w:color w:val="auto"/>
              </w:rPr>
            </w:pPr>
            <w:r>
              <w:rPr>
                <w:rFonts w:ascii="Arial" w:cs="Arial" w:eastAsia="Arial" w:hAnsi="Arial"/>
                <w:sz w:val="16"/>
                <w:szCs w:val="16"/>
                <w:color w:val="0000FF"/>
              </w:rPr>
              <w:t>Note 13. Selected Balance Sheet Information</w:t>
            </w:r>
          </w:p>
        </w:tc>
        <w:tc>
          <w:tcPr>
            <w:tcW w:w="1500" w:type="dxa"/>
            <w:vAlign w:val="bottom"/>
            <w:gridSpan w:val="5"/>
            <w:shd w:val="clear" w:color="auto" w:fill="CEFFE7"/>
          </w:tcPr>
          <w:p>
            <w:pPr>
              <w:jc w:val="center"/>
              <w:spacing w:after="0" w:line="175" w:lineRule="exact"/>
              <w:rPr>
                <w:sz w:val="20"/>
                <w:szCs w:val="20"/>
                <w:color w:val="auto"/>
              </w:rPr>
            </w:pPr>
            <w:r>
              <w:rPr>
                <w:rFonts w:ascii="Arial" w:cs="Arial" w:eastAsia="Arial" w:hAnsi="Arial"/>
                <w:sz w:val="16"/>
                <w:szCs w:val="16"/>
                <w:color w:val="0000FF"/>
              </w:rPr>
              <w:t>31</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1"/>
        </w:trPr>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gridSpan w:val="5"/>
          </w:tcPr>
          <w:p>
            <w:pPr>
              <w:ind w:left="240"/>
              <w:spacing w:after="0"/>
              <w:rPr>
                <w:sz w:val="20"/>
                <w:szCs w:val="20"/>
                <w:color w:val="auto"/>
              </w:rPr>
            </w:pPr>
            <w:r>
              <w:rPr>
                <w:rFonts w:ascii="Arial" w:cs="Arial" w:eastAsia="Arial" w:hAnsi="Arial"/>
                <w:sz w:val="16"/>
                <w:szCs w:val="16"/>
                <w:b w:val="1"/>
                <w:bCs w:val="1"/>
                <w:color w:val="auto"/>
              </w:rPr>
              <w:t>TABLE OF CONTENTS</w:t>
            </w:r>
          </w:p>
        </w:tc>
        <w:tc>
          <w:tcPr>
            <w:tcW w:w="1520" w:type="dxa"/>
            <w:vAlign w:val="bottom"/>
            <w:gridSpan w:val="4"/>
            <w:vMerge w:val="restart"/>
          </w:tcPr>
          <w:p>
            <w:pPr>
              <w:jc w:val="center"/>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CEFFE7"/>
            </w:tcBorders>
          </w:tcPr>
          <w:p>
            <w:pPr>
              <w:spacing w:after="0"/>
              <w:rPr>
                <w:sz w:val="14"/>
                <w:szCs w:val="14"/>
                <w:color w:val="auto"/>
              </w:rPr>
            </w:pPr>
          </w:p>
        </w:tc>
        <w:tc>
          <w:tcPr>
            <w:tcW w:w="1420" w:type="dxa"/>
            <w:vAlign w:val="bottom"/>
            <w:tcBorders>
              <w:top w:val="single" w:sz="8" w:color="CEFFE7"/>
            </w:tcBorders>
            <w:gridSpan w:val="3"/>
            <w:shd w:val="clear" w:color="auto" w:fill="CEFFE7"/>
          </w:tcPr>
          <w:p>
            <w:pPr>
              <w:spacing w:after="0" w:line="170" w:lineRule="exact"/>
              <w:rPr>
                <w:sz w:val="20"/>
                <w:szCs w:val="20"/>
                <w:color w:val="auto"/>
              </w:rPr>
            </w:pPr>
            <w:r>
              <w:rPr>
                <w:rFonts w:ascii="Arial" w:cs="Arial" w:eastAsia="Arial" w:hAnsi="Arial"/>
                <w:sz w:val="16"/>
                <w:szCs w:val="16"/>
                <w:color w:val="auto"/>
              </w:rPr>
              <w:t>Item 2.</w:t>
            </w:r>
          </w:p>
        </w:tc>
        <w:tc>
          <w:tcPr>
            <w:tcW w:w="8260" w:type="dxa"/>
            <w:vAlign w:val="bottom"/>
            <w:tcBorders>
              <w:top w:val="single" w:sz="8" w:color="CEFFE7"/>
            </w:tcBorders>
            <w:gridSpan w:val="27"/>
            <w:shd w:val="clear" w:color="auto" w:fill="CEFFE7"/>
          </w:tcPr>
          <w:p>
            <w:pPr>
              <w:spacing w:after="0" w:line="170"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00" w:type="dxa"/>
            <w:vAlign w:val="bottom"/>
            <w:tcBorders>
              <w:top w:val="single" w:sz="8" w:color="auto"/>
            </w:tcBorders>
            <w:gridSpan w:val="3"/>
            <w:shd w:val="clear" w:color="auto" w:fill="CEFFE7"/>
          </w:tcPr>
          <w:p>
            <w:pPr>
              <w:jc w:val="center"/>
              <w:spacing w:after="0" w:line="170" w:lineRule="exact"/>
              <w:rPr>
                <w:sz w:val="20"/>
                <w:szCs w:val="20"/>
                <w:color w:val="auto"/>
              </w:rPr>
            </w:pPr>
            <w:r>
              <w:rPr>
                <w:rFonts w:ascii="Arial" w:cs="Arial" w:eastAsia="Arial" w:hAnsi="Arial"/>
                <w:sz w:val="16"/>
                <w:szCs w:val="16"/>
                <w:color w:val="0000FF"/>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900" w:type="dxa"/>
            <w:vAlign w:val="bottom"/>
            <w:tcBorders>
              <w:top w:val="single" w:sz="8" w:color="0000FF"/>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gridSpan w:val="26"/>
          </w:tcPr>
          <w:p>
            <w:pPr>
              <w:ind w:left="120"/>
              <w:spacing w:after="0" w:line="175" w:lineRule="exact"/>
              <w:rPr>
                <w:sz w:val="20"/>
                <w:szCs w:val="20"/>
                <w:color w:val="auto"/>
              </w:rPr>
            </w:pPr>
            <w:r>
              <w:rPr>
                <w:rFonts w:ascii="Arial" w:cs="Arial" w:eastAsia="Arial" w:hAnsi="Arial"/>
                <w:sz w:val="16"/>
                <w:szCs w:val="16"/>
                <w:color w:val="0000FF"/>
              </w:rPr>
              <w:t>Executive Summary</w:t>
            </w: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Recent Developments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27"/>
          </w:tcPr>
          <w:p>
            <w:pPr>
              <w:ind w:left="120"/>
              <w:spacing w:after="0" w:line="175" w:lineRule="exact"/>
              <w:rPr>
                <w:sz w:val="20"/>
                <w:szCs w:val="20"/>
                <w:color w:val="auto"/>
              </w:rPr>
            </w:pPr>
            <w:r>
              <w:rPr>
                <w:rFonts w:ascii="Arial" w:cs="Arial" w:eastAsia="Arial" w:hAnsi="Arial"/>
                <w:sz w:val="16"/>
                <w:szCs w:val="16"/>
                <w:color w:val="0000FF"/>
              </w:rPr>
              <w:t>Results of Operations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ind w:left="20"/>
              <w:spacing w:after="0" w:line="175" w:lineRule="exact"/>
              <w:rPr>
                <w:sz w:val="20"/>
                <w:szCs w:val="20"/>
                <w:color w:val="auto"/>
              </w:rPr>
            </w:pPr>
            <w:r>
              <w:rPr>
                <w:rFonts w:ascii="Arial" w:cs="Arial" w:eastAsia="Arial" w:hAnsi="Arial"/>
                <w:sz w:val="16"/>
                <w:szCs w:val="16"/>
                <w:color w:val="0000FF"/>
              </w:rPr>
              <w:t>Consolidated Summary and Overview</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5"/>
          </w:tcPr>
          <w:p>
            <w:pPr>
              <w:ind w:left="20"/>
              <w:spacing w:after="0" w:line="175" w:lineRule="exact"/>
              <w:rPr>
                <w:sz w:val="20"/>
                <w:szCs w:val="20"/>
                <w:color w:val="auto"/>
              </w:rPr>
            </w:pPr>
            <w:r>
              <w:rPr>
                <w:rFonts w:ascii="Arial" w:cs="Arial" w:eastAsia="Arial" w:hAnsi="Arial"/>
                <w:sz w:val="16"/>
                <w:szCs w:val="16"/>
                <w:color w:val="0000FF"/>
              </w:rPr>
              <w:t>Non-GAAP Financial Measure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100" w:type="dxa"/>
            <w:vAlign w:val="bottom"/>
            <w:gridSpan w:val="7"/>
            <w:shd w:val="clear" w:color="auto" w:fill="CEFFE7"/>
          </w:tcPr>
          <w:p>
            <w:pPr>
              <w:spacing w:after="0" w:line="175" w:lineRule="exact"/>
              <w:rPr>
                <w:sz w:val="20"/>
                <w:szCs w:val="20"/>
                <w:color w:val="auto"/>
              </w:rPr>
            </w:pPr>
            <w:r>
              <w:rPr>
                <w:rFonts w:ascii="Arial" w:cs="Arial" w:eastAsia="Arial" w:hAnsi="Arial"/>
                <w:sz w:val="16"/>
                <w:szCs w:val="16"/>
                <w:color w:val="0000FF"/>
                <w:w w:val="99"/>
              </w:rPr>
              <w:t>Electric Utilities</w:t>
            </w:r>
          </w:p>
        </w:tc>
        <w:tc>
          <w:tcPr>
            <w:tcW w:w="6840" w:type="dxa"/>
            <w:vAlign w:val="bottom"/>
            <w:gridSpan w:val="18"/>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7"/>
          </w:tcPr>
          <w:p>
            <w:pPr>
              <w:spacing w:after="0" w:line="175" w:lineRule="exact"/>
              <w:rPr>
                <w:sz w:val="20"/>
                <w:szCs w:val="20"/>
                <w:color w:val="auto"/>
              </w:rPr>
            </w:pPr>
            <w:r>
              <w:rPr>
                <w:rFonts w:ascii="Arial" w:cs="Arial" w:eastAsia="Arial" w:hAnsi="Arial"/>
                <w:sz w:val="16"/>
                <w:szCs w:val="16"/>
                <w:color w:val="0000FF"/>
              </w:rPr>
              <w:t>Gas Utilities</w:t>
            </w:r>
          </w:p>
        </w:tc>
        <w:tc>
          <w:tcPr>
            <w:tcW w:w="684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spacing w:after="0" w:line="175" w:lineRule="exact"/>
              <w:rPr>
                <w:sz w:val="20"/>
                <w:szCs w:val="20"/>
                <w:color w:val="auto"/>
              </w:rPr>
            </w:pPr>
            <w:r>
              <w:rPr>
                <w:rFonts w:ascii="Arial" w:cs="Arial" w:eastAsia="Arial" w:hAnsi="Arial"/>
                <w:sz w:val="16"/>
                <w:szCs w:val="16"/>
                <w:color w:val="0000FF"/>
              </w:rPr>
              <w:t>Corporate and Other</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5"/>
          </w:tcPr>
          <w:p>
            <w:pPr>
              <w:spacing w:after="0" w:line="175"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Liquidity and Capital Resources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17"/>
          </w:tcPr>
          <w:p>
            <w:pPr>
              <w:spacing w:after="0" w:line="175" w:lineRule="exact"/>
              <w:rPr>
                <w:sz w:val="20"/>
                <w:szCs w:val="20"/>
                <w:color w:val="auto"/>
              </w:rPr>
            </w:pPr>
            <w:r>
              <w:rPr>
                <w:rFonts w:ascii="Arial" w:cs="Arial" w:eastAsia="Arial" w:hAnsi="Arial"/>
                <w:sz w:val="16"/>
                <w:szCs w:val="16"/>
                <w:color w:val="0000FF"/>
              </w:rPr>
              <w:t>Cash Flow Activities</w:t>
            </w:r>
          </w:p>
        </w:tc>
        <w:tc>
          <w:tcPr>
            <w:tcW w:w="586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spacing w:after="0" w:line="175" w:lineRule="exact"/>
              <w:rPr>
                <w:sz w:val="20"/>
                <w:szCs w:val="20"/>
                <w:color w:val="auto"/>
              </w:rPr>
            </w:pPr>
            <w:r>
              <w:rPr>
                <w:rFonts w:ascii="Arial" w:cs="Arial" w:eastAsia="Arial" w:hAnsi="Arial"/>
                <w:sz w:val="16"/>
                <w:szCs w:val="16"/>
                <w:color w:val="0000FF"/>
              </w:rPr>
              <w:t>Capital Resources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9"/>
          </w:tcPr>
          <w:p>
            <w:pPr>
              <w:spacing w:after="0" w:line="175" w:lineRule="exact"/>
              <w:rPr>
                <w:sz w:val="20"/>
                <w:szCs w:val="20"/>
                <w:color w:val="auto"/>
              </w:rPr>
            </w:pPr>
            <w:r>
              <w:rPr>
                <w:rFonts w:ascii="Arial" w:cs="Arial" w:eastAsia="Arial" w:hAnsi="Arial"/>
                <w:sz w:val="16"/>
                <w:szCs w:val="16"/>
                <w:color w:val="0000FF"/>
              </w:rPr>
              <w:t>Credit Ratings</w:t>
            </w:r>
          </w:p>
        </w:tc>
        <w:tc>
          <w:tcPr>
            <w:tcW w:w="662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560" w:type="dxa"/>
            <w:vAlign w:val="bottom"/>
            <w:gridSpan w:val="15"/>
            <w:shd w:val="clear" w:color="auto" w:fill="CEFFE7"/>
          </w:tcPr>
          <w:p>
            <w:pPr>
              <w:spacing w:after="0" w:line="175" w:lineRule="exact"/>
              <w:rPr>
                <w:sz w:val="20"/>
                <w:szCs w:val="20"/>
                <w:color w:val="auto"/>
              </w:rPr>
            </w:pPr>
            <w:r>
              <w:rPr>
                <w:rFonts w:ascii="Arial" w:cs="Arial" w:eastAsia="Arial" w:hAnsi="Arial"/>
                <w:sz w:val="16"/>
                <w:szCs w:val="16"/>
                <w:color w:val="0000FF"/>
              </w:rPr>
              <w:t>Capital Requirements</w:t>
            </w:r>
          </w:p>
        </w:tc>
        <w:tc>
          <w:tcPr>
            <w:tcW w:w="6380" w:type="dxa"/>
            <w:vAlign w:val="bottom"/>
            <w:gridSpan w:val="10"/>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27"/>
          </w:tcPr>
          <w:p>
            <w:pPr>
              <w:ind w:left="120"/>
              <w:spacing w:after="0" w:line="175" w:lineRule="exact"/>
              <w:rPr>
                <w:sz w:val="20"/>
                <w:szCs w:val="20"/>
                <w:color w:val="auto"/>
              </w:rPr>
            </w:pPr>
            <w:r>
              <w:rPr>
                <w:rFonts w:ascii="Arial" w:cs="Arial" w:eastAsia="Arial" w:hAnsi="Arial"/>
                <w:sz w:val="16"/>
                <w:szCs w:val="16"/>
                <w:color w:val="0000FF"/>
              </w:rPr>
              <w:t>Critical Accounting Estimates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5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New Accounting Pronouncements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100" w:type="dxa"/>
            <w:vAlign w:val="bottom"/>
            <w:tcBorders>
              <w:top w:val="single" w:sz="8" w:color="CEFFE7"/>
            </w:tcBorders>
          </w:tcPr>
          <w:p>
            <w:pPr>
              <w:spacing w:after="0"/>
              <w:rPr>
                <w:sz w:val="23"/>
                <w:szCs w:val="23"/>
                <w:color w:val="auto"/>
              </w:rPr>
            </w:pPr>
          </w:p>
        </w:tc>
        <w:tc>
          <w:tcPr>
            <w:tcW w:w="900" w:type="dxa"/>
            <w:vAlign w:val="bottom"/>
            <w:tcBorders>
              <w:top w:val="single" w:sz="8" w:color="CEFFE7"/>
            </w:tcBorders>
          </w:tcPr>
          <w:p>
            <w:pPr>
              <w:spacing w:after="0"/>
              <w:rPr>
                <w:sz w:val="23"/>
                <w:szCs w:val="23"/>
                <w:color w:val="auto"/>
              </w:rPr>
            </w:pPr>
          </w:p>
        </w:tc>
        <w:tc>
          <w:tcPr>
            <w:tcW w:w="190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3.</w:t>
            </w:r>
          </w:p>
        </w:tc>
        <w:tc>
          <w:tcPr>
            <w:tcW w:w="4240" w:type="dxa"/>
            <w:vAlign w:val="bottom"/>
            <w:gridSpan w:val="23"/>
            <w:shd w:val="clear" w:color="auto" w:fill="CEFFE7"/>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4020" w:type="dxa"/>
            <w:vAlign w:val="bottom"/>
            <w:gridSpan w:val="4"/>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gridSpan w:val="23"/>
          </w:tcPr>
          <w:p>
            <w:pPr>
              <w:spacing w:after="0" w:line="175" w:lineRule="exact"/>
              <w:rPr>
                <w:sz w:val="20"/>
                <w:szCs w:val="20"/>
                <w:color w:val="auto"/>
              </w:rPr>
            </w:pPr>
            <w:r>
              <w:rPr>
                <w:rFonts w:ascii="Arial" w:cs="Arial" w:eastAsia="Arial" w:hAnsi="Arial"/>
                <w:sz w:val="16"/>
                <w:szCs w:val="16"/>
                <w:color w:val="0000FF"/>
              </w:rPr>
              <w:t>Controls and Procedures</w:t>
            </w:r>
          </w:p>
        </w:tc>
        <w:tc>
          <w:tcPr>
            <w:tcW w:w="40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760" w:type="dxa"/>
            <w:vAlign w:val="bottom"/>
            <w:gridSpan w:val="3"/>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100" w:type="dxa"/>
            <w:vAlign w:val="bottom"/>
            <w:shd w:val="clear" w:color="auto" w:fill="CEFFE7"/>
          </w:tcPr>
          <w:p>
            <w:pPr>
              <w:spacing w:after="0"/>
              <w:rPr>
                <w:sz w:val="23"/>
                <w:szCs w:val="23"/>
                <w:color w:val="auto"/>
              </w:rPr>
            </w:pPr>
          </w:p>
        </w:tc>
        <w:tc>
          <w:tcPr>
            <w:tcW w:w="90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680" w:type="dxa"/>
            <w:vAlign w:val="bottom"/>
            <w:gridSpan w:val="30"/>
          </w:tcPr>
          <w:p>
            <w:pPr>
              <w:spacing w:after="0" w:line="175" w:lineRule="exact"/>
              <w:rPr>
                <w:sz w:val="20"/>
                <w:szCs w:val="20"/>
                <w:color w:val="auto"/>
              </w:rPr>
            </w:pPr>
            <w:r>
              <w:rPr>
                <w:rFonts w:ascii="Arial" w:cs="Arial" w:eastAsia="Arial" w:hAnsi="Arial"/>
                <w:sz w:val="16"/>
                <w:szCs w:val="16"/>
                <w:color w:val="0000FF"/>
              </w:rPr>
              <w:t>PART II. OTHER INFORMATION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1.</w:t>
            </w:r>
          </w:p>
        </w:tc>
        <w:tc>
          <w:tcPr>
            <w:tcW w:w="134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w w:val="99"/>
              </w:rPr>
              <w:t>Legal Proceedings</w:t>
            </w:r>
          </w:p>
        </w:tc>
        <w:tc>
          <w:tcPr>
            <w:tcW w:w="6920" w:type="dxa"/>
            <w:vAlign w:val="bottom"/>
            <w:gridSpan w:val="19"/>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gridSpan w:val="8"/>
          </w:tcPr>
          <w:p>
            <w:pPr>
              <w:spacing w:after="0" w:line="175" w:lineRule="exact"/>
              <w:rPr>
                <w:sz w:val="20"/>
                <w:szCs w:val="20"/>
                <w:color w:val="auto"/>
              </w:rPr>
            </w:pPr>
            <w:r>
              <w:rPr>
                <w:rFonts w:ascii="Arial" w:cs="Arial" w:eastAsia="Arial" w:hAnsi="Arial"/>
                <w:sz w:val="16"/>
                <w:szCs w:val="16"/>
                <w:color w:val="0000FF"/>
              </w:rPr>
              <w:t>Risk Factors</w:t>
            </w:r>
          </w:p>
        </w:tc>
        <w:tc>
          <w:tcPr>
            <w:tcW w:w="692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2.</w:t>
            </w:r>
          </w:p>
        </w:tc>
        <w:tc>
          <w:tcPr>
            <w:tcW w:w="8260" w:type="dxa"/>
            <w:vAlign w:val="bottom"/>
            <w:gridSpan w:val="27"/>
            <w:shd w:val="clear" w:color="auto" w:fill="CEFFE7"/>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360" w:type="dxa"/>
            <w:vAlign w:val="bottom"/>
            <w:gridSpan w:val="24"/>
          </w:tcPr>
          <w:p>
            <w:pPr>
              <w:spacing w:after="0" w:line="175" w:lineRule="exact"/>
              <w:rPr>
                <w:sz w:val="20"/>
                <w:szCs w:val="20"/>
                <w:color w:val="auto"/>
              </w:rPr>
            </w:pPr>
            <w:r>
              <w:rPr>
                <w:rFonts w:ascii="Arial" w:cs="Arial" w:eastAsia="Arial" w:hAnsi="Arial"/>
                <w:sz w:val="16"/>
                <w:szCs w:val="16"/>
                <w:color w:val="0000FF"/>
              </w:rPr>
              <w:t>Mine Safety Disclosures</w:t>
            </w:r>
          </w:p>
        </w:tc>
        <w:tc>
          <w:tcPr>
            <w:tcW w:w="390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6.</w:t>
            </w:r>
          </w:p>
        </w:tc>
        <w:tc>
          <w:tcPr>
            <w:tcW w:w="8260" w:type="dxa"/>
            <w:vAlign w:val="bottom"/>
            <w:gridSpan w:val="27"/>
            <w:shd w:val="clear" w:color="auto" w:fill="CEFFE7"/>
          </w:tcPr>
          <w:p>
            <w:pPr>
              <w:spacing w:after="0" w:line="175" w:lineRule="exact"/>
              <w:rPr>
                <w:sz w:val="20"/>
                <w:szCs w:val="20"/>
                <w:color w:val="auto"/>
              </w:rPr>
            </w:pPr>
            <w:r>
              <w:rPr>
                <w:rFonts w:ascii="Arial" w:cs="Arial" w:eastAsia="Arial" w:hAnsi="Arial"/>
                <w:sz w:val="16"/>
                <w:szCs w:val="16"/>
                <w:color w:val="0000FF"/>
              </w:rPr>
              <w:t>Exhibits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220" w:type="dxa"/>
            <w:vAlign w:val="bottom"/>
            <w:tcBorders>
              <w:top w:val="single" w:sz="8" w:color="CEFFE7"/>
            </w:tcBorders>
          </w:tcPr>
          <w:p>
            <w:pPr>
              <w:spacing w:after="0"/>
              <w:rPr>
                <w:sz w:val="23"/>
                <w:szCs w:val="23"/>
                <w:color w:val="auto"/>
              </w:rPr>
            </w:pPr>
          </w:p>
        </w:tc>
        <w:tc>
          <w:tcPr>
            <w:tcW w:w="16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4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340" w:type="dxa"/>
            <w:vAlign w:val="bottom"/>
            <w:tcBorders>
              <w:top w:val="single" w:sz="8" w:color="CEFFE7"/>
            </w:tcBorders>
          </w:tcPr>
          <w:p>
            <w:pPr>
              <w:spacing w:after="0"/>
              <w:rPr>
                <w:sz w:val="23"/>
                <w:szCs w:val="23"/>
                <w:color w:val="auto"/>
              </w:rPr>
            </w:pPr>
          </w:p>
        </w:tc>
        <w:tc>
          <w:tcPr>
            <w:tcW w:w="18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100" w:type="dxa"/>
            <w:vAlign w:val="bottom"/>
            <w:tcBorders>
              <w:top w:val="single" w:sz="8" w:color="CEFFE7"/>
            </w:tcBorders>
          </w:tcPr>
          <w:p>
            <w:pPr>
              <w:spacing w:after="0"/>
              <w:rPr>
                <w:sz w:val="23"/>
                <w:szCs w:val="23"/>
                <w:color w:val="auto"/>
              </w:rPr>
            </w:pPr>
          </w:p>
        </w:tc>
        <w:tc>
          <w:tcPr>
            <w:tcW w:w="900" w:type="dxa"/>
            <w:vAlign w:val="bottom"/>
            <w:tcBorders>
              <w:top w:val="single" w:sz="8" w:color="CEFFE7"/>
            </w:tcBorders>
          </w:tcPr>
          <w:p>
            <w:pPr>
              <w:spacing w:after="0"/>
              <w:rPr>
                <w:sz w:val="23"/>
                <w:szCs w:val="23"/>
                <w:color w:val="auto"/>
              </w:rPr>
            </w:pPr>
          </w:p>
        </w:tc>
        <w:tc>
          <w:tcPr>
            <w:tcW w:w="190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0000FF"/>
              </w:rPr>
              <w:t>Signatures</w:t>
            </w:r>
          </w:p>
        </w:tc>
        <w:tc>
          <w:tcPr>
            <w:tcW w:w="12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500" w:type="dxa"/>
            <w:vAlign w:val="bottom"/>
            <w:shd w:val="clear" w:color="auto" w:fill="CEFFE7"/>
          </w:tcPr>
          <w:p>
            <w:pPr>
              <w:spacing w:after="0"/>
              <w:rPr>
                <w:sz w:val="17"/>
                <w:szCs w:val="17"/>
                <w:color w:val="auto"/>
              </w:rPr>
            </w:pPr>
          </w:p>
        </w:tc>
        <w:tc>
          <w:tcPr>
            <w:tcW w:w="118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1900" w:type="dxa"/>
            <w:vAlign w:val="bottom"/>
            <w:shd w:val="clear" w:color="auto" w:fill="CEFFE7"/>
          </w:tcPr>
          <w:p>
            <w:pPr>
              <w:spacing w:after="0"/>
              <w:rPr>
                <w:sz w:val="17"/>
                <w:szCs w:val="17"/>
                <w:color w:val="auto"/>
              </w:rPr>
            </w:pP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4240" w:type="dxa"/>
            <w:vAlign w:val="bottom"/>
            <w:tcBorders>
              <w:top w:val="single" w:sz="8" w:color="CEFFE7"/>
            </w:tcBorders>
            <w:gridSpan w:val="23"/>
          </w:tcPr>
          <w:p>
            <w:pPr>
              <w:ind w:left="4120"/>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EFFE7"/>
            </w:tcBorders>
          </w:tcPr>
          <w:p>
            <w:pPr>
              <w:spacing w:after="0"/>
              <w:rPr>
                <w:sz w:val="24"/>
                <w:szCs w:val="24"/>
                <w:color w:val="auto"/>
              </w:rPr>
            </w:pPr>
          </w:p>
        </w:tc>
        <w:tc>
          <w:tcPr>
            <w:tcW w:w="1100" w:type="dxa"/>
            <w:vAlign w:val="bottom"/>
            <w:tcBorders>
              <w:top w:val="single" w:sz="8" w:color="CEFFE7"/>
            </w:tcBorders>
          </w:tcPr>
          <w:p>
            <w:pPr>
              <w:spacing w:after="0"/>
              <w:rPr>
                <w:sz w:val="24"/>
                <w:szCs w:val="24"/>
                <w:color w:val="auto"/>
              </w:rPr>
            </w:pPr>
          </w:p>
        </w:tc>
        <w:tc>
          <w:tcPr>
            <w:tcW w:w="900" w:type="dxa"/>
            <w:vAlign w:val="bottom"/>
            <w:tcBorders>
              <w:top w:val="single" w:sz="8" w:color="CEFFE7"/>
            </w:tcBorders>
          </w:tcPr>
          <w:p>
            <w:pPr>
              <w:spacing w:after="0"/>
              <w:rPr>
                <w:sz w:val="24"/>
                <w:szCs w:val="24"/>
                <w:color w:val="auto"/>
              </w:rPr>
            </w:pPr>
          </w:p>
        </w:tc>
        <w:tc>
          <w:tcPr>
            <w:tcW w:w="1900" w:type="dxa"/>
            <w:vAlign w:val="bottom"/>
            <w:tcBorders>
              <w:top w:val="single" w:sz="8" w:color="CEFFE7"/>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8540" w:type="dxa"/>
            <w:vAlign w:val="bottom"/>
          </w:tcPr>
          <w:p>
            <w:pPr>
              <w:ind w:left="114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24"/>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0"/>
        </w:trPr>
        <w:tc>
          <w:tcPr>
            <w:tcW w:w="2700" w:type="dxa"/>
            <w:vAlign w:val="bottom"/>
          </w:tcPr>
          <w:p>
            <w:pPr>
              <w:spacing w:after="0"/>
              <w:rPr>
                <w:sz w:val="9"/>
                <w:szCs w:val="9"/>
                <w:color w:val="auto"/>
              </w:rPr>
            </w:pPr>
          </w:p>
        </w:tc>
        <w:tc>
          <w:tcPr>
            <w:tcW w:w="8540" w:type="dxa"/>
            <w:vAlign w:val="bottom"/>
          </w:tcPr>
          <w:p>
            <w:pPr>
              <w:spacing w:after="0"/>
              <w:rPr>
                <w:sz w:val="9"/>
                <w:szCs w:val="9"/>
                <w:color w:val="auto"/>
              </w:rPr>
            </w:pP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AOCI</w:t>
            </w:r>
          </w:p>
        </w:tc>
        <w:tc>
          <w:tcPr>
            <w:tcW w:w="85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APSC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Arkansas Public Service Commission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Arkansas Gas</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ASU</w:t>
            </w:r>
          </w:p>
        </w:tc>
        <w:tc>
          <w:tcPr>
            <w:tcW w:w="8540" w:type="dxa"/>
            <w:vAlign w:val="bottom"/>
          </w:tcPr>
          <w:p>
            <w:pPr>
              <w:ind w:left="160"/>
              <w:spacing w:after="0"/>
              <w:rPr>
                <w:sz w:val="20"/>
                <w:szCs w:val="20"/>
                <w:color w:val="auto"/>
              </w:rPr>
            </w:pPr>
            <w:r>
              <w:rPr>
                <w:rFonts w:ascii="Arial" w:cs="Arial" w:eastAsia="Arial" w:hAnsi="Arial"/>
                <w:sz w:val="16"/>
                <w:szCs w:val="16"/>
                <w:color w:val="auto"/>
              </w:rPr>
              <w:t>Accounting Standards Update issued by the FASB</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ATM</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Availability</w:t>
            </w:r>
          </w:p>
        </w:tc>
        <w:tc>
          <w:tcPr>
            <w:tcW w:w="8540" w:type="dxa"/>
            <w:vAlign w:val="bottom"/>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BHC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Colorado IPP</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Black Hills Electric Generation</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8540" w:type="dxa"/>
            <w:vAlign w:val="bottom"/>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Black Hills Energy Services</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 providing</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natural gas commodity supply for the Choice Gas Programs (doing business as Black Hills Energy).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Black Hills Utility Holdings</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Energy)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Blockchain Interruptible Service</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The BCIS tariff was proposed by Wyoming Electric and approved by the WPSC in 2019. The tariff was developed to</w:t>
            </w: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(BCIS) tariff</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attract new large electric loads related to blockchain and other industry growth with high energy demand.</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Cheyenne Light</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electric service in the Cheyenne, Wyoming area (doing business as Black Hills Energy). Also known as Wyoming</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Electric.</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Chief Operating Decision Maker</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Chief Executive Officer</w:t>
            </w: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(CODM)</w:t>
            </w:r>
          </w:p>
        </w:tc>
        <w:tc>
          <w:tcPr>
            <w:tcW w:w="8540" w:type="dxa"/>
            <w:vAlign w:val="bottom"/>
            <w:shd w:val="clear" w:color="auto" w:fill="CEFFE7"/>
          </w:tcPr>
          <w:p>
            <w:pPr>
              <w:spacing w:after="0"/>
              <w:rPr>
                <w:sz w:val="18"/>
                <w:szCs w:val="18"/>
                <w:color w:val="auto"/>
              </w:rPr>
            </w:pP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Choice Gas Program</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 natural</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gas commodity supplier, providing for the unbundling of the commodity service from the distribution delivery service.</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Colorado Electric</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 electric</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service to customers in Colorado (doing business as Black Hills Energy).</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Colorado Gas</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 natural</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gas services to customers in Colorado (doing business as Black Hills Energy).</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Common Use System</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The Common Use System is a jointly operated transmission system we participate in with Basin Electric Power</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Cooperative and Powder River Energy Corporation. The Common Use System provides transmission service over</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these utilities' combined 230-kilovolt (kV) and limited 69-kV transmission facilities within areas of southwestern South</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Dakota and northeastern Wyoming.</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Consolidated Indebtedness to</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Capitalization Ratio</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(excluding non-controlling interest) plus consolidated indebtedness (including letters of credit and certain guarantees</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issued) as defined within the current Revolving Credit Facility.</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Cooling Degree Day (CDD)</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above 65 degrees. The warmer the climate, the greater the number of cooling degree days. Cooling degree days are</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used in the utility industry to measure the relative warmth and to compare relative temperatures between one</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locations.</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CPCN</w:t>
            </w:r>
          </w:p>
        </w:tc>
        <w:tc>
          <w:tcPr>
            <w:tcW w:w="8540" w:type="dxa"/>
            <w:vAlign w:val="bottom"/>
          </w:tcPr>
          <w:p>
            <w:pPr>
              <w:ind w:left="160"/>
              <w:spacing w:after="0"/>
              <w:rPr>
                <w:sz w:val="20"/>
                <w:szCs w:val="20"/>
                <w:color w:val="auto"/>
              </w:rPr>
            </w:pPr>
            <w:r>
              <w:rPr>
                <w:rFonts w:ascii="Arial" w:cs="Arial" w:eastAsia="Arial" w:hAnsi="Arial"/>
                <w:sz w:val="16"/>
                <w:szCs w:val="16"/>
                <w:color w:val="auto"/>
              </w:rPr>
              <w:t>Certificate of Public Convenience and Necessity</w:t>
            </w:r>
          </w:p>
        </w:tc>
      </w:tr>
      <w:tr>
        <w:trPr>
          <w:trHeight w:val="634"/>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4</w:t>
            </w:r>
          </w:p>
        </w:tc>
      </w:tr>
      <w:tr>
        <w:trPr>
          <w:trHeight w:val="346"/>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780" w:type="dxa"/>
            <w:vAlign w:val="bottom"/>
          </w:tcPr>
          <w:p>
            <w:pPr>
              <w:spacing w:after="0"/>
              <w:rPr>
                <w:sz w:val="16"/>
                <w:szCs w:val="16"/>
                <w:color w:val="auto"/>
              </w:rPr>
            </w:pPr>
          </w:p>
        </w:tc>
      </w:tr>
      <w:tr>
        <w:trPr>
          <w:trHeight w:val="709"/>
        </w:trPr>
        <w:tc>
          <w:tcPr>
            <w:tcW w:w="13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216"/>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Commercial Paper Program</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CPUC</w:t>
            </w:r>
          </w:p>
        </w:tc>
        <w:tc>
          <w:tcPr>
            <w:tcW w:w="8780" w:type="dxa"/>
            <w:vAlign w:val="bottom"/>
          </w:tcPr>
          <w:p>
            <w:pPr>
              <w:ind w:left="400"/>
              <w:spacing w:after="0"/>
              <w:rPr>
                <w:sz w:val="20"/>
                <w:szCs w:val="20"/>
                <w:color w:val="auto"/>
              </w:rPr>
            </w:pPr>
            <w:r>
              <w:rPr>
                <w:rFonts w:ascii="Arial" w:cs="Arial" w:eastAsia="Arial" w:hAnsi="Arial"/>
                <w:sz w:val="16"/>
                <w:szCs w:val="16"/>
                <w:color w:val="auto"/>
              </w:rPr>
              <w:t>Colorado Public Utilities Commission</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Dth</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Fitch</w:t>
            </w:r>
          </w:p>
        </w:tc>
        <w:tc>
          <w:tcPr>
            <w:tcW w:w="8780" w:type="dxa"/>
            <w:vAlign w:val="bottom"/>
          </w:tcPr>
          <w:p>
            <w:pPr>
              <w:ind w:left="400"/>
              <w:spacing w:after="0"/>
              <w:rPr>
                <w:sz w:val="20"/>
                <w:szCs w:val="20"/>
                <w:color w:val="auto"/>
              </w:rPr>
            </w:pPr>
            <w:r>
              <w:rPr>
                <w:rFonts w:ascii="Arial" w:cs="Arial" w:eastAsia="Arial" w:hAnsi="Arial"/>
                <w:sz w:val="16"/>
                <w:szCs w:val="16"/>
                <w:color w:val="auto"/>
              </w:rPr>
              <w:t>Fitch Ratings Inc.</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GAAP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Heating Degree Day (HDD)</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 day is</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below 65 degrees. The colder the climate, the greater the number of heating degree days. Heating degree days are</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used in the utility industry to measure the relative coldness and to compare relative temperatures between one</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locations.</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Integrated Generation</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Non-regulated power generation and mining businesses that are vertically integrated within our Electric Utilities</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segment.</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Iowa Gas</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 providing</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natural gas services to customers in Iowa (doing business as Black Hills Energy).</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Independent Power Producer</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IRS</w:t>
            </w:r>
          </w:p>
        </w:tc>
        <w:tc>
          <w:tcPr>
            <w:tcW w:w="8780" w:type="dxa"/>
            <w:vAlign w:val="bottom"/>
          </w:tcPr>
          <w:p>
            <w:pPr>
              <w:ind w:left="400"/>
              <w:spacing w:after="0"/>
              <w:rPr>
                <w:sz w:val="20"/>
                <w:szCs w:val="20"/>
                <w:color w:val="auto"/>
              </w:rPr>
            </w:pPr>
            <w:r>
              <w:rPr>
                <w:rFonts w:ascii="Arial" w:cs="Arial" w:eastAsia="Arial" w:hAnsi="Arial"/>
                <w:sz w:val="16"/>
                <w:szCs w:val="16"/>
                <w:color w:val="auto"/>
              </w:rPr>
              <w:t>United States Internal Revenue Service</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Kansas Gas</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KCC</w:t>
            </w:r>
          </w:p>
        </w:tc>
        <w:tc>
          <w:tcPr>
            <w:tcW w:w="8780" w:type="dxa"/>
            <w:vAlign w:val="bottom"/>
          </w:tcPr>
          <w:p>
            <w:pPr>
              <w:ind w:left="400"/>
              <w:spacing w:after="0"/>
              <w:rPr>
                <w:sz w:val="20"/>
                <w:szCs w:val="20"/>
                <w:color w:val="auto"/>
              </w:rPr>
            </w:pPr>
            <w:r>
              <w:rPr>
                <w:rFonts w:ascii="Arial" w:cs="Arial" w:eastAsia="Arial" w:hAnsi="Arial"/>
                <w:sz w:val="16"/>
                <w:szCs w:val="16"/>
                <w:color w:val="auto"/>
              </w:rPr>
              <w:t>Kansas Corporation Commission</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kV</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Kilovolt</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LIBOR</w:t>
            </w:r>
          </w:p>
        </w:tc>
        <w:tc>
          <w:tcPr>
            <w:tcW w:w="8780" w:type="dxa"/>
            <w:vAlign w:val="bottom"/>
          </w:tcPr>
          <w:p>
            <w:pPr>
              <w:ind w:left="400"/>
              <w:spacing w:after="0"/>
              <w:rPr>
                <w:sz w:val="20"/>
                <w:szCs w:val="20"/>
                <w:color w:val="auto"/>
              </w:rPr>
            </w:pPr>
            <w:r>
              <w:rPr>
                <w:rFonts w:ascii="Arial" w:cs="Arial" w:eastAsia="Arial" w:hAnsi="Arial"/>
                <w:sz w:val="16"/>
                <w:szCs w:val="16"/>
                <w:color w:val="auto"/>
              </w:rPr>
              <w:t>London Interbank Offered Rate</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MEAN</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Municipal Energy Agency of Nebraska</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MMBtu</w:t>
            </w:r>
          </w:p>
        </w:tc>
        <w:tc>
          <w:tcPr>
            <w:tcW w:w="8780" w:type="dxa"/>
            <w:vAlign w:val="bottom"/>
          </w:tcPr>
          <w:p>
            <w:pPr>
              <w:ind w:left="400"/>
              <w:spacing w:after="0"/>
              <w:rPr>
                <w:sz w:val="20"/>
                <w:szCs w:val="20"/>
                <w:color w:val="auto"/>
              </w:rPr>
            </w:pPr>
            <w:r>
              <w:rPr>
                <w:rFonts w:ascii="Arial" w:cs="Arial" w:eastAsia="Arial" w:hAnsi="Arial"/>
                <w:sz w:val="16"/>
                <w:szCs w:val="16"/>
                <w:color w:val="auto"/>
              </w:rPr>
              <w:t>Million British thermal units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Moody’s</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Moody’s Investors Service, Inc.</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MW</w:t>
            </w:r>
          </w:p>
        </w:tc>
        <w:tc>
          <w:tcPr>
            <w:tcW w:w="8780" w:type="dxa"/>
            <w:vAlign w:val="bottom"/>
          </w:tcPr>
          <w:p>
            <w:pPr>
              <w:ind w:left="400"/>
              <w:spacing w:after="0"/>
              <w:rPr>
                <w:sz w:val="20"/>
                <w:szCs w:val="20"/>
                <w:color w:val="auto"/>
              </w:rPr>
            </w:pPr>
            <w:r>
              <w:rPr>
                <w:rFonts w:ascii="Arial" w:cs="Arial" w:eastAsia="Arial" w:hAnsi="Arial"/>
                <w:sz w:val="16"/>
                <w:szCs w:val="16"/>
                <w:color w:val="auto"/>
              </w:rPr>
              <w:t>Megawatts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MWh</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Megawatt-hours</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Nebraska Gas</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 natural</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gas services to customers in Nebraska (doing business as Black Hills Energy).</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Neil Simpson II</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 MW</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located at our Gillette, Wyoming energy complex.</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NPSC</w:t>
            </w:r>
          </w:p>
        </w:tc>
        <w:tc>
          <w:tcPr>
            <w:tcW w:w="8780" w:type="dxa"/>
            <w:vAlign w:val="bottom"/>
          </w:tcPr>
          <w:p>
            <w:pPr>
              <w:ind w:left="400"/>
              <w:spacing w:after="0"/>
              <w:rPr>
                <w:sz w:val="20"/>
                <w:szCs w:val="20"/>
                <w:color w:val="auto"/>
              </w:rPr>
            </w:pPr>
            <w:r>
              <w:rPr>
                <w:rFonts w:ascii="Arial" w:cs="Arial" w:eastAsia="Arial" w:hAnsi="Arial"/>
                <w:sz w:val="16"/>
                <w:szCs w:val="16"/>
                <w:color w:val="auto"/>
              </w:rPr>
              <w:t>Nebraska Public Service Commission</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OCI</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Other Comprehensive Income</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PPA</w:t>
            </w:r>
          </w:p>
        </w:tc>
        <w:tc>
          <w:tcPr>
            <w:tcW w:w="8780" w:type="dxa"/>
            <w:vAlign w:val="bottom"/>
          </w:tcPr>
          <w:p>
            <w:pPr>
              <w:ind w:left="400"/>
              <w:spacing w:after="0"/>
              <w:rPr>
                <w:sz w:val="20"/>
                <w:szCs w:val="20"/>
                <w:color w:val="auto"/>
              </w:rPr>
            </w:pPr>
            <w:r>
              <w:rPr>
                <w:rFonts w:ascii="Arial" w:cs="Arial" w:eastAsia="Arial" w:hAnsi="Arial"/>
                <w:sz w:val="16"/>
                <w:szCs w:val="16"/>
                <w:color w:val="auto"/>
              </w:rPr>
              <w:t>Power Purchase Agreement</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PTC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Production Tax Credit</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Pueblo Airport Generation</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The 420 MW combined cycle gas-fired power generating plants jointly owned by Colorado Electric (220 MW) and</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Colorado IPP (200 MW). Black Hills Colorado IPP operates this facility. The plants commenced operation</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on January 1, 2012.</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i w:val="1"/>
                <w:iCs w:val="1"/>
                <w:color w:val="auto"/>
              </w:rPr>
              <w:t>Ready Wyoming</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A 260-mile, multi-phase transmission expansion project in Wyoming. This transmission project will serve the growing</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needs of customers by enhancing resiliency of Wyoming Electric’s overall electric system and expanding access to</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power markets and renewable resources. The project will help Wyoming Electric maintain top-quartile reliability and</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enable economic development in the Cheyenne, Wyoming region.</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Renewable Ready</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customers in South Dakota and Wyoming.</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Revolving Credit Facility</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which was amended and restated on July 19, 2021, and now terminates on July 19, 2026.</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RNG</w:t>
            </w:r>
          </w:p>
        </w:tc>
        <w:tc>
          <w:tcPr>
            <w:tcW w:w="8780" w:type="dxa"/>
            <w:vAlign w:val="bottom"/>
          </w:tcPr>
          <w:p>
            <w:pPr>
              <w:ind w:left="400"/>
              <w:spacing w:after="0"/>
              <w:rPr>
                <w:sz w:val="20"/>
                <w:szCs w:val="20"/>
                <w:color w:val="auto"/>
              </w:rPr>
            </w:pPr>
            <w:r>
              <w:rPr>
                <w:rFonts w:ascii="Arial" w:cs="Arial" w:eastAsia="Arial" w:hAnsi="Arial"/>
                <w:sz w:val="16"/>
                <w:szCs w:val="16"/>
                <w:color w:val="auto"/>
              </w:rPr>
              <w:t>Renewable Natural Gas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SEC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United States Securities and Exchange Commission</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Service Guard Comfort Plan</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agreements to residential utility customers.</w:t>
            </w:r>
          </w:p>
        </w:tc>
      </w:tr>
      <w:tr>
        <w:trPr>
          <w:trHeight w:val="620"/>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5</w:t>
            </w:r>
          </w:p>
        </w:tc>
      </w:tr>
      <w:tr>
        <w:trPr>
          <w:trHeight w:val="347"/>
        </w:trPr>
        <w:tc>
          <w:tcPr>
            <w:tcW w:w="1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2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9020" w:type="dxa"/>
            <w:vAlign w:val="bottom"/>
          </w:tcPr>
          <w:p>
            <w:pPr>
              <w:spacing w:after="0"/>
              <w:rPr>
                <w:sz w:val="16"/>
                <w:szCs w:val="16"/>
                <w:color w:val="auto"/>
              </w:rPr>
            </w:pPr>
          </w:p>
        </w:tc>
      </w:tr>
      <w:tr>
        <w:trPr>
          <w:trHeight w:val="709"/>
        </w:trPr>
        <w:tc>
          <w:tcPr>
            <w:tcW w:w="13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216"/>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S&amp;P</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S&amp;P Global Ratings, a division of S&amp;P Global Inc.</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South Dakota Electric</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217"/>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SPP</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Southwest Power Pool</w:t>
            </w:r>
          </w:p>
        </w:tc>
      </w:tr>
      <w:tr>
        <w:trPr>
          <w:trHeight w:val="215"/>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TCJA</w:t>
            </w:r>
          </w:p>
        </w:tc>
        <w:tc>
          <w:tcPr>
            <w:tcW w:w="9020" w:type="dxa"/>
            <w:vAlign w:val="bottom"/>
          </w:tcPr>
          <w:p>
            <w:pPr>
              <w:ind w:left="640"/>
              <w:spacing w:after="0"/>
              <w:rPr>
                <w:sz w:val="20"/>
                <w:szCs w:val="20"/>
                <w:color w:val="auto"/>
              </w:rPr>
            </w:pPr>
            <w:r>
              <w:rPr>
                <w:rFonts w:ascii="Arial" w:cs="Arial" w:eastAsia="Arial" w:hAnsi="Arial"/>
                <w:sz w:val="16"/>
                <w:szCs w:val="16"/>
                <w:color w:val="auto"/>
              </w:rPr>
              <w:t>Tax Cuts and Jobs Act</w:t>
            </w:r>
          </w:p>
        </w:tc>
      </w:tr>
      <w:tr>
        <w:trPr>
          <w:trHeight w:val="163"/>
        </w:trPr>
        <w:tc>
          <w:tcPr>
            <w:tcW w:w="222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Tech Services</w:t>
            </w:r>
          </w:p>
        </w:tc>
        <w:tc>
          <w:tcPr>
            <w:tcW w:w="9020" w:type="dxa"/>
            <w:vAlign w:val="bottom"/>
            <w:shd w:val="clear" w:color="auto" w:fill="CEFFE7"/>
          </w:tcPr>
          <w:p>
            <w:pPr>
              <w:ind w:left="640"/>
              <w:spacing w:after="0" w:line="163"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w:t>
            </w:r>
          </w:p>
        </w:tc>
      </w:tr>
      <w:tr>
        <w:trPr>
          <w:trHeight w:val="162"/>
        </w:trPr>
        <w:tc>
          <w:tcPr>
            <w:tcW w:w="136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9020" w:type="dxa"/>
            <w:vAlign w:val="bottom"/>
            <w:shd w:val="clear" w:color="auto" w:fill="CEFFE7"/>
          </w:tcPr>
          <w:p>
            <w:pPr>
              <w:ind w:left="640"/>
              <w:spacing w:after="0" w:line="162" w:lineRule="exact"/>
              <w:rPr>
                <w:sz w:val="20"/>
                <w:szCs w:val="20"/>
                <w:color w:val="auto"/>
              </w:rPr>
            </w:pPr>
            <w:r>
              <w:rPr>
                <w:rFonts w:ascii="Arial" w:cs="Arial" w:eastAsia="Arial" w:hAnsi="Arial"/>
                <w:sz w:val="16"/>
                <w:szCs w:val="16"/>
                <w:color w:val="auto"/>
              </w:rPr>
              <w:t>industrial customers of our electric utilities, and 2) serve gas transportation customers throughout its service territory</w:t>
            </w:r>
          </w:p>
        </w:tc>
      </w:tr>
      <w:tr>
        <w:trPr>
          <w:trHeight w:val="216"/>
        </w:trPr>
        <w:tc>
          <w:tcPr>
            <w:tcW w:w="13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by constructing and maintaining customer-owned gas infrastructure facilities, typically through one-time contracts.</w:t>
            </w:r>
          </w:p>
        </w:tc>
      </w:tr>
      <w:tr>
        <w:trPr>
          <w:trHeight w:val="215"/>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Utilities</w:t>
            </w:r>
          </w:p>
        </w:tc>
        <w:tc>
          <w:tcPr>
            <w:tcW w:w="9020" w:type="dxa"/>
            <w:vAlign w:val="bottom"/>
          </w:tcPr>
          <w:p>
            <w:pPr>
              <w:ind w:left="640"/>
              <w:spacing w:after="0"/>
              <w:rPr>
                <w:sz w:val="20"/>
                <w:szCs w:val="20"/>
                <w:color w:val="auto"/>
              </w:rPr>
            </w:pPr>
            <w:r>
              <w:rPr>
                <w:rFonts w:ascii="Arial" w:cs="Arial" w:eastAsia="Arial" w:hAnsi="Arial"/>
                <w:sz w:val="16"/>
                <w:szCs w:val="16"/>
                <w:color w:val="auto"/>
              </w:rPr>
              <w:t>Black Hills’ Electric and Gas Utilities</w:t>
            </w:r>
          </w:p>
        </w:tc>
      </w:tr>
      <w:tr>
        <w:trPr>
          <w:trHeight w:val="217"/>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Wind Capacity Factor</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 potential.</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Winter Storm Uri</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 and led to</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unprecedented fluctuations in customer demand and market pricing for natural gas and energy.</w:t>
            </w:r>
          </w:p>
        </w:tc>
      </w:tr>
      <w:tr>
        <w:trPr>
          <w:trHeight w:val="217"/>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WPSC</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Wyoming Public Service Commission</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Wygen I</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A mine-mouth, coal-fired power plant with a total capacity of 90 MW located at our Gillette, Wyoming energy</w:t>
            </w:r>
          </w:p>
        </w:tc>
      </w:tr>
      <w:tr>
        <w:trPr>
          <w:trHeight w:val="162"/>
        </w:trPr>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complex. Black Hills Wyoming owns 76.5% of the facility and Municipal Energy Agency of Nebraska (MEAN) owns</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the remaining 23.5%.</w:t>
            </w:r>
          </w:p>
        </w:tc>
      </w:tr>
      <w:tr>
        <w:trPr>
          <w:trHeight w:val="163"/>
        </w:trPr>
        <w:tc>
          <w:tcPr>
            <w:tcW w:w="222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Wygen II</w:t>
            </w:r>
          </w:p>
        </w:tc>
        <w:tc>
          <w:tcPr>
            <w:tcW w:w="9020" w:type="dxa"/>
            <w:vAlign w:val="bottom"/>
            <w:shd w:val="clear" w:color="auto" w:fill="CEFFE7"/>
          </w:tcPr>
          <w:p>
            <w:pPr>
              <w:ind w:left="640"/>
              <w:spacing w:after="0" w:line="163"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216"/>
        </w:trPr>
        <w:tc>
          <w:tcPr>
            <w:tcW w:w="13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Gillette, Wyoming energy complex.</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Wygen III</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A mine-mouth, coal-fired power plant operated by South Dakota Electric with a total capacity of 110 MW located at</w:t>
            </w:r>
          </w:p>
        </w:tc>
      </w:tr>
      <w:tr>
        <w:trPr>
          <w:trHeight w:val="162"/>
        </w:trPr>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our Gillette, Wyoming energy complex. South Dakota Electric owns 52% of the power plant, MDU owns 25% and the</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City of Gillette owns the remaining 23%.</w:t>
            </w:r>
          </w:p>
        </w:tc>
      </w:tr>
      <w:tr>
        <w:trPr>
          <w:trHeight w:val="163"/>
        </w:trPr>
        <w:tc>
          <w:tcPr>
            <w:tcW w:w="222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Wyodak Plant</w:t>
            </w:r>
          </w:p>
        </w:tc>
        <w:tc>
          <w:tcPr>
            <w:tcW w:w="9020" w:type="dxa"/>
            <w:vAlign w:val="bottom"/>
            <w:shd w:val="clear" w:color="auto" w:fill="CEFFE7"/>
          </w:tcPr>
          <w:p>
            <w:pPr>
              <w:ind w:left="640"/>
              <w:spacing w:after="0" w:line="163" w:lineRule="exact"/>
              <w:rPr>
                <w:sz w:val="20"/>
                <w:szCs w:val="20"/>
                <w:color w:val="auto"/>
              </w:rPr>
            </w:pPr>
            <w:r>
              <w:rPr>
                <w:rFonts w:ascii="Arial" w:cs="Arial" w:eastAsia="Arial" w:hAnsi="Arial"/>
                <w:sz w:val="16"/>
                <w:szCs w:val="16"/>
                <w:color w:val="auto"/>
              </w:rPr>
              <w:t>The 362 MW mine-mouth, coal-fired generating facility near Gillette, Wyoming, jointly owned by PacifiCorp (80%)</w:t>
            </w:r>
          </w:p>
        </w:tc>
      </w:tr>
      <w:tr>
        <w:trPr>
          <w:trHeight w:val="216"/>
        </w:trPr>
        <w:tc>
          <w:tcPr>
            <w:tcW w:w="13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and South Dakota Electric (20%). Our WRDC mine supplies all of the fuel for the facility.</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Wyoming Electric</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electric service to customers in the Cheyenne, Wyoming area (doing business as Black Hills Energy).</w:t>
            </w:r>
          </w:p>
        </w:tc>
      </w:tr>
      <w:tr>
        <w:trPr>
          <w:trHeight w:val="163"/>
        </w:trPr>
        <w:tc>
          <w:tcPr>
            <w:tcW w:w="222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Wyoming Gas</w:t>
            </w:r>
          </w:p>
        </w:tc>
        <w:tc>
          <w:tcPr>
            <w:tcW w:w="9020" w:type="dxa"/>
            <w:vAlign w:val="bottom"/>
            <w:shd w:val="clear" w:color="auto" w:fill="CEFFE7"/>
          </w:tcPr>
          <w:p>
            <w:pPr>
              <w:ind w:left="640"/>
              <w:spacing w:after="0" w:line="163"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216"/>
        </w:trPr>
        <w:tc>
          <w:tcPr>
            <w:tcW w:w="13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1200"/>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20" w:type="dxa"/>
            <w:vAlign w:val="bottom"/>
          </w:tcPr>
          <w:p>
            <w:pPr>
              <w:ind w:left="3360"/>
              <w:spacing w:after="0"/>
              <w:rPr>
                <w:sz w:val="20"/>
                <w:szCs w:val="20"/>
                <w:color w:val="auto"/>
              </w:rPr>
            </w:pPr>
            <w:r>
              <w:rPr>
                <w:rFonts w:ascii="Arial" w:cs="Arial" w:eastAsia="Arial" w:hAnsi="Arial"/>
                <w:sz w:val="16"/>
                <w:szCs w:val="16"/>
                <w:color w:val="auto"/>
              </w:rPr>
              <w:t>6</w:t>
            </w:r>
          </w:p>
        </w:tc>
      </w:tr>
      <w:tr>
        <w:trPr>
          <w:trHeight w:val="346"/>
        </w:trPr>
        <w:tc>
          <w:tcPr>
            <w:tcW w:w="1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2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2021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10-Q and other reports that we file with the SEC from time to time, and the following:</w:t>
      </w:r>
    </w:p>
    <w:p>
      <w:pPr>
        <w:spacing w:after="0" w:line="232" w:lineRule="exact"/>
        <w:rPr>
          <w:sz w:val="20"/>
          <w:szCs w:val="20"/>
          <w:color w:val="auto"/>
        </w:rPr>
      </w:pPr>
    </w:p>
    <w:p>
      <w:pPr>
        <w:ind w:left="340" w:right="300" w:hanging="332"/>
        <w:spacing w:after="0" w:line="275"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9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financing plans;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greenhouse gas emissions intensity reduction goals;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Board of Directors’ approval of any future quarterly dividends;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future governmental regulation;</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inflation and volatile energy prices; and</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discussed from time to time in our filings with the SEC.</w:t>
      </w:r>
    </w:p>
    <w:p>
      <w:pPr>
        <w:spacing w:after="0" w:line="248"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18"/>
                <w:szCs w:val="18"/>
                <w:color w:val="auto"/>
              </w:rPr>
            </w:pPr>
          </w:p>
        </w:tc>
        <w:tc>
          <w:tcPr>
            <w:tcW w:w="2600" w:type="dxa"/>
            <w:vAlign w:val="bottom"/>
            <w:gridSpan w:val="3"/>
          </w:tcPr>
          <w:p>
            <w:pPr>
              <w:jc w:val="right"/>
              <w:ind w:right="239"/>
              <w:spacing w:after="0"/>
              <w:rPr>
                <w:sz w:val="20"/>
                <w:szCs w:val="20"/>
                <w:color w:val="auto"/>
              </w:rPr>
            </w:pPr>
            <w:r>
              <w:rPr>
                <w:rFonts w:ascii="Arial" w:cs="Arial" w:eastAsia="Arial" w:hAnsi="Arial"/>
                <w:sz w:val="16"/>
                <w:szCs w:val="16"/>
                <w:color w:val="auto"/>
              </w:rPr>
              <w:t>Three Months Ended June 30,</w:t>
            </w:r>
          </w:p>
        </w:tc>
        <w:tc>
          <w:tcPr>
            <w:tcW w:w="280" w:type="dxa"/>
            <w:vAlign w:val="bottom"/>
          </w:tcPr>
          <w:p>
            <w:pPr>
              <w:spacing w:after="0"/>
              <w:rPr>
                <w:sz w:val="18"/>
                <w:szCs w:val="18"/>
                <w:color w:val="auto"/>
              </w:rPr>
            </w:pPr>
          </w:p>
        </w:tc>
        <w:tc>
          <w:tcPr>
            <w:tcW w:w="2560" w:type="dxa"/>
            <w:vAlign w:val="bottom"/>
            <w:gridSpan w:val="3"/>
          </w:tcPr>
          <w:p>
            <w:pPr>
              <w:jc w:val="right"/>
              <w:ind w:right="33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7"/>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40" w:type="dxa"/>
            <w:vAlign w:val="bottom"/>
            <w:gridSpan w:val="6"/>
          </w:tcPr>
          <w:p>
            <w:pPr>
              <w:jc w:val="right"/>
              <w:ind w:right="159"/>
              <w:spacing w:after="0"/>
              <w:rPr>
                <w:sz w:val="20"/>
                <w:szCs w:val="20"/>
                <w:color w:val="auto"/>
              </w:rPr>
            </w:pPr>
            <w:r>
              <w:rPr>
                <w:rFonts w:ascii="Arial" w:cs="Arial" w:eastAsia="Arial" w:hAnsi="Arial"/>
                <w:sz w:val="16"/>
                <w:szCs w:val="16"/>
                <w:color w:val="auto"/>
              </w:rPr>
              <w:t>(in thousands, except per share amounts)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474,195</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372,572</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1,297,765</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1,006,004</w:t>
            </w:r>
          </w:p>
        </w:tc>
        <w:tc>
          <w:tcPr>
            <w:tcW w:w="0" w:type="dxa"/>
            <w:vAlign w:val="bottom"/>
          </w:tcPr>
          <w:p>
            <w:pPr>
              <w:spacing w:after="0"/>
              <w:rPr>
                <w:sz w:val="1"/>
                <w:szCs w:val="1"/>
                <w:color w:val="auto"/>
              </w:rPr>
            </w:pPr>
          </w:p>
        </w:tc>
      </w:tr>
      <w:tr>
        <w:trPr>
          <w:trHeight w:val="251"/>
        </w:trPr>
        <w:tc>
          <w:tcPr>
            <w:tcW w:w="5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188,171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108,474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625,097</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401,621</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2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132,968</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123,245</w:t>
            </w: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269,100</w:t>
            </w:r>
          </w:p>
        </w:tc>
        <w:tc>
          <w:tcPr>
            <w:tcW w:w="32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252,924</w:t>
            </w:r>
          </w:p>
        </w:tc>
        <w:tc>
          <w:tcPr>
            <w:tcW w:w="0" w:type="dxa"/>
            <w:vAlign w:val="bottom"/>
          </w:tcPr>
          <w:p>
            <w:pPr>
              <w:spacing w:after="0"/>
              <w:rPr>
                <w:sz w:val="1"/>
                <w:szCs w:val="1"/>
                <w:color w:val="auto"/>
              </w:rPr>
            </w:pPr>
          </w:p>
        </w:tc>
      </w:tr>
      <w:tr>
        <w:trPr>
          <w:trHeight w:val="242"/>
        </w:trPr>
        <w:tc>
          <w:tcPr>
            <w:tcW w:w="554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64,128</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58,443</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124,591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115,712</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2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16,539</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15,144</w:t>
            </w:r>
          </w:p>
        </w:tc>
        <w:tc>
          <w:tcPr>
            <w:tcW w:w="2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33,235</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30,166</w:t>
            </w:r>
          </w:p>
        </w:tc>
        <w:tc>
          <w:tcPr>
            <w:tcW w:w="0" w:type="dxa"/>
            <w:vAlign w:val="bottom"/>
          </w:tcPr>
          <w:p>
            <w:pPr>
              <w:spacing w:after="0"/>
              <w:rPr>
                <w:sz w:val="1"/>
                <w:szCs w:val="1"/>
                <w:color w:val="auto"/>
              </w:rPr>
            </w:pPr>
          </w:p>
        </w:tc>
      </w:tr>
      <w:tr>
        <w:trPr>
          <w:trHeight w:val="209"/>
        </w:trPr>
        <w:tc>
          <w:tcPr>
            <w:tcW w:w="554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401,806</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305,306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1,052,023</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800,423</w:t>
            </w:r>
          </w:p>
        </w:tc>
        <w:tc>
          <w:tcPr>
            <w:tcW w:w="0" w:type="dxa"/>
            <w:vAlign w:val="bottom"/>
          </w:tcPr>
          <w:p>
            <w:pPr>
              <w:spacing w:after="0"/>
              <w:rPr>
                <w:sz w:val="1"/>
                <w:szCs w:val="1"/>
                <w:color w:val="auto"/>
              </w:rPr>
            </w:pPr>
          </w:p>
        </w:tc>
      </w:tr>
      <w:tr>
        <w:trPr>
          <w:trHeight w:val="271"/>
        </w:trPr>
        <w:tc>
          <w:tcPr>
            <w:tcW w:w="554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1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5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72,389</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67,266</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245,742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205,581</w:t>
            </w:r>
          </w:p>
        </w:tc>
        <w:tc>
          <w:tcPr>
            <w:tcW w:w="0" w:type="dxa"/>
            <w:vAlign w:val="bottom"/>
          </w:tcPr>
          <w:p>
            <w:pPr>
              <w:spacing w:after="0"/>
              <w:rPr>
                <w:sz w:val="1"/>
                <w:szCs w:val="1"/>
                <w:color w:val="auto"/>
              </w:rPr>
            </w:pPr>
          </w:p>
        </w:tc>
      </w:tr>
      <w:tr>
        <w:trPr>
          <w:trHeight w:val="251"/>
        </w:trPr>
        <w:tc>
          <w:tcPr>
            <w:tcW w:w="554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118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108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1140" w:type="dxa"/>
            <w:vAlign w:val="bottom"/>
            <w:shd w:val="clear" w:color="auto" w:fill="CEFFE7"/>
          </w:tcPr>
          <w:p>
            <w:pPr>
              <w:spacing w:after="0"/>
              <w:rPr>
                <w:sz w:val="21"/>
                <w:szCs w:val="21"/>
                <w:color w:val="auto"/>
              </w:rPr>
            </w:pPr>
          </w:p>
        </w:tc>
        <w:tc>
          <w:tcPr>
            <w:tcW w:w="320" w:type="dxa"/>
            <w:vAlign w:val="bottom"/>
            <w:shd w:val="clear" w:color="auto" w:fill="CEFFE7"/>
          </w:tcPr>
          <w:p>
            <w:pPr>
              <w:spacing w:after="0"/>
              <w:rPr>
                <w:sz w:val="21"/>
                <w:szCs w:val="21"/>
                <w:color w:val="auto"/>
              </w:rPr>
            </w:pPr>
          </w:p>
        </w:tc>
        <w:tc>
          <w:tcPr>
            <w:tcW w:w="11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Interest expense incurred net of amounts capitalized (including amortization</w:t>
            </w:r>
          </w:p>
        </w:tc>
        <w:tc>
          <w:tcPr>
            <w:tcW w:w="220" w:type="dxa"/>
            <w:vAlign w:val="bottom"/>
            <w:shd w:val="clear" w:color="auto" w:fill="CEFFE7"/>
          </w:tcPr>
          <w:p>
            <w:pPr>
              <w:spacing w:after="0"/>
              <w:rPr>
                <w:sz w:val="14"/>
                <w:szCs w:val="14"/>
                <w:color w:val="auto"/>
              </w:rPr>
            </w:pPr>
          </w:p>
        </w:tc>
        <w:tc>
          <w:tcPr>
            <w:tcW w:w="1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(39,053)</w:t>
            </w:r>
          </w:p>
        </w:tc>
        <w:tc>
          <w:tcPr>
            <w:tcW w:w="340" w:type="dxa"/>
            <w:vAlign w:val="bottom"/>
            <w:shd w:val="clear" w:color="auto" w:fill="CEFFE7"/>
          </w:tcPr>
          <w:p>
            <w:pPr>
              <w:spacing w:after="0"/>
              <w:rPr>
                <w:sz w:val="14"/>
                <w:szCs w:val="14"/>
                <w:color w:val="auto"/>
              </w:rPr>
            </w:pP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(38,669)</w:t>
            </w:r>
          </w:p>
        </w:tc>
        <w:tc>
          <w:tcPr>
            <w:tcW w:w="280" w:type="dxa"/>
            <w:vAlign w:val="bottom"/>
            <w:shd w:val="clear" w:color="auto" w:fill="CEFFE7"/>
          </w:tcPr>
          <w:p>
            <w:pPr>
              <w:spacing w:after="0"/>
              <w:rPr>
                <w:sz w:val="14"/>
                <w:szCs w:val="14"/>
                <w:color w:val="auto"/>
              </w:rPr>
            </w:pPr>
          </w:p>
        </w:tc>
        <w:tc>
          <w:tcPr>
            <w:tcW w:w="1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(77,874)</w:t>
            </w:r>
          </w:p>
        </w:tc>
        <w:tc>
          <w:tcPr>
            <w:tcW w:w="320" w:type="dxa"/>
            <w:vAlign w:val="bottom"/>
            <w:shd w:val="clear" w:color="auto" w:fill="CEFFE7"/>
          </w:tcPr>
          <w:p>
            <w:pPr>
              <w:spacing w:after="0"/>
              <w:rPr>
                <w:sz w:val="14"/>
                <w:szCs w:val="14"/>
                <w:color w:val="auto"/>
              </w:rPr>
            </w:pPr>
          </w:p>
        </w:tc>
        <w:tc>
          <w:tcPr>
            <w:tcW w:w="11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(76,494)</w:t>
            </w:r>
          </w:p>
        </w:tc>
        <w:tc>
          <w:tcPr>
            <w:tcW w:w="0" w:type="dxa"/>
            <w:vAlign w:val="bottom"/>
          </w:tcPr>
          <w:p>
            <w:pPr>
              <w:spacing w:after="0"/>
              <w:rPr>
                <w:sz w:val="1"/>
                <w:szCs w:val="1"/>
                <w:color w:val="auto"/>
              </w:rPr>
            </w:pPr>
          </w:p>
        </w:tc>
      </w:tr>
      <w:tr>
        <w:trPr>
          <w:trHeight w:val="216"/>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of debt issuance costs, premiums and discounts)</w:t>
            </w:r>
          </w:p>
        </w:tc>
        <w:tc>
          <w:tcPr>
            <w:tcW w:w="220" w:type="dxa"/>
            <w:vAlign w:val="bottom"/>
            <w:shd w:val="clear" w:color="auto" w:fill="CEFFE7"/>
          </w:tcPr>
          <w:p>
            <w:pPr>
              <w:spacing w:after="0"/>
              <w:rPr>
                <w:sz w:val="18"/>
                <w:szCs w:val="18"/>
                <w:color w:val="auto"/>
              </w:rPr>
            </w:pPr>
          </w:p>
        </w:tc>
        <w:tc>
          <w:tcPr>
            <w:tcW w:w="1180" w:type="dxa"/>
            <w:vAlign w:val="bottom"/>
            <w:vMerge w:val="continue"/>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080" w:type="dxa"/>
            <w:vAlign w:val="bottom"/>
            <w:vMerge w:val="continue"/>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140" w:type="dxa"/>
            <w:vAlign w:val="bottom"/>
            <w:vMerge w:val="continue"/>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0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1,563</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(191)</w:t>
            </w:r>
          </w:p>
        </w:tc>
        <w:tc>
          <w:tcPr>
            <w:tcW w:w="2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2,267</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EFFE7"/>
            </w:tcBorders>
          </w:tcPr>
          <w:p>
            <w:pPr>
              <w:ind w:left="46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(75,042)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(75,727)</w:t>
            </w:r>
          </w:p>
        </w:tc>
        <w:tc>
          <w:tcPr>
            <w:tcW w:w="0" w:type="dxa"/>
            <w:vAlign w:val="bottom"/>
          </w:tcPr>
          <w:p>
            <w:pPr>
              <w:spacing w:after="0"/>
              <w:rPr>
                <w:sz w:val="1"/>
                <w:szCs w:val="1"/>
                <w:color w:val="auto"/>
              </w:rPr>
            </w:pPr>
          </w:p>
        </w:tc>
      </w:tr>
      <w:tr>
        <w:trPr>
          <w:trHeight w:val="251"/>
        </w:trPr>
        <w:tc>
          <w:tcPr>
            <w:tcW w:w="554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118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108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1140" w:type="dxa"/>
            <w:vAlign w:val="bottom"/>
            <w:shd w:val="clear" w:color="auto" w:fill="CEFFE7"/>
          </w:tcPr>
          <w:p>
            <w:pPr>
              <w:spacing w:after="0"/>
              <w:rPr>
                <w:sz w:val="21"/>
                <w:szCs w:val="21"/>
                <w:color w:val="auto"/>
              </w:rPr>
            </w:pPr>
          </w:p>
        </w:tc>
        <w:tc>
          <w:tcPr>
            <w:tcW w:w="320" w:type="dxa"/>
            <w:vAlign w:val="bottom"/>
            <w:shd w:val="clear" w:color="auto" w:fill="CEFFE7"/>
          </w:tcPr>
          <w:p>
            <w:pPr>
              <w:spacing w:after="0"/>
              <w:rPr>
                <w:sz w:val="21"/>
                <w:szCs w:val="21"/>
                <w:color w:val="auto"/>
              </w:rPr>
            </w:pPr>
          </w:p>
        </w:tc>
        <w:tc>
          <w:tcPr>
            <w:tcW w:w="11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35,188</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28,873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170,700</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129,854</w:t>
            </w:r>
          </w:p>
        </w:tc>
        <w:tc>
          <w:tcPr>
            <w:tcW w:w="0" w:type="dxa"/>
            <w:vAlign w:val="bottom"/>
          </w:tcPr>
          <w:p>
            <w:pPr>
              <w:spacing w:after="0"/>
              <w:rPr>
                <w:sz w:val="1"/>
                <w:szCs w:val="1"/>
                <w:color w:val="auto"/>
              </w:rPr>
            </w:pPr>
          </w:p>
        </w:tc>
      </w:tr>
      <w:tr>
        <w:trPr>
          <w:trHeight w:val="217"/>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658</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(586)</w:t>
            </w:r>
          </w:p>
        </w:tc>
        <w:tc>
          <w:tcPr>
            <w:tcW w:w="2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(13,830)</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09"/>
        </w:trPr>
        <w:tc>
          <w:tcPr>
            <w:tcW w:w="55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35,846</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28,287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156,870</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128,774</w:t>
            </w:r>
          </w:p>
        </w:tc>
        <w:tc>
          <w:tcPr>
            <w:tcW w:w="0" w:type="dxa"/>
            <w:vAlign w:val="bottom"/>
          </w:tcPr>
          <w:p>
            <w:pPr>
              <w:spacing w:after="0"/>
              <w:rPr>
                <w:sz w:val="1"/>
                <w:szCs w:val="1"/>
                <w:color w:val="auto"/>
              </w:rPr>
            </w:pPr>
          </w:p>
        </w:tc>
      </w:tr>
      <w:tr>
        <w:trPr>
          <w:trHeight w:val="216"/>
        </w:trPr>
        <w:tc>
          <w:tcPr>
            <w:tcW w:w="5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(2,431)</w:t>
            </w:r>
          </w:p>
        </w:tc>
        <w:tc>
          <w:tcPr>
            <w:tcW w:w="3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(3,126)</w:t>
            </w:r>
          </w:p>
        </w:tc>
        <w:tc>
          <w:tcPr>
            <w:tcW w:w="2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(5,929)</w:t>
            </w:r>
          </w:p>
        </w:tc>
        <w:tc>
          <w:tcPr>
            <w:tcW w:w="32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(7,297)</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150,941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121,477</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Basic</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0.52</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0.40</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2.33</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55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tcPr>
          <w:p>
            <w:pPr>
              <w:ind w:left="180"/>
              <w:spacing w:after="0"/>
              <w:rPr>
                <w:sz w:val="20"/>
                <w:szCs w:val="20"/>
                <w:color w:val="auto"/>
              </w:rPr>
            </w:pPr>
            <w:r>
              <w:rPr>
                <w:rFonts w:ascii="Arial" w:cs="Arial" w:eastAsia="Arial" w:hAnsi="Arial"/>
                <w:sz w:val="16"/>
                <w:szCs w:val="16"/>
                <w:color w:val="auto"/>
              </w:rPr>
              <w:t>Earnings per share, 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CEFFE7"/>
          </w:tcPr>
          <w:p>
            <w:pPr>
              <w:spacing w:after="0"/>
              <w:rPr>
                <w:sz w:val="20"/>
                <w:szCs w:val="20"/>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64,721</w:t>
            </w:r>
          </w:p>
        </w:tc>
        <w:tc>
          <w:tcPr>
            <w:tcW w:w="340" w:type="dxa"/>
            <w:vAlign w:val="bottom"/>
            <w:tcBorders>
              <w:bottom w:val="single" w:sz="8" w:color="auto"/>
            </w:tcBorders>
            <w:shd w:val="clear" w:color="auto" w:fill="CEFFE7"/>
          </w:tcPr>
          <w:p>
            <w:pPr>
              <w:spacing w:after="0"/>
              <w:rPr>
                <w:sz w:val="20"/>
                <w:szCs w:val="20"/>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62,867</w:t>
            </w:r>
          </w:p>
        </w:tc>
        <w:tc>
          <w:tcPr>
            <w:tcW w:w="280" w:type="dxa"/>
            <w:vAlign w:val="bottom"/>
            <w:tcBorders>
              <w:bottom w:val="single" w:sz="8" w:color="auto"/>
            </w:tcBorders>
            <w:shd w:val="clear" w:color="auto" w:fill="CEFFE7"/>
          </w:tcPr>
          <w:p>
            <w:pPr>
              <w:spacing w:after="0"/>
              <w:rPr>
                <w:sz w:val="20"/>
                <w:szCs w:val="20"/>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64,643</w:t>
            </w:r>
          </w:p>
        </w:tc>
        <w:tc>
          <w:tcPr>
            <w:tcW w:w="32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62,751</w:t>
            </w:r>
          </w:p>
        </w:tc>
        <w:tc>
          <w:tcPr>
            <w:tcW w:w="0" w:type="dxa"/>
            <w:vAlign w:val="bottom"/>
          </w:tcPr>
          <w:p>
            <w:pPr>
              <w:spacing w:after="0"/>
              <w:rPr>
                <w:sz w:val="1"/>
                <w:szCs w:val="1"/>
                <w:color w:val="auto"/>
              </w:rPr>
            </w:pPr>
          </w:p>
        </w:tc>
      </w:tr>
      <w:tr>
        <w:trPr>
          <w:trHeight w:val="20"/>
        </w:trPr>
        <w:tc>
          <w:tcPr>
            <w:tcW w:w="55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64,883</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62,918</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70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5660" w:type="dxa"/>
            <w:vAlign w:val="bottom"/>
          </w:tcPr>
          <w:p>
            <w:pPr>
              <w:ind w:left="3100"/>
              <w:spacing w:after="0"/>
              <w:rPr>
                <w:sz w:val="20"/>
                <w:szCs w:val="20"/>
                <w:color w:val="auto"/>
              </w:rPr>
            </w:pPr>
            <w:r>
              <w:rPr>
                <w:rFonts w:ascii="Arial" w:cs="Arial" w:eastAsia="Arial" w:hAnsi="Arial"/>
                <w:sz w:val="16"/>
                <w:szCs w:val="16"/>
                <w:b w:val="1"/>
                <w:bCs w:val="1"/>
                <w:color w:val="auto"/>
              </w:rPr>
              <w:t>BLACK HILLS CORPORATION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776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7"/>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color w:val="auto"/>
              </w:rPr>
              <w:t>(unaudited)</w:t>
            </w: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rPr>
              <w:t>Three Months Ended June</w:t>
            </w:r>
          </w:p>
        </w:tc>
        <w:tc>
          <w:tcPr>
            <w:tcW w:w="2120" w:type="dxa"/>
            <w:vAlign w:val="bottom"/>
            <w:gridSpan w:val="4"/>
            <w:vMerge w:val="restart"/>
          </w:tcPr>
          <w:p>
            <w:pPr>
              <w:jc w:val="right"/>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5"/>
        </w:trPr>
        <w:tc>
          <w:tcPr>
            <w:tcW w:w="7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6"/>
                <w:szCs w:val="16"/>
                <w:color w:val="auto"/>
              </w:rPr>
              <w:t>30,</w:t>
            </w:r>
          </w:p>
        </w:tc>
        <w:tc>
          <w:tcPr>
            <w:tcW w:w="800" w:type="dxa"/>
            <w:vAlign w:val="bottom"/>
          </w:tcPr>
          <w:p>
            <w:pPr>
              <w:spacing w:after="0"/>
              <w:rPr>
                <w:sz w:val="18"/>
                <w:szCs w:val="18"/>
                <w:color w:val="auto"/>
              </w:rPr>
            </w:pPr>
          </w:p>
        </w:tc>
        <w:tc>
          <w:tcPr>
            <w:tcW w:w="21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ind w:right="459"/>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35,846</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28,287</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156,870</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128,774</w:t>
            </w:r>
          </w:p>
        </w:tc>
        <w:tc>
          <w:tcPr>
            <w:tcW w:w="0" w:type="dxa"/>
            <w:vAlign w:val="bottom"/>
          </w:tcPr>
          <w:p>
            <w:pPr>
              <w:spacing w:after="0"/>
              <w:rPr>
                <w:sz w:val="1"/>
                <w:szCs w:val="1"/>
                <w:color w:val="auto"/>
              </w:rPr>
            </w:pPr>
          </w:p>
        </w:tc>
      </w:tr>
      <w:tr>
        <w:trPr>
          <w:trHeight w:val="251"/>
        </w:trPr>
        <w:tc>
          <w:tcPr>
            <w:tcW w:w="136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Reclassification adjustments of benefit plan liability - prior service cost (net of tax of $8, $6,</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020" w:type="dxa"/>
            <w:vAlign w:val="bottom"/>
            <w:gridSpan w:val="2"/>
          </w:tcPr>
          <w:p>
            <w:pPr>
              <w:ind w:left="360"/>
              <w:spacing w:after="0"/>
              <w:rPr>
                <w:sz w:val="20"/>
                <w:szCs w:val="20"/>
                <w:color w:val="auto"/>
              </w:rPr>
            </w:pPr>
            <w:r>
              <w:rPr>
                <w:rFonts w:ascii="Arial" w:cs="Arial" w:eastAsia="Arial" w:hAnsi="Arial"/>
                <w:sz w:val="16"/>
                <w:szCs w:val="16"/>
                <w:color w:val="auto"/>
              </w:rPr>
              <w:t>$14 and $15, respectively)</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adjustments of benefit plan liability - net loss (net of tax of $(68), $(157),</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EFFE7"/>
          </w:tcPr>
          <w:p>
            <w:pPr>
              <w:spacing w:after="0"/>
              <w:rPr>
                <w:sz w:val="14"/>
                <w:szCs w:val="14"/>
                <w:color w:val="auto"/>
              </w:rPr>
            </w:pP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440</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262</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$(113) and $(374), respectively)</w:t>
            </w: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0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of net realized (gains) losses on settled/amortized interest rate swaps (net of</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475</w:t>
            </w:r>
          </w:p>
        </w:tc>
        <w:tc>
          <w:tcPr>
            <w:tcW w:w="240" w:type="dxa"/>
            <w:vAlign w:val="bottom"/>
            <w:shd w:val="clear" w:color="auto" w:fill="CEFFE7"/>
          </w:tcPr>
          <w:p>
            <w:pPr>
              <w:spacing w:after="0"/>
              <w:rPr>
                <w:sz w:val="14"/>
                <w:szCs w:val="14"/>
                <w:color w:val="auto"/>
              </w:rPr>
            </w:pP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563</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1,011</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tax of $(238), $(150), $(415) and $(340), respectively)</w:t>
            </w: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0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Net unrealized gains (losses) on commodity derivatives (net of tax of $734, $(304), $394 and</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(2,314)</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939</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(1,267)</w:t>
            </w: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5"/>
        </w:trPr>
        <w:tc>
          <w:tcPr>
            <w:tcW w:w="7020" w:type="dxa"/>
            <w:vAlign w:val="bottom"/>
            <w:gridSpan w:val="2"/>
          </w:tcPr>
          <w:p>
            <w:pPr>
              <w:ind w:left="360"/>
              <w:spacing w:after="0"/>
              <w:rPr>
                <w:sz w:val="20"/>
                <w:szCs w:val="20"/>
                <w:color w:val="auto"/>
              </w:rPr>
            </w:pPr>
            <w:r>
              <w:rPr>
                <w:rFonts w:ascii="Arial" w:cs="Arial" w:eastAsia="Arial" w:hAnsi="Arial"/>
                <w:sz w:val="16"/>
                <w:szCs w:val="16"/>
                <w:color w:val="auto"/>
              </w:rPr>
              <w:t>$(339), respectively)</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of net realized (gains) losses on settled commodity derivatives (net of tax of</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(1,004)</w:t>
            </w:r>
          </w:p>
        </w:tc>
        <w:tc>
          <w:tcPr>
            <w:tcW w:w="240" w:type="dxa"/>
            <w:vAlign w:val="bottom"/>
            <w:shd w:val="clear" w:color="auto" w:fill="CEFFE7"/>
          </w:tcPr>
          <w:p>
            <w:pPr>
              <w:spacing w:after="0"/>
              <w:rPr>
                <w:sz w:val="14"/>
                <w:szCs w:val="14"/>
                <w:color w:val="auto"/>
              </w:rPr>
            </w:pP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(2,706)</w:t>
            </w:r>
          </w:p>
        </w:tc>
        <w:tc>
          <w:tcPr>
            <w:tcW w:w="24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$319, $14, $871 and $6, respectively)</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vMerge w:val="continue"/>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251"/>
        </w:trPr>
        <w:tc>
          <w:tcPr>
            <w:tcW w:w="1360" w:type="dxa"/>
            <w:vAlign w:val="bottom"/>
            <w:shd w:val="clear" w:color="auto" w:fill="CEFFE7"/>
          </w:tcPr>
          <w:p>
            <w:pPr>
              <w:spacing w:after="0"/>
              <w:rPr>
                <w:sz w:val="21"/>
                <w:szCs w:val="21"/>
                <w:color w:val="auto"/>
              </w:rPr>
            </w:pPr>
          </w:p>
        </w:tc>
        <w:tc>
          <w:tcPr>
            <w:tcW w:w="566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33,108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30,169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154,138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131,674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(2,431)</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(3,126)</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(5,929)</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(7,297)</w:t>
            </w:r>
          </w:p>
        </w:tc>
        <w:tc>
          <w:tcPr>
            <w:tcW w:w="0" w:type="dxa"/>
            <w:vAlign w:val="bottom"/>
          </w:tcPr>
          <w:p>
            <w:pPr>
              <w:spacing w:after="0"/>
              <w:rPr>
                <w:sz w:val="1"/>
                <w:szCs w:val="1"/>
                <w:color w:val="auto"/>
              </w:rPr>
            </w:pPr>
          </w:p>
        </w:tc>
      </w:tr>
      <w:tr>
        <w:trPr>
          <w:trHeight w:val="210"/>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148,209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124,377</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9</w:t>
      </w:r>
      <w:r>
        <w:rPr>
          <w:rFonts w:ascii="Arial" w:cs="Arial" w:eastAsia="Arial" w:hAnsi="Arial"/>
          <w:sz w:val="14"/>
          <w:szCs w:val="14"/>
          <w:color w:val="auto"/>
        </w:rPr>
        <w:t xml:space="preserve"> for additional disclosures.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02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BLACK HILLS CORPORATION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CONDENSED CONSOLIDATED BALANCE SHEETS</w:t>
            </w: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5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June 30, 2022</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09"/>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40" w:type="dxa"/>
            <w:vAlign w:val="bottom"/>
            <w:gridSpan w:val="3"/>
          </w:tcPr>
          <w:p>
            <w:pPr>
              <w:jc w:val="right"/>
              <w:ind w:right="1439"/>
              <w:spacing w:after="0"/>
              <w:rPr>
                <w:sz w:val="20"/>
                <w:szCs w:val="20"/>
                <w:color w:val="auto"/>
              </w:rPr>
            </w:pPr>
            <w:r>
              <w:rPr>
                <w:rFonts w:ascii="Arial" w:cs="Arial" w:eastAsia="Arial" w:hAnsi="Arial"/>
                <w:sz w:val="16"/>
                <w:szCs w:val="16"/>
                <w:color w:val="auto"/>
              </w:rPr>
              <w:t>(in thousands)</w:t>
            </w:r>
          </w:p>
        </w:tc>
      </w:tr>
      <w:tr>
        <w:trPr>
          <w:trHeight w:val="217"/>
        </w:trPr>
        <w:tc>
          <w:tcPr>
            <w:tcW w:w="1360" w:type="dxa"/>
            <w:vAlign w:val="bottom"/>
          </w:tcPr>
          <w:p>
            <w:pPr>
              <w:spacing w:after="0"/>
              <w:rPr>
                <w:sz w:val="18"/>
                <w:szCs w:val="18"/>
                <w:color w:val="auto"/>
              </w:rPr>
            </w:pPr>
          </w:p>
        </w:tc>
        <w:tc>
          <w:tcPr>
            <w:tcW w:w="6240" w:type="dxa"/>
            <w:vAlign w:val="bottom"/>
            <w:gridSpan w:val="3"/>
          </w:tcPr>
          <w:p>
            <w:pPr>
              <w:jc w:val="right"/>
              <w:ind w:right="3700"/>
              <w:spacing w:after="0"/>
              <w:rPr>
                <w:sz w:val="20"/>
                <w:szCs w:val="20"/>
                <w:color w:val="auto"/>
              </w:rPr>
            </w:pPr>
            <w:r>
              <w:rPr>
                <w:rFonts w:ascii="Arial" w:cs="Arial" w:eastAsia="Arial" w:hAnsi="Arial"/>
                <w:sz w:val="16"/>
                <w:szCs w:val="16"/>
                <w:b w:val="1"/>
                <w:bCs w:val="1"/>
                <w:color w:val="auto"/>
              </w:rPr>
              <w:t>ASSETS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Cash and cash equivalents</w:t>
            </w:r>
          </w:p>
        </w:tc>
        <w:tc>
          <w:tcPr>
            <w:tcW w:w="4020" w:type="dxa"/>
            <w:vAlign w:val="bottom"/>
            <w:gridSpan w:val="2"/>
            <w:shd w:val="clear" w:color="auto" w:fill="CEFFE7"/>
          </w:tcPr>
          <w:p>
            <w:pPr>
              <w:jc w:val="right"/>
              <w:ind w:right="3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10,216</w:t>
            </w:r>
          </w:p>
        </w:tc>
        <w:tc>
          <w:tcPr>
            <w:tcW w:w="2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8,921</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Restricted cash and equivalents</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5,146</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4,889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Accounts receivable, net</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267,103</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321,652</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Materials, supplies and fuel</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152,864</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150,979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Derivative assets, current</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716</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4,373</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Income tax receivable, net</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17,299</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18,017</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Regulatory assets, current</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267,725</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270,290</w:t>
            </w:r>
          </w:p>
        </w:tc>
      </w:tr>
      <w:tr>
        <w:trPr>
          <w:trHeight w:val="215"/>
        </w:trPr>
        <w:tc>
          <w:tcPr>
            <w:tcW w:w="358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Other current assets</w:t>
            </w:r>
          </w:p>
        </w:tc>
        <w:tc>
          <w:tcPr>
            <w:tcW w:w="3580" w:type="dxa"/>
            <w:vAlign w:val="bottom"/>
            <w:tcBorders>
              <w:bottom w:val="single" w:sz="8" w:color="CEFFE7"/>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39,358</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29,012</w:t>
            </w:r>
          </w:p>
        </w:tc>
      </w:tr>
      <w:tr>
        <w:trPr>
          <w:trHeight w:val="210"/>
        </w:trPr>
        <w:tc>
          <w:tcPr>
            <w:tcW w:w="3580" w:type="dxa"/>
            <w:vAlign w:val="bottom"/>
            <w:gridSpan w:val="2"/>
            <w:shd w:val="clear" w:color="auto" w:fill="CEFFE7"/>
          </w:tcPr>
          <w:p>
            <w:pPr>
              <w:ind w:left="560"/>
              <w:spacing w:after="0"/>
              <w:rPr>
                <w:sz w:val="20"/>
                <w:szCs w:val="20"/>
                <w:color w:val="auto"/>
              </w:rPr>
            </w:pPr>
            <w:r>
              <w:rPr>
                <w:rFonts w:ascii="Arial" w:cs="Arial" w:eastAsia="Arial" w:hAnsi="Arial"/>
                <w:sz w:val="16"/>
                <w:szCs w:val="16"/>
                <w:color w:val="auto"/>
              </w:rPr>
              <w:t>Total current assets</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760,427</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808,133</w:t>
            </w:r>
          </w:p>
        </w:tc>
      </w:tr>
      <w:tr>
        <w:trPr>
          <w:trHeight w:val="257"/>
        </w:trPr>
        <w:tc>
          <w:tcPr>
            <w:tcW w:w="3580" w:type="dxa"/>
            <w:vAlign w:val="bottom"/>
            <w:gridSpan w:val="2"/>
          </w:tcPr>
          <w:p>
            <w:pPr>
              <w:spacing w:after="0"/>
              <w:rPr>
                <w:sz w:val="22"/>
                <w:szCs w:val="22"/>
                <w:color w:val="auto"/>
              </w:rPr>
            </w:pPr>
          </w:p>
        </w:tc>
        <w:tc>
          <w:tcPr>
            <w:tcW w:w="3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16"/>
        </w:trPr>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Property, plant and equipment</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8,086,704</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7,856,573</w:t>
            </w:r>
          </w:p>
        </w:tc>
      </w:tr>
      <w:tr>
        <w:trPr>
          <w:trHeight w:val="215"/>
        </w:trPr>
        <w:tc>
          <w:tcPr>
            <w:tcW w:w="358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Less: accumulated depreciation and depletion</w:t>
            </w:r>
          </w:p>
        </w:tc>
        <w:tc>
          <w:tcPr>
            <w:tcW w:w="3580" w:type="dxa"/>
            <w:vAlign w:val="bottom"/>
            <w:tcBorders>
              <w:bottom w:val="single" w:sz="8" w:color="CEFFE7"/>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(1,499,552)</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(1,407,397)</w:t>
            </w:r>
          </w:p>
        </w:tc>
      </w:tr>
      <w:tr>
        <w:trPr>
          <w:trHeight w:val="209"/>
        </w:trPr>
        <w:tc>
          <w:tcPr>
            <w:tcW w:w="3580" w:type="dxa"/>
            <w:vAlign w:val="bottom"/>
            <w:gridSpan w:val="2"/>
            <w:shd w:val="clear" w:color="auto" w:fill="CEFFE7"/>
          </w:tcPr>
          <w:p>
            <w:pPr>
              <w:ind w:left="560"/>
              <w:spacing w:after="0"/>
              <w:rPr>
                <w:sz w:val="20"/>
                <w:szCs w:val="20"/>
                <w:color w:val="auto"/>
              </w:rPr>
            </w:pPr>
            <w:r>
              <w:rPr>
                <w:rFonts w:ascii="Arial" w:cs="Arial" w:eastAsia="Arial" w:hAnsi="Arial"/>
                <w:sz w:val="16"/>
                <w:szCs w:val="16"/>
                <w:color w:val="auto"/>
              </w:rPr>
              <w:t>Total property, plant and equipment, net</w:t>
            </w:r>
          </w:p>
        </w:tc>
        <w:tc>
          <w:tcPr>
            <w:tcW w:w="3580" w:type="dxa"/>
            <w:vAlign w:val="bottom"/>
            <w:shd w:val="clear" w:color="auto" w:fill="CEFFE7"/>
          </w:tcPr>
          <w:p>
            <w:pPr>
              <w:spacing w:after="0"/>
              <w:rPr>
                <w:sz w:val="18"/>
                <w:szCs w:val="18"/>
                <w:color w:val="auto"/>
              </w:rPr>
            </w:pPr>
          </w:p>
        </w:tc>
        <w:tc>
          <w:tcPr>
            <w:tcW w:w="44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6,587,152</w:t>
            </w:r>
          </w:p>
        </w:tc>
        <w:tc>
          <w:tcPr>
            <w:tcW w:w="26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6,449,176</w:t>
            </w:r>
          </w:p>
        </w:tc>
      </w:tr>
      <w:tr>
        <w:trPr>
          <w:trHeight w:val="237"/>
        </w:trPr>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6"/>
        </w:trPr>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assets:</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spacing w:after="0"/>
              <w:rPr>
                <w:sz w:val="18"/>
                <w:szCs w:val="18"/>
                <w:color w:val="auto"/>
              </w:rPr>
            </w:pP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1,299,454</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1,299,454</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Intangible assets, net</w:t>
            </w:r>
          </w:p>
        </w:tc>
        <w:tc>
          <w:tcPr>
            <w:tcW w:w="35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10,177</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10,770</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Regulatory assets, non-current</w:t>
            </w: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434,643</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526,309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Other assets, non-current</w:t>
            </w:r>
          </w:p>
        </w:tc>
        <w:tc>
          <w:tcPr>
            <w:tcW w:w="3580" w:type="dxa"/>
            <w:vAlign w:val="bottom"/>
            <w:shd w:val="clear" w:color="auto" w:fill="CEFFE7"/>
          </w:tcPr>
          <w:p>
            <w:pPr>
              <w:spacing w:after="0"/>
              <w:rPr>
                <w:sz w:val="18"/>
                <w:szCs w:val="18"/>
                <w:color w:val="auto"/>
              </w:rPr>
            </w:pPr>
          </w:p>
        </w:tc>
        <w:tc>
          <w:tcPr>
            <w:tcW w:w="44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42,709</w:t>
            </w:r>
          </w:p>
        </w:tc>
        <w:tc>
          <w:tcPr>
            <w:tcW w:w="26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38,054</w:t>
            </w:r>
          </w:p>
        </w:tc>
      </w:tr>
      <w:tr>
        <w:trPr>
          <w:trHeight w:val="209"/>
        </w:trPr>
        <w:tc>
          <w:tcPr>
            <w:tcW w:w="358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other assets, non-current</w:t>
            </w:r>
          </w:p>
        </w:tc>
        <w:tc>
          <w:tcPr>
            <w:tcW w:w="3580" w:type="dxa"/>
            <w:vAlign w:val="bottom"/>
            <w:tcBorders>
              <w:bottom w:val="single" w:sz="8" w:color="CEFFE7"/>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1,786,983</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1,874,587</w:t>
            </w:r>
          </w:p>
        </w:tc>
      </w:tr>
      <w:tr>
        <w:trPr>
          <w:trHeight w:val="237"/>
        </w:trPr>
        <w:tc>
          <w:tcPr>
            <w:tcW w:w="1360" w:type="dxa"/>
            <w:vAlign w:val="bottom"/>
            <w:shd w:val="clear" w:color="auto" w:fill="CEFFE7"/>
          </w:tcPr>
          <w:p>
            <w:pPr>
              <w:spacing w:after="0"/>
              <w:rPr>
                <w:sz w:val="20"/>
                <w:szCs w:val="20"/>
                <w:color w:val="auto"/>
              </w:rPr>
            </w:pPr>
          </w:p>
        </w:tc>
        <w:tc>
          <w:tcPr>
            <w:tcW w:w="2220" w:type="dxa"/>
            <w:vAlign w:val="bottom"/>
            <w:shd w:val="clear" w:color="auto" w:fill="CEFFE7"/>
          </w:tcPr>
          <w:p>
            <w:pPr>
              <w:spacing w:after="0"/>
              <w:rPr>
                <w:sz w:val="20"/>
                <w:szCs w:val="20"/>
                <w:color w:val="auto"/>
              </w:rPr>
            </w:pPr>
          </w:p>
        </w:tc>
        <w:tc>
          <w:tcPr>
            <w:tcW w:w="358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160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4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9,134,562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9,131,896</w:t>
            </w:r>
          </w:p>
        </w:tc>
      </w:tr>
      <w:tr>
        <w:trPr>
          <w:trHeight w:val="20"/>
        </w:trPr>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gridSpan w:val="2"/>
          </w:tcPr>
          <w:p>
            <w:pPr>
              <w:jc w:val="center"/>
              <w:ind w:left="1139"/>
              <w:spacing w:after="0"/>
              <w:rPr>
                <w:sz w:val="20"/>
                <w:szCs w:val="20"/>
                <w:color w:val="auto"/>
              </w:rPr>
            </w:pPr>
            <w:r>
              <w:rPr>
                <w:rFonts w:ascii="Arial" w:cs="Arial" w:eastAsia="Arial" w:hAnsi="Arial"/>
                <w:sz w:val="16"/>
                <w:szCs w:val="16"/>
                <w:b w:val="1"/>
                <w:bCs w:val="1"/>
                <w:color w:val="auto"/>
              </w:rPr>
              <w:t>BLACK HILLS CORPORATION</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gridSpan w:val="2"/>
          </w:tcPr>
          <w:p>
            <w:pPr>
              <w:jc w:val="center"/>
              <w:ind w:left="1159"/>
              <w:spacing w:after="0"/>
              <w:rPr>
                <w:sz w:val="20"/>
                <w:szCs w:val="20"/>
                <w:color w:val="auto"/>
              </w:rPr>
            </w:pPr>
            <w:r>
              <w:rPr>
                <w:rFonts w:ascii="Arial" w:cs="Arial" w:eastAsia="Arial" w:hAnsi="Arial"/>
                <w:sz w:val="16"/>
                <w:szCs w:val="16"/>
                <w:b w:val="1"/>
                <w:bCs w:val="1"/>
                <w:color w:val="auto"/>
              </w:rPr>
              <w:t>CONDENSED CONSOLIDATED BALANCE SHEETS</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180" w:type="dxa"/>
            <w:vAlign w:val="bottom"/>
            <w:gridSpan w:val="2"/>
          </w:tcPr>
          <w:p>
            <w:pPr>
              <w:jc w:val="center"/>
              <w:ind w:left="1139"/>
              <w:spacing w:after="0"/>
              <w:rPr>
                <w:sz w:val="20"/>
                <w:szCs w:val="20"/>
                <w:color w:val="auto"/>
              </w:rPr>
            </w:pPr>
            <w:r>
              <w:rPr>
                <w:rFonts w:ascii="Arial" w:cs="Arial" w:eastAsia="Arial" w:hAnsi="Arial"/>
                <w:sz w:val="16"/>
                <w:szCs w:val="16"/>
                <w:b w:val="1"/>
                <w:bCs w:val="1"/>
                <w:color w:val="auto"/>
              </w:rPr>
              <w:t>(Continued)</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4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June 30, 2022</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40" w:type="dxa"/>
            <w:vAlign w:val="bottom"/>
            <w:gridSpan w:val="3"/>
          </w:tcPr>
          <w:p>
            <w:pPr>
              <w:jc w:val="right"/>
              <w:ind w:right="599"/>
              <w:spacing w:after="0"/>
              <w:rPr>
                <w:sz w:val="20"/>
                <w:szCs w:val="20"/>
                <w:color w:val="auto"/>
              </w:rPr>
            </w:pPr>
            <w:r>
              <w:rPr>
                <w:rFonts w:ascii="Arial" w:cs="Arial" w:eastAsia="Arial" w:hAnsi="Arial"/>
                <w:sz w:val="16"/>
                <w:szCs w:val="16"/>
                <w:color w:val="auto"/>
              </w:rPr>
              <w:t>(in thousands, except share amounts)</w:t>
            </w:r>
          </w:p>
        </w:tc>
        <w:tc>
          <w:tcPr>
            <w:tcW w:w="0" w:type="dxa"/>
            <w:vAlign w:val="bottom"/>
          </w:tcPr>
          <w:p>
            <w:pPr>
              <w:spacing w:after="0"/>
              <w:rPr>
                <w:sz w:val="1"/>
                <w:szCs w:val="1"/>
                <w:color w:val="auto"/>
              </w:rPr>
            </w:pPr>
          </w:p>
        </w:tc>
      </w:tr>
      <w:tr>
        <w:trPr>
          <w:trHeight w:val="223"/>
        </w:trPr>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auto"/>
              </w:rPr>
              <w:t>Current liabilities:</w:t>
            </w:r>
          </w:p>
        </w:tc>
        <w:tc>
          <w:tcPr>
            <w:tcW w:w="5180" w:type="dxa"/>
            <w:vAlign w:val="bottom"/>
            <w:gridSpan w:val="2"/>
          </w:tcPr>
          <w:p>
            <w:pPr>
              <w:jc w:val="right"/>
              <w:ind w:right="3020"/>
              <w:spacing w:after="0"/>
              <w:rPr>
                <w:sz w:val="20"/>
                <w:szCs w:val="20"/>
                <w:color w:val="auto"/>
              </w:rPr>
            </w:pPr>
            <w:r>
              <w:rPr>
                <w:rFonts w:ascii="Arial" w:cs="Arial" w:eastAsia="Arial" w:hAnsi="Arial"/>
                <w:sz w:val="16"/>
                <w:szCs w:val="16"/>
                <w:b w:val="1"/>
                <w:bCs w:val="1"/>
                <w:color w:val="auto"/>
              </w:rPr>
              <w:t>LIABILITIES AND EQUITY</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20" w:type="dxa"/>
            <w:vAlign w:val="bottom"/>
            <w:gridSpan w:val="2"/>
            <w:vMerge w:val="continue"/>
          </w:tcPr>
          <w:p>
            <w:pPr>
              <w:spacing w:after="0"/>
              <w:rPr>
                <w:sz w:val="18"/>
                <w:szCs w:val="18"/>
                <w:color w:val="auto"/>
              </w:rPr>
            </w:pP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Accounts payable</w:t>
            </w:r>
          </w:p>
        </w:tc>
        <w:tc>
          <w:tcPr>
            <w:tcW w:w="5180" w:type="dxa"/>
            <w:vAlign w:val="bottom"/>
            <w:gridSpan w:val="2"/>
            <w:shd w:val="clear" w:color="auto" w:fill="CEFFE7"/>
          </w:tcPr>
          <w:p>
            <w:pPr>
              <w:jc w:val="right"/>
              <w:ind w:right="3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185,735</w:t>
            </w:r>
          </w:p>
        </w:tc>
        <w:tc>
          <w:tcPr>
            <w:tcW w:w="2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217,761</w:t>
            </w: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Accrued liabilities</w:t>
            </w: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226,320</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244,759</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Derivative liabilities, current</w:t>
            </w:r>
          </w:p>
        </w:tc>
        <w:tc>
          <w:tcPr>
            <w:tcW w:w="474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5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4,719</w:t>
            </w:r>
          </w:p>
        </w:tc>
        <w:tc>
          <w:tcPr>
            <w:tcW w:w="28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Regulatory liabilities, current</w:t>
            </w:r>
          </w:p>
        </w:tc>
        <w:tc>
          <w:tcPr>
            <w:tcW w:w="4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33,356</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17,574</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Notes payable</w:t>
            </w:r>
          </w:p>
        </w:tc>
        <w:tc>
          <w:tcPr>
            <w:tcW w:w="4740" w:type="dxa"/>
            <w:vAlign w:val="bottom"/>
            <w:shd w:val="clear" w:color="auto" w:fill="CEFFE7"/>
          </w:tcPr>
          <w:p>
            <w:pPr>
              <w:spacing w:after="0"/>
              <w:rPr>
                <w:sz w:val="18"/>
                <w:szCs w:val="18"/>
                <w:color w:val="auto"/>
              </w:rPr>
            </w:pPr>
          </w:p>
        </w:tc>
        <w:tc>
          <w:tcPr>
            <w:tcW w:w="440" w:type="dxa"/>
            <w:vAlign w:val="bottom"/>
            <w:tcBorders>
              <w:bottom w:val="single" w:sz="8" w:color="auto"/>
            </w:tcBorders>
            <w:shd w:val="clear" w:color="auto" w:fill="CEFFE7"/>
          </w:tcPr>
          <w:p>
            <w:pPr>
              <w:spacing w:after="0"/>
              <w:rPr>
                <w:sz w:val="18"/>
                <w:szCs w:val="18"/>
                <w:color w:val="auto"/>
              </w:rPr>
            </w:pPr>
          </w:p>
        </w:tc>
        <w:tc>
          <w:tcPr>
            <w:tcW w:w="15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335,050</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current liabilities</w:t>
            </w:r>
          </w:p>
        </w:tc>
        <w:tc>
          <w:tcPr>
            <w:tcW w:w="4740" w:type="dxa"/>
            <w:vAlign w:val="bottom"/>
            <w:tcBorders>
              <w:bottom w:val="single" w:sz="8" w:color="CEFFE7"/>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785,180</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901,713</w:t>
            </w:r>
          </w:p>
        </w:tc>
        <w:tc>
          <w:tcPr>
            <w:tcW w:w="0" w:type="dxa"/>
            <w:vAlign w:val="bottom"/>
          </w:tcPr>
          <w:p>
            <w:pPr>
              <w:spacing w:after="0"/>
              <w:rPr>
                <w:sz w:val="1"/>
                <w:szCs w:val="1"/>
                <w:color w:val="auto"/>
              </w:rPr>
            </w:pPr>
          </w:p>
        </w:tc>
      </w:tr>
      <w:tr>
        <w:trPr>
          <w:trHeight w:val="237"/>
        </w:trPr>
        <w:tc>
          <w:tcPr>
            <w:tcW w:w="1360" w:type="dxa"/>
            <w:vAlign w:val="bottom"/>
            <w:shd w:val="clear" w:color="auto" w:fill="CEFFE7"/>
          </w:tcPr>
          <w:p>
            <w:pPr>
              <w:spacing w:after="0"/>
              <w:rPr>
                <w:sz w:val="20"/>
                <w:szCs w:val="20"/>
                <w:color w:val="auto"/>
              </w:rPr>
            </w:pPr>
          </w:p>
        </w:tc>
        <w:tc>
          <w:tcPr>
            <w:tcW w:w="1060" w:type="dxa"/>
            <w:vAlign w:val="bottom"/>
            <w:shd w:val="clear" w:color="auto" w:fill="CEFFE7"/>
          </w:tcPr>
          <w:p>
            <w:pPr>
              <w:spacing w:after="0"/>
              <w:rPr>
                <w:sz w:val="20"/>
                <w:szCs w:val="20"/>
                <w:color w:val="auto"/>
              </w:rPr>
            </w:pPr>
          </w:p>
        </w:tc>
        <w:tc>
          <w:tcPr>
            <w:tcW w:w="474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158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00" w:type="dxa"/>
            <w:vAlign w:val="bottom"/>
            <w:gridSpan w:val="4"/>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4,129,662</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4,126,923</w:t>
            </w:r>
          </w:p>
        </w:tc>
        <w:tc>
          <w:tcPr>
            <w:tcW w:w="0" w:type="dxa"/>
            <w:vAlign w:val="bottom"/>
          </w:tcPr>
          <w:p>
            <w:pPr>
              <w:spacing w:after="0"/>
              <w:rPr>
                <w:sz w:val="1"/>
                <w:szCs w:val="1"/>
                <w:color w:val="auto"/>
              </w:rPr>
            </w:pPr>
          </w:p>
        </w:tc>
      </w:tr>
      <w:tr>
        <w:trPr>
          <w:trHeight w:val="237"/>
        </w:trPr>
        <w:tc>
          <w:tcPr>
            <w:tcW w:w="1360" w:type="dxa"/>
            <w:vAlign w:val="bottom"/>
            <w:tcBorders>
              <w:top w:val="single" w:sz="8" w:color="CEFFE7"/>
            </w:tcBorders>
            <w:shd w:val="clear" w:color="auto" w:fill="CEFFE7"/>
          </w:tcPr>
          <w:p>
            <w:pPr>
              <w:spacing w:after="0"/>
              <w:rPr>
                <w:sz w:val="20"/>
                <w:szCs w:val="20"/>
                <w:color w:val="auto"/>
              </w:rPr>
            </w:pPr>
          </w:p>
        </w:tc>
        <w:tc>
          <w:tcPr>
            <w:tcW w:w="1060" w:type="dxa"/>
            <w:vAlign w:val="bottom"/>
            <w:tcBorders>
              <w:top w:val="single" w:sz="8" w:color="CEFFE7"/>
            </w:tcBorders>
            <w:shd w:val="clear" w:color="auto" w:fill="CEFFE7"/>
          </w:tcPr>
          <w:p>
            <w:pPr>
              <w:spacing w:after="0"/>
              <w:rPr>
                <w:sz w:val="20"/>
                <w:szCs w:val="20"/>
                <w:color w:val="auto"/>
              </w:rPr>
            </w:pPr>
          </w:p>
        </w:tc>
        <w:tc>
          <w:tcPr>
            <w:tcW w:w="4740" w:type="dxa"/>
            <w:vAlign w:val="bottom"/>
            <w:tcBorders>
              <w:top w:val="single" w:sz="8" w:color="CEFFE7"/>
            </w:tcBorders>
            <w:shd w:val="clear" w:color="auto" w:fill="CEFFE7"/>
          </w:tcPr>
          <w:p>
            <w:pPr>
              <w:spacing w:after="0"/>
              <w:rPr>
                <w:sz w:val="20"/>
                <w:szCs w:val="20"/>
                <w:color w:val="auto"/>
              </w:rPr>
            </w:pPr>
          </w:p>
        </w:tc>
        <w:tc>
          <w:tcPr>
            <w:tcW w:w="440" w:type="dxa"/>
            <w:vAlign w:val="bottom"/>
            <w:tcBorders>
              <w:top w:val="single" w:sz="8" w:color="auto"/>
            </w:tcBorders>
            <w:shd w:val="clear" w:color="auto" w:fill="CEFFE7"/>
          </w:tcPr>
          <w:p>
            <w:pPr>
              <w:spacing w:after="0"/>
              <w:rPr>
                <w:sz w:val="20"/>
                <w:szCs w:val="20"/>
                <w:color w:val="auto"/>
              </w:rPr>
            </w:pPr>
          </w:p>
        </w:tc>
        <w:tc>
          <w:tcPr>
            <w:tcW w:w="1580" w:type="dxa"/>
            <w:vAlign w:val="bottom"/>
            <w:tcBorders>
              <w:top w:val="single" w:sz="8" w:color="auto"/>
            </w:tcBorders>
            <w:shd w:val="clear" w:color="auto" w:fill="CEFFE7"/>
          </w:tcPr>
          <w:p>
            <w:pPr>
              <w:spacing w:after="0"/>
              <w:rPr>
                <w:sz w:val="20"/>
                <w:szCs w:val="20"/>
                <w:color w:val="auto"/>
              </w:rPr>
            </w:pPr>
          </w:p>
        </w:tc>
        <w:tc>
          <w:tcPr>
            <w:tcW w:w="280" w:type="dxa"/>
            <w:vAlign w:val="bottom"/>
            <w:tcBorders>
              <w:top w:val="single" w:sz="8" w:color="auto"/>
            </w:tcBorders>
            <w:shd w:val="clear" w:color="auto" w:fill="CEFFE7"/>
          </w:tcPr>
          <w:p>
            <w:pPr>
              <w:spacing w:after="0"/>
              <w:rPr>
                <w:sz w:val="20"/>
                <w:szCs w:val="20"/>
                <w:color w:val="auto"/>
              </w:rPr>
            </w:pPr>
          </w:p>
        </w:tc>
        <w:tc>
          <w:tcPr>
            <w:tcW w:w="1780" w:type="dxa"/>
            <w:vAlign w:val="bottom"/>
            <w:tcBorders>
              <w:top w:val="single" w:sz="8" w:color="auto"/>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490,207</w:t>
            </w:r>
          </w:p>
        </w:tc>
        <w:tc>
          <w:tcPr>
            <w:tcW w:w="1480" w:type="dxa"/>
            <w:vAlign w:val="bottom"/>
          </w:tcPr>
          <w:p>
            <w:pPr>
              <w:jc w:val="right"/>
              <w:spacing w:after="0"/>
              <w:rPr>
                <w:sz w:val="20"/>
                <w:szCs w:val="20"/>
                <w:color w:val="auto"/>
              </w:rPr>
            </w:pPr>
            <w:r>
              <w:rPr>
                <w:rFonts w:ascii="Arial" w:cs="Arial" w:eastAsia="Arial" w:hAnsi="Arial"/>
                <w:sz w:val="16"/>
                <w:szCs w:val="16"/>
                <w:color w:val="auto"/>
              </w:rPr>
              <w:t>465,388</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482,642</w:t>
            </w:r>
          </w:p>
        </w:tc>
        <w:tc>
          <w:tcPr>
            <w:tcW w:w="1480" w:type="dxa"/>
            <w:vAlign w:val="bottom"/>
          </w:tcPr>
          <w:p>
            <w:pPr>
              <w:jc w:val="right"/>
              <w:spacing w:after="0"/>
              <w:rPr>
                <w:sz w:val="20"/>
                <w:szCs w:val="20"/>
                <w:color w:val="auto"/>
              </w:rPr>
            </w:pPr>
            <w:r>
              <w:rPr>
                <w:rFonts w:ascii="Arial" w:cs="Arial" w:eastAsia="Arial" w:hAnsi="Arial"/>
                <w:sz w:val="16"/>
                <w:szCs w:val="16"/>
                <w:color w:val="auto"/>
              </w:rPr>
              <w:t>485,377</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121,338</w:t>
            </w:r>
          </w:p>
        </w:tc>
        <w:tc>
          <w:tcPr>
            <w:tcW w:w="1480" w:type="dxa"/>
            <w:vAlign w:val="bottom"/>
          </w:tcPr>
          <w:p>
            <w:pPr>
              <w:jc w:val="right"/>
              <w:spacing w:after="0"/>
              <w:rPr>
                <w:sz w:val="20"/>
                <w:szCs w:val="20"/>
                <w:color w:val="auto"/>
              </w:rPr>
            </w:pPr>
            <w:r>
              <w:rPr>
                <w:rFonts w:ascii="Arial" w:cs="Arial" w:eastAsia="Arial" w:hAnsi="Arial"/>
                <w:sz w:val="16"/>
                <w:szCs w:val="16"/>
                <w:color w:val="auto"/>
              </w:rPr>
              <w:t>123,925</w:t>
            </w:r>
          </w:p>
        </w:tc>
      </w:tr>
      <w:tr>
        <w:trPr>
          <w:trHeight w:val="217"/>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142,732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141,447</w:t>
            </w:r>
          </w:p>
        </w:tc>
      </w:tr>
      <w:tr>
        <w:trPr>
          <w:trHeight w:val="210"/>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1,236,919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-702310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-427990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-153670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118"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6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Commitments, contingencies and guarantees (</w:t>
            </w:r>
            <w:r>
              <w:rPr>
                <w:rFonts w:ascii="Arial" w:cs="Arial" w:eastAsia="Arial" w:hAnsi="Arial"/>
                <w:sz w:val="16"/>
                <w:szCs w:val="16"/>
                <w:color w:val="0000FF"/>
              </w:rPr>
              <w:t>Note 3</w:t>
            </w:r>
            <w:r>
              <w:rPr>
                <w:rFonts w:ascii="Arial" w:cs="Arial" w:eastAsia="Arial" w:hAnsi="Arial"/>
                <w:sz w:val="16"/>
                <w:szCs w:val="16"/>
                <w:color w:val="auto"/>
              </w:rPr>
              <w:t>)</w:t>
            </w:r>
          </w:p>
        </w:tc>
        <w:tc>
          <w:tcPr>
            <w:tcW w:w="660" w:type="dxa"/>
            <w:vAlign w:val="bottom"/>
            <w:shd w:val="clear" w:color="auto" w:fill="CEFFE7"/>
          </w:tcPr>
          <w:p>
            <w:pPr>
              <w:spacing w:after="0"/>
              <w:rPr>
                <w:sz w:val="17"/>
                <w:szCs w:val="17"/>
                <w:color w:val="auto"/>
              </w:rPr>
            </w:pPr>
          </w:p>
        </w:tc>
        <w:tc>
          <w:tcPr>
            <w:tcW w:w="1380" w:type="dxa"/>
            <w:vAlign w:val="bottom"/>
            <w:shd w:val="clear" w:color="auto" w:fill="CEFFE7"/>
          </w:tcPr>
          <w:p>
            <w:pPr>
              <w:spacing w:after="0"/>
              <w:rPr>
                <w:sz w:val="17"/>
                <w:szCs w:val="17"/>
                <w:color w:val="auto"/>
              </w:rPr>
            </w:pPr>
          </w:p>
        </w:tc>
        <w:tc>
          <w:tcPr>
            <w:tcW w:w="700" w:type="dxa"/>
            <w:vAlign w:val="bottom"/>
            <w:shd w:val="clear" w:color="auto" w:fill="CEFFE7"/>
          </w:tcPr>
          <w:p>
            <w:pPr>
              <w:spacing w:after="0"/>
              <w:rPr>
                <w:sz w:val="17"/>
                <w:szCs w:val="17"/>
                <w:color w:val="auto"/>
              </w:rPr>
            </w:pPr>
          </w:p>
        </w:tc>
        <w:tc>
          <w:tcPr>
            <w:tcW w:w="13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380" w:type="dxa"/>
            <w:vAlign w:val="bottom"/>
            <w:tcBorders>
              <w:top w:val="single" w:sz="8" w:color="CEFFE7"/>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300" w:type="dxa"/>
            <w:vAlign w:val="bottom"/>
            <w:tcBorders>
              <w:top w:val="single" w:sz="8" w:color="CEFFE7"/>
            </w:tcBorders>
          </w:tcPr>
          <w:p>
            <w:pPr>
              <w:spacing w:after="0"/>
              <w:rPr>
                <w:sz w:val="22"/>
                <w:szCs w:val="22"/>
                <w:color w:val="auto"/>
              </w:rPr>
            </w:pPr>
          </w:p>
        </w:tc>
        <w:tc>
          <w:tcPr>
            <w:tcW w:w="660" w:type="dxa"/>
            <w:vAlign w:val="bottom"/>
            <w:tcBorders>
              <w:top w:val="single" w:sz="8" w:color="CEFFE7"/>
            </w:tcBorders>
          </w:tcPr>
          <w:p>
            <w:pPr>
              <w:spacing w:after="0"/>
              <w:rPr>
                <w:sz w:val="22"/>
                <w:szCs w:val="22"/>
                <w:color w:val="auto"/>
              </w:rPr>
            </w:pPr>
          </w:p>
        </w:tc>
        <w:tc>
          <w:tcPr>
            <w:tcW w:w="1380" w:type="dxa"/>
            <w:vAlign w:val="bottom"/>
            <w:tcBorders>
              <w:top w:val="single" w:sz="8" w:color="CEFFE7"/>
            </w:tcBorders>
          </w:tcPr>
          <w:p>
            <w:pPr>
              <w:spacing w:after="0"/>
              <w:rPr>
                <w:sz w:val="22"/>
                <w:szCs w:val="22"/>
                <w:color w:val="auto"/>
              </w:rPr>
            </w:pPr>
          </w:p>
        </w:tc>
        <w:tc>
          <w:tcPr>
            <w:tcW w:w="700" w:type="dxa"/>
            <w:vAlign w:val="bottom"/>
            <w:tcBorders>
              <w:top w:val="single" w:sz="8" w:color="CEFFE7"/>
            </w:tcBorders>
          </w:tcPr>
          <w:p>
            <w:pPr>
              <w:spacing w:after="0"/>
              <w:rPr>
                <w:sz w:val="22"/>
                <w:szCs w:val="22"/>
                <w:color w:val="auto"/>
              </w:rPr>
            </w:pPr>
          </w:p>
        </w:tc>
        <w:tc>
          <w:tcPr>
            <w:tcW w:w="1340" w:type="dxa"/>
            <w:vAlign w:val="bottom"/>
            <w:tcBorders>
              <w:top w:val="single" w:sz="8" w:color="CEFFE7"/>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Equity:</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gridSpan w:val="3"/>
          </w:tcPr>
          <w:p>
            <w:pPr>
              <w:jc w:val="center"/>
              <w:ind w:right="5140"/>
              <w:spacing w:after="0"/>
              <w:rPr>
                <w:sz w:val="20"/>
                <w:szCs w:val="20"/>
                <w:color w:val="auto"/>
              </w:rPr>
            </w:pPr>
            <w:r>
              <w:rPr>
                <w:rFonts w:ascii="Arial" w:cs="Arial" w:eastAsia="Arial" w:hAnsi="Arial"/>
                <w:sz w:val="16"/>
                <w:szCs w:val="16"/>
                <w:color w:val="auto"/>
              </w:rPr>
              <w:t>Stockholders’ equity —</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160" w:type="dxa"/>
            <w:vAlign w:val="bottom"/>
            <w:gridSpan w:val="3"/>
            <w:shd w:val="clear" w:color="auto" w:fill="CEFFE7"/>
          </w:tcPr>
          <w:p>
            <w:pPr>
              <w:ind w:left="220"/>
              <w:spacing w:after="0" w:line="163" w:lineRule="exact"/>
              <w:rPr>
                <w:sz w:val="20"/>
                <w:szCs w:val="20"/>
                <w:color w:val="auto"/>
              </w:rPr>
            </w:pPr>
            <w:r>
              <w:rPr>
                <w:rFonts w:ascii="Arial" w:cs="Arial" w:eastAsia="Arial" w:hAnsi="Arial"/>
                <w:sz w:val="16"/>
                <w:szCs w:val="16"/>
                <w:color w:val="auto"/>
              </w:rPr>
              <w:t>Common stock $1 par value; 100,000,000 shares authorized; issued 65,105,178 and</w:t>
            </w:r>
          </w:p>
        </w:tc>
        <w:tc>
          <w:tcPr>
            <w:tcW w:w="660" w:type="dxa"/>
            <w:vAlign w:val="bottom"/>
            <w:shd w:val="clear" w:color="auto" w:fill="CEFFE7"/>
          </w:tcPr>
          <w:p>
            <w:pPr>
              <w:spacing w:after="0"/>
              <w:rPr>
                <w:sz w:val="14"/>
                <w:szCs w:val="14"/>
                <w:color w:val="auto"/>
              </w:rPr>
            </w:pPr>
          </w:p>
        </w:tc>
        <w:tc>
          <w:tcPr>
            <w:tcW w:w="13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65,105</w:t>
            </w:r>
          </w:p>
        </w:tc>
        <w:tc>
          <w:tcPr>
            <w:tcW w:w="700" w:type="dxa"/>
            <w:vAlign w:val="bottom"/>
            <w:shd w:val="clear" w:color="auto" w:fill="CEFFE7"/>
          </w:tcPr>
          <w:p>
            <w:pPr>
              <w:spacing w:after="0"/>
              <w:rPr>
                <w:sz w:val="14"/>
                <w:szCs w:val="14"/>
                <w:color w:val="auto"/>
              </w:rPr>
            </w:pPr>
          </w:p>
        </w:tc>
        <w:tc>
          <w:tcPr>
            <w:tcW w:w="13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64,793</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64,793,095 shares, respectively</w:t>
            </w:r>
          </w:p>
        </w:tc>
        <w:tc>
          <w:tcPr>
            <w:tcW w:w="660" w:type="dxa"/>
            <w:vAlign w:val="bottom"/>
            <w:shd w:val="clear" w:color="auto" w:fill="CEFFE7"/>
          </w:tcPr>
          <w:p>
            <w:pPr>
              <w:spacing w:after="0"/>
              <w:rPr>
                <w:sz w:val="18"/>
                <w:szCs w:val="18"/>
                <w:color w:val="auto"/>
              </w:rPr>
            </w:pPr>
          </w:p>
        </w:tc>
        <w:tc>
          <w:tcPr>
            <w:tcW w:w="1380" w:type="dxa"/>
            <w:vAlign w:val="bottom"/>
            <w:vMerge w:val="continue"/>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34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gridSpan w:val="3"/>
          </w:tcPr>
          <w:p>
            <w:pPr>
              <w:ind w:left="220"/>
              <w:spacing w:after="0"/>
              <w:rPr>
                <w:sz w:val="20"/>
                <w:szCs w:val="20"/>
                <w:color w:val="auto"/>
              </w:rPr>
            </w:pPr>
            <w:r>
              <w:rPr>
                <w:rFonts w:ascii="Arial" w:cs="Arial" w:eastAsia="Arial" w:hAnsi="Arial"/>
                <w:sz w:val="16"/>
                <w:szCs w:val="16"/>
                <w:color w:val="auto"/>
              </w:rPr>
              <w:t>Additional paid-in capital</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1,808,437</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1,783,436</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Retained earnings</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1,036,263</w:t>
            </w: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962,458</w:t>
            </w:r>
          </w:p>
        </w:tc>
        <w:tc>
          <w:tcPr>
            <w:tcW w:w="0" w:type="dxa"/>
            <w:vAlign w:val="bottom"/>
          </w:tcPr>
          <w:p>
            <w:pPr>
              <w:spacing w:after="0"/>
              <w:rPr>
                <w:sz w:val="1"/>
                <w:szCs w:val="1"/>
                <w:color w:val="auto"/>
              </w:rPr>
            </w:pPr>
          </w:p>
        </w:tc>
      </w:tr>
      <w:tr>
        <w:trPr>
          <w:trHeight w:val="215"/>
        </w:trPr>
        <w:tc>
          <w:tcPr>
            <w:tcW w:w="7160" w:type="dxa"/>
            <w:vAlign w:val="bottom"/>
            <w:gridSpan w:val="3"/>
          </w:tcPr>
          <w:p>
            <w:pPr>
              <w:ind w:left="220"/>
              <w:spacing w:after="0"/>
              <w:rPr>
                <w:sz w:val="20"/>
                <w:szCs w:val="20"/>
                <w:color w:val="auto"/>
              </w:rPr>
            </w:pPr>
            <w:r>
              <w:rPr>
                <w:rFonts w:ascii="Arial" w:cs="Arial" w:eastAsia="Arial" w:hAnsi="Arial"/>
                <w:sz w:val="16"/>
                <w:szCs w:val="16"/>
                <w:color w:val="auto"/>
              </w:rPr>
              <w:t>Treasury stock, at cost – 23,691 and 54,078 shares, respectively</w:t>
            </w: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(1,542)</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(22,816)</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0" w:type="dxa"/>
            <w:vAlign w:val="bottom"/>
          </w:tcPr>
          <w:p>
            <w:pPr>
              <w:spacing w:after="0"/>
              <w:rPr>
                <w:sz w:val="1"/>
                <w:szCs w:val="1"/>
                <w:color w:val="auto"/>
              </w:rPr>
            </w:pPr>
          </w:p>
        </w:tc>
      </w:tr>
      <w:tr>
        <w:trPr>
          <w:trHeight w:val="209"/>
        </w:trPr>
        <w:tc>
          <w:tcPr>
            <w:tcW w:w="7160" w:type="dxa"/>
            <w:vAlign w:val="bottom"/>
            <w:gridSpan w:val="3"/>
          </w:tcPr>
          <w:p>
            <w:pPr>
              <w:ind w:left="600"/>
              <w:spacing w:after="0"/>
              <w:rPr>
                <w:sz w:val="20"/>
                <w:szCs w:val="20"/>
                <w:color w:val="auto"/>
              </w:rPr>
            </w:pPr>
            <w:r>
              <w:rPr>
                <w:rFonts w:ascii="Arial" w:cs="Arial" w:eastAsia="Arial" w:hAnsi="Arial"/>
                <w:sz w:val="16"/>
                <w:szCs w:val="16"/>
                <w:color w:val="auto"/>
              </w:rPr>
              <w:t>Total stockholders’ equity</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2,885,447</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2,787,094</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jc w:val="center"/>
              <w:ind w:right="5120"/>
              <w:spacing w:after="0"/>
              <w:rPr>
                <w:sz w:val="20"/>
                <w:szCs w:val="20"/>
                <w:color w:val="auto"/>
              </w:rPr>
            </w:pPr>
            <w:r>
              <w:rPr>
                <w:rFonts w:ascii="Arial" w:cs="Arial" w:eastAsia="Arial" w:hAnsi="Arial"/>
                <w:sz w:val="16"/>
                <w:szCs w:val="16"/>
                <w:color w:val="auto"/>
              </w:rPr>
              <w:t>Non-controlling interest</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97,354</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100,029</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EFFE7"/>
            </w:tcBorders>
            <w:gridSpan w:val="3"/>
          </w:tcPr>
          <w:p>
            <w:pPr>
              <w:jc w:val="center"/>
              <w:ind w:right="5140"/>
              <w:spacing w:after="0"/>
              <w:rPr>
                <w:sz w:val="20"/>
                <w:szCs w:val="20"/>
                <w:color w:val="auto"/>
              </w:rPr>
            </w:pPr>
            <w:r>
              <w:rPr>
                <w:rFonts w:ascii="Arial" w:cs="Arial" w:eastAsia="Arial" w:hAnsi="Arial"/>
                <w:sz w:val="16"/>
                <w:szCs w:val="16"/>
                <w:color w:val="auto"/>
                <w:w w:val="99"/>
              </w:rPr>
              <w:t>Total equity</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2,982,801</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2,887,123</w:t>
            </w:r>
          </w:p>
        </w:tc>
        <w:tc>
          <w:tcPr>
            <w:tcW w:w="0" w:type="dxa"/>
            <w:vAlign w:val="bottom"/>
          </w:tcPr>
          <w:p>
            <w:pPr>
              <w:spacing w:after="0"/>
              <w:rPr>
                <w:sz w:val="1"/>
                <w:szCs w:val="1"/>
                <w:color w:val="auto"/>
              </w:rPr>
            </w:pPr>
          </w:p>
        </w:tc>
      </w:tr>
      <w:tr>
        <w:trPr>
          <w:trHeight w:val="237"/>
        </w:trPr>
        <w:tc>
          <w:tcPr>
            <w:tcW w:w="3380" w:type="dxa"/>
            <w:vAlign w:val="bottom"/>
            <w:shd w:val="clear" w:color="auto" w:fill="CEFFE7"/>
          </w:tcPr>
          <w:p>
            <w:pPr>
              <w:spacing w:after="0"/>
              <w:rPr>
                <w:sz w:val="20"/>
                <w:szCs w:val="20"/>
                <w:color w:val="auto"/>
              </w:rPr>
            </w:pPr>
          </w:p>
        </w:tc>
        <w:tc>
          <w:tcPr>
            <w:tcW w:w="480" w:type="dxa"/>
            <w:vAlign w:val="bottom"/>
            <w:shd w:val="clear" w:color="auto" w:fill="CEFFE7"/>
          </w:tcPr>
          <w:p>
            <w:pPr>
              <w:spacing w:after="0"/>
              <w:rPr>
                <w:sz w:val="20"/>
                <w:szCs w:val="20"/>
                <w:color w:val="auto"/>
              </w:rPr>
            </w:pPr>
          </w:p>
        </w:tc>
        <w:tc>
          <w:tcPr>
            <w:tcW w:w="3300" w:type="dxa"/>
            <w:vAlign w:val="bottom"/>
            <w:shd w:val="clear" w:color="auto" w:fill="CEFFE7"/>
          </w:tcPr>
          <w:p>
            <w:pPr>
              <w:spacing w:after="0"/>
              <w:rPr>
                <w:sz w:val="20"/>
                <w:szCs w:val="20"/>
                <w:color w:val="auto"/>
              </w:rPr>
            </w:pPr>
          </w:p>
        </w:tc>
        <w:tc>
          <w:tcPr>
            <w:tcW w:w="660" w:type="dxa"/>
            <w:vAlign w:val="bottom"/>
            <w:shd w:val="clear" w:color="auto" w:fill="CEFFE7"/>
          </w:tcPr>
          <w:p>
            <w:pPr>
              <w:spacing w:after="0"/>
              <w:rPr>
                <w:sz w:val="20"/>
                <w:szCs w:val="20"/>
                <w:color w:val="auto"/>
              </w:rPr>
            </w:pPr>
          </w:p>
        </w:tc>
        <w:tc>
          <w:tcPr>
            <w:tcW w:w="1380" w:type="dxa"/>
            <w:vAlign w:val="bottom"/>
            <w:shd w:val="clear" w:color="auto" w:fill="CEFFE7"/>
          </w:tcPr>
          <w:p>
            <w:pPr>
              <w:spacing w:after="0"/>
              <w:rPr>
                <w:sz w:val="20"/>
                <w:szCs w:val="20"/>
                <w:color w:val="auto"/>
              </w:rPr>
            </w:pPr>
          </w:p>
        </w:tc>
        <w:tc>
          <w:tcPr>
            <w:tcW w:w="70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gridSpan w:val="3"/>
          </w:tcPr>
          <w:p>
            <w:pPr>
              <w:ind w:left="20"/>
              <w:spacing w:after="0"/>
              <w:rPr>
                <w:sz w:val="20"/>
                <w:szCs w:val="20"/>
                <w:color w:val="auto"/>
              </w:rPr>
            </w:pPr>
            <w:r>
              <w:rPr>
                <w:rFonts w:ascii="Arial" w:cs="Arial" w:eastAsia="Arial" w:hAnsi="Arial"/>
                <w:sz w:val="16"/>
                <w:szCs w:val="16"/>
                <w:color w:val="auto"/>
              </w:rPr>
              <w:t>TOTAL LIABILITIES AND TOTAL EQUITY</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9,134,562</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81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6800" w:type="dxa"/>
            <w:vAlign w:val="bottom"/>
          </w:tcPr>
          <w:p>
            <w:pPr>
              <w:jc w:val="center"/>
              <w:ind w:left="1639"/>
              <w:spacing w:after="0"/>
              <w:rPr>
                <w:sz w:val="20"/>
                <w:szCs w:val="20"/>
                <w:color w:val="auto"/>
              </w:rPr>
            </w:pPr>
            <w:r>
              <w:rPr>
                <w:rFonts w:ascii="Arial" w:cs="Arial" w:eastAsia="Arial" w:hAnsi="Arial"/>
                <w:sz w:val="16"/>
                <w:szCs w:val="16"/>
                <w:b w:val="1"/>
                <w:bCs w:val="1"/>
                <w:color w:val="auto"/>
              </w:rPr>
              <w:t>BLACK HILLS CORPORATION</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6800" w:type="dxa"/>
            <w:vAlign w:val="bottom"/>
          </w:tcPr>
          <w:p>
            <w:pPr>
              <w:jc w:val="center"/>
              <w:ind w:left="163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8"/>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40" w:type="dxa"/>
            <w:vAlign w:val="bottom"/>
          </w:tcPr>
          <w:p>
            <w:pPr>
              <w:spacing w:after="0"/>
              <w:rPr>
                <w:sz w:val="24"/>
                <w:szCs w:val="24"/>
                <w:color w:val="auto"/>
              </w:rPr>
            </w:pPr>
          </w:p>
        </w:tc>
        <w:tc>
          <w:tcPr>
            <w:tcW w:w="2740" w:type="dxa"/>
            <w:vAlign w:val="bottom"/>
            <w:gridSpan w:val="3"/>
          </w:tcPr>
          <w:p>
            <w:pPr>
              <w:jc w:val="right"/>
              <w:ind w:right="459"/>
              <w:spacing w:after="0"/>
              <w:rPr>
                <w:sz w:val="20"/>
                <w:szCs w:val="20"/>
                <w:color w:val="auto"/>
              </w:rPr>
            </w:pPr>
            <w:r>
              <w:rPr>
                <w:rFonts w:ascii="Arial" w:cs="Arial" w:eastAsia="Arial" w:hAnsi="Arial"/>
                <w:sz w:val="16"/>
                <w:szCs w:val="16"/>
                <w:color w:val="auto"/>
              </w:rPr>
              <w:t>Six Months Ended June 30,</w:t>
            </w:r>
          </w:p>
        </w:tc>
      </w:tr>
      <w:tr>
        <w:trPr>
          <w:trHeight w:val="216"/>
        </w:trPr>
        <w:tc>
          <w:tcPr>
            <w:tcW w:w="13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r>
      <w:tr>
        <w:trPr>
          <w:trHeight w:val="211"/>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980" w:type="dxa"/>
            <w:vAlign w:val="bottom"/>
          </w:tcPr>
          <w:p>
            <w:pPr>
              <w:spacing w:after="0"/>
              <w:rPr>
                <w:sz w:val="18"/>
                <w:szCs w:val="18"/>
                <w:color w:val="auto"/>
              </w:rPr>
            </w:pPr>
          </w:p>
        </w:tc>
      </w:tr>
      <w:tr>
        <w:trPr>
          <w:trHeight w:val="217"/>
        </w:trPr>
        <w:tc>
          <w:tcPr>
            <w:tcW w:w="8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156,870</w:t>
            </w:r>
          </w:p>
        </w:tc>
        <w:tc>
          <w:tcPr>
            <w:tcW w:w="56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128,774</w:t>
            </w:r>
          </w:p>
        </w:tc>
      </w:tr>
      <w:tr>
        <w:trPr>
          <w:trHeight w:val="215"/>
        </w:trPr>
        <w:tc>
          <w:tcPr>
            <w:tcW w:w="8160" w:type="dxa"/>
            <w:vAlign w:val="bottom"/>
            <w:gridSpan w:val="2"/>
          </w:tcPr>
          <w:p>
            <w:pPr>
              <w:ind w:left="10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16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124,591</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115,712</w:t>
            </w:r>
          </w:p>
        </w:tc>
      </w:tr>
      <w:tr>
        <w:trPr>
          <w:trHeight w:val="215"/>
        </w:trPr>
        <w:tc>
          <w:tcPr>
            <w:tcW w:w="8160" w:type="dxa"/>
            <w:vAlign w:val="bottom"/>
            <w:gridSpan w:val="2"/>
          </w:tcPr>
          <w:p>
            <w:pPr>
              <w:ind w:left="360"/>
              <w:spacing w:after="0"/>
              <w:rPr>
                <w:sz w:val="20"/>
                <w:szCs w:val="20"/>
                <w:color w:val="auto"/>
              </w:rPr>
            </w:pPr>
            <w:r>
              <w:rPr>
                <w:rFonts w:ascii="Arial" w:cs="Arial" w:eastAsia="Arial" w:hAnsi="Arial"/>
                <w:sz w:val="16"/>
                <w:szCs w:val="16"/>
                <w:color w:val="auto"/>
              </w:rPr>
              <w:t>Deferred financing cost 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4,953</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4,381</w:t>
            </w:r>
          </w:p>
        </w:tc>
      </w:tr>
      <w:tr>
        <w:trPr>
          <w:trHeight w:val="217"/>
        </w:trPr>
        <w:tc>
          <w:tcPr>
            <w:tcW w:w="816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Stock compensation</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3,834</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5,044</w:t>
            </w:r>
          </w:p>
        </w:tc>
      </w:tr>
      <w:tr>
        <w:trPr>
          <w:trHeight w:val="215"/>
        </w:trPr>
        <w:tc>
          <w:tcPr>
            <w:tcW w:w="8160" w:type="dxa"/>
            <w:vAlign w:val="bottom"/>
            <w:gridSpan w:val="2"/>
          </w:tcPr>
          <w:p>
            <w:pPr>
              <w:ind w:left="36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13,860</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692</w:t>
            </w:r>
          </w:p>
        </w:tc>
      </w:tr>
      <w:tr>
        <w:trPr>
          <w:trHeight w:val="217"/>
        </w:trPr>
        <w:tc>
          <w:tcPr>
            <w:tcW w:w="816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Employee benefit plans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1,383</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4,934</w:t>
            </w:r>
          </w:p>
        </w:tc>
      </w:tr>
      <w:tr>
        <w:trPr>
          <w:trHeight w:val="215"/>
        </w:trPr>
        <w:tc>
          <w:tcPr>
            <w:tcW w:w="8160" w:type="dxa"/>
            <w:vAlign w:val="bottom"/>
            <w:gridSpan w:val="2"/>
          </w:tcPr>
          <w:p>
            <w:pPr>
              <w:ind w:left="360"/>
              <w:spacing w:after="0"/>
              <w:rPr>
                <w:sz w:val="20"/>
                <w:szCs w:val="20"/>
                <w:color w:val="auto"/>
              </w:rPr>
            </w:pPr>
            <w:r>
              <w:rPr>
                <w:rFonts w:ascii="Arial" w:cs="Arial" w:eastAsia="Arial" w:hAnsi="Arial"/>
                <w:sz w:val="16"/>
                <w:szCs w:val="16"/>
                <w:color w:val="auto"/>
              </w:rPr>
              <w:t>Other adjustments,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(9,489)</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10,495</w:t>
            </w:r>
          </w:p>
        </w:tc>
      </w:tr>
      <w:tr>
        <w:trPr>
          <w:trHeight w:val="217"/>
        </w:trPr>
        <w:tc>
          <w:tcPr>
            <w:tcW w:w="8160" w:type="dxa"/>
            <w:vAlign w:val="bottom"/>
            <w:gridSpan w:val="2"/>
            <w:shd w:val="clear" w:color="auto" w:fill="CEFFE7"/>
          </w:tcPr>
          <w:p>
            <w:pPr>
              <w:ind w:left="100"/>
              <w:spacing w:after="0"/>
              <w:rPr>
                <w:sz w:val="20"/>
                <w:szCs w:val="20"/>
                <w:color w:val="auto"/>
              </w:rPr>
            </w:pPr>
            <w:r>
              <w:rPr>
                <w:rFonts w:ascii="Arial" w:cs="Arial" w:eastAsia="Arial" w:hAnsi="Arial"/>
                <w:sz w:val="16"/>
                <w:szCs w:val="16"/>
                <w:color w:val="auto"/>
              </w:rPr>
              <w:t>Changes in certain operating assets and liabilities: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r>
      <w:tr>
        <w:trPr>
          <w:trHeight w:val="215"/>
        </w:trPr>
        <w:tc>
          <w:tcPr>
            <w:tcW w:w="8160" w:type="dxa"/>
            <w:vAlign w:val="bottom"/>
            <w:gridSpan w:val="2"/>
          </w:tcPr>
          <w:p>
            <w:pPr>
              <w:ind w:left="360"/>
              <w:spacing w:after="0"/>
              <w:rPr>
                <w:sz w:val="20"/>
                <w:szCs w:val="20"/>
                <w:color w:val="auto"/>
              </w:rPr>
            </w:pPr>
            <w:r>
              <w:rPr>
                <w:rFonts w:ascii="Arial" w:cs="Arial" w:eastAsia="Arial" w:hAnsi="Arial"/>
                <w:sz w:val="16"/>
                <w:szCs w:val="16"/>
                <w:color w:val="auto"/>
              </w:rPr>
              <w:t>Materials, supplies and fuel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(6,993)</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3,974</w:t>
            </w:r>
          </w:p>
        </w:tc>
      </w:tr>
      <w:tr>
        <w:trPr>
          <w:trHeight w:val="217"/>
        </w:trPr>
        <w:tc>
          <w:tcPr>
            <w:tcW w:w="816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Accounts receivable and other current assets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55,641</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88,513</w:t>
            </w:r>
          </w:p>
        </w:tc>
      </w:tr>
      <w:tr>
        <w:trPr>
          <w:trHeight w:val="215"/>
        </w:trPr>
        <w:tc>
          <w:tcPr>
            <w:tcW w:w="8160" w:type="dxa"/>
            <w:vAlign w:val="bottom"/>
            <w:gridSpan w:val="2"/>
          </w:tcPr>
          <w:p>
            <w:pPr>
              <w:ind w:left="360"/>
              <w:spacing w:after="0"/>
              <w:rPr>
                <w:sz w:val="20"/>
                <w:szCs w:val="20"/>
                <w:color w:val="auto"/>
              </w:rPr>
            </w:pPr>
            <w:r>
              <w:rPr>
                <w:rFonts w:ascii="Arial" w:cs="Arial" w:eastAsia="Arial" w:hAnsi="Arial"/>
                <w:sz w:val="16"/>
                <w:szCs w:val="16"/>
                <w:color w:val="auto"/>
              </w:rPr>
              <w:t>Accounts payable and other current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(24,130)</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(59,640)</w:t>
            </w:r>
          </w:p>
        </w:tc>
      </w:tr>
      <w:tr>
        <w:trPr>
          <w:trHeight w:val="217"/>
        </w:trPr>
        <w:tc>
          <w:tcPr>
            <w:tcW w:w="816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Regulatory assets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128,315</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(540,709)</w:t>
            </w:r>
          </w:p>
        </w:tc>
      </w:tr>
      <w:tr>
        <w:trPr>
          <w:trHeight w:val="215"/>
        </w:trPr>
        <w:tc>
          <w:tcPr>
            <w:tcW w:w="8160" w:type="dxa"/>
            <w:vAlign w:val="bottom"/>
            <w:gridSpan w:val="2"/>
          </w:tcPr>
          <w:p>
            <w:pPr>
              <w:ind w:left="36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(9,509)</w:t>
            </w:r>
          </w:p>
        </w:tc>
      </w:tr>
      <w:tr>
        <w:trPr>
          <w:trHeight w:val="217"/>
        </w:trPr>
        <w:tc>
          <w:tcPr>
            <w:tcW w:w="816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Other operating activities, net</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(6,805)</w:t>
            </w:r>
          </w:p>
        </w:tc>
        <w:tc>
          <w:tcPr>
            <w:tcW w:w="5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(2,834)</w:t>
            </w:r>
          </w:p>
        </w:tc>
      </w:tr>
      <w:tr>
        <w:trPr>
          <w:trHeight w:val="209"/>
        </w:trPr>
        <w:tc>
          <w:tcPr>
            <w:tcW w:w="81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442,030</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(250,173)</w:t>
            </w:r>
          </w:p>
        </w:tc>
      </w:tr>
      <w:tr>
        <w:trPr>
          <w:trHeight w:val="197"/>
        </w:trPr>
        <w:tc>
          <w:tcPr>
            <w:tcW w:w="1360" w:type="dxa"/>
            <w:vAlign w:val="bottom"/>
            <w:shd w:val="clear" w:color="auto" w:fill="CEFFE7"/>
          </w:tcPr>
          <w:p>
            <w:pPr>
              <w:spacing w:after="0"/>
              <w:rPr>
                <w:sz w:val="17"/>
                <w:szCs w:val="17"/>
                <w:color w:val="auto"/>
              </w:rPr>
            </w:pPr>
          </w:p>
        </w:tc>
        <w:tc>
          <w:tcPr>
            <w:tcW w:w="680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r>
      <w:tr>
        <w:trPr>
          <w:trHeight w:val="215"/>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16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Property, plant and equipment additions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(293,803)</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(319,476)</w:t>
            </w:r>
          </w:p>
        </w:tc>
      </w:tr>
      <w:tr>
        <w:trPr>
          <w:trHeight w:val="215"/>
        </w:trPr>
        <w:tc>
          <w:tcPr>
            <w:tcW w:w="816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9,739</w:t>
            </w:r>
          </w:p>
        </w:tc>
      </w:tr>
      <w:tr>
        <w:trPr>
          <w:trHeight w:val="210"/>
        </w:trPr>
        <w:tc>
          <w:tcPr>
            <w:tcW w:w="8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(291,385)</w:t>
            </w:r>
          </w:p>
        </w:tc>
        <w:tc>
          <w:tcPr>
            <w:tcW w:w="5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(309,737)</w:t>
            </w:r>
          </w:p>
        </w:tc>
      </w:tr>
      <w:tr>
        <w:trPr>
          <w:trHeight w:val="197"/>
        </w:trPr>
        <w:tc>
          <w:tcPr>
            <w:tcW w:w="13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Dividends paid on common stock</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(77,136)</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(71,092)</w:t>
            </w:r>
          </w:p>
        </w:tc>
      </w:tr>
      <w:tr>
        <w:trPr>
          <w:trHeight w:val="217"/>
        </w:trPr>
        <w:tc>
          <w:tcPr>
            <w:tcW w:w="81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Common stock issued</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20,095</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40,037</w:t>
            </w: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Term loan - borrowings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800,000</w:t>
            </w:r>
          </w:p>
        </w:tc>
      </w:tr>
      <w:tr>
        <w:trPr>
          <w:trHeight w:val="217"/>
        </w:trPr>
        <w:tc>
          <w:tcPr>
            <w:tcW w:w="81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Term loan - repayments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(200,000)</w:t>
            </w: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(85,130)</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(4,190)</w:t>
            </w:r>
          </w:p>
        </w:tc>
      </w:tr>
      <w:tr>
        <w:trPr>
          <w:trHeight w:val="217"/>
        </w:trPr>
        <w:tc>
          <w:tcPr>
            <w:tcW w:w="81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Long-term debt - repayments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(1,436)</w:t>
            </w: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Distributions to non-controlling interest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(8,604)</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(8,705)</w:t>
            </w:r>
          </w:p>
        </w:tc>
      </w:tr>
      <w:tr>
        <w:trPr>
          <w:trHeight w:val="217"/>
        </w:trPr>
        <w:tc>
          <w:tcPr>
            <w:tcW w:w="81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Other financing activities</w:t>
            </w:r>
          </w:p>
        </w:tc>
        <w:tc>
          <w:tcPr>
            <w:tcW w:w="34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1,682</w:t>
            </w:r>
          </w:p>
        </w:tc>
        <w:tc>
          <w:tcPr>
            <w:tcW w:w="5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291</w:t>
            </w:r>
          </w:p>
        </w:tc>
      </w:tr>
      <w:tr>
        <w:trPr>
          <w:trHeight w:val="209"/>
        </w:trPr>
        <w:tc>
          <w:tcPr>
            <w:tcW w:w="81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(149,093)</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554,905</w:t>
            </w:r>
          </w:p>
        </w:tc>
      </w:tr>
      <w:tr>
        <w:trPr>
          <w:trHeight w:val="197"/>
        </w:trPr>
        <w:tc>
          <w:tcPr>
            <w:tcW w:w="1360" w:type="dxa"/>
            <w:vAlign w:val="bottom"/>
            <w:shd w:val="clear" w:color="auto" w:fill="CEFFE7"/>
          </w:tcPr>
          <w:p>
            <w:pPr>
              <w:spacing w:after="0"/>
              <w:rPr>
                <w:sz w:val="17"/>
                <w:szCs w:val="17"/>
                <w:color w:val="auto"/>
              </w:rPr>
            </w:pPr>
          </w:p>
        </w:tc>
        <w:tc>
          <w:tcPr>
            <w:tcW w:w="680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980" w:type="dxa"/>
            <w:vAlign w:val="bottom"/>
            <w:shd w:val="clear" w:color="auto" w:fill="CEFFE7"/>
          </w:tcPr>
          <w:p>
            <w:pPr>
              <w:spacing w:after="0"/>
              <w:rPr>
                <w:sz w:val="17"/>
                <w:szCs w:val="17"/>
                <w:color w:val="auto"/>
              </w:rPr>
            </w:pP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Net change in cash, restricted cash and cash equivalents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1,552</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(5,005)</w:t>
            </w:r>
          </w:p>
        </w:tc>
      </w:tr>
      <w:tr>
        <w:trPr>
          <w:trHeight w:val="217"/>
        </w:trPr>
        <w:tc>
          <w:tcPr>
            <w:tcW w:w="8160" w:type="dxa"/>
            <w:vAlign w:val="bottom"/>
            <w:gridSpan w:val="2"/>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r>
      <w:tr>
        <w:trPr>
          <w:trHeight w:val="215"/>
        </w:trPr>
        <w:tc>
          <w:tcPr>
            <w:tcW w:w="81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Cash, restricted cash and cash equivalents at beginning of period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13,810</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10,739</w:t>
            </w:r>
          </w:p>
        </w:tc>
      </w:tr>
      <w:tr>
        <w:trPr>
          <w:trHeight w:val="235"/>
        </w:trPr>
        <w:tc>
          <w:tcPr>
            <w:tcW w:w="81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Cash, restricted cash and cash equivalents at end of period</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15,362</w:t>
            </w:r>
          </w:p>
        </w:tc>
        <w:tc>
          <w:tcPr>
            <w:tcW w:w="560" w:type="dxa"/>
            <w:vAlign w:val="bottom"/>
            <w:tcBorders>
              <w:bottom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5,734</w:t>
            </w:r>
          </w:p>
        </w:tc>
      </w:tr>
      <w:tr>
        <w:trPr>
          <w:trHeight w:val="20"/>
        </w:trPr>
        <w:tc>
          <w:tcPr>
            <w:tcW w:w="8160" w:type="dxa"/>
            <w:vAlign w:val="bottom"/>
            <w:tcBorders>
              <w:top w:val="single" w:sz="8" w:color="CEFFE7"/>
            </w:tcBorders>
            <w:gridSpan w:val="2"/>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r>
      <w:tr>
        <w:trPr>
          <w:trHeight w:val="163"/>
        </w:trPr>
        <w:tc>
          <w:tcPr>
            <w:tcW w:w="13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8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r>
      <w:tr>
        <w:trPr>
          <w:trHeight w:val="215"/>
        </w:trPr>
        <w:tc>
          <w:tcPr>
            <w:tcW w:w="8160" w:type="dxa"/>
            <w:vAlign w:val="bottom"/>
            <w:gridSpan w:val="2"/>
          </w:tcPr>
          <w:p>
            <w:pPr>
              <w:ind w:left="140"/>
              <w:spacing w:after="0"/>
              <w:rPr>
                <w:sz w:val="20"/>
                <w:szCs w:val="20"/>
                <w:color w:val="auto"/>
              </w:rPr>
            </w:pPr>
            <w:r>
              <w:rPr>
                <w:rFonts w:ascii="Arial" w:cs="Arial" w:eastAsia="Arial" w:hAnsi="Arial"/>
                <w:sz w:val="16"/>
                <w:szCs w:val="16"/>
                <w:color w:val="auto"/>
              </w:rPr>
              <w:t>Cash (paid) refunded during the period: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16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Interest, net of amounts capitalized</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(72,791)</w:t>
            </w:r>
          </w:p>
        </w:tc>
        <w:tc>
          <w:tcPr>
            <w:tcW w:w="56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(71,825)</w:t>
            </w: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1,486</w:t>
            </w:r>
          </w:p>
        </w:tc>
      </w:tr>
      <w:tr>
        <w:trPr>
          <w:trHeight w:val="217"/>
        </w:trPr>
        <w:tc>
          <w:tcPr>
            <w:tcW w:w="816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5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r>
      <w:tr>
        <w:trPr>
          <w:trHeight w:val="215"/>
        </w:trPr>
        <w:tc>
          <w:tcPr>
            <w:tcW w:w="8160" w:type="dxa"/>
            <w:vAlign w:val="bottom"/>
            <w:gridSpan w:val="2"/>
          </w:tcPr>
          <w:p>
            <w:pPr>
              <w:ind w:left="220"/>
              <w:spacing w:after="0"/>
              <w:rPr>
                <w:sz w:val="20"/>
                <w:szCs w:val="20"/>
                <w:color w:val="auto"/>
              </w:rPr>
            </w:pPr>
            <w:r>
              <w:rPr>
                <w:rFonts w:ascii="Arial" w:cs="Arial" w:eastAsia="Arial" w:hAnsi="Arial"/>
                <w:sz w:val="16"/>
                <w:szCs w:val="16"/>
                <w:color w:val="auto"/>
              </w:rPr>
              <w:t>Accrued property, plant and equipment purchases at June 30</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49,229</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54,448</w:t>
            </w: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right"/>
              <w:spacing w:after="0" w:line="117" w:lineRule="exact"/>
              <w:rPr>
                <w:sz w:val="20"/>
                <w:szCs w:val="20"/>
                <w:color w:val="auto"/>
              </w:rPr>
            </w:pPr>
            <w:r>
              <w:rPr>
                <w:rFonts w:ascii="Arial" w:cs="Arial" w:eastAsia="Arial" w:hAnsi="Arial"/>
                <w:sz w:val="13"/>
                <w:szCs w:val="13"/>
                <w:color w:val="auto"/>
                <w:w w:val="96"/>
              </w:rPr>
              <w:t>Additional Paid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17"/>
              <w:spacing w:after="0" w:line="117" w:lineRule="exact"/>
              <w:rPr>
                <w:sz w:val="20"/>
                <w:szCs w:val="20"/>
                <w:color w:val="auto"/>
              </w:rPr>
            </w:pPr>
            <w:r>
              <w:rPr>
                <w:rFonts w:ascii="Arial" w:cs="Arial" w:eastAsia="Arial" w:hAnsi="Arial"/>
                <w:sz w:val="13"/>
                <w:szCs w:val="13"/>
                <w:color w:val="auto"/>
                <w:w w:val="92"/>
              </w:rPr>
              <w:t>Retained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3"/>
          </w:tcPr>
          <w:p>
            <w:pPr>
              <w:jc w:val="right"/>
              <w:spacing w:after="0" w:line="117" w:lineRule="exact"/>
              <w:rPr>
                <w:sz w:val="20"/>
                <w:szCs w:val="20"/>
                <w:color w:val="auto"/>
              </w:rPr>
            </w:pPr>
            <w:r>
              <w:rPr>
                <w:rFonts w:ascii="Arial" w:cs="Arial" w:eastAsia="Arial" w:hAnsi="Arial"/>
                <w:sz w:val="13"/>
                <w:szCs w:val="13"/>
                <w:color w:val="auto"/>
              </w:rPr>
              <w:t>Non-controlling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Borders>
              <w:bottom w:val="single" w:sz="8" w:color="CEFFE7"/>
            </w:tcBorders>
            <w:gridSpan w:val="2"/>
          </w:tcPr>
          <w:p>
            <w:pPr>
              <w:ind w:left="20"/>
              <w:spacing w:after="0"/>
              <w:rPr>
                <w:sz w:val="20"/>
                <w:szCs w:val="20"/>
                <w:color w:val="auto"/>
              </w:rPr>
            </w:pPr>
            <w:r>
              <w:rPr>
                <w:rFonts w:ascii="Arial" w:cs="Arial" w:eastAsia="Arial" w:hAnsi="Arial"/>
                <w:sz w:val="13"/>
                <w:szCs w:val="13"/>
                <w:color w:val="auto"/>
              </w:rPr>
              <w:t>(in thousands except share amounts)</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Shares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Value</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Value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3"/>
                <w:szCs w:val="13"/>
                <w:color w:val="auto"/>
              </w:rPr>
              <w:t>in Capital</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93"/>
              </w:rPr>
              <w:t>Earnings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AOCI</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3"/>
                <w:szCs w:val="13"/>
                <w:color w:val="auto"/>
              </w:rPr>
              <w:t>Interest</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6"/>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b w:val="1"/>
                <w:bCs w:val="1"/>
                <w:color w:val="auto"/>
              </w:rPr>
              <w:t>December 31, 2021</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64,793,095</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64,793</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54,078</w:t>
            </w:r>
          </w:p>
        </w:tc>
        <w:tc>
          <w:tcPr>
            <w:tcW w:w="180" w:type="dxa"/>
            <w:vAlign w:val="bottom"/>
            <w:shd w:val="clear" w:color="auto" w:fill="CEFFE7"/>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(3,509)</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1,783,436</w:t>
            </w:r>
          </w:p>
        </w:tc>
        <w:tc>
          <w:tcPr>
            <w:tcW w:w="10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962,458</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(20,084)</w:t>
            </w: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100,029</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2,887,123</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117,526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121,024</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 ($0.595 per share)</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(38,533)</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(34,393)</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2,222</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55,707</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3,832</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EFFE7"/>
            </w:tcBorders>
            <w:gridSpan w:val="2"/>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(4,420)</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3"/>
                <w:szCs w:val="13"/>
                <w:b w:val="1"/>
                <w:bCs w:val="1"/>
                <w:color w:val="auto"/>
              </w:rPr>
              <w:t>March 31, 2022</w:t>
            </w:r>
          </w:p>
        </w:tc>
        <w:tc>
          <w:tcPr>
            <w:tcW w:w="9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64,849,227</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64,849</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19,685</w:t>
            </w:r>
          </w:p>
        </w:tc>
        <w:tc>
          <w:tcPr>
            <w:tcW w:w="180" w:type="dxa"/>
            <w:vAlign w:val="bottom"/>
            <w:tcBorders>
              <w:bottom w:val="single" w:sz="8" w:color="auto"/>
            </w:tcBorders>
            <w:shd w:val="clear" w:color="auto" w:fill="CEFFE7"/>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(1,287)</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EFFE7"/>
          </w:tcPr>
          <w:p>
            <w:pPr>
              <w:spacing w:after="0"/>
              <w:rPr>
                <w:sz w:val="16"/>
                <w:szCs w:val="16"/>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1,786,980</w:t>
            </w:r>
          </w:p>
        </w:tc>
        <w:tc>
          <w:tcPr>
            <w:tcW w:w="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shd w:val="clear" w:color="auto" w:fill="CEFFE7"/>
          </w:tcPr>
          <w:p>
            <w:pPr>
              <w:spacing w:after="0"/>
              <w:rPr>
                <w:sz w:val="16"/>
                <w:szCs w:val="16"/>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1,041,451</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EFFE7"/>
          </w:tcPr>
          <w:p>
            <w:pPr>
              <w:spacing w:after="0"/>
              <w:rPr>
                <w:sz w:val="16"/>
                <w:szCs w:val="16"/>
                <w:color w:val="auto"/>
              </w:rPr>
            </w:pPr>
          </w:p>
        </w:tc>
        <w:tc>
          <w:tcPr>
            <w:tcW w:w="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(20,078)</w:t>
            </w:r>
          </w:p>
        </w:tc>
        <w:tc>
          <w:tcPr>
            <w:tcW w:w="20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6"/>
                <w:szCs w:val="16"/>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99,107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6"/>
                <w:szCs w:val="16"/>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2,971,022</w:t>
            </w:r>
          </w:p>
        </w:tc>
        <w:tc>
          <w:tcPr>
            <w:tcW w:w="0" w:type="dxa"/>
            <w:vAlign w:val="bottom"/>
          </w:tcPr>
          <w:p>
            <w:pPr>
              <w:spacing w:after="0"/>
              <w:rPr>
                <w:sz w:val="1"/>
                <w:szCs w:val="1"/>
                <w:color w:val="auto"/>
              </w:rPr>
            </w:pPr>
          </w:p>
        </w:tc>
      </w:tr>
      <w:tr>
        <w:trPr>
          <w:trHeight w:val="20"/>
        </w:trPr>
        <w:tc>
          <w:tcPr>
            <w:tcW w:w="3360" w:type="dxa"/>
            <w:vAlign w:val="bottom"/>
            <w:tcBorders>
              <w:top w:val="single" w:sz="8" w:color="CEFFE7"/>
              <w:bottom w:val="single" w:sz="8" w:color="CEFFE7"/>
            </w:tcBorders>
            <w:gridSpan w:val="2"/>
            <w:vMerge w:val="restart"/>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tcBorders>
              <w:top w:val="single" w:sz="8" w:color="CEFFE7"/>
              <w:bottom w:val="single" w:sz="8" w:color="auto"/>
            </w:tcBorders>
            <w:gridSpan w:val="2"/>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8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60" w:type="dxa"/>
            <w:vAlign w:val="bottom"/>
            <w:gridSpan w:val="2"/>
            <w:vMerge w:val="continue"/>
          </w:tcPr>
          <w:p>
            <w:pPr>
              <w:spacing w:after="0"/>
              <w:rPr>
                <w:sz w:val="12"/>
                <w:szCs w:val="12"/>
                <w:color w:val="auto"/>
              </w:rPr>
            </w:pPr>
          </w:p>
        </w:tc>
        <w:tc>
          <w:tcPr>
            <w:tcW w:w="9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Pr>
          <w:p>
            <w:pPr>
              <w:jc w:val="right"/>
              <w:ind w:right="57"/>
              <w:spacing w:after="0" w:line="14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20" w:type="dxa"/>
            <w:vAlign w:val="bottom"/>
          </w:tcPr>
          <w:p>
            <w:pPr>
              <w:jc w:val="right"/>
              <w:ind w:right="17"/>
              <w:spacing w:after="0" w:line="14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33,415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3"/>
                <w:szCs w:val="13"/>
                <w:color w:val="auto"/>
              </w:rPr>
              <w:t>2,431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35,846</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Other comprehensive (loss), net of tax</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(2,738)</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(2,738)</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 ($0.595 per share)</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(38,603)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(38,603)</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39,066</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39</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4,006</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5,370</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5,154</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216,885</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217</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16,353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16,570</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EFFE7"/>
            </w:tcBorders>
            <w:gridSpan w:val="2"/>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(4,184)</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(4,184)</w:t>
            </w:r>
          </w:p>
        </w:tc>
        <w:tc>
          <w:tcPr>
            <w:tcW w:w="0" w:type="dxa"/>
            <w:vAlign w:val="bottom"/>
          </w:tcPr>
          <w:p>
            <w:pPr>
              <w:spacing w:after="0"/>
              <w:rPr>
                <w:sz w:val="1"/>
                <w:szCs w:val="1"/>
                <w:color w:val="auto"/>
              </w:rPr>
            </w:pPr>
          </w:p>
        </w:tc>
      </w:tr>
      <w:tr>
        <w:trPr>
          <w:trHeight w:val="172"/>
        </w:trPr>
        <w:tc>
          <w:tcPr>
            <w:tcW w:w="3360" w:type="dxa"/>
            <w:vAlign w:val="bottom"/>
            <w:tcBorders>
              <w:bottom w:val="single" w:sz="8" w:color="CEFFE7"/>
            </w:tcBorders>
            <w:gridSpan w:val="2"/>
            <w:shd w:val="clear" w:color="auto" w:fill="CEFFE7"/>
          </w:tcPr>
          <w:p>
            <w:pPr>
              <w:ind w:left="20"/>
              <w:spacing w:after="0" w:line="147" w:lineRule="exact"/>
              <w:rPr>
                <w:sz w:val="20"/>
                <w:szCs w:val="20"/>
                <w:color w:val="auto"/>
              </w:rPr>
            </w:pPr>
            <w:r>
              <w:rPr>
                <w:rFonts w:ascii="Arial" w:cs="Arial" w:eastAsia="Arial" w:hAnsi="Arial"/>
                <w:sz w:val="13"/>
                <w:szCs w:val="13"/>
                <w:b w:val="1"/>
                <w:bCs w:val="1"/>
                <w:color w:val="auto"/>
              </w:rPr>
              <w:t>June 30, 2022</w:t>
            </w:r>
          </w:p>
        </w:tc>
        <w:tc>
          <w:tcPr>
            <w:tcW w:w="980" w:type="dxa"/>
            <w:vAlign w:val="bottom"/>
            <w:tcBorders>
              <w:bottom w:val="single" w:sz="8" w:color="auto"/>
            </w:tcBorders>
            <w:gridSpan w:val="2"/>
            <w:shd w:val="clear" w:color="auto" w:fill="CEFFE7"/>
          </w:tcPr>
          <w:p>
            <w:pPr>
              <w:jc w:val="right"/>
              <w:spacing w:after="0" w:line="147" w:lineRule="exact"/>
              <w:rPr>
                <w:sz w:val="20"/>
                <w:szCs w:val="20"/>
                <w:color w:val="auto"/>
              </w:rPr>
            </w:pPr>
            <w:r>
              <w:rPr>
                <w:rFonts w:ascii="Arial" w:cs="Arial" w:eastAsia="Arial" w:hAnsi="Arial"/>
                <w:sz w:val="13"/>
                <w:szCs w:val="13"/>
                <w:color w:val="auto"/>
              </w:rPr>
              <w:t>65,105,178</w:t>
            </w:r>
          </w:p>
        </w:tc>
        <w:tc>
          <w:tcPr>
            <w:tcW w:w="1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EFFE7"/>
          </w:tcPr>
          <w:p>
            <w:pPr>
              <w:jc w:val="right"/>
              <w:ind w:right="57"/>
              <w:spacing w:after="0" w:line="147" w:lineRule="exact"/>
              <w:rPr>
                <w:sz w:val="20"/>
                <w:szCs w:val="20"/>
                <w:color w:val="auto"/>
              </w:rPr>
            </w:pPr>
            <w:r>
              <w:rPr>
                <w:rFonts w:ascii="Arial" w:cs="Arial" w:eastAsia="Arial" w:hAnsi="Arial"/>
                <w:sz w:val="13"/>
                <w:szCs w:val="13"/>
                <w:color w:val="auto"/>
              </w:rPr>
              <w:t>65,105</w:t>
            </w:r>
          </w:p>
        </w:tc>
        <w:tc>
          <w:tcPr>
            <w:tcW w:w="74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23,691</w:t>
            </w:r>
          </w:p>
        </w:tc>
        <w:tc>
          <w:tcPr>
            <w:tcW w:w="180" w:type="dxa"/>
            <w:vAlign w:val="bottom"/>
            <w:tcBorders>
              <w:bottom w:val="single" w:sz="8" w:color="auto"/>
            </w:tcBorders>
            <w:shd w:val="clear" w:color="auto" w:fill="CEFFE7"/>
          </w:tcPr>
          <w:p>
            <w:pPr>
              <w:jc w:val="center"/>
              <w:ind w:right="17"/>
              <w:spacing w:after="0" w:line="147"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(1,542)</w:t>
            </w:r>
          </w:p>
        </w:tc>
        <w:tc>
          <w:tcPr>
            <w:tcW w:w="1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EFFE7"/>
          </w:tcPr>
          <w:p>
            <w:pPr>
              <w:spacing w:after="0"/>
              <w:rPr>
                <w:sz w:val="14"/>
                <w:szCs w:val="14"/>
                <w:color w:val="auto"/>
              </w:rPr>
            </w:pPr>
          </w:p>
        </w:tc>
        <w:tc>
          <w:tcPr>
            <w:tcW w:w="66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1,808,437</w:t>
            </w:r>
          </w:p>
        </w:tc>
        <w:tc>
          <w:tcPr>
            <w:tcW w:w="10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shd w:val="clear" w:color="auto" w:fill="CEFFE7"/>
          </w:tcPr>
          <w:p>
            <w:pPr>
              <w:spacing w:after="0"/>
              <w:rPr>
                <w:sz w:val="14"/>
                <w:szCs w:val="14"/>
                <w:color w:val="auto"/>
              </w:rPr>
            </w:pPr>
          </w:p>
        </w:tc>
        <w:tc>
          <w:tcPr>
            <w:tcW w:w="68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1,036,263</w:t>
            </w:r>
          </w:p>
        </w:tc>
        <w:tc>
          <w:tcPr>
            <w:tcW w:w="1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EFFE7"/>
          </w:tcPr>
          <w:p>
            <w:pPr>
              <w:spacing w:after="0"/>
              <w:rPr>
                <w:sz w:val="14"/>
                <w:szCs w:val="14"/>
                <w:color w:val="auto"/>
              </w:rPr>
            </w:pPr>
          </w:p>
        </w:tc>
        <w:tc>
          <w:tcPr>
            <w:tcW w:w="56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(22,816)</w:t>
            </w:r>
          </w:p>
        </w:tc>
        <w:tc>
          <w:tcPr>
            <w:tcW w:w="200" w:type="dxa"/>
            <w:vAlign w:val="bottom"/>
            <w:tcBorders>
              <w:bottom w:val="single" w:sz="8" w:color="auto"/>
            </w:tcBorders>
            <w:shd w:val="clear" w:color="auto" w:fill="CEFFE7"/>
          </w:tcPr>
          <w:p>
            <w:pPr>
              <w:jc w:val="center"/>
              <w:spacing w:after="0" w:line="147"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4"/>
                <w:szCs w:val="14"/>
                <w:color w:val="auto"/>
              </w:rPr>
            </w:pPr>
          </w:p>
        </w:tc>
        <w:tc>
          <w:tcPr>
            <w:tcW w:w="6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97,354</w:t>
            </w:r>
          </w:p>
        </w:tc>
        <w:tc>
          <w:tcPr>
            <w:tcW w:w="14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4"/>
                <w:szCs w:val="14"/>
                <w:color w:val="auto"/>
              </w:rPr>
            </w:pPr>
          </w:p>
        </w:tc>
        <w:tc>
          <w:tcPr>
            <w:tcW w:w="7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2,982,801</w:t>
            </w:r>
          </w:p>
        </w:tc>
        <w:tc>
          <w:tcPr>
            <w:tcW w:w="0" w:type="dxa"/>
            <w:vAlign w:val="bottom"/>
          </w:tcPr>
          <w:p>
            <w:pPr>
              <w:spacing w:after="0"/>
              <w:rPr>
                <w:sz w:val="1"/>
                <w:szCs w:val="1"/>
                <w:color w:val="auto"/>
              </w:rPr>
            </w:pPr>
          </w:p>
        </w:tc>
      </w:tr>
      <w:tr>
        <w:trPr>
          <w:trHeight w:val="20"/>
        </w:trPr>
        <w:tc>
          <w:tcPr>
            <w:tcW w:w="33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840" w:type="dxa"/>
            <w:vAlign w:val="bottom"/>
            <w:tcBorders>
              <w:top w:val="single" w:sz="8" w:color="CEFFE7"/>
              <w:bottom w:val="single" w:sz="8" w:color="auto"/>
            </w:tcBorders>
            <w:gridSpan w:val="4"/>
          </w:tcPr>
          <w:p>
            <w:pPr>
              <w:spacing w:after="0" w:line="20" w:lineRule="exact"/>
              <w:rPr>
                <w:sz w:val="1"/>
                <w:szCs w:val="1"/>
                <w:color w:val="auto"/>
              </w:rPr>
            </w:pPr>
          </w:p>
        </w:tc>
        <w:tc>
          <w:tcPr>
            <w:tcW w:w="1540" w:type="dxa"/>
            <w:vAlign w:val="bottom"/>
            <w:tcBorders>
              <w:top w:val="single" w:sz="8" w:color="CEFFE7"/>
              <w:bottom w:val="single" w:sz="8" w:color="auto"/>
            </w:tcBorders>
            <w:gridSpan w:val="3"/>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8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(unaudited)</w:t>
            </w:r>
          </w:p>
        </w:tc>
        <w:tc>
          <w:tcPr>
            <w:tcW w:w="1840" w:type="dxa"/>
            <w:vAlign w:val="bottom"/>
            <w:gridSpan w:val="4"/>
          </w:tcPr>
          <w:p>
            <w:pPr>
              <w:jc w:val="right"/>
              <w:ind w:right="477"/>
              <w:spacing w:after="0"/>
              <w:rPr>
                <w:sz w:val="20"/>
                <w:szCs w:val="20"/>
                <w:color w:val="auto"/>
              </w:rPr>
            </w:pPr>
            <w:r>
              <w:rPr>
                <w:rFonts w:ascii="Arial" w:cs="Arial" w:eastAsia="Arial" w:hAnsi="Arial"/>
                <w:sz w:val="13"/>
                <w:szCs w:val="13"/>
                <w:color w:val="auto"/>
              </w:rPr>
              <w:t>Common Stock</w:t>
            </w:r>
          </w:p>
        </w:tc>
        <w:tc>
          <w:tcPr>
            <w:tcW w:w="1540" w:type="dxa"/>
            <w:vAlign w:val="bottom"/>
            <w:gridSpan w:val="3"/>
          </w:tcPr>
          <w:p>
            <w:pPr>
              <w:jc w:val="center"/>
              <w:spacing w:after="0"/>
              <w:rPr>
                <w:sz w:val="20"/>
                <w:szCs w:val="20"/>
                <w:color w:val="auto"/>
              </w:rPr>
            </w:pPr>
            <w:r>
              <w:rPr>
                <w:rFonts w:ascii="Arial" w:cs="Arial" w:eastAsia="Arial" w:hAnsi="Arial"/>
                <w:sz w:val="13"/>
                <w:szCs w:val="13"/>
                <w:color w:val="auto"/>
                <w:w w:val="96"/>
              </w:rPr>
              <w:t>Treasury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color w:val="auto"/>
                <w:w w:val="96"/>
              </w:rPr>
              <w:t>Additional Paid</w:t>
            </w:r>
          </w:p>
        </w:tc>
        <w:tc>
          <w:tcPr>
            <w:tcW w:w="80" w:type="dxa"/>
            <w:vAlign w:val="bottom"/>
          </w:tcPr>
          <w:p>
            <w:pPr>
              <w:spacing w:after="0"/>
              <w:rPr>
                <w:sz w:val="9"/>
                <w:szCs w:val="9"/>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Retained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2"/>
                <w:szCs w:val="12"/>
                <w:color w:val="auto"/>
              </w:rPr>
              <w:t>Non-</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3"/>
                <w:szCs w:val="13"/>
                <w:color w:val="auto"/>
                <w:w w:val="97"/>
              </w:rPr>
              <w:t>controlling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(in thousands except share amounts)</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17"/>
              <w:spacing w:after="0"/>
              <w:rPr>
                <w:sz w:val="20"/>
                <w:szCs w:val="20"/>
                <w:color w:val="auto"/>
              </w:rPr>
            </w:pPr>
            <w:r>
              <w:rPr>
                <w:rFonts w:ascii="Arial" w:cs="Arial" w:eastAsia="Arial" w:hAnsi="Arial"/>
                <w:sz w:val="13"/>
                <w:szCs w:val="13"/>
                <w:color w:val="auto"/>
              </w:rPr>
              <w:t>Value</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in 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AOCI</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Interest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5"/>
        </w:trPr>
        <w:tc>
          <w:tcPr>
            <w:tcW w:w="334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Borders>
              <w:top w:val="single" w:sz="8" w:color="auto"/>
            </w:tcBorders>
            <w:shd w:val="clear" w:color="auto" w:fill="CEFFE7"/>
          </w:tcPr>
          <w:p>
            <w:pPr>
              <w:spacing w:after="0"/>
              <w:rPr>
                <w:sz w:val="15"/>
                <w:szCs w:val="15"/>
                <w:color w:val="auto"/>
              </w:rPr>
            </w:pPr>
          </w:p>
        </w:tc>
        <w:tc>
          <w:tcPr>
            <w:tcW w:w="8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62,827,179</w:t>
            </w:r>
          </w:p>
        </w:tc>
        <w:tc>
          <w:tcPr>
            <w:tcW w:w="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EFFE7"/>
          </w:tcPr>
          <w:p>
            <w:pPr>
              <w:spacing w:after="0"/>
              <w:rPr>
                <w:sz w:val="15"/>
                <w:szCs w:val="15"/>
                <w:color w:val="auto"/>
              </w:rPr>
            </w:pPr>
          </w:p>
        </w:tc>
        <w:tc>
          <w:tcPr>
            <w:tcW w:w="740" w:type="dxa"/>
            <w:vAlign w:val="bottom"/>
            <w:tcBorders>
              <w:top w:val="single" w:sz="8" w:color="auto"/>
            </w:tcBorders>
            <w:shd w:val="clear" w:color="auto" w:fill="CEFFE7"/>
          </w:tcPr>
          <w:p>
            <w:pPr>
              <w:jc w:val="right"/>
              <w:ind w:right="97"/>
              <w:spacing w:after="0"/>
              <w:rPr>
                <w:sz w:val="20"/>
                <w:szCs w:val="20"/>
                <w:color w:val="auto"/>
              </w:rPr>
            </w:pPr>
            <w:r>
              <w:rPr>
                <w:rFonts w:ascii="Arial" w:cs="Arial" w:eastAsia="Arial" w:hAnsi="Arial"/>
                <w:sz w:val="13"/>
                <w:szCs w:val="13"/>
                <w:color w:val="auto"/>
              </w:rPr>
              <w:t>62,827</w:t>
            </w:r>
          </w:p>
        </w:tc>
        <w:tc>
          <w:tcPr>
            <w:tcW w:w="7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(2,119)</w:t>
            </w:r>
          </w:p>
        </w:tc>
        <w:tc>
          <w:tcPr>
            <w:tcW w:w="120" w:type="dxa"/>
            <w:vAlign w:val="bottom"/>
            <w:tcBorders>
              <w:top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1,657,285</w:t>
            </w:r>
          </w:p>
        </w:tc>
        <w:tc>
          <w:tcPr>
            <w:tcW w:w="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870,738</w:t>
            </w:r>
          </w:p>
        </w:tc>
        <w:tc>
          <w:tcPr>
            <w:tcW w:w="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(27,346)</w:t>
            </w:r>
          </w:p>
        </w:tc>
        <w:tc>
          <w:tcPr>
            <w:tcW w:w="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101,262</w:t>
            </w:r>
          </w:p>
        </w:tc>
        <w:tc>
          <w:tcPr>
            <w:tcW w:w="1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96,316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4,171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100,487</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 ($0.565 per share)</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(35,514)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(35,514)</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82,794</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83</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7,448</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1,672</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Other</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5"/>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20" w:type="dxa"/>
            <w:vAlign w:val="bottom"/>
            <w:tcBorders>
              <w:bottom w:val="single" w:sz="8" w:color="auto"/>
            </w:tcBorders>
            <w:shd w:val="clear" w:color="auto" w:fill="CEFFE7"/>
          </w:tcPr>
          <w:p>
            <w:pPr>
              <w:spacing w:after="0"/>
              <w:rPr>
                <w:sz w:val="15"/>
                <w:szCs w:val="15"/>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12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60" w:type="dxa"/>
            <w:vAlign w:val="bottom"/>
            <w:tcBorders>
              <w:bottom w:val="single" w:sz="8" w:color="auto"/>
            </w:tcBorders>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EFFE7"/>
          </w:tcPr>
          <w:p>
            <w:pPr>
              <w:spacing w:after="0"/>
              <w:rPr>
                <w:sz w:val="15"/>
                <w:szCs w:val="15"/>
                <w:color w:val="auto"/>
              </w:rPr>
            </w:pPr>
          </w:p>
        </w:tc>
        <w:tc>
          <w:tcPr>
            <w:tcW w:w="800" w:type="dxa"/>
            <w:vAlign w:val="bottom"/>
            <w:tcBorders>
              <w:bottom w:val="single" w:sz="8" w:color="auto"/>
            </w:tcBorders>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EFFE7"/>
          </w:tcPr>
          <w:p>
            <w:pPr>
              <w:spacing w:after="0"/>
              <w:rPr>
                <w:sz w:val="15"/>
                <w:szCs w:val="15"/>
                <w:color w:val="auto"/>
              </w:rPr>
            </w:pPr>
          </w:p>
        </w:tc>
        <w:tc>
          <w:tcPr>
            <w:tcW w:w="560" w:type="dxa"/>
            <w:vAlign w:val="bottom"/>
            <w:tcBorders>
              <w:bottom w:val="single" w:sz="8" w:color="auto"/>
            </w:tcBorders>
            <w:shd w:val="clear" w:color="auto" w:fill="CEFFE7"/>
          </w:tcPr>
          <w:p>
            <w:pPr>
              <w:spacing w:after="0"/>
              <w:rPr>
                <w:sz w:val="15"/>
                <w:szCs w:val="15"/>
                <w:color w:val="auto"/>
              </w:rPr>
            </w:pPr>
          </w:p>
        </w:tc>
        <w:tc>
          <w:tcPr>
            <w:tcW w:w="20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auto"/>
            </w:tcBorders>
            <w:shd w:val="clear" w:color="auto" w:fill="CEFFE7"/>
          </w:tcPr>
          <w:p>
            <w:pPr>
              <w:spacing w:after="0"/>
              <w:rPr>
                <w:sz w:val="15"/>
                <w:szCs w:val="15"/>
                <w:color w:val="auto"/>
              </w:rPr>
            </w:pPr>
          </w:p>
        </w:tc>
        <w:tc>
          <w:tcPr>
            <w:tcW w:w="7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16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74"/>
        </w:trPr>
        <w:tc>
          <w:tcPr>
            <w:tcW w:w="3360" w:type="dxa"/>
            <w:vAlign w:val="bottom"/>
            <w:gridSpan w:val="2"/>
          </w:tcPr>
          <w:p>
            <w:pPr>
              <w:ind w:left="20"/>
              <w:spacing w:after="0"/>
              <w:rPr>
                <w:sz w:val="20"/>
                <w:szCs w:val="20"/>
                <w:color w:val="auto"/>
              </w:rPr>
            </w:pPr>
            <w:r>
              <w:rPr>
                <w:rFonts w:ascii="Arial" w:cs="Arial" w:eastAsia="Arial" w:hAnsi="Arial"/>
                <w:sz w:val="13"/>
                <w:szCs w:val="13"/>
                <w:b w:val="1"/>
                <w:bCs w:val="1"/>
                <w:color w:val="auto"/>
              </w:rPr>
              <w:t>March 31, 2021</w:t>
            </w:r>
          </w:p>
        </w:tc>
        <w:tc>
          <w:tcPr>
            <w:tcW w:w="840" w:type="dxa"/>
            <w:vAlign w:val="bottom"/>
          </w:tcPr>
          <w:p>
            <w:pPr>
              <w:jc w:val="right"/>
              <w:spacing w:after="0"/>
              <w:rPr>
                <w:sz w:val="20"/>
                <w:szCs w:val="20"/>
                <w:color w:val="auto"/>
              </w:rPr>
            </w:pPr>
            <w:r>
              <w:rPr>
                <w:rFonts w:ascii="Arial" w:cs="Arial" w:eastAsia="Arial" w:hAnsi="Arial"/>
                <w:sz w:val="13"/>
                <w:szCs w:val="13"/>
                <w:color w:val="auto"/>
              </w:rPr>
              <w:t>62,909,973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62,910</w:t>
            </w:r>
          </w:p>
        </w:tc>
        <w:tc>
          <w:tcPr>
            <w:tcW w:w="740" w:type="dxa"/>
            <w:vAlign w:val="bottom"/>
          </w:tcPr>
          <w:p>
            <w:pPr>
              <w:jc w:val="right"/>
              <w:spacing w:after="0"/>
              <w:rPr>
                <w:sz w:val="20"/>
                <w:szCs w:val="20"/>
                <w:color w:val="auto"/>
              </w:rPr>
            </w:pPr>
            <w:r>
              <w:rPr>
                <w:rFonts w:ascii="Arial" w:cs="Arial" w:eastAsia="Arial" w:hAnsi="Arial"/>
                <w:sz w:val="13"/>
                <w:szCs w:val="13"/>
                <w:color w:val="auto"/>
              </w:rPr>
              <w:t>39,940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(2,564)</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1,658,957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931,538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(26,328)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100,789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2,725,302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shd w:val="clear" w:color="auto" w:fill="CEFFE7"/>
          </w:tcPr>
          <w:p>
            <w:pPr>
              <w:ind w:left="2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EFFE7"/>
          </w:tcPr>
          <w:p>
            <w:pPr>
              <w:spacing w:after="0"/>
              <w:rPr>
                <w:sz w:val="14"/>
                <w:szCs w:val="14"/>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EFFE7"/>
          </w:tcPr>
          <w:p>
            <w:pPr>
              <w:spacing w:after="0"/>
              <w:rPr>
                <w:sz w:val="14"/>
                <w:szCs w:val="14"/>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25,161</w:t>
            </w:r>
          </w:p>
        </w:tc>
        <w:tc>
          <w:tcPr>
            <w:tcW w:w="100" w:type="dxa"/>
            <w:vAlign w:val="bottom"/>
            <w:shd w:val="clear" w:color="auto" w:fill="CEFFE7"/>
          </w:tcPr>
          <w:p>
            <w:pPr>
              <w:spacing w:after="0"/>
              <w:rPr>
                <w:sz w:val="14"/>
                <w:szCs w:val="14"/>
                <w:color w:val="auto"/>
              </w:rPr>
            </w:pPr>
          </w:p>
        </w:tc>
        <w:tc>
          <w:tcPr>
            <w:tcW w:w="560" w:type="dxa"/>
            <w:vAlign w:val="bottom"/>
            <w:shd w:val="clear" w:color="auto" w:fill="CEFFE7"/>
          </w:tcPr>
          <w:p>
            <w:pPr>
              <w:spacing w:after="0"/>
              <w:rPr>
                <w:sz w:val="14"/>
                <w:szCs w:val="14"/>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4"/>
                <w:szCs w:val="14"/>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3,126</w:t>
            </w:r>
          </w:p>
        </w:tc>
        <w:tc>
          <w:tcPr>
            <w:tcW w:w="160" w:type="dxa"/>
            <w:vAlign w:val="bottom"/>
            <w:shd w:val="clear" w:color="auto" w:fill="CEFFE7"/>
          </w:tcPr>
          <w:p>
            <w:pPr>
              <w:spacing w:after="0"/>
              <w:rPr>
                <w:sz w:val="14"/>
                <w:szCs w:val="14"/>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28,287</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Other comprehensive income, net of tax</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1,882</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1,882</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Dividends on common stock ($0.565 per share)</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3"/>
                <w:szCs w:val="13"/>
                <w:color w:val="auto"/>
              </w:rPr>
              <w:t>20,905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21</w:t>
            </w:r>
          </w:p>
        </w:tc>
        <w:tc>
          <w:tcPr>
            <w:tcW w:w="740" w:type="dxa"/>
            <w:vAlign w:val="bottom"/>
          </w:tcPr>
          <w:p>
            <w:pPr>
              <w:jc w:val="right"/>
              <w:spacing w:after="0"/>
              <w:rPr>
                <w:sz w:val="20"/>
                <w:szCs w:val="20"/>
                <w:color w:val="auto"/>
              </w:rPr>
            </w:pPr>
            <w:r>
              <w:rPr>
                <w:rFonts w:ascii="Arial" w:cs="Arial" w:eastAsia="Arial" w:hAnsi="Arial"/>
                <w:sz w:val="13"/>
                <w:szCs w:val="13"/>
                <w:color w:val="auto"/>
              </w:rPr>
              <w:t>6,588</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3,698</w:t>
            </w:r>
          </w:p>
        </w:tc>
        <w:tc>
          <w:tcPr>
            <w:tcW w:w="8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3,295</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Issuance of common stock</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596,035</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596</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39,636</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40,232</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Issuance costs</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(466)</w:t>
            </w:r>
          </w:p>
        </w:tc>
        <w:tc>
          <w:tcPr>
            <w:tcW w:w="8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Other</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(4,061)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(4,061)</w:t>
            </w:r>
          </w:p>
        </w:tc>
        <w:tc>
          <w:tcPr>
            <w:tcW w:w="0" w:type="dxa"/>
            <w:vAlign w:val="bottom"/>
          </w:tcPr>
          <w:p>
            <w:pPr>
              <w:spacing w:after="0"/>
              <w:rPr>
                <w:sz w:val="1"/>
                <w:szCs w:val="1"/>
                <w:color w:val="auto"/>
              </w:rPr>
            </w:pPr>
          </w:p>
        </w:tc>
      </w:tr>
      <w:tr>
        <w:trPr>
          <w:trHeight w:val="172"/>
        </w:trPr>
        <w:tc>
          <w:tcPr>
            <w:tcW w:w="3340" w:type="dxa"/>
            <w:vAlign w:val="bottom"/>
            <w:tcBorders>
              <w:top w:val="single" w:sz="8" w:color="CEFFE7"/>
              <w:bottom w:val="single" w:sz="8" w:color="CEFFE7"/>
            </w:tcBorders>
            <w:shd w:val="clear" w:color="auto" w:fill="CEFFE7"/>
          </w:tcPr>
          <w:p>
            <w:pPr>
              <w:ind w:left="20"/>
              <w:spacing w:after="0" w:line="147" w:lineRule="exact"/>
              <w:rPr>
                <w:sz w:val="20"/>
                <w:szCs w:val="20"/>
                <w:color w:val="auto"/>
              </w:rPr>
            </w:pPr>
            <w:r>
              <w:rPr>
                <w:rFonts w:ascii="Arial" w:cs="Arial" w:eastAsia="Arial" w:hAnsi="Arial"/>
                <w:sz w:val="13"/>
                <w:szCs w:val="13"/>
                <w:b w:val="1"/>
                <w:bCs w:val="1"/>
                <w:color w:val="auto"/>
              </w:rPr>
              <w:t>June 30, 2021</w:t>
            </w:r>
          </w:p>
        </w:tc>
        <w:tc>
          <w:tcPr>
            <w:tcW w:w="20" w:type="dxa"/>
            <w:vAlign w:val="bottom"/>
            <w:tcBorders>
              <w:top w:val="single" w:sz="8" w:color="auto"/>
              <w:bottom w:val="single" w:sz="8" w:color="auto"/>
            </w:tcBorders>
            <w:shd w:val="clear" w:color="auto" w:fill="CEFFE7"/>
          </w:tcPr>
          <w:p>
            <w:pPr>
              <w:spacing w:after="0"/>
              <w:rPr>
                <w:sz w:val="14"/>
                <w:szCs w:val="14"/>
                <w:color w:val="auto"/>
              </w:rPr>
            </w:pPr>
          </w:p>
        </w:tc>
        <w:tc>
          <w:tcPr>
            <w:tcW w:w="84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63,526,913</w:t>
            </w:r>
          </w:p>
        </w:tc>
        <w:tc>
          <w:tcPr>
            <w:tcW w:w="14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shd w:val="clear" w:color="auto" w:fill="CEFFE7"/>
          </w:tcPr>
          <w:p>
            <w:pPr>
              <w:spacing w:after="0"/>
              <w:rPr>
                <w:sz w:val="14"/>
                <w:szCs w:val="14"/>
                <w:color w:val="auto"/>
              </w:rPr>
            </w:pPr>
          </w:p>
        </w:tc>
        <w:tc>
          <w:tcPr>
            <w:tcW w:w="740" w:type="dxa"/>
            <w:vAlign w:val="bottom"/>
            <w:tcBorders>
              <w:top w:val="single" w:sz="8" w:color="auto"/>
              <w:bottom w:val="single" w:sz="8" w:color="auto"/>
            </w:tcBorders>
            <w:shd w:val="clear" w:color="auto" w:fill="CEFFE7"/>
          </w:tcPr>
          <w:p>
            <w:pPr>
              <w:jc w:val="right"/>
              <w:ind w:right="97"/>
              <w:spacing w:after="0" w:line="147" w:lineRule="exact"/>
              <w:rPr>
                <w:sz w:val="20"/>
                <w:szCs w:val="20"/>
                <w:color w:val="auto"/>
              </w:rPr>
            </w:pPr>
            <w:r>
              <w:rPr>
                <w:rFonts w:ascii="Arial" w:cs="Arial" w:eastAsia="Arial" w:hAnsi="Arial"/>
                <w:sz w:val="13"/>
                <w:szCs w:val="13"/>
                <w:color w:val="auto"/>
              </w:rPr>
              <w:t>63,527</w:t>
            </w:r>
          </w:p>
        </w:tc>
        <w:tc>
          <w:tcPr>
            <w:tcW w:w="74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46,528</w:t>
            </w:r>
          </w:p>
        </w:tc>
        <w:tc>
          <w:tcPr>
            <w:tcW w:w="18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2"/>
            <w:shd w:val="clear" w:color="auto" w:fill="CEFFE7"/>
          </w:tcPr>
          <w:p>
            <w:pPr>
              <w:jc w:val="right"/>
              <w:spacing w:after="0" w:line="147" w:lineRule="exact"/>
              <w:rPr>
                <w:sz w:val="20"/>
                <w:szCs w:val="20"/>
                <w:color w:val="auto"/>
              </w:rPr>
            </w:pPr>
            <w:r>
              <w:rPr>
                <w:rFonts w:ascii="Arial" w:cs="Arial" w:eastAsia="Arial" w:hAnsi="Arial"/>
                <w:sz w:val="13"/>
                <w:szCs w:val="13"/>
                <w:color w:val="auto"/>
              </w:rPr>
              <w:t>(2,988)</w:t>
            </w:r>
          </w:p>
        </w:tc>
        <w:tc>
          <w:tcPr>
            <w:tcW w:w="120" w:type="dxa"/>
            <w:vAlign w:val="bottom"/>
            <w:tcBorders>
              <w:top w:val="single" w:sz="8" w:color="auto"/>
              <w:bottom w:val="single" w:sz="8" w:color="auto"/>
            </w:tcBorders>
            <w:shd w:val="clear" w:color="auto" w:fill="CEFFE7"/>
          </w:tcPr>
          <w:p>
            <w:pPr>
              <w:ind w:left="20"/>
              <w:spacing w:after="0" w:line="147"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shd w:val="clear" w:color="auto" w:fill="CEFFE7"/>
          </w:tcPr>
          <w:p>
            <w:pPr>
              <w:jc w:val="right"/>
              <w:ind w:right="17"/>
              <w:spacing w:after="0" w:line="147" w:lineRule="exact"/>
              <w:rPr>
                <w:sz w:val="20"/>
                <w:szCs w:val="20"/>
                <w:color w:val="auto"/>
              </w:rPr>
            </w:pPr>
            <w:r>
              <w:rPr>
                <w:rFonts w:ascii="Arial" w:cs="Arial" w:eastAsia="Arial" w:hAnsi="Arial"/>
                <w:sz w:val="13"/>
                <w:szCs w:val="13"/>
                <w:color w:val="auto"/>
              </w:rPr>
              <w:t>1,701,825</w:t>
            </w:r>
          </w:p>
        </w:tc>
        <w:tc>
          <w:tcPr>
            <w:tcW w:w="8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shd w:val="clear" w:color="auto" w:fill="CEFFE7"/>
          </w:tcPr>
          <w:p>
            <w:pPr>
              <w:jc w:val="right"/>
              <w:ind w:right="17"/>
              <w:spacing w:after="0" w:line="147" w:lineRule="exact"/>
              <w:rPr>
                <w:sz w:val="20"/>
                <w:szCs w:val="20"/>
                <w:color w:val="auto"/>
              </w:rPr>
            </w:pPr>
            <w:r>
              <w:rPr>
                <w:rFonts w:ascii="Arial" w:cs="Arial" w:eastAsia="Arial" w:hAnsi="Arial"/>
                <w:sz w:val="13"/>
                <w:szCs w:val="13"/>
                <w:color w:val="auto"/>
              </w:rPr>
              <w:t>921,122</w:t>
            </w:r>
          </w:p>
        </w:tc>
        <w:tc>
          <w:tcPr>
            <w:tcW w:w="10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gridSpan w:val="2"/>
            <w:shd w:val="clear" w:color="auto" w:fill="CEFFE7"/>
          </w:tcPr>
          <w:p>
            <w:pPr>
              <w:jc w:val="right"/>
              <w:spacing w:after="0" w:line="147" w:lineRule="exact"/>
              <w:rPr>
                <w:sz w:val="20"/>
                <w:szCs w:val="20"/>
                <w:color w:val="auto"/>
              </w:rPr>
            </w:pPr>
            <w:r>
              <w:rPr>
                <w:rFonts w:ascii="Arial" w:cs="Arial" w:eastAsia="Arial" w:hAnsi="Arial"/>
                <w:sz w:val="13"/>
                <w:szCs w:val="13"/>
                <w:color w:val="auto"/>
              </w:rPr>
              <w:t>(24,446)</w:t>
            </w:r>
          </w:p>
        </w:tc>
        <w:tc>
          <w:tcPr>
            <w:tcW w:w="12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shd w:val="clear" w:color="auto" w:fill="CEFFE7"/>
          </w:tcPr>
          <w:p>
            <w:pPr>
              <w:jc w:val="right"/>
              <w:spacing w:after="0" w:line="147" w:lineRule="exact"/>
              <w:rPr>
                <w:sz w:val="20"/>
                <w:szCs w:val="20"/>
                <w:color w:val="auto"/>
              </w:rPr>
            </w:pPr>
            <w:r>
              <w:rPr>
                <w:rFonts w:ascii="Arial" w:cs="Arial" w:eastAsia="Arial" w:hAnsi="Arial"/>
                <w:sz w:val="13"/>
                <w:szCs w:val="13"/>
                <w:color w:val="auto"/>
              </w:rPr>
              <w:t>99,854</w:t>
            </w:r>
          </w:p>
        </w:tc>
        <w:tc>
          <w:tcPr>
            <w:tcW w:w="16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2,758,894</w:t>
            </w:r>
          </w:p>
        </w:tc>
        <w:tc>
          <w:tcPr>
            <w:tcW w:w="0" w:type="dxa"/>
            <w:vAlign w:val="bottom"/>
          </w:tcPr>
          <w:p>
            <w:pPr>
              <w:spacing w:after="0"/>
              <w:rPr>
                <w:sz w:val="1"/>
                <w:szCs w:val="1"/>
                <w:color w:val="auto"/>
              </w:rPr>
            </w:pPr>
          </w:p>
        </w:tc>
      </w:tr>
      <w:tr>
        <w:trPr>
          <w:trHeight w:val="20"/>
        </w:trPr>
        <w:tc>
          <w:tcPr>
            <w:tcW w:w="33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8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2021 Annual Report on Form 10-K)</w:t>
      </w:r>
    </w:p>
    <w:p>
      <w:pPr>
        <w:spacing w:after="0" w:line="200" w:lineRule="exact"/>
        <w:rPr>
          <w:sz w:val="20"/>
          <w:szCs w:val="20"/>
          <w:color w:val="auto"/>
        </w:rPr>
      </w:pPr>
    </w:p>
    <w:p>
      <w:pPr>
        <w:spacing w:after="0" w:line="27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2021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and services. All of our operations and assets are located within the United States. We conduct our operations through the Electric Utilities and Gas Utilities segments. 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further information regarding our segment reporting, see </w:t>
      </w:r>
      <w:r>
        <w:rPr>
          <w:rFonts w:ascii="Arial" w:cs="Arial" w:eastAsia="Arial" w:hAnsi="Arial"/>
          <w:sz w:val="16"/>
          <w:szCs w:val="16"/>
          <w:u w:val="single" w:color="auto"/>
          <w:color w:val="0000FF"/>
        </w:rPr>
        <w:t>Note 12</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June 30, 2022, December 31, 2021 and June 30, 2021 financial information. Certain lines of business in which we operate are highly seasonal, and our interim results of operations are not necessarily indicative of the results of operations to be expected for an entire year.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whether we will apply the optional guidance as we assess the impact of the discontinuance of LIBOR on our current arrangements but do not expect it to have a material impact on our financial position, results of operations and cash flows.</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96"/>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(2)  Regulatory Matters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4"/>
        </w:trPr>
        <w:tc>
          <w:tcPr>
            <w:tcW w:w="728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ind w:right="739"/>
              <w:spacing w:after="0"/>
              <w:rPr>
                <w:sz w:val="20"/>
                <w:szCs w:val="20"/>
                <w:color w:val="auto"/>
              </w:rPr>
            </w:pPr>
            <w:r>
              <w:rPr>
                <w:rFonts w:ascii="Arial" w:cs="Arial" w:eastAsia="Arial" w:hAnsi="Arial"/>
                <w:sz w:val="16"/>
                <w:szCs w:val="16"/>
                <w:color w:val="auto"/>
              </w:rPr>
              <w:t>As of</w:t>
            </w:r>
          </w:p>
        </w:tc>
        <w:tc>
          <w:tcPr>
            <w:tcW w:w="180" w:type="dxa"/>
            <w:vAlign w:val="bottom"/>
          </w:tcPr>
          <w:p>
            <w:pPr>
              <w:spacing w:after="0"/>
              <w:rPr>
                <w:sz w:val="24"/>
                <w:szCs w:val="24"/>
                <w:color w:val="auto"/>
              </w:rPr>
            </w:pPr>
          </w:p>
        </w:tc>
        <w:tc>
          <w:tcPr>
            <w:tcW w:w="1800" w:type="dxa"/>
            <w:vAlign w:val="bottom"/>
          </w:tcPr>
          <w:p>
            <w:pPr>
              <w:jc w:val="right"/>
              <w:ind w:right="719"/>
              <w:spacing w:after="0"/>
              <w:rPr>
                <w:sz w:val="20"/>
                <w:szCs w:val="20"/>
                <w:color w:val="auto"/>
              </w:rPr>
            </w:pPr>
            <w:r>
              <w:rPr>
                <w:rFonts w:ascii="Arial" w:cs="Arial" w:eastAsia="Arial" w:hAnsi="Arial"/>
                <w:sz w:val="16"/>
                <w:szCs w:val="16"/>
                <w:color w:val="auto"/>
              </w:rPr>
              <w:t>As of</w:t>
            </w:r>
          </w:p>
        </w:tc>
      </w:tr>
      <w:tr>
        <w:trPr>
          <w:trHeight w:val="216"/>
        </w:trPr>
        <w:tc>
          <w:tcPr>
            <w:tcW w:w="13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June 30, 2022</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197"/>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assets</w:t>
            </w: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7"/>
        </w:trPr>
        <w:tc>
          <w:tcPr>
            <w:tcW w:w="7280" w:type="dxa"/>
            <w:vAlign w:val="bottom"/>
            <w:gridSpan w:val="2"/>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402,971</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509,025</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71,701</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59,973</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8,083</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9,488</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4,845</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7,426</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7,457</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87,130</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88,923</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1,360</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1,385</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20,112</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21,011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69,811</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63,243</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4,717</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5,961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24,212</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27,549</w:t>
            </w: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Total regulatory assets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702,368</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796,599</w:t>
            </w:r>
          </w:p>
        </w:tc>
      </w:tr>
      <w:tr>
        <w:trPr>
          <w:trHeight w:val="216"/>
        </w:trPr>
        <w:tc>
          <w:tcPr>
            <w:tcW w:w="72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Less current regulatory assets</w:t>
            </w:r>
          </w:p>
        </w:tc>
        <w:tc>
          <w:tcPr>
            <w:tcW w:w="28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(267,725)</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(270,290)</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assets, non-current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526,309</w:t>
            </w:r>
          </w:p>
        </w:tc>
      </w:tr>
      <w:tr>
        <w:trPr>
          <w:trHeight w:val="20"/>
        </w:trPr>
        <w:tc>
          <w:tcPr>
            <w:tcW w:w="1360" w:type="dxa"/>
            <w:vAlign w:val="bottom"/>
            <w:tcBorders>
              <w:bottom w:val="single" w:sz="8" w:color="CEFFE7"/>
            </w:tcBorders>
          </w:tcPr>
          <w:p>
            <w:pPr>
              <w:spacing w:after="0" w:line="20" w:lineRule="exact"/>
              <w:rPr>
                <w:sz w:val="1"/>
                <w:szCs w:val="1"/>
                <w:color w:val="auto"/>
              </w:rPr>
            </w:pPr>
          </w:p>
        </w:tc>
        <w:tc>
          <w:tcPr>
            <w:tcW w:w="5920" w:type="dxa"/>
            <w:vAlign w:val="bottom"/>
            <w:tcBorders>
              <w:bottom w:val="single" w:sz="8" w:color="CEFFE7"/>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shd w:val="clear" w:color="auto" w:fill="CEFFE7"/>
          </w:tcPr>
          <w:p>
            <w:pPr>
              <w:spacing w:after="0"/>
              <w:rPr>
                <w:sz w:val="14"/>
                <w:szCs w:val="14"/>
                <w:color w:val="auto"/>
              </w:rPr>
            </w:pPr>
          </w:p>
        </w:tc>
        <w:tc>
          <w:tcPr>
            <w:tcW w:w="5920" w:type="dxa"/>
            <w:vAlign w:val="bottom"/>
            <w:shd w:val="clear" w:color="auto" w:fill="CEFFE7"/>
          </w:tcPr>
          <w:p>
            <w:pPr>
              <w:spacing w:after="0"/>
              <w:rPr>
                <w:sz w:val="14"/>
                <w:szCs w:val="14"/>
                <w:color w:val="auto"/>
              </w:rPr>
            </w:pPr>
          </w:p>
        </w:tc>
        <w:tc>
          <w:tcPr>
            <w:tcW w:w="280" w:type="dxa"/>
            <w:vAlign w:val="bottom"/>
            <w:shd w:val="clear" w:color="auto" w:fill="CEFFE7"/>
          </w:tcPr>
          <w:p>
            <w:pPr>
              <w:spacing w:after="0"/>
              <w:rPr>
                <w:sz w:val="14"/>
                <w:szCs w:val="14"/>
                <w:color w:val="auto"/>
              </w:rPr>
            </w:pPr>
          </w:p>
        </w:tc>
        <w:tc>
          <w:tcPr>
            <w:tcW w:w="170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1800" w:type="dxa"/>
            <w:vAlign w:val="bottom"/>
            <w:shd w:val="clear" w:color="auto" w:fill="CEFFE7"/>
          </w:tcPr>
          <w:p>
            <w:pPr>
              <w:spacing w:after="0"/>
              <w:rPr>
                <w:sz w:val="14"/>
                <w:szCs w:val="14"/>
                <w:color w:val="auto"/>
              </w:rPr>
            </w:pPr>
          </w:p>
        </w:tc>
      </w:tr>
      <w:tr>
        <w:trPr>
          <w:trHeight w:val="21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liabilities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7"/>
        </w:trPr>
        <w:tc>
          <w:tcPr>
            <w:tcW w:w="7280" w:type="dxa"/>
            <w:vAlign w:val="bottom"/>
            <w:gridSpan w:val="2"/>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15,899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6,113</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(c)</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31,330</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32,241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28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184,111</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179,976</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259,674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264,042</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24,984</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20,579</w:t>
            </w: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Total regulatory liabilities</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515,998</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502,951</w:t>
            </w:r>
          </w:p>
        </w:tc>
      </w:tr>
      <w:tr>
        <w:trPr>
          <w:trHeight w:val="216"/>
        </w:trPr>
        <w:tc>
          <w:tcPr>
            <w:tcW w:w="72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Less current regulatory liabilities</w:t>
            </w:r>
          </w:p>
        </w:tc>
        <w:tc>
          <w:tcPr>
            <w:tcW w:w="280" w:type="dxa"/>
            <w:vAlign w:val="bottom"/>
            <w:tcBorders>
              <w:bottom w:val="single" w:sz="8" w:color="auto"/>
            </w:tcBorders>
            <w:shd w:val="clear" w:color="auto" w:fill="CEFFE7"/>
          </w:tcPr>
          <w:p>
            <w:pPr>
              <w:spacing w:after="0"/>
              <w:rPr>
                <w:sz w:val="18"/>
                <w:szCs w:val="18"/>
                <w:color w:val="auto"/>
              </w:rPr>
            </w:pPr>
          </w:p>
        </w:tc>
        <w:tc>
          <w:tcPr>
            <w:tcW w:w="1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(33,356)</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(17,574)</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liabilities, non-current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482,642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485,377</w:t>
            </w:r>
          </w:p>
        </w:tc>
      </w:tr>
      <w:tr>
        <w:trPr>
          <w:trHeight w:val="20"/>
        </w:trPr>
        <w:tc>
          <w:tcPr>
            <w:tcW w:w="13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280" w:hanging="332"/>
        <w:spacing w:after="0" w:line="256" w:lineRule="auto"/>
        <w:tabs>
          <w:tab w:leader="none" w:pos="349"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and Wyoming Gas is still subject to pending application with the WPSC. See further information below.</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2021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60"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fuel, purchased power and natural gas costs.</w:t>
      </w:r>
    </w:p>
    <w:p>
      <w:pPr>
        <w:spacing w:after="0" w:line="212"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Our Utilities submitted Winter Storm Uri cost recovery applications in our state jurisdictions seeking to recover $546 million of these incremental costs through separate tracking mechanisms over a weighted-average recovery period of 3.5 years. These incremental cost estimates are subject to adjustments as final decisions are issued by the respective utility commissions. In these applications, we sought approval to recover carrying costs. For three and six months ended June 30, 2022 and three and six months ended June 30, 2021, $12 million, $15 million, $0.1 million and $0.1 million, respectively, of carrying costs were accrued and recorded to a regulatory asset. The carrying costs accrued during the three and six months ended June 30, 2022 included a one-time, $10 million true-up to reflect Commission authorized rates.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On January 27, 2022, Kansas Gas received approval from the KCC for its Winter Storm Uri cost recovery settlement with final rates implemented in February 2022. In March 2022, Colorado Electric and Colorado Gas received approval from the CPUC for their respective Winter Storm Uri cost recovery settlements with final rates implemented in April 2022. In June 2022, Arkansas Gas received approval from the APSC for its Winter Storm Uri cost recovery application. The APSC had previously approved interim cost recovery effective in June 2021.</w:t>
      </w:r>
    </w:p>
    <w:p>
      <w:pPr>
        <w:spacing w:after="0" w:line="21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To date, Arkansas Gas, Colorado Electric, Colorado Gas, Iowa Gas, Kansas Gas, Nebraska Gas and South Dakota Electric received commission approval of their Winter Storm Uri cost recovery applications. Additionally, Wyoming Gas received approval for interim cost recovery subject to a final decision on carrying costs and recovery period at a later date. For the six months ended June 30, 2022, our Utilities collected $111 million of Winter Storm Uri incremental costs and carrying costs from customers. As of June 30, 2022, we estimate that our remaining Winter Storm Uri regulatory asset has a weighted-average recovery period of 3.0 years.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part of Kansas Gas’s 2021 rate review settlement agreement, Kansas Gas will deliver $3.0 million of TCJA and state tax reform benefits to customers, annually, for three years starting in 2022 (approximately $9.1 million of total benefits expected to be delivered). For the three and six months ended June 30, 2022, Kansas Gas delivered TCJA and state tax reform bill credits to customers of $0.7 million and $1.5 million, respectively.</w:t>
      </w:r>
    </w:p>
    <w:p>
      <w:pPr>
        <w:spacing w:after="0" w:line="19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These bill credits, which resulted in a reduction of revenue, were offset by a reduction in income tax expense and resulted in an immaterial impact to Net income for the three and six months ended June 30, 2022.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24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On December 10, 2021, Arkansas Gas filed a rate review with the APSC seeking recovery of significant infrastructure investments in its 7,200-mile natural gas pipeline system. The rate review requests $22 million in new annual revenue with a capital structure of 50.9% equity and 49.1% debt and a return on equity of 10.2%. The request seeks to finalize rates in the fourth quarter of 2022.</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Electric</w:t>
      </w:r>
    </w:p>
    <w:p>
      <w:pPr>
        <w:spacing w:after="0" w:line="26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June 1, 2022, Wyoming Electric filed a rate review with the WPSC seeking recovery of significant infrastructure investments in its 1,330-mile electric distribution and 59-mile electric transmission systems. The rate review requests $15 million in new annual revenue with a capital structure of 54% equity and 46% debt and a return on equity of 10.3%. The request seeks to finalize rates in the first quarter of 2023.</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4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2021 Annual Report on Form 10-K except for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Agreement under Blockchain Interruptible Service Tariff</w:t>
      </w:r>
    </w:p>
    <w:p>
      <w:pPr>
        <w:spacing w:after="0" w:line="26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June 21, 2022, Wyoming Electric completed its first agreement for service under its Blockchain Interruptible Service tariff. Under the five-year agreement, Wyoming Electric will deliver up to 45 MW of electric service with an option to expand service up to 75 MW to a new customer in Cheyenne, Wyoming. The crypto mining facility is expected to be operational and purchasing energy in the fourth quarter of 2022.</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Sales Agreements</w:t>
      </w:r>
    </w:p>
    <w:p>
      <w:pPr>
        <w:spacing w:after="0" w:line="24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On May 3, 2022, South Dakota Electric entered into an agreement with MDU to provide MDU capacity and energy up to a maximum of 50 MW in excess of MDU’s 25% ownership in Wygen III. This agreement, which has similar terms and conditions as South Dakota Electric’s existing agreement with MDU expiring on December 31, 2023, is effective on January 1, 2024 and will expire on December 31, 2028.</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During periods of reduced production at Wygen III, in which MDU owns a portion of the capacity, or during periods when Wygen III is off-line, South Dakota Electric will provide MDU with 23 MW from our other generation facilities or from system purchases with reimbursement of costs by MDU. On June 3, 2022, South Dakota Electric entered into an agreement with similar terms and conditions as its existing agreement with MDU expiring on December 31, 2023, is effective on January 1, 2024 and will expire on December 31, 2028.</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233"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believe we have meritorious defenses to the verdict and intend to appeal the verdict. At this time, we believe that the liability related to this matter, if any, is not reasonably estimable.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Purchase Agreements</w:t>
      </w:r>
    </w:p>
    <w:p>
      <w:pPr>
        <w:spacing w:after="0" w:line="26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March 21, 2022, Wyoming Electric entered into a PPA with South Cheyenne Solar, LLC (Cheyenne Solar) to purchase up to 150 MW of renewable energy upon construction of a new solar facility, to be owned by Cheyenne Solar, which is expected to be completed by the end of 2023. The agreement will expire 20 years after construction completion. The solar energy from this PPA will be used to serve our expanding partnerships with industrial customers in Cheyenne, Wyoming.</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February 19, 2021, Colorado Electric entered into an agreement with TC Colorado Solar, LLC (TC Solar) to purchase up to 200 MW of renewable energy upon construction of a new solar facility, to be owned by TC Solar. On January 31, 2022, TC Solar provided notice of its intent to terminate the PPA. Colorado Electric will seek new requests for proposals for renewable resources as part of its Clean Energy Plan filing, the “2030 Ready Plan.” On May 27, 2022, Colorado Electric filed its 2030 Ready Plan with the CPUC. A CPUC decision is expected in April 2023, after which time, Colorado Electric’s request for proposals for renewable energy resources is expected to commence.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Transmission Service Agreements</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1, 2022, Colorado Electric entered into a firm point-to-point transmission service agreement that provides Tri-State Generation and Transmission Association Inc. with a maximum of 58 MW of transmission capacity. This agreement expires December 31, 2024.</w:t>
      </w:r>
    </w:p>
    <w:p>
      <w:pPr>
        <w:spacing w:after="0" w:line="18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On January 1, 2022, South Dakota Electric entered into a firm point-to-point transmission service agreement that provides MEAN with a maximum of 20 MW of transmission capacity. This agreement expires December 31, 2023.</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six months ended June 30, 2022 and 2021. Sales tax and other similar taxes are excluded from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20" w:type="dxa"/>
            <w:vAlign w:val="bottom"/>
            <w:gridSpan w:val="2"/>
            <w:vMerge w:val="restart"/>
          </w:tcPr>
          <w:p>
            <w:pPr>
              <w:spacing w:after="0"/>
              <w:rPr>
                <w:sz w:val="20"/>
                <w:szCs w:val="20"/>
                <w:color w:val="auto"/>
              </w:rPr>
            </w:pPr>
            <w:r>
              <w:rPr>
                <w:rFonts w:ascii="Arial" w:cs="Arial" w:eastAsia="Arial" w:hAnsi="Arial"/>
                <w:sz w:val="16"/>
                <w:szCs w:val="16"/>
                <w:color w:val="auto"/>
              </w:rPr>
              <w:t>Three Months Ended June 30, 2022</w:t>
            </w:r>
          </w:p>
        </w:tc>
        <w:tc>
          <w:tcPr>
            <w:tcW w:w="220" w:type="dxa"/>
            <w:vAlign w:val="bottom"/>
          </w:tcPr>
          <w:p>
            <w:pPr>
              <w:spacing w:after="0"/>
              <w:rPr>
                <w:sz w:val="16"/>
                <w:szCs w:val="16"/>
                <w:color w:val="auto"/>
              </w:rPr>
            </w:pPr>
          </w:p>
        </w:tc>
        <w:tc>
          <w:tcPr>
            <w:tcW w:w="1460" w:type="dxa"/>
            <w:vAlign w:val="bottom"/>
            <w:vMerge w:val="restart"/>
          </w:tcPr>
          <w:p>
            <w:pPr>
              <w:jc w:val="right"/>
              <w:ind w:right="159"/>
              <w:spacing w:after="0"/>
              <w:rPr>
                <w:sz w:val="20"/>
                <w:szCs w:val="20"/>
                <w:color w:val="auto"/>
              </w:rPr>
            </w:pPr>
            <w:r>
              <w:rPr>
                <w:rFonts w:ascii="Arial" w:cs="Arial" w:eastAsia="Arial" w:hAnsi="Arial"/>
                <w:sz w:val="16"/>
                <w:szCs w:val="16"/>
                <w:color w:val="auto"/>
              </w:rPr>
              <w:t>Electric Utilities</w:t>
            </w:r>
          </w:p>
        </w:tc>
        <w:tc>
          <w:tcPr>
            <w:tcW w:w="320" w:type="dxa"/>
            <w:vAlign w:val="bottom"/>
          </w:tcPr>
          <w:p>
            <w:pPr>
              <w:spacing w:after="0"/>
              <w:rPr>
                <w:sz w:val="16"/>
                <w:szCs w:val="16"/>
                <w:color w:val="auto"/>
              </w:rPr>
            </w:pPr>
          </w:p>
        </w:tc>
        <w:tc>
          <w:tcPr>
            <w:tcW w:w="140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16"/>
                <w:szCs w:val="16"/>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EFFE7"/>
          </w:tcPr>
          <w:p>
            <w:pPr>
              <w:spacing w:after="0"/>
              <w:rPr>
                <w:sz w:val="16"/>
                <w:szCs w:val="16"/>
                <w:color w:val="auto"/>
              </w:rPr>
            </w:pPr>
          </w:p>
        </w:tc>
        <w:tc>
          <w:tcPr>
            <w:tcW w:w="4320" w:type="dxa"/>
            <w:vAlign w:val="bottom"/>
            <w:gridSpan w:val="2"/>
            <w:shd w:val="clear" w:color="auto" w:fill="CEFFE7"/>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shd w:val="clear" w:color="auto" w:fill="CEFFE7"/>
          </w:tcPr>
          <w:p>
            <w:pPr>
              <w:spacing w:after="0"/>
              <w:rPr>
                <w:sz w:val="16"/>
                <w:szCs w:val="16"/>
                <w:color w:val="auto"/>
              </w:rPr>
            </w:pPr>
          </w:p>
        </w:tc>
        <w:tc>
          <w:tcPr>
            <w:tcW w:w="1460" w:type="dxa"/>
            <w:vAlign w:val="bottom"/>
            <w:shd w:val="clear" w:color="auto" w:fill="CEFFE7"/>
          </w:tcPr>
          <w:p>
            <w:pPr>
              <w:spacing w:after="0"/>
              <w:rPr>
                <w:sz w:val="16"/>
                <w:szCs w:val="16"/>
                <w:color w:val="auto"/>
              </w:rPr>
            </w:pPr>
          </w:p>
        </w:tc>
        <w:tc>
          <w:tcPr>
            <w:tcW w:w="320" w:type="dxa"/>
            <w:vAlign w:val="bottom"/>
            <w:shd w:val="clear" w:color="auto" w:fill="CEFFE7"/>
          </w:tcPr>
          <w:p>
            <w:pPr>
              <w:spacing w:after="0"/>
              <w:rPr>
                <w:sz w:val="16"/>
                <w:szCs w:val="16"/>
                <w:color w:val="auto"/>
              </w:rPr>
            </w:pPr>
          </w:p>
        </w:tc>
        <w:tc>
          <w:tcPr>
            <w:tcW w:w="3160" w:type="dxa"/>
            <w:vAlign w:val="bottom"/>
            <w:gridSpan w:val="3"/>
            <w:shd w:val="clear" w:color="auto" w:fill="CEFFE7"/>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EFFE7"/>
          </w:tcPr>
          <w:p>
            <w:pPr>
              <w:spacing w:after="0"/>
              <w:rPr>
                <w:sz w:val="16"/>
                <w:szCs w:val="16"/>
                <w:color w:val="auto"/>
              </w:rPr>
            </w:pPr>
          </w:p>
        </w:tc>
        <w:tc>
          <w:tcPr>
            <w:tcW w:w="13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EFFE7"/>
            </w:tcBorders>
          </w:tcPr>
          <w:p>
            <w:pPr>
              <w:spacing w:after="0"/>
              <w:rPr>
                <w:sz w:val="18"/>
                <w:szCs w:val="18"/>
                <w:color w:val="auto"/>
              </w:rPr>
            </w:pPr>
          </w:p>
        </w:tc>
        <w:tc>
          <w:tcPr>
            <w:tcW w:w="11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140" w:type="dxa"/>
            <w:vAlign w:val="bottom"/>
            <w:tcBorders>
              <w:top w:val="single" w:sz="8" w:color="CEFFE7"/>
            </w:tcBorders>
          </w:tcPr>
          <w:p>
            <w:pPr>
              <w:spacing w:after="0"/>
              <w:rPr>
                <w:sz w:val="18"/>
                <w:szCs w:val="18"/>
                <w:color w:val="auto"/>
              </w:rPr>
            </w:pPr>
          </w:p>
        </w:tc>
        <w:tc>
          <w:tcPr>
            <w:tcW w:w="22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169,032</w:t>
            </w:r>
          </w:p>
        </w:tc>
        <w:tc>
          <w:tcPr>
            <w:tcW w:w="320" w:type="dxa"/>
            <w:vAlign w:val="bottom"/>
            <w:tcBorders>
              <w:top w:val="single" w:sz="8" w:color="CEFFE7"/>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229,074</w:t>
            </w:r>
          </w:p>
        </w:tc>
        <w:tc>
          <w:tcPr>
            <w:tcW w:w="26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CEFFE7"/>
            </w:tcBorders>
            <w:gridSpan w:val="2"/>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398,106</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34,667</w:t>
            </w:r>
          </w:p>
        </w:tc>
        <w:tc>
          <w:tcPr>
            <w:tcW w:w="26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34,567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8,428</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8,428</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8,666</w:t>
            </w:r>
          </w:p>
        </w:tc>
        <w:tc>
          <w:tcPr>
            <w:tcW w:w="32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8,844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15,183</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9,344</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20,379</w:t>
            </w:r>
          </w:p>
        </w:tc>
        <w:tc>
          <w:tcPr>
            <w:tcW w:w="0" w:type="dxa"/>
            <w:vAlign w:val="bottom"/>
          </w:tcPr>
          <w:p>
            <w:pPr>
              <w:spacing w:after="0"/>
              <w:rPr>
                <w:sz w:val="1"/>
                <w:szCs w:val="1"/>
                <w:color w:val="auto"/>
              </w:rPr>
            </w:pPr>
          </w:p>
        </w:tc>
      </w:tr>
      <w:tr>
        <w:trPr>
          <w:trHeight w:val="210"/>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201,309</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273,263</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(4,248)</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470,324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w:t>
            </w:r>
          </w:p>
        </w:tc>
        <w:tc>
          <w:tcPr>
            <w:tcW w:w="0" w:type="dxa"/>
            <w:vAlign w:val="bottom"/>
          </w:tcPr>
          <w:p>
            <w:pPr>
              <w:spacing w:after="0"/>
              <w:rPr>
                <w:sz w:val="1"/>
                <w:szCs w:val="1"/>
                <w:color w:val="auto"/>
              </w:rPr>
            </w:pPr>
          </w:p>
        </w:tc>
      </w:tr>
      <w:tr>
        <w:trPr>
          <w:trHeight w:val="235"/>
        </w:trPr>
        <w:tc>
          <w:tcPr>
            <w:tcW w:w="20" w:type="dxa"/>
            <w:vAlign w:val="bottom"/>
            <w:tcBorders>
              <w:bottom w:val="single" w:sz="8" w:color="CEFFE7"/>
            </w:tcBorders>
            <w:shd w:val="clear" w:color="auto" w:fill="CEFFE7"/>
          </w:tcPr>
          <w:p>
            <w:pPr>
              <w:spacing w:after="0"/>
              <w:rPr>
                <w:sz w:val="20"/>
                <w:szCs w:val="20"/>
                <w:color w:val="auto"/>
              </w:rPr>
            </w:pPr>
          </w:p>
        </w:tc>
        <w:tc>
          <w:tcPr>
            <w:tcW w:w="43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204,379</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274,169</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(4,353)</w:t>
            </w: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474,195</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31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4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6,671</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6,671</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194,638</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273,263</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463,653</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201,309</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273,263</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470,324</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-591185</wp:posOffset>
            </wp:positionV>
            <wp:extent cx="711517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-316230</wp:posOffset>
            </wp:positionV>
            <wp:extent cx="71151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880"/>
          </w:cols>
          <w:pgMar w:left="320" w:top="125" w:right="359" w:bottom="1440" w:gutter="0" w:footer="0" w:header="0"/>
          <w:type w:val="continuous"/>
        </w:sectPr>
      </w:pP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40" w:type="dxa"/>
            <w:vAlign w:val="bottom"/>
            <w:gridSpan w:val="3"/>
            <w:vMerge w:val="restart"/>
          </w:tcPr>
          <w:p>
            <w:pPr>
              <w:ind w:left="20"/>
              <w:spacing w:after="0"/>
              <w:rPr>
                <w:sz w:val="20"/>
                <w:szCs w:val="20"/>
                <w:color w:val="auto"/>
              </w:rPr>
            </w:pPr>
            <w:r>
              <w:rPr>
                <w:rFonts w:ascii="Arial" w:cs="Arial" w:eastAsia="Arial" w:hAnsi="Arial"/>
                <w:sz w:val="16"/>
                <w:szCs w:val="16"/>
                <w:color w:val="auto"/>
              </w:rPr>
              <w:t>Three Months Ended June 30, 2021</w:t>
            </w:r>
          </w:p>
        </w:tc>
        <w:tc>
          <w:tcPr>
            <w:tcW w:w="220" w:type="dxa"/>
            <w:vAlign w:val="bottom"/>
          </w:tcPr>
          <w:p>
            <w:pPr>
              <w:spacing w:after="0"/>
              <w:rPr>
                <w:sz w:val="16"/>
                <w:szCs w:val="16"/>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6"/>
                <w:szCs w:val="16"/>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16"/>
                <w:szCs w:val="16"/>
                <w:color w:val="auto"/>
              </w:rPr>
            </w:pPr>
          </w:p>
        </w:tc>
        <w:tc>
          <w:tcPr>
            <w:tcW w:w="1320" w:type="dxa"/>
            <w:vAlign w:val="bottom"/>
            <w:vMerge w:val="restart"/>
          </w:tcPr>
          <w:p>
            <w:pPr>
              <w:jc w:val="right"/>
              <w:ind w:right="5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40" w:type="dxa"/>
            <w:vAlign w:val="bottom"/>
            <w:gridSpan w:val="3"/>
            <w:shd w:val="clear" w:color="auto" w:fill="CEFFE7"/>
          </w:tcPr>
          <w:p>
            <w:pPr>
              <w:ind w:left="20"/>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shd w:val="clear" w:color="auto" w:fill="CEFFE7"/>
          </w:tcPr>
          <w:p>
            <w:pPr>
              <w:spacing w:after="0"/>
              <w:rPr>
                <w:sz w:val="16"/>
                <w:szCs w:val="16"/>
                <w:color w:val="auto"/>
              </w:rPr>
            </w:pPr>
          </w:p>
        </w:tc>
        <w:tc>
          <w:tcPr>
            <w:tcW w:w="1460" w:type="dxa"/>
            <w:vAlign w:val="bottom"/>
            <w:shd w:val="clear" w:color="auto" w:fill="CEFFE7"/>
          </w:tcPr>
          <w:p>
            <w:pPr>
              <w:spacing w:after="0"/>
              <w:rPr>
                <w:sz w:val="16"/>
                <w:szCs w:val="16"/>
                <w:color w:val="auto"/>
              </w:rPr>
            </w:pPr>
          </w:p>
        </w:tc>
        <w:tc>
          <w:tcPr>
            <w:tcW w:w="300" w:type="dxa"/>
            <w:vAlign w:val="bottom"/>
            <w:shd w:val="clear" w:color="auto" w:fill="CEFFE7"/>
          </w:tcPr>
          <w:p>
            <w:pPr>
              <w:spacing w:after="0"/>
              <w:rPr>
                <w:sz w:val="16"/>
                <w:szCs w:val="16"/>
                <w:color w:val="auto"/>
              </w:rPr>
            </w:pPr>
          </w:p>
        </w:tc>
        <w:tc>
          <w:tcPr>
            <w:tcW w:w="3160" w:type="dxa"/>
            <w:vAlign w:val="bottom"/>
            <w:gridSpan w:val="3"/>
            <w:shd w:val="clear" w:color="auto" w:fill="CEFFE7"/>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shd w:val="clear" w:color="auto" w:fill="CEFFE7"/>
          </w:tcPr>
          <w:p>
            <w:pPr>
              <w:spacing w:after="0"/>
              <w:rPr>
                <w:sz w:val="16"/>
                <w:szCs w:val="16"/>
                <w:color w:val="auto"/>
              </w:rPr>
            </w:pPr>
          </w:p>
        </w:tc>
        <w:tc>
          <w:tcPr>
            <w:tcW w:w="132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EFFE7"/>
            </w:tcBorders>
          </w:tcPr>
          <w:p>
            <w:pPr>
              <w:spacing w:after="0"/>
              <w:rPr>
                <w:sz w:val="18"/>
                <w:szCs w:val="18"/>
                <w:color w:val="auto"/>
              </w:rPr>
            </w:pP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100" w:type="dxa"/>
            <w:vAlign w:val="bottom"/>
            <w:tcBorders>
              <w:top w:val="single" w:sz="8" w:color="CEFFE7"/>
            </w:tcBorders>
          </w:tcPr>
          <w:p>
            <w:pPr>
              <w:spacing w:after="0"/>
              <w:rPr>
                <w:sz w:val="18"/>
                <w:szCs w:val="18"/>
                <w:color w:val="auto"/>
              </w:rPr>
            </w:pPr>
          </w:p>
        </w:tc>
        <w:tc>
          <w:tcPr>
            <w:tcW w:w="22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163,971</w:t>
            </w:r>
          </w:p>
        </w:tc>
        <w:tc>
          <w:tcPr>
            <w:tcW w:w="300" w:type="dxa"/>
            <w:vAlign w:val="bottom"/>
            <w:tcBorders>
              <w:top w:val="single" w:sz="8" w:color="CEFFE7"/>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143,845</w:t>
            </w:r>
          </w:p>
        </w:tc>
        <w:tc>
          <w:tcPr>
            <w:tcW w:w="260" w:type="dxa"/>
            <w:vAlign w:val="bottom"/>
            <w:tcBorders>
              <w:top w:val="single" w:sz="8" w:color="CEFFE7"/>
            </w:tcBorders>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CEFFE7"/>
            </w:tcBorders>
            <w:gridSpan w:val="2"/>
          </w:tcPr>
          <w:p>
            <w:pPr>
              <w:jc w:val="right"/>
              <w:ind w:right="19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307,816</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31,649</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5,655</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7,266</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11,224</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9,125</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16,058</w:t>
            </w:r>
          </w:p>
        </w:tc>
        <w:tc>
          <w:tcPr>
            <w:tcW w:w="0" w:type="dxa"/>
            <w:vAlign w:val="bottom"/>
          </w:tcPr>
          <w:p>
            <w:pPr>
              <w:spacing w:after="0"/>
              <w:rPr>
                <w:sz w:val="1"/>
                <w:szCs w:val="1"/>
                <w:color w:val="auto"/>
              </w:rPr>
            </w:pPr>
          </w:p>
        </w:tc>
      </w:tr>
      <w:tr>
        <w:trPr>
          <w:trHeight w:val="210"/>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188,116</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184,706</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(4,400)</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368,422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EFFE7"/>
            </w:tcBorders>
          </w:tcPr>
          <w:p>
            <w:pPr>
              <w:spacing w:after="0"/>
              <w:rPr>
                <w:sz w:val="18"/>
                <w:szCs w:val="18"/>
                <w:color w:val="auto"/>
              </w:rPr>
            </w:pPr>
          </w:p>
        </w:tc>
        <w:tc>
          <w:tcPr>
            <w:tcW w:w="432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w:t>
            </w:r>
          </w:p>
        </w:tc>
        <w:tc>
          <w:tcPr>
            <w:tcW w:w="0" w:type="dxa"/>
            <w:vAlign w:val="bottom"/>
          </w:tcPr>
          <w:p>
            <w:pPr>
              <w:spacing w:after="0"/>
              <w:rPr>
                <w:sz w:val="1"/>
                <w:szCs w:val="1"/>
                <w:color w:val="auto"/>
              </w:rPr>
            </w:pPr>
          </w:p>
        </w:tc>
      </w:tr>
      <w:tr>
        <w:trPr>
          <w:trHeight w:val="235"/>
        </w:trPr>
        <w:tc>
          <w:tcPr>
            <w:tcW w:w="434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191,016</w:t>
            </w:r>
          </w:p>
        </w:tc>
        <w:tc>
          <w:tcPr>
            <w:tcW w:w="3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186,050</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(4,494)</w:t>
            </w:r>
          </w:p>
        </w:tc>
        <w:tc>
          <w:tcPr>
            <w:tcW w:w="40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372,572</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tcBorders>
          </w:tcPr>
          <w:p>
            <w:pPr>
              <w:spacing w:after="0" w:line="20" w:lineRule="exact"/>
              <w:rPr>
                <w:sz w:val="1"/>
                <w:szCs w:val="1"/>
                <w:color w:val="auto"/>
              </w:rPr>
            </w:pPr>
          </w:p>
        </w:tc>
        <w:tc>
          <w:tcPr>
            <w:tcW w:w="310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42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3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42" w:lineRule="exact"/>
        <w:rPr>
          <w:sz w:val="20"/>
          <w:szCs w:val="20"/>
          <w:color w:val="auto"/>
        </w:rPr>
      </w:pPr>
    </w:p>
    <w:p>
      <w:pPr>
        <w:ind w:left="160" w:right="800" w:hanging="121"/>
        <w:spacing w:after="0" w:line="299"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6,714</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6,714</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181,402</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184,706</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361,708</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188,116</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184,706</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368,422</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-591185</wp:posOffset>
            </wp:positionV>
            <wp:extent cx="711517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-316865</wp:posOffset>
            </wp:positionV>
            <wp:extent cx="71151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60"/>
          </w:cols>
          <w:pgMar w:left="320" w:top="125" w:right="359" w:bottom="1440" w:gutter="0" w:footer="0" w:header="0"/>
          <w:type w:val="continuous"/>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43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vMerge w:val="restart"/>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0" w:type="dxa"/>
            <w:vAlign w:val="bottom"/>
          </w:tcPr>
          <w:p>
            <w:pPr>
              <w:spacing w:after="0"/>
              <w:rPr>
                <w:sz w:val="24"/>
                <w:szCs w:val="24"/>
                <w:color w:val="auto"/>
              </w:rPr>
            </w:pPr>
          </w:p>
        </w:tc>
        <w:tc>
          <w:tcPr>
            <w:tcW w:w="4320" w:type="dxa"/>
            <w:vAlign w:val="bottom"/>
            <w:gridSpan w:val="3"/>
            <w:vMerge w:val="restart"/>
          </w:tcPr>
          <w:p>
            <w:pPr>
              <w:spacing w:after="0"/>
              <w:rPr>
                <w:sz w:val="20"/>
                <w:szCs w:val="20"/>
                <w:color w:val="auto"/>
              </w:rPr>
            </w:pPr>
            <w:r>
              <w:rPr>
                <w:rFonts w:ascii="Arial" w:cs="Arial" w:eastAsia="Arial" w:hAnsi="Arial"/>
                <w:sz w:val="16"/>
                <w:szCs w:val="16"/>
                <w:color w:val="auto"/>
              </w:rPr>
              <w:t>Six Months Ended June 30, 2022</w:t>
            </w:r>
          </w:p>
        </w:tc>
        <w:tc>
          <w:tcPr>
            <w:tcW w:w="220" w:type="dxa"/>
            <w:vAlign w:val="bottom"/>
          </w:tcPr>
          <w:p>
            <w:pPr>
              <w:spacing w:after="0"/>
              <w:rPr>
                <w:sz w:val="24"/>
                <w:szCs w:val="24"/>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24"/>
                <w:szCs w:val="24"/>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right"/>
              <w:ind w:right="5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2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320" w:type="dxa"/>
            <w:vAlign w:val="bottom"/>
            <w:gridSpan w:val="3"/>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341,838</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790,087</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1,131,925</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84,190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83,991</w:t>
            </w:r>
          </w:p>
        </w:tc>
        <w:tc>
          <w:tcPr>
            <w:tcW w:w="0" w:type="dxa"/>
            <w:vAlign w:val="bottom"/>
          </w:tcPr>
          <w:p>
            <w:pPr>
              <w:spacing w:after="0"/>
              <w:rPr>
                <w:sz w:val="1"/>
                <w:szCs w:val="1"/>
                <w:color w:val="auto"/>
              </w:rPr>
            </w:pPr>
          </w:p>
        </w:tc>
      </w:tr>
      <w:tr>
        <w:trPr>
          <w:trHeight w:val="217"/>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18,703</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18,703</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15,820</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16,236</w:t>
            </w:r>
          </w:p>
        </w:tc>
        <w:tc>
          <w:tcPr>
            <w:tcW w:w="0" w:type="dxa"/>
            <w:vAlign w:val="bottom"/>
          </w:tcPr>
          <w:p>
            <w:pPr>
              <w:spacing w:after="0"/>
              <w:rPr>
                <w:sz w:val="1"/>
                <w:szCs w:val="1"/>
                <w:color w:val="auto"/>
              </w:rPr>
            </w:pPr>
          </w:p>
        </w:tc>
      </w:tr>
      <w:tr>
        <w:trPr>
          <w:trHeight w:val="217"/>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30,616</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18,919</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(8,297)</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41,238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2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406,977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893,612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(8,496)</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1,292,093</w:t>
            </w:r>
          </w:p>
        </w:tc>
        <w:tc>
          <w:tcPr>
            <w:tcW w:w="0" w:type="dxa"/>
            <w:vAlign w:val="bottom"/>
          </w:tcPr>
          <w:p>
            <w:pPr>
              <w:spacing w:after="0"/>
              <w:rPr>
                <w:sz w:val="1"/>
                <w:szCs w:val="1"/>
                <w:color w:val="auto"/>
              </w:rPr>
            </w:pPr>
          </w:p>
        </w:tc>
      </w:tr>
      <w:tr>
        <w:trPr>
          <w:trHeight w:val="216"/>
        </w:trPr>
        <w:tc>
          <w:tcPr>
            <w:tcW w:w="40" w:type="dxa"/>
            <w:vAlign w:val="bottom"/>
            <w:tcBorders>
              <w:right w:val="single" w:sz="8" w:color="CEFFE7"/>
            </w:tcBorders>
          </w:tcPr>
          <w:p>
            <w:pPr>
              <w:spacing w:after="0"/>
              <w:rPr>
                <w:sz w:val="18"/>
                <w:szCs w:val="18"/>
                <w:color w:val="auto"/>
              </w:rPr>
            </w:pPr>
          </w:p>
        </w:tc>
        <w:tc>
          <w:tcPr>
            <w:tcW w:w="43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3,940</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1,949</w:t>
            </w:r>
          </w:p>
        </w:tc>
        <w:tc>
          <w:tcPr>
            <w:tcW w:w="240" w:type="dxa"/>
            <w:vAlign w:val="bottom"/>
            <w:tcBorders>
              <w:bottom w:val="single" w:sz="8" w:color="auto"/>
            </w:tcBorders>
            <w:shd w:val="clear" w:color="auto" w:fill="CEFFE7"/>
          </w:tcPr>
          <w:p>
            <w:pPr>
              <w:spacing w:after="0"/>
              <w:rPr>
                <w:sz w:val="18"/>
                <w:szCs w:val="18"/>
                <w:color w:val="auto"/>
              </w:rPr>
            </w:pP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(217)</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5,672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410,917</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895,561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(8,713)</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1,297,765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300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right w:val="single" w:sz="8" w:color="CEFFE7"/>
            </w:tcBorders>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140" w:type="dxa"/>
            <w:vAlign w:val="bottom"/>
            <w:shd w:val="clear" w:color="auto" w:fill="CEFFE7"/>
          </w:tcPr>
          <w:p>
            <w:pPr>
              <w:spacing w:after="0"/>
              <w:rPr>
                <w:sz w:val="10"/>
                <w:szCs w:val="10"/>
                <w:color w:val="auto"/>
              </w:rPr>
            </w:pPr>
          </w:p>
        </w:tc>
        <w:tc>
          <w:tcPr>
            <w:tcW w:w="30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4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42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1500" w:type="dxa"/>
            <w:vAlign w:val="bottom"/>
            <w:shd w:val="clear" w:color="auto" w:fill="CEFFE7"/>
          </w:tcPr>
          <w:p>
            <w:pPr>
              <w:spacing w:after="0"/>
              <w:rPr>
                <w:sz w:val="10"/>
                <w:szCs w:val="10"/>
                <w:color w:val="auto"/>
              </w:rPr>
            </w:pPr>
          </w:p>
        </w:tc>
        <w:tc>
          <w:tcPr>
            <w:tcW w:w="400" w:type="dxa"/>
            <w:vAlign w:val="bottom"/>
            <w:shd w:val="clear" w:color="auto" w:fill="CEFFE7"/>
          </w:tcPr>
          <w:p>
            <w:pPr>
              <w:spacing w:after="0"/>
              <w:rPr>
                <w:sz w:val="10"/>
                <w:szCs w:val="10"/>
                <w:color w:val="auto"/>
              </w:rPr>
            </w:pPr>
          </w:p>
        </w:tc>
        <w:tc>
          <w:tcPr>
            <w:tcW w:w="13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13,784</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439"/>
              <w:spacing w:after="0"/>
              <w:rPr>
                <w:sz w:val="20"/>
                <w:szCs w:val="20"/>
                <w:color w:val="auto"/>
              </w:rPr>
            </w:pPr>
            <w:r>
              <w:rPr>
                <w:rFonts w:ascii="Arial" w:cs="Arial" w:eastAsia="Arial" w:hAnsi="Arial"/>
                <w:sz w:val="16"/>
                <w:szCs w:val="16"/>
                <w:color w:val="auto"/>
              </w:rPr>
              <w:t>— $</w:t>
            </w:r>
          </w:p>
        </w:tc>
        <w:tc>
          <w:tcPr>
            <w:tcW w:w="1600" w:type="dxa"/>
            <w:vAlign w:val="bottom"/>
            <w:gridSpan w:val="2"/>
          </w:tcPr>
          <w:p>
            <w:pPr>
              <w:jc w:val="right"/>
              <w:ind w:right="339"/>
              <w:spacing w:after="0"/>
              <w:rPr>
                <w:sz w:val="20"/>
                <w:szCs w:val="20"/>
                <w:color w:val="auto"/>
              </w:rPr>
            </w:pPr>
            <w:r>
              <w:rPr>
                <w:rFonts w:ascii="Arial" w:cs="Arial" w:eastAsia="Arial" w:hAnsi="Arial"/>
                <w:sz w:val="16"/>
                <w:szCs w:val="16"/>
                <w:color w:val="auto"/>
              </w:rPr>
              <w:t>— $</w:t>
            </w:r>
          </w:p>
        </w:tc>
        <w:tc>
          <w:tcPr>
            <w:tcW w:w="1200" w:type="dxa"/>
            <w:vAlign w:val="bottom"/>
          </w:tcPr>
          <w:p>
            <w:pPr>
              <w:jc w:val="right"/>
              <w:spacing w:after="0"/>
              <w:rPr>
                <w:sz w:val="20"/>
                <w:szCs w:val="20"/>
                <w:color w:val="auto"/>
              </w:rPr>
            </w:pPr>
            <w:r>
              <w:rPr>
                <w:rFonts w:ascii="Arial" w:cs="Arial" w:eastAsia="Arial" w:hAnsi="Arial"/>
                <w:sz w:val="16"/>
                <w:szCs w:val="16"/>
                <w:color w:val="auto"/>
              </w:rPr>
              <w:t>13,784</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393,193</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893,612</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1,278,309</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406,977</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893,612</w:t>
            </w:r>
          </w:p>
        </w:tc>
        <w:tc>
          <w:tcPr>
            <w:tcW w:w="6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1,292,093</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-453390</wp:posOffset>
            </wp:positionV>
            <wp:extent cx="71151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-179070</wp:posOffset>
            </wp:positionV>
            <wp:extent cx="71151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18" w:right="339" w:bottom="1440" w:gutter="0" w:footer="0" w:header="0"/>
          <w:type w:val="continuous"/>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gridSpan w:val="2"/>
            <w:vMerge w:val="restart"/>
          </w:tcPr>
          <w:p>
            <w:pPr>
              <w:spacing w:after="0"/>
              <w:rPr>
                <w:sz w:val="20"/>
                <w:szCs w:val="20"/>
                <w:color w:val="auto"/>
              </w:rPr>
            </w:pPr>
            <w:r>
              <w:rPr>
                <w:rFonts w:ascii="Arial" w:cs="Arial" w:eastAsia="Arial" w:hAnsi="Arial"/>
                <w:sz w:val="16"/>
                <w:szCs w:val="16"/>
                <w:color w:val="auto"/>
              </w:rPr>
              <w:t>Six Months Ended June 30, 2021</w:t>
            </w:r>
          </w:p>
        </w:tc>
        <w:tc>
          <w:tcPr>
            <w:tcW w:w="220" w:type="dxa"/>
            <w:vAlign w:val="bottom"/>
          </w:tcPr>
          <w:p>
            <w:pPr>
              <w:spacing w:after="0"/>
              <w:rPr>
                <w:sz w:val="16"/>
                <w:szCs w:val="16"/>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6"/>
                <w:szCs w:val="16"/>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20" w:type="dxa"/>
            <w:vAlign w:val="bottom"/>
          </w:tcPr>
          <w:p>
            <w:pPr>
              <w:spacing w:after="0"/>
              <w:rPr>
                <w:sz w:val="16"/>
                <w:szCs w:val="16"/>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40" w:type="dxa"/>
            <w:vAlign w:val="bottom"/>
            <w:gridSpan w:val="2"/>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099"/>
              <w:spacing w:after="0" w:line="170" w:lineRule="exact"/>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368,251</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485,450</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853,701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79,600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(219)</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79,381</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17,014</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17,014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12,038</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12,198</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25,411</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19,515</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(8,580)</w:t>
            </w:r>
          </w:p>
        </w:tc>
        <w:tc>
          <w:tcPr>
            <w:tcW w:w="4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36,346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422,714</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584,725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(8,799)</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998,640</w:t>
            </w:r>
          </w:p>
        </w:tc>
        <w:tc>
          <w:tcPr>
            <w:tcW w:w="0" w:type="dxa"/>
            <w:vAlign w:val="bottom"/>
          </w:tcPr>
          <w:p>
            <w:pPr>
              <w:spacing w:after="0"/>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3,706</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3,844</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(186)</w:t>
            </w:r>
          </w:p>
        </w:tc>
        <w:tc>
          <w:tcPr>
            <w:tcW w:w="4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426,420</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588,569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(8,985)</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1,006,004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240" w:type="dxa"/>
            <w:vAlign w:val="bottom"/>
            <w:tcBorders>
              <w:bottom w:val="single" w:sz="8" w:color="CEFFE7"/>
            </w:tcBorders>
          </w:tcPr>
          <w:p>
            <w:pPr>
              <w:spacing w:after="0" w:line="20" w:lineRule="exact"/>
              <w:rPr>
                <w:sz w:val="1"/>
                <w:szCs w:val="1"/>
                <w:color w:val="auto"/>
              </w:rPr>
            </w:pPr>
          </w:p>
        </w:tc>
        <w:tc>
          <w:tcPr>
            <w:tcW w:w="310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240" w:type="dxa"/>
            <w:vAlign w:val="bottom"/>
            <w:shd w:val="clear" w:color="auto" w:fill="CEFFE7"/>
          </w:tcPr>
          <w:p>
            <w:pPr>
              <w:spacing w:after="0"/>
              <w:rPr>
                <w:sz w:val="10"/>
                <w:szCs w:val="10"/>
                <w:color w:val="auto"/>
              </w:rPr>
            </w:pPr>
          </w:p>
        </w:tc>
        <w:tc>
          <w:tcPr>
            <w:tcW w:w="31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4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42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148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13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ind w:left="140" w:right="800" w:hanging="120"/>
        <w:spacing w:after="0" w:line="299"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13,690</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13,690</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409,024</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584,725</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(8,799)</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984,950</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422,714</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584,725</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(8,799)</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998,640</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-454025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-179705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18" w:right="339" w:bottom="1440" w:gutter="0" w:footer="0" w:header="0"/>
          <w:type w:val="continuous"/>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0000" w:firstLine="8"/>
        <w:spacing w:after="0" w:line="554" w:lineRule="auto"/>
        <w:tabs>
          <w:tab w:leader="none" w:pos="3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in the accompanying Condensed Consolidated Balance Sheets (in thousands)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June 30, 2022</w:t>
            </w: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Balance</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0" w:type="dxa"/>
            <w:vAlign w:val="bottom"/>
          </w:tcPr>
          <w:p>
            <w:pPr>
              <w:spacing w:after="0"/>
              <w:rPr>
                <w:sz w:val="13"/>
                <w:szCs w:val="13"/>
                <w:color w:val="auto"/>
              </w:rPr>
            </w:pPr>
          </w:p>
        </w:tc>
        <w:tc>
          <w:tcPr>
            <w:tcW w:w="12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Balance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Outstanding</w:t>
            </w:r>
          </w:p>
        </w:tc>
        <w:tc>
          <w:tcPr>
            <w:tcW w:w="146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Outstanding</w:t>
            </w:r>
          </w:p>
        </w:tc>
        <w:tc>
          <w:tcPr>
            <w:tcW w:w="14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spacing w:after="0"/>
              <w:rPr>
                <w:sz w:val="18"/>
                <w:szCs w:val="18"/>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14,239</w:t>
            </w:r>
          </w:p>
        </w:tc>
        <w:tc>
          <w:tcPr>
            <w:tcW w:w="2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CP Program</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335,050</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420,180</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4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Notes payable</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335,050</w:t>
            </w:r>
          </w:p>
        </w:tc>
        <w:tc>
          <w:tcPr>
            <w:tcW w:w="720" w:type="dxa"/>
            <w:vAlign w:val="bottom"/>
            <w:tcBorders>
              <w:bottom w:val="single" w:sz="8" w:color="auto"/>
            </w:tcBorders>
            <w:shd w:val="clear" w:color="auto" w:fill="CEFFE7"/>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14,239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82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0" w:type="dxa"/>
            <w:vAlign w:val="bottom"/>
          </w:tcPr>
          <w:p>
            <w:pPr>
              <w:spacing w:after="0"/>
              <w:rPr>
                <w:sz w:val="1"/>
                <w:szCs w:val="1"/>
                <w:color w:val="auto"/>
              </w:rPr>
            </w:pPr>
          </w:p>
        </w:tc>
      </w:tr>
      <w:tr>
        <w:trPr>
          <w:trHeight w:val="20"/>
        </w:trPr>
        <w:tc>
          <w:tcPr>
            <w:tcW w:w="5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 Letters of credit are off-balance sheet commitments that reduce the borrowing capacity available on our corporate Revolving Credit Facility.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net short-term repayments related to our Revolving Credit Facility and CP Program during the six months ended June 30, 2022 were $85 million. The weighted average interest rate on short-term borrowings related to our Revolving Credit Facility and CP Program at June 30, 2022 was 1.74%.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26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Under our Revolving Credit Facility, we are required to maintain a Consolidated Indebtedness to Capitalization Ratio not to exceed 0.65 to 1.00. Subject to applicable cure periods, a violation of any of these covenants would constitute an event of default that entitles the lenders to terminate their remaining commitments and accelerate all principal and interest outstanding.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20"/>
                <w:szCs w:val="20"/>
                <w:color w:val="auto"/>
              </w:rPr>
            </w:pPr>
            <w:r>
              <w:rPr>
                <w:rFonts w:ascii="Arial" w:cs="Arial" w:eastAsia="Arial" w:hAnsi="Arial"/>
                <w:sz w:val="16"/>
                <w:szCs w:val="16"/>
                <w:color w:val="auto"/>
              </w:rPr>
              <w:t>We were in compliance with our covenants at June 30, 2022 as shown below:</w:t>
            </w:r>
          </w:p>
        </w:tc>
        <w:tc>
          <w:tcPr>
            <w:tcW w:w="2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4"/>
        </w:trPr>
        <w:tc>
          <w:tcPr>
            <w:tcW w:w="6180" w:type="dxa"/>
            <w:vAlign w:val="bottom"/>
            <w:tcBorders>
              <w:bottom w:val="single" w:sz="8" w:color="CEFFE7"/>
            </w:tcBorders>
          </w:tcPr>
          <w:p>
            <w:pPr>
              <w:spacing w:after="0"/>
              <w:rPr>
                <w:sz w:val="24"/>
                <w:szCs w:val="2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June 30, 2022</w:t>
            </w:r>
          </w:p>
        </w:tc>
        <w:tc>
          <w:tcPr>
            <w:tcW w:w="254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r>
      <w:tr>
        <w:trPr>
          <w:trHeight w:val="210"/>
        </w:trPr>
        <w:tc>
          <w:tcPr>
            <w:tcW w:w="61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520" w:type="dxa"/>
            <w:vAlign w:val="bottom"/>
            <w:shd w:val="clear" w:color="auto" w:fill="CEFFE7"/>
          </w:tcPr>
          <w:p>
            <w:pPr>
              <w:jc w:val="right"/>
              <w:ind w:right="919"/>
              <w:spacing w:after="0"/>
              <w:rPr>
                <w:sz w:val="20"/>
                <w:szCs w:val="20"/>
                <w:color w:val="auto"/>
              </w:rPr>
            </w:pPr>
            <w:r>
              <w:rPr>
                <w:rFonts w:ascii="Arial" w:cs="Arial" w:eastAsia="Arial" w:hAnsi="Arial"/>
                <w:sz w:val="16"/>
                <w:szCs w:val="16"/>
                <w:color w:val="auto"/>
              </w:rPr>
              <w:t>60.8%</w:t>
            </w:r>
          </w:p>
        </w:tc>
        <w:tc>
          <w:tcPr>
            <w:tcW w:w="1520" w:type="dxa"/>
            <w:vAlign w:val="bottom"/>
            <w:shd w:val="clear" w:color="auto" w:fill="CEFFE7"/>
          </w:tcPr>
          <w:p>
            <w:pPr>
              <w:ind w:left="58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Wyoming Electric’s debt to capitalization ratio was 50%, which was in compliance with these financial covenants.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26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During the three months ended June 30, 2022, we issued a total of 0.2 million shares of common stock under the ATM for proceeds of $16 million, net of $0.2 million in issuance costs. During the six months ended June 30, 2022, we issued a total of 0.3 million shares of common stock under the ATM for proceeds of $20 million, net of $0.2 million in issuance costs. During the three and six months ended June 30, 2021, we issued a total of 0.6 million shares of common stock under the ATM for proceeds of $40 million, net of $0.4 million in issuance costs.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 reconciliation of share amounts used to compute earnings per share in the accompanying Condensed Consolidated Statements of Income was as follows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4"/>
          </w:tcPr>
          <w:p>
            <w:pPr>
              <w:ind w:left="120"/>
              <w:spacing w:after="0"/>
              <w:rPr>
                <w:sz w:val="20"/>
                <w:szCs w:val="20"/>
                <w:color w:val="auto"/>
              </w:rPr>
            </w:pPr>
            <w:r>
              <w:rPr>
                <w:rFonts w:ascii="Arial" w:cs="Arial" w:eastAsia="Arial" w:hAnsi="Arial"/>
                <w:sz w:val="16"/>
                <w:szCs w:val="16"/>
                <w:color w:val="auto"/>
              </w:rPr>
              <w:t>Three Months Ended June 30,</w:t>
            </w:r>
          </w:p>
        </w:tc>
        <w:tc>
          <w:tcPr>
            <w:tcW w:w="280" w:type="dxa"/>
            <w:vAlign w:val="bottom"/>
          </w:tcPr>
          <w:p>
            <w:pPr>
              <w:spacing w:after="0"/>
              <w:rPr>
                <w:sz w:val="18"/>
                <w:szCs w:val="18"/>
                <w:color w:val="auto"/>
              </w:rPr>
            </w:pPr>
          </w:p>
        </w:tc>
        <w:tc>
          <w:tcPr>
            <w:tcW w:w="2600" w:type="dxa"/>
            <w:vAlign w:val="bottom"/>
            <w:gridSpan w:val="3"/>
          </w:tcPr>
          <w:p>
            <w:pPr>
              <w:jc w:val="right"/>
              <w:ind w:right="379"/>
              <w:spacing w:after="0"/>
              <w:rPr>
                <w:sz w:val="20"/>
                <w:szCs w:val="20"/>
                <w:color w:val="auto"/>
              </w:rPr>
            </w:pPr>
            <w:r>
              <w:rPr>
                <w:rFonts w:ascii="Arial" w:cs="Arial" w:eastAsia="Arial" w:hAnsi="Arial"/>
                <w:sz w:val="16"/>
                <w:szCs w:val="16"/>
                <w:color w:val="auto"/>
              </w:rPr>
              <w:t>Six Months Ended June 30,</w:t>
            </w:r>
          </w:p>
        </w:tc>
      </w:tr>
      <w:tr>
        <w:trPr>
          <w:trHeight w:val="217"/>
        </w:trPr>
        <w:tc>
          <w:tcPr>
            <w:tcW w:w="5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r>
      <w:tr>
        <w:trPr>
          <w:trHeight w:val="143"/>
        </w:trPr>
        <w:tc>
          <w:tcPr>
            <w:tcW w:w="5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41"/>
        </w:trPr>
        <w:tc>
          <w:tcPr>
            <w:tcW w:w="5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33,415</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25,161</w:t>
            </w:r>
          </w:p>
        </w:tc>
        <w:tc>
          <w:tcPr>
            <w:tcW w:w="14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150,941</w:t>
            </w:r>
          </w:p>
        </w:tc>
        <w:tc>
          <w:tcPr>
            <w:tcW w:w="3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121,477</w:t>
            </w:r>
          </w:p>
        </w:tc>
      </w:tr>
      <w:tr>
        <w:trPr>
          <w:trHeight w:val="20"/>
        </w:trPr>
        <w:tc>
          <w:tcPr>
            <w:tcW w:w="534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r>
      <w:tr>
        <w:trPr>
          <w:trHeight w:val="109"/>
        </w:trPr>
        <w:tc>
          <w:tcPr>
            <w:tcW w:w="5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5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22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64,721</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62,867</w:t>
            </w:r>
          </w:p>
        </w:tc>
        <w:tc>
          <w:tcPr>
            <w:tcW w:w="14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64,643</w:t>
            </w:r>
          </w:p>
        </w:tc>
        <w:tc>
          <w:tcPr>
            <w:tcW w:w="36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62,751</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3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Equity compensation</w:t>
            </w:r>
          </w:p>
        </w:tc>
        <w:tc>
          <w:tcPr>
            <w:tcW w:w="2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162</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179</w:t>
            </w:r>
          </w:p>
        </w:tc>
        <w:tc>
          <w:tcPr>
            <w:tcW w:w="36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64,883</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62,817</w:t>
            </w:r>
          </w:p>
        </w:tc>
      </w:tr>
      <w:tr>
        <w:trPr>
          <w:trHeight w:val="20"/>
        </w:trPr>
        <w:tc>
          <w:tcPr>
            <w:tcW w:w="53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340" w:type="dxa"/>
            <w:vAlign w:val="bottom"/>
            <w:shd w:val="clear" w:color="auto" w:fill="CEFFE7"/>
          </w:tcPr>
          <w:p>
            <w:pPr>
              <w:spacing w:after="0"/>
              <w:rPr>
                <w:sz w:val="11"/>
                <w:szCs w:val="11"/>
                <w:color w:val="auto"/>
              </w:rPr>
            </w:pPr>
          </w:p>
        </w:tc>
        <w:tc>
          <w:tcPr>
            <w:tcW w:w="220" w:type="dxa"/>
            <w:vAlign w:val="bottom"/>
            <w:shd w:val="clear" w:color="auto" w:fill="CEFFE7"/>
          </w:tcPr>
          <w:p>
            <w:pPr>
              <w:spacing w:after="0"/>
              <w:rPr>
                <w:sz w:val="11"/>
                <w:szCs w:val="11"/>
                <w:color w:val="auto"/>
              </w:rPr>
            </w:pPr>
          </w:p>
        </w:tc>
        <w:tc>
          <w:tcPr>
            <w:tcW w:w="118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c>
          <w:tcPr>
            <w:tcW w:w="140" w:type="dxa"/>
            <w:vAlign w:val="bottom"/>
            <w:shd w:val="clear" w:color="auto" w:fill="CEFFE7"/>
          </w:tcPr>
          <w:p>
            <w:pPr>
              <w:spacing w:after="0"/>
              <w:rPr>
                <w:sz w:val="11"/>
                <w:szCs w:val="11"/>
                <w:color w:val="auto"/>
              </w:rPr>
            </w:pPr>
          </w:p>
        </w:tc>
        <w:tc>
          <w:tcPr>
            <w:tcW w:w="28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c>
          <w:tcPr>
            <w:tcW w:w="36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3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Earnings per share, Basic</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0.52</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EFFE7"/>
          </w:tcPr>
          <w:p>
            <w:pPr>
              <w:spacing w:after="0"/>
              <w:rPr>
                <w:sz w:val="18"/>
                <w:szCs w:val="18"/>
                <w:color w:val="auto"/>
              </w:rPr>
            </w:pP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2.33</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w:t>
            </w:r>
          </w:p>
        </w:tc>
      </w:tr>
      <w:tr>
        <w:trPr>
          <w:trHeight w:val="215"/>
        </w:trPr>
        <w:tc>
          <w:tcPr>
            <w:tcW w:w="534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0.52</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2.33</w:t>
            </w:r>
          </w:p>
        </w:tc>
        <w:tc>
          <w:tcPr>
            <w:tcW w:w="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1.93</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560" w:type="dxa"/>
            <w:vAlign w:val="bottom"/>
            <w:gridSpan w:val="2"/>
          </w:tcPr>
          <w:p>
            <w:pPr>
              <w:jc w:val="right"/>
              <w:spacing w:after="0"/>
              <w:rPr>
                <w:sz w:val="20"/>
                <w:szCs w:val="20"/>
                <w:color w:val="auto"/>
              </w:rPr>
            </w:pPr>
            <w:r>
              <w:rPr>
                <w:rFonts w:ascii="Arial" w:cs="Arial" w:eastAsia="Arial" w:hAnsi="Arial"/>
                <w:sz w:val="16"/>
                <w:szCs w:val="16"/>
                <w:color w:val="auto"/>
              </w:rPr>
              <w:t>Three Months Ended June 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2"/>
          </w:tcPr>
          <w:p>
            <w:pPr>
              <w:jc w:val="right"/>
              <w:ind w:right="359"/>
              <w:spacing w:after="0"/>
              <w:rPr>
                <w:sz w:val="20"/>
                <w:szCs w:val="20"/>
                <w:color w:val="auto"/>
              </w:rPr>
            </w:pPr>
            <w:r>
              <w:rPr>
                <w:rFonts w:ascii="Arial" w:cs="Arial" w:eastAsia="Arial" w:hAnsi="Arial"/>
                <w:sz w:val="16"/>
                <w:szCs w:val="16"/>
                <w:color w:val="auto"/>
              </w:rPr>
              <w:t>Six Months Ended June 30,</w:t>
            </w:r>
          </w:p>
        </w:tc>
      </w:tr>
      <w:tr>
        <w:trPr>
          <w:trHeight w:val="217"/>
        </w:trPr>
        <w:tc>
          <w:tcPr>
            <w:tcW w:w="6420" w:type="dxa"/>
            <w:vAlign w:val="bottom"/>
            <w:gridSpan w:val="2"/>
          </w:tcPr>
          <w:p>
            <w:pPr>
              <w:jc w:val="right"/>
              <w:ind w:right="59"/>
              <w:spacing w:after="0"/>
              <w:rPr>
                <w:sz w:val="20"/>
                <w:szCs w:val="20"/>
                <w:color w:val="auto"/>
              </w:rPr>
            </w:pPr>
            <w:r>
              <w:rPr>
                <w:rFonts w:ascii="Arial" w:cs="Arial" w:eastAsia="Arial" w:hAnsi="Arial"/>
                <w:sz w:val="16"/>
                <w:szCs w:val="16"/>
                <w:color w:val="auto"/>
              </w:rPr>
              <w:t>2022</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color w:val="auto"/>
              </w:rPr>
              <w:t>2022</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2021</w:t>
            </w:r>
          </w:p>
        </w:tc>
      </w:tr>
      <w:tr>
        <w:trPr>
          <w:trHeight w:val="251"/>
        </w:trPr>
        <w:tc>
          <w:tcPr>
            <w:tcW w:w="53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16"/>
        </w:trPr>
        <w:tc>
          <w:tcPr>
            <w:tcW w:w="6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1520" w:type="dxa"/>
            <w:vAlign w:val="bottom"/>
            <w:shd w:val="clear" w:color="auto" w:fill="CEFFE7"/>
          </w:tcPr>
          <w:p>
            <w:pPr>
              <w:ind w:lef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FE7"/>
          </w:tcPr>
          <w:p>
            <w:pPr>
              <w:spacing w:after="0"/>
              <w:rPr>
                <w:sz w:val="18"/>
                <w:szCs w:val="18"/>
                <w:color w:val="auto"/>
              </w:rPr>
            </w:pP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3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Restricted stock</w:t>
            </w: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EFFE7"/>
            </w:tcBorders>
          </w:tcPr>
          <w:p>
            <w:pPr>
              <w:spacing w:after="0"/>
              <w:rPr>
                <w:sz w:val="18"/>
                <w:szCs w:val="18"/>
                <w:color w:val="auto"/>
              </w:rPr>
            </w:pPr>
          </w:p>
        </w:tc>
        <w:tc>
          <w:tcPr>
            <w:tcW w:w="1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642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Anti-dilutive shares</w:t>
            </w:r>
          </w:p>
        </w:tc>
        <w:tc>
          <w:tcPr>
            <w:tcW w:w="1520" w:type="dxa"/>
            <w:vAlign w:val="bottom"/>
            <w:shd w:val="clear" w:color="auto" w:fill="CEFFE7"/>
          </w:tcPr>
          <w:p>
            <w:pPr>
              <w:ind w:lef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EFFE7"/>
          </w:tcPr>
          <w:p>
            <w:pPr>
              <w:spacing w:after="0"/>
              <w:rPr>
                <w:sz w:val="20"/>
                <w:szCs w:val="20"/>
                <w:color w:val="auto"/>
              </w:rPr>
            </w:pP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38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8240" w:firstLine="8"/>
        <w:spacing w:after="0" w:line="572" w:lineRule="auto"/>
        <w:tabs>
          <w:tab w:leader="none" w:pos="37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68" w:lineRule="exact"/>
        <w:rPr>
          <w:sz w:val="20"/>
          <w:szCs w:val="20"/>
          <w:color w:val="auto"/>
        </w:rPr>
      </w:pPr>
    </w:p>
    <w:p>
      <w:pPr>
        <w:ind w:left="500" w:right="180" w:hanging="330"/>
        <w:spacing w:after="0" w:line="265"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(Winter Storm Uri), geopolitical events, market speculation, inflation, pipeline constraints, and other factors that may impact natural gas and electric supply and demand; and</w:t>
      </w:r>
    </w:p>
    <w:p>
      <w:pPr>
        <w:spacing w:after="0" w:line="213" w:lineRule="exact"/>
        <w:rPr>
          <w:rFonts w:ascii="Arial" w:cs="Arial" w:eastAsia="Arial" w:hAnsi="Arial"/>
          <w:sz w:val="16"/>
          <w:szCs w:val="16"/>
          <w:color w:val="auto"/>
        </w:rPr>
      </w:pPr>
    </w:p>
    <w:p>
      <w:pPr>
        <w:ind w:left="500" w:right="60" w:hanging="330"/>
        <w:spacing w:after="0" w:line="286"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rate risk associated with outstanding variable rate debt and future debt, including reduced access to liquidity during periods of extreme capital markets volatility, such as the 2008 financial crisis and the COVID-19 pandemic.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4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18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regulatory commission guidelines. When the related costs are recovered through our rates, the hedging activity is recognized in the Condensed Consolidated Statements of Income.</w:t>
      </w:r>
    </w:p>
    <w:p>
      <w:pPr>
        <w:spacing w:after="0" w:line="200"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wholesale power purchase and sale contracts to manage purchased power costs and load requirements associated with serving our electric customers. Periodically, certain wholesale energy contracts are considered derivative instruments due to not qualifying for the normal purchase and normal sales exception to derivative accounting. Changes in the fair value of these commodity derivatives are recognized in the Condensed Consolidated Statements of Income.</w:t>
      </w:r>
    </w:p>
    <w:p>
      <w:pPr>
        <w:spacing w:after="0" w:line="21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July 2022 through December 2024.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060" w:type="dxa"/>
            <w:vAlign w:val="bottom"/>
            <w:gridSpan w:val="4"/>
          </w:tcPr>
          <w:p>
            <w:pPr>
              <w:ind w:left="960"/>
              <w:spacing w:after="0"/>
              <w:rPr>
                <w:sz w:val="20"/>
                <w:szCs w:val="20"/>
                <w:color w:val="auto"/>
              </w:rPr>
            </w:pPr>
            <w:r>
              <w:rPr>
                <w:rFonts w:ascii="Arial" w:cs="Arial" w:eastAsia="Arial" w:hAnsi="Arial"/>
                <w:sz w:val="16"/>
                <w:szCs w:val="16"/>
                <w:color w:val="auto"/>
              </w:rPr>
              <w:t>June 30, 2022</w:t>
            </w:r>
          </w:p>
        </w:tc>
        <w:tc>
          <w:tcPr>
            <w:tcW w:w="2980" w:type="dxa"/>
            <w:vAlign w:val="bottom"/>
            <w:gridSpan w:val="3"/>
          </w:tcPr>
          <w:p>
            <w:pPr>
              <w:ind w:left="780"/>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6"/>
                <w:szCs w:val="16"/>
                <w:color w:val="auto"/>
              </w:rPr>
              <w:t>Notional</w:t>
            </w:r>
          </w:p>
        </w:tc>
        <w:tc>
          <w:tcPr>
            <w:tcW w:w="14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color w:val="auto"/>
              </w:rPr>
              <w:t>Maximum</w:t>
            </w:r>
          </w:p>
        </w:tc>
        <w:tc>
          <w:tcPr>
            <w:tcW w:w="10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color w:val="auto"/>
              </w:rPr>
              <w:t>Notional</w:t>
            </w: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color w:val="auto"/>
              </w:rPr>
              <w:t>Maximum</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Term</w:t>
            </w:r>
          </w:p>
        </w:tc>
        <w:tc>
          <w:tcPr>
            <w:tcW w:w="154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6"/>
              </w:rPr>
              <w:t>Term</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rPr>
              <w:t>Amounts (MMBtus)</w:t>
            </w:r>
          </w:p>
        </w:tc>
        <w:tc>
          <w:tcPr>
            <w:tcW w:w="152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rPr>
              <w:t>Amounts (MMBtus)</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0" w:type="dxa"/>
            <w:vAlign w:val="bottom"/>
          </w:tcPr>
          <w:p>
            <w:pPr>
              <w:spacing w:after="0"/>
              <w:rPr>
                <w:sz w:val="1"/>
                <w:szCs w:val="1"/>
                <w:color w:val="auto"/>
              </w:rPr>
            </w:pPr>
          </w:p>
        </w:tc>
      </w:tr>
      <w:tr>
        <w:trPr>
          <w:trHeight w:val="209"/>
        </w:trPr>
        <w:tc>
          <w:tcPr>
            <w:tcW w:w="52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4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Borders>
              <w:top w:val="single" w:sz="8" w:color="CEFFE7"/>
            </w:tcBorders>
            <w:shd w:val="clear" w:color="auto" w:fill="CEFFE7"/>
          </w:tcPr>
          <w:p>
            <w:pPr>
              <w:spacing w:after="0"/>
              <w:rPr>
                <w:sz w:val="18"/>
                <w:szCs w:val="18"/>
                <w:color w:val="auto"/>
              </w:rPr>
            </w:pPr>
          </w:p>
        </w:tc>
        <w:tc>
          <w:tcPr>
            <w:tcW w:w="142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EFFE7"/>
            </w:tcBorders>
            <w:shd w:val="clear" w:color="auto" w:fill="CEFFE7"/>
          </w:tcPr>
          <w:p>
            <w:pPr>
              <w:spacing w:after="0"/>
              <w:rPr>
                <w:sz w:val="18"/>
                <w:szCs w:val="18"/>
                <w:color w:val="auto"/>
              </w:rPr>
            </w:pPr>
          </w:p>
        </w:tc>
        <w:tc>
          <w:tcPr>
            <w:tcW w:w="14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590,000</w:t>
            </w:r>
          </w:p>
        </w:tc>
        <w:tc>
          <w:tcPr>
            <w:tcW w:w="100" w:type="dxa"/>
            <w:vAlign w:val="bottom"/>
            <w:tcBorders>
              <w:top w:val="single" w:sz="8" w:color="CEFFE7"/>
            </w:tcBorders>
            <w:shd w:val="clear" w:color="auto" w:fill="CEFFE7"/>
          </w:tcPr>
          <w:p>
            <w:pPr>
              <w:spacing w:after="0"/>
              <w:rPr>
                <w:sz w:val="18"/>
                <w:szCs w:val="18"/>
                <w:color w:val="auto"/>
              </w:rPr>
            </w:pPr>
          </w:p>
        </w:tc>
        <w:tc>
          <w:tcPr>
            <w:tcW w:w="144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420" w:type="dxa"/>
            <w:vAlign w:val="bottom"/>
          </w:tcPr>
          <w:p>
            <w:pPr>
              <w:jc w:val="right"/>
              <w:spacing w:after="0"/>
              <w:rPr>
                <w:sz w:val="20"/>
                <w:szCs w:val="20"/>
                <w:color w:val="auto"/>
              </w:rPr>
            </w:pPr>
            <w:r>
              <w:rPr>
                <w:rFonts w:ascii="Arial" w:cs="Arial" w:eastAsia="Arial" w:hAnsi="Arial"/>
                <w:sz w:val="16"/>
                <w:szCs w:val="16"/>
                <w:color w:val="auto"/>
              </w:rPr>
              <w:t>430,000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3,100,000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7"/>
        </w:trPr>
        <w:tc>
          <w:tcPr>
            <w:tcW w:w="5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54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0</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870,000</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7,090,000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4,570,000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52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12,166,541</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16,416,677</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June 30, 2022, 2,416,000 MMBtus of natural gas over-the-counter swaps purchases were designated as cash flow hedges.</w:t>
      </w:r>
    </w:p>
    <w:p>
      <w:pPr>
        <w:spacing w:after="0" w:line="14" w:lineRule="exact"/>
        <w:rPr>
          <w:rFonts w:ascii="Arial" w:cs="Arial" w:eastAsia="Arial" w:hAnsi="Arial"/>
          <w:sz w:val="14"/>
          <w:szCs w:val="14"/>
          <w:color w:val="auto"/>
        </w:rPr>
      </w:pPr>
    </w:p>
    <w:p>
      <w:pPr>
        <w:ind w:left="360" w:hanging="352"/>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239" w:lineRule="exact"/>
        <w:rPr>
          <w:sz w:val="20"/>
          <w:szCs w:val="20"/>
          <w:color w:val="auto"/>
        </w:rPr>
      </w:pPr>
    </w:p>
    <w:p>
      <w:pPr>
        <w:ind w:right="620"/>
        <w:spacing w:after="0" w:line="275"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June 30, 2022, the Company posted $0.4 million related to such provisions, which is included in Other current assets on the Condensed Consolidated Balance Sheets.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900" w:type="dxa"/>
            <w:vAlign w:val="bottom"/>
            <w:vMerge w:val="restart"/>
          </w:tcPr>
          <w:p>
            <w:pPr>
              <w:ind w:left="1100"/>
              <w:spacing w:after="0"/>
              <w:rPr>
                <w:sz w:val="20"/>
                <w:szCs w:val="20"/>
                <w:color w:val="auto"/>
              </w:rPr>
            </w:pPr>
            <w:r>
              <w:rPr>
                <w:rFonts w:ascii="Arial" w:cs="Arial" w:eastAsia="Arial" w:hAnsi="Arial"/>
                <w:sz w:val="16"/>
                <w:szCs w:val="16"/>
                <w:color w:val="auto"/>
              </w:rPr>
              <w:t>Balance Sheet Location</w:t>
            </w:r>
          </w:p>
        </w:tc>
        <w:tc>
          <w:tcPr>
            <w:tcW w:w="140" w:type="dxa"/>
            <w:vAlign w:val="bottom"/>
          </w:tcPr>
          <w:p>
            <w:pPr>
              <w:spacing w:after="0"/>
              <w:rPr>
                <w:sz w:val="16"/>
                <w:szCs w:val="16"/>
                <w:color w:val="auto"/>
              </w:rPr>
            </w:pPr>
          </w:p>
        </w:tc>
        <w:tc>
          <w:tcPr>
            <w:tcW w:w="1240" w:type="dxa"/>
            <w:vAlign w:val="bottom"/>
            <w:vMerge w:val="restart"/>
          </w:tcPr>
          <w:p>
            <w:pPr>
              <w:jc w:val="right"/>
              <w:ind w:right="99"/>
              <w:spacing w:after="0"/>
              <w:rPr>
                <w:sz w:val="20"/>
                <w:szCs w:val="20"/>
                <w:color w:val="auto"/>
              </w:rPr>
            </w:pPr>
            <w:r>
              <w:rPr>
                <w:rFonts w:ascii="Arial" w:cs="Arial" w:eastAsia="Arial" w:hAnsi="Arial"/>
                <w:sz w:val="16"/>
                <w:szCs w:val="16"/>
                <w:color w:val="auto"/>
              </w:rPr>
              <w:t>June 30, 2022</w:t>
            </w:r>
          </w:p>
        </w:tc>
        <w:tc>
          <w:tcPr>
            <w:tcW w:w="140" w:type="dxa"/>
            <w:vAlign w:val="bottom"/>
          </w:tcPr>
          <w:p>
            <w:pPr>
              <w:spacing w:after="0"/>
              <w:rPr>
                <w:sz w:val="16"/>
                <w:szCs w:val="16"/>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39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9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4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(3,318)</w:t>
            </w:r>
          </w:p>
        </w:tc>
        <w:tc>
          <w:tcPr>
            <w:tcW w:w="14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3900" w:type="dxa"/>
            <w:vAlign w:val="bottom"/>
            <w:tcBorders>
              <w:bottom w:val="single" w:sz="8" w:color="CEFFE7"/>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EFFE7"/>
          </w:tcPr>
          <w:p>
            <w:pPr>
              <w:spacing w:after="0"/>
              <w:rPr>
                <w:sz w:val="20"/>
                <w:szCs w:val="20"/>
                <w:color w:val="auto"/>
              </w:rPr>
            </w:pPr>
          </w:p>
        </w:tc>
        <w:tc>
          <w:tcPr>
            <w:tcW w:w="390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24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24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9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923</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(1,401)</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EFFE7"/>
            </w:tcBorders>
          </w:tcPr>
          <w:p>
            <w:pPr>
              <w:ind w:left="300"/>
              <w:spacing w:after="0"/>
              <w:rPr>
                <w:sz w:val="20"/>
                <w:szCs w:val="20"/>
                <w:color w:val="auto"/>
              </w:rPr>
            </w:pPr>
            <w:r>
              <w:rPr>
                <w:rFonts w:ascii="Arial" w:cs="Arial" w:eastAsia="Arial" w:hAnsi="Arial"/>
                <w:sz w:val="16"/>
                <w:szCs w:val="16"/>
                <w:color w:val="auto"/>
              </w:rPr>
              <w:t>Noncurrent commodity derivatives</w:t>
            </w:r>
          </w:p>
        </w:tc>
        <w:tc>
          <w:tcPr>
            <w:tcW w:w="39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236</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3900" w:type="dxa"/>
            <w:vAlign w:val="bottom"/>
            <w:tcBorders>
              <w:top w:val="single" w:sz="8" w:color="CEFFE7"/>
              <w:bottom w:val="single" w:sz="8" w:color="CEFFE7"/>
            </w:tcBorders>
            <w:vMerge w:val="restart"/>
          </w:tcPr>
          <w:p>
            <w:pPr>
              <w:ind w:left="960"/>
              <w:spacing w:after="0"/>
              <w:rPr>
                <w:sz w:val="20"/>
                <w:szCs w:val="20"/>
                <w:color w:val="auto"/>
              </w:rPr>
            </w:pPr>
            <w:r>
              <w:rPr>
                <w:rFonts w:ascii="Arial" w:cs="Arial" w:eastAsia="Arial" w:hAnsi="Arial"/>
                <w:sz w:val="16"/>
                <w:szCs w:val="16"/>
                <w:color w:val="auto"/>
              </w:rPr>
              <w:t>23</w:t>
            </w: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45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5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The impacts of cash flow hedges on our Condensed Consolidated Statements of Comprehensive Income and Condensed Consolidated Statements of Income are presented below for the three and six months ended June 30, 2022 and 2021.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3"/>
          </w:tcPr>
          <w:p>
            <w:pPr>
              <w:jc w:val="center"/>
              <w:ind w:right="19"/>
              <w:spacing w:after="0"/>
              <w:rPr>
                <w:sz w:val="20"/>
                <w:szCs w:val="20"/>
                <w:color w:val="auto"/>
              </w:rPr>
            </w:pPr>
            <w:r>
              <w:rPr>
                <w:rFonts w:ascii="Arial" w:cs="Arial" w:eastAsia="Arial" w:hAnsi="Arial"/>
                <w:sz w:val="16"/>
                <w:szCs w:val="16"/>
                <w:color w:val="auto"/>
              </w:rPr>
              <w:t>Three Months Ended June</w:t>
            </w: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3"/>
          </w:tcPr>
          <w:p>
            <w:pPr>
              <w:jc w:val="center"/>
              <w:ind w:right="39"/>
              <w:spacing w:after="0"/>
              <w:rPr>
                <w:sz w:val="20"/>
                <w:szCs w:val="20"/>
                <w:color w:val="auto"/>
              </w:rPr>
            </w:pPr>
            <w:r>
              <w:rPr>
                <w:rFonts w:ascii="Arial" w:cs="Arial" w:eastAsia="Arial" w:hAnsi="Arial"/>
                <w:sz w:val="16"/>
                <w:szCs w:val="16"/>
                <w:color w:val="auto"/>
              </w:rPr>
              <w:t>Three Months Ended June</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left="659"/>
              <w:spacing w:after="0"/>
              <w:rPr>
                <w:sz w:val="20"/>
                <w:szCs w:val="20"/>
                <w:color w:val="auto"/>
              </w:rPr>
            </w:pPr>
            <w:r>
              <w:rPr>
                <w:rFonts w:ascii="Arial" w:cs="Arial" w:eastAsia="Arial" w:hAnsi="Arial"/>
                <w:sz w:val="16"/>
                <w:szCs w:val="16"/>
                <w:color w:val="auto"/>
                <w:w w:val="98"/>
              </w:rPr>
              <w:t>30,</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2"/>
              <w:spacing w:after="0"/>
              <w:rPr>
                <w:sz w:val="20"/>
                <w:szCs w:val="20"/>
                <w:color w:val="auto"/>
              </w:rPr>
            </w:pPr>
            <w:r>
              <w:rPr>
                <w:rFonts w:ascii="Arial" w:cs="Arial" w:eastAsia="Arial" w:hAnsi="Arial"/>
                <w:sz w:val="16"/>
                <w:szCs w:val="16"/>
                <w:color w:val="auto"/>
              </w:rPr>
              <w:t>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40" w:type="dxa"/>
            <w:vAlign w:val="bottom"/>
            <w:tcBorders>
              <w:bottom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6"/>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Derivatives in Cash Flow Hedging</w:t>
            </w:r>
          </w:p>
        </w:tc>
        <w:tc>
          <w:tcPr>
            <w:tcW w:w="140" w:type="dxa"/>
            <w:vAlign w:val="bottom"/>
          </w:tcPr>
          <w:p>
            <w:pPr>
              <w:spacing w:after="0"/>
              <w:rPr>
                <w:sz w:val="13"/>
                <w:szCs w:val="13"/>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center"/>
              <w:ind w:right="39"/>
              <w:spacing w:after="0" w:line="157" w:lineRule="exact"/>
              <w:rPr>
                <w:sz w:val="20"/>
                <w:szCs w:val="20"/>
                <w:color w:val="auto"/>
              </w:rPr>
            </w:pPr>
            <w:r>
              <w:rPr>
                <w:rFonts w:ascii="Arial" w:cs="Arial" w:eastAsia="Arial" w:hAnsi="Arial"/>
                <w:sz w:val="16"/>
                <w:szCs w:val="16"/>
                <w:color w:val="auto"/>
              </w:rPr>
              <w:t>Amount of Gain/(Loss)</w:t>
            </w: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380" w:type="dxa"/>
            <w:vAlign w:val="bottom"/>
            <w:vMerge w:val="restart"/>
          </w:tcPr>
          <w:p>
            <w:pPr>
              <w:ind w:left="720"/>
              <w:spacing w:after="0"/>
              <w:rPr>
                <w:sz w:val="20"/>
                <w:szCs w:val="20"/>
                <w:color w:val="auto"/>
              </w:rPr>
            </w:pPr>
            <w:r>
              <w:rPr>
                <w:rFonts w:ascii="Arial" w:cs="Arial" w:eastAsia="Arial" w:hAnsi="Arial"/>
                <w:sz w:val="16"/>
                <w:szCs w:val="16"/>
                <w:color w:val="auto"/>
              </w:rPr>
              <w:t>Income Statement Location</w:t>
            </w: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10"/>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40" w:type="dxa"/>
            <w:vAlign w:val="bottom"/>
            <w:shd w:val="clear" w:color="auto" w:fill="CEFFE7"/>
          </w:tcPr>
          <w:p>
            <w:pPr>
              <w:spacing w:after="0"/>
              <w:rPr>
                <w:sz w:val="18"/>
                <w:szCs w:val="18"/>
                <w:color w:val="auto"/>
              </w:rPr>
            </w:pPr>
          </w:p>
        </w:tc>
        <w:tc>
          <w:tcPr>
            <w:tcW w:w="33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w:t>
            </w:r>
          </w:p>
        </w:tc>
        <w:tc>
          <w:tcPr>
            <w:tcW w:w="4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320" w:type="dxa"/>
            <w:vAlign w:val="bottom"/>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162"/>
        </w:trPr>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(4,371)</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1,187</w:t>
            </w:r>
          </w:p>
        </w:tc>
        <w:tc>
          <w:tcPr>
            <w:tcW w:w="40" w:type="dxa"/>
            <w:vAlign w:val="bottom"/>
          </w:tcPr>
          <w:p>
            <w:pPr>
              <w:spacing w:after="0"/>
              <w:rPr>
                <w:sz w:val="14"/>
                <w:szCs w:val="14"/>
                <w:color w:val="auto"/>
              </w:rPr>
            </w:pPr>
          </w:p>
        </w:tc>
        <w:tc>
          <w:tcPr>
            <w:tcW w:w="3380" w:type="dxa"/>
            <w:vAlign w:val="bottom"/>
          </w:tcPr>
          <w:p>
            <w:pPr>
              <w:ind w:left="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1,323</w:t>
            </w: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CEFFE7"/>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(3,658)</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1,900</w:t>
            </w:r>
          </w:p>
        </w:tc>
        <w:tc>
          <w:tcPr>
            <w:tcW w:w="40" w:type="dxa"/>
            <w:vAlign w:val="bottom"/>
            <w:tcBorders>
              <w:bottom w:val="single" w:sz="8" w:color="auto"/>
            </w:tcBorders>
            <w:shd w:val="clear" w:color="auto" w:fill="CEFFE7"/>
          </w:tcPr>
          <w:p>
            <w:pPr>
              <w:spacing w:after="0"/>
              <w:rPr>
                <w:sz w:val="20"/>
                <w:szCs w:val="20"/>
                <w:color w:val="auto"/>
              </w:rPr>
            </w:pPr>
          </w:p>
        </w:tc>
        <w:tc>
          <w:tcPr>
            <w:tcW w:w="3380" w:type="dxa"/>
            <w:vAlign w:val="bottom"/>
            <w:tcBorders>
              <w:bottom w:val="single" w:sz="8" w:color="CEFFE7"/>
            </w:tcBorders>
            <w:shd w:val="clear" w:color="auto" w:fill="CEFFE7"/>
          </w:tcPr>
          <w:p>
            <w:pPr>
              <w:spacing w:after="0"/>
              <w:rPr>
                <w:sz w:val="20"/>
                <w:szCs w:val="20"/>
                <w:color w:val="auto"/>
              </w:rPr>
            </w:pPr>
          </w:p>
        </w:tc>
        <w:tc>
          <w:tcPr>
            <w:tcW w:w="4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610</w:t>
            </w:r>
          </w:p>
        </w:tc>
        <w:tc>
          <w:tcPr>
            <w:tcW w:w="320" w:type="dxa"/>
            <w:vAlign w:val="bottom"/>
            <w:tcBorders>
              <w:bottom w:val="single" w:sz="8" w:color="auto"/>
            </w:tcBorders>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2160" w:type="dxa"/>
            <w:vAlign w:val="bottom"/>
            <w:tcBorders>
              <w:top w:val="single" w:sz="8" w:color="CEFFE7"/>
              <w:bottom w:val="single" w:sz="8" w:color="auto"/>
            </w:tcBorders>
            <w:gridSpan w:val="4"/>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2160" w:type="dxa"/>
            <w:vAlign w:val="bottom"/>
            <w:tcBorders>
              <w:top w:val="single" w:sz="8" w:color="CEFFE7"/>
              <w:bottom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3460" w:type="dxa"/>
            <w:vAlign w:val="bottom"/>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Six Months Ended June 30,</w:t>
            </w: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6"/>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Derivatives in Cash Flow Hedging</w:t>
            </w:r>
          </w:p>
        </w:tc>
        <w:tc>
          <w:tcPr>
            <w:tcW w:w="140" w:type="dxa"/>
            <w:vAlign w:val="bottom"/>
          </w:tcPr>
          <w:p>
            <w:pPr>
              <w:spacing w:after="0"/>
              <w:rPr>
                <w:sz w:val="13"/>
                <w:szCs w:val="13"/>
                <w:color w:val="auto"/>
              </w:rPr>
            </w:pPr>
          </w:p>
        </w:tc>
        <w:tc>
          <w:tcPr>
            <w:tcW w:w="2020" w:type="dxa"/>
            <w:vAlign w:val="bottom"/>
            <w:gridSpan w:val="3"/>
            <w:vMerge w:val="restart"/>
          </w:tcPr>
          <w:p>
            <w:pPr>
              <w:jc w:val="center"/>
              <w:ind w:right="39"/>
              <w:spacing w:after="0"/>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center"/>
              <w:ind w:right="79"/>
              <w:spacing w:after="0" w:line="156" w:lineRule="exact"/>
              <w:rPr>
                <w:sz w:val="20"/>
                <w:szCs w:val="20"/>
                <w:color w:val="auto"/>
              </w:rPr>
            </w:pPr>
            <w:r>
              <w:rPr>
                <w:rFonts w:ascii="Arial" w:cs="Arial" w:eastAsia="Arial" w:hAnsi="Arial"/>
                <w:sz w:val="16"/>
                <w:szCs w:val="16"/>
                <w:color w:val="auto"/>
              </w:rPr>
              <w:t>Amount of Gain/(Loss)</w:t>
            </w: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3380" w:type="dxa"/>
            <w:vAlign w:val="bottom"/>
            <w:vMerge w:val="restart"/>
          </w:tcPr>
          <w:p>
            <w:pPr>
              <w:ind w:left="680"/>
              <w:spacing w:after="0"/>
              <w:rPr>
                <w:sz w:val="20"/>
                <w:szCs w:val="20"/>
                <w:color w:val="auto"/>
              </w:rPr>
            </w:pPr>
            <w:r>
              <w:rPr>
                <w:rFonts w:ascii="Arial" w:cs="Arial" w:eastAsia="Arial" w:hAnsi="Arial"/>
                <w:sz w:val="16"/>
                <w:szCs w:val="16"/>
                <w:color w:val="auto"/>
              </w:rPr>
              <w:t>Income Statement Location</w:t>
            </w: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right="5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CEFFE7"/>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10"/>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3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320" w:type="dxa"/>
            <w:vAlign w:val="bottom"/>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162"/>
        </w:trPr>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(5,238)</w:t>
            </w: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1,360</w:t>
            </w:r>
          </w:p>
        </w:tc>
        <w:tc>
          <w:tcPr>
            <w:tcW w:w="34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3,577</w:t>
            </w:r>
          </w:p>
        </w:tc>
        <w:tc>
          <w:tcPr>
            <w:tcW w:w="3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CEFFE7"/>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(3,812)</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2,786</w:t>
            </w:r>
          </w:p>
        </w:tc>
        <w:tc>
          <w:tcPr>
            <w:tcW w:w="40" w:type="dxa"/>
            <w:vAlign w:val="bottom"/>
            <w:tcBorders>
              <w:bottom w:val="single" w:sz="8" w:color="CEFFE7"/>
            </w:tcBorders>
            <w:shd w:val="clear" w:color="auto" w:fill="CEFFE7"/>
          </w:tcPr>
          <w:p>
            <w:pPr>
              <w:spacing w:after="0"/>
              <w:rPr>
                <w:sz w:val="20"/>
                <w:szCs w:val="20"/>
                <w:color w:val="auto"/>
              </w:rPr>
            </w:pPr>
          </w:p>
        </w:tc>
        <w:tc>
          <w:tcPr>
            <w:tcW w:w="33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2,151</w:t>
            </w:r>
          </w:p>
        </w:tc>
        <w:tc>
          <w:tcPr>
            <w:tcW w:w="320" w:type="dxa"/>
            <w:vAlign w:val="bottom"/>
            <w:tcBorders>
              <w:bottom w:val="single" w:sz="8" w:color="auto"/>
            </w:tcBorders>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As of June 30, 2022, $6.1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Condensed Consolidated Statements of Income for the three and six months ended June 30, 2022 and 2021.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3"/>
          </w:tcPr>
          <w:p>
            <w:pPr>
              <w:jc w:val="center"/>
              <w:ind w:right="179"/>
              <w:spacing w:after="0"/>
              <w:rPr>
                <w:sz w:val="20"/>
                <w:szCs w:val="20"/>
                <w:color w:val="auto"/>
              </w:rPr>
            </w:pPr>
            <w:r>
              <w:rPr>
                <w:rFonts w:ascii="Arial" w:cs="Arial" w:eastAsia="Arial" w:hAnsi="Arial"/>
                <w:sz w:val="16"/>
                <w:szCs w:val="16"/>
                <w:color w:val="auto"/>
              </w:rPr>
              <w:t>Three Months Ended June 30,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2022</w:t>
            </w: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8"/>
        </w:trPr>
        <w:tc>
          <w:tcPr>
            <w:tcW w:w="4100" w:type="dxa"/>
            <w:vAlign w:val="bottom"/>
            <w:vMerge w:val="restart"/>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Pr>
          <w:p>
            <w:pPr>
              <w:ind w:left="480"/>
              <w:spacing w:after="0" w:line="158" w:lineRule="exact"/>
              <w:rPr>
                <w:sz w:val="20"/>
                <w:szCs w:val="20"/>
                <w:color w:val="auto"/>
              </w:rPr>
            </w:pPr>
            <w:r>
              <w:rPr>
                <w:rFonts w:ascii="Arial" w:cs="Arial" w:eastAsia="Arial" w:hAnsi="Arial"/>
                <w:sz w:val="16"/>
                <w:szCs w:val="16"/>
                <w:color w:val="auto"/>
              </w:rPr>
              <w:t>Location of Gain/(Loss) on Derivatives</w:t>
            </w:r>
          </w:p>
        </w:tc>
        <w:tc>
          <w:tcPr>
            <w:tcW w:w="280" w:type="dxa"/>
            <w:vAlign w:val="bottom"/>
          </w:tcPr>
          <w:p>
            <w:pPr>
              <w:spacing w:after="0"/>
              <w:rPr>
                <w:sz w:val="13"/>
                <w:szCs w:val="13"/>
                <w:color w:val="auto"/>
              </w:rPr>
            </w:pPr>
          </w:p>
        </w:tc>
        <w:tc>
          <w:tcPr>
            <w:tcW w:w="3280" w:type="dxa"/>
            <w:vAlign w:val="bottom"/>
            <w:gridSpan w:val="3"/>
          </w:tcPr>
          <w:p>
            <w:pPr>
              <w:jc w:val="center"/>
              <w:ind w:right="179"/>
              <w:spacing w:after="0" w:line="158"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auto"/>
            </w:tcBorders>
            <w:vMerge w:val="continue"/>
          </w:tcPr>
          <w:p>
            <w:pPr>
              <w:spacing w:after="0"/>
              <w:rPr>
                <w:sz w:val="18"/>
                <w:szCs w:val="18"/>
                <w:color w:val="auto"/>
              </w:rPr>
            </w:pPr>
          </w:p>
        </w:tc>
        <w:tc>
          <w:tcPr>
            <w:tcW w:w="3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Recognized in Income</w:t>
            </w:r>
          </w:p>
        </w:tc>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0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line="163"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EFFE7"/>
          </w:tcPr>
          <w:p>
            <w:pPr>
              <w:jc w:val="center"/>
              <w:ind w:left="519"/>
              <w:spacing w:after="0"/>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216"/>
        </w:trPr>
        <w:tc>
          <w:tcPr>
            <w:tcW w:w="4100" w:type="dxa"/>
            <w:vAlign w:val="bottom"/>
            <w:vMerge w:val="continue"/>
            <w:shd w:val="clear" w:color="auto" w:fill="CEFFE7"/>
          </w:tcPr>
          <w:p>
            <w:pPr>
              <w:spacing w:after="0"/>
              <w:rPr>
                <w:sz w:val="18"/>
                <w:szCs w:val="18"/>
                <w:color w:val="auto"/>
              </w:rPr>
            </w:pP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vMerge w:val="continue"/>
            <w:shd w:val="clear" w:color="auto" w:fill="CEFFE7"/>
          </w:tcPr>
          <w:p>
            <w:pPr>
              <w:spacing w:after="0"/>
              <w:rPr>
                <w:sz w:val="18"/>
                <w:szCs w:val="18"/>
                <w:color w:val="auto"/>
              </w:rPr>
            </w:pPr>
          </w:p>
        </w:tc>
        <w:tc>
          <w:tcPr>
            <w:tcW w:w="1500" w:type="dxa"/>
            <w:vAlign w:val="bottom"/>
            <w:vMerge w:val="continue"/>
            <w:shd w:val="clear" w:color="auto" w:fill="CEFFE7"/>
          </w:tcPr>
          <w:p>
            <w:pPr>
              <w:spacing w:after="0"/>
              <w:rPr>
                <w:sz w:val="18"/>
                <w:szCs w:val="18"/>
                <w:color w:val="auto"/>
              </w:rPr>
            </w:pPr>
          </w:p>
        </w:tc>
        <w:tc>
          <w:tcPr>
            <w:tcW w:w="620" w:type="dxa"/>
            <w:vAlign w:val="bottom"/>
            <w:vMerge w:val="continue"/>
            <w:shd w:val="clear" w:color="auto" w:fill="CEFFE7"/>
          </w:tcPr>
          <w:p>
            <w:pPr>
              <w:spacing w:after="0"/>
              <w:rPr>
                <w:sz w:val="18"/>
                <w:szCs w:val="18"/>
                <w:color w:val="auto"/>
              </w:rPr>
            </w:pPr>
          </w:p>
        </w:tc>
        <w:tc>
          <w:tcPr>
            <w:tcW w:w="116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(2,332)</w:t>
            </w:r>
          </w:p>
        </w:tc>
        <w:tc>
          <w:tcPr>
            <w:tcW w:w="620" w:type="dxa"/>
            <w:vAlign w:val="bottom"/>
          </w:tcPr>
          <w:p>
            <w:pPr>
              <w:spacing w:after="0"/>
              <w:rPr>
                <w:sz w:val="14"/>
                <w:szCs w:val="14"/>
                <w:color w:val="auto"/>
              </w:rPr>
            </w:pPr>
          </w:p>
        </w:tc>
        <w:tc>
          <w:tcPr>
            <w:tcW w:w="1160" w:type="dxa"/>
            <w:vAlign w:val="bottom"/>
            <w:vMerge w:val="restart"/>
          </w:tcPr>
          <w:p>
            <w:pPr>
              <w:jc w:val="center"/>
              <w:ind w:left="519"/>
              <w:spacing w:after="0"/>
              <w:rPr>
                <w:sz w:val="20"/>
                <w:szCs w:val="20"/>
                <w:color w:val="auto"/>
              </w:rPr>
            </w:pPr>
            <w:r>
              <w:rPr>
                <w:rFonts w:ascii="Arial" w:cs="Arial" w:eastAsia="Arial" w:hAnsi="Arial"/>
                <w:sz w:val="16"/>
                <w:szCs w:val="16"/>
                <w:color w:val="auto"/>
                <w:w w:val="99"/>
              </w:rPr>
              <w:t>1,816</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EFFE7"/>
            </w:tcBorders>
            <w:vMerge w:val="continue"/>
          </w:tcPr>
          <w:p>
            <w:pPr>
              <w:spacing w:after="0"/>
              <w:rPr>
                <w:sz w:val="18"/>
                <w:szCs w:val="18"/>
                <w:color w:val="auto"/>
              </w:rPr>
            </w:pP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(2,332)</w:t>
            </w:r>
          </w:p>
        </w:tc>
        <w:tc>
          <w:tcPr>
            <w:tcW w:w="62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EFFE7"/>
          </w:tcPr>
          <w:p>
            <w:pPr>
              <w:jc w:val="center"/>
              <w:ind w:left="519"/>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bottom w:val="single" w:sz="8" w:color="CEFFE7"/>
            </w:tcBorders>
            <w:vMerge w:val="restart"/>
          </w:tcPr>
          <w:p>
            <w:pPr>
              <w:ind w:left="1440"/>
              <w:spacing w:after="0"/>
              <w:rPr>
                <w:sz w:val="20"/>
                <w:szCs w:val="20"/>
                <w:color w:val="auto"/>
              </w:rPr>
            </w:pPr>
            <w:r>
              <w:rPr>
                <w:rFonts w:ascii="Arial" w:cs="Arial" w:eastAsia="Arial" w:hAnsi="Arial"/>
                <w:sz w:val="16"/>
                <w:szCs w:val="16"/>
                <w:color w:val="auto"/>
              </w:rPr>
              <w:t>24</w:t>
            </w: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7"/>
        </w:trPr>
        <w:tc>
          <w:tcPr>
            <w:tcW w:w="41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1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3"/>
          </w:tcPr>
          <w:p>
            <w:pPr>
              <w:jc w:val="center"/>
              <w:ind w:right="17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4100" w:type="dxa"/>
            <w:vAlign w:val="bottom"/>
            <w:gridSpan w:val="2"/>
            <w:vMerge w:val="restart"/>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vMerge w:val="restart"/>
          </w:tcPr>
          <w:p>
            <w:pPr>
              <w:ind w:left="860"/>
              <w:spacing w:after="0"/>
              <w:rPr>
                <w:sz w:val="20"/>
                <w:szCs w:val="20"/>
                <w:color w:val="auto"/>
              </w:rPr>
            </w:pPr>
            <w:r>
              <w:rPr>
                <w:rFonts w:ascii="Arial" w:cs="Arial" w:eastAsia="Arial" w:hAnsi="Arial"/>
                <w:sz w:val="16"/>
                <w:szCs w:val="16"/>
                <w:color w:val="auto"/>
              </w:rPr>
              <w:t>Income Statement Location</w:t>
            </w:r>
          </w:p>
        </w:tc>
        <w:tc>
          <w:tcPr>
            <w:tcW w:w="280" w:type="dxa"/>
            <w:vAlign w:val="bottom"/>
          </w:tcPr>
          <w:p>
            <w:pPr>
              <w:spacing w:after="0"/>
              <w:rPr>
                <w:sz w:val="13"/>
                <w:szCs w:val="13"/>
                <w:color w:val="auto"/>
              </w:rPr>
            </w:pPr>
          </w:p>
        </w:tc>
        <w:tc>
          <w:tcPr>
            <w:tcW w:w="3280" w:type="dxa"/>
            <w:vAlign w:val="bottom"/>
            <w:gridSpan w:val="3"/>
          </w:tcPr>
          <w:p>
            <w:pPr>
              <w:jc w:val="center"/>
              <w:ind w:right="179"/>
              <w:spacing w:after="0" w:line="157"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auto"/>
            </w:tcBorders>
            <w:gridSpan w:val="2"/>
            <w:vMerge w:val="continue"/>
          </w:tcPr>
          <w:p>
            <w:pPr>
              <w:spacing w:after="0"/>
              <w:rPr>
                <w:sz w:val="18"/>
                <w:szCs w:val="18"/>
                <w:color w:val="auto"/>
              </w:rPr>
            </w:pPr>
          </w:p>
        </w:tc>
        <w:tc>
          <w:tcPr>
            <w:tcW w:w="35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00" w:type="dxa"/>
            <w:vAlign w:val="bottom"/>
            <w:gridSpan w:val="2"/>
            <w:vMerge w:val="restart"/>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line="163"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EFFE7"/>
          </w:tcPr>
          <w:p>
            <w:pPr>
              <w:jc w:val="center"/>
              <w:ind w:left="519"/>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216"/>
        </w:trPr>
        <w:tc>
          <w:tcPr>
            <w:tcW w:w="4100" w:type="dxa"/>
            <w:vAlign w:val="bottom"/>
            <w:gridSpan w:val="2"/>
            <w:vMerge w:val="continue"/>
            <w:shd w:val="clear" w:color="auto" w:fill="CEFFE7"/>
          </w:tcPr>
          <w:p>
            <w:pPr>
              <w:spacing w:after="0"/>
              <w:rPr>
                <w:sz w:val="18"/>
                <w:szCs w:val="18"/>
                <w:color w:val="auto"/>
              </w:rPr>
            </w:pP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vMerge w:val="continue"/>
            <w:shd w:val="clear" w:color="auto" w:fill="CEFFE7"/>
          </w:tcPr>
          <w:p>
            <w:pPr>
              <w:spacing w:after="0"/>
              <w:rPr>
                <w:sz w:val="18"/>
                <w:szCs w:val="18"/>
                <w:color w:val="auto"/>
              </w:rPr>
            </w:pPr>
          </w:p>
        </w:tc>
        <w:tc>
          <w:tcPr>
            <w:tcW w:w="1480" w:type="dxa"/>
            <w:vAlign w:val="bottom"/>
            <w:vMerge w:val="continue"/>
            <w:shd w:val="clear" w:color="auto" w:fill="CEFFE7"/>
          </w:tcPr>
          <w:p>
            <w:pPr>
              <w:spacing w:after="0"/>
              <w:rPr>
                <w:sz w:val="18"/>
                <w:szCs w:val="18"/>
                <w:color w:val="auto"/>
              </w:rPr>
            </w:pPr>
          </w:p>
        </w:tc>
        <w:tc>
          <w:tcPr>
            <w:tcW w:w="640" w:type="dxa"/>
            <w:vAlign w:val="bottom"/>
            <w:vMerge w:val="continue"/>
            <w:shd w:val="clear" w:color="auto" w:fill="CEFFE7"/>
          </w:tcPr>
          <w:p>
            <w:pPr>
              <w:spacing w:after="0"/>
              <w:rPr>
                <w:sz w:val="18"/>
                <w:szCs w:val="18"/>
                <w:color w:val="auto"/>
              </w:rPr>
            </w:pPr>
          </w:p>
        </w:tc>
        <w:tc>
          <w:tcPr>
            <w:tcW w:w="116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gridSpan w:val="2"/>
            <w:vMerge w:val="restart"/>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1,162</w:t>
            </w:r>
          </w:p>
        </w:tc>
        <w:tc>
          <w:tcPr>
            <w:tcW w:w="640" w:type="dxa"/>
            <w:vAlign w:val="bottom"/>
          </w:tcPr>
          <w:p>
            <w:pPr>
              <w:spacing w:after="0"/>
              <w:rPr>
                <w:sz w:val="14"/>
                <w:szCs w:val="14"/>
                <w:color w:val="auto"/>
              </w:rPr>
            </w:pPr>
          </w:p>
        </w:tc>
        <w:tc>
          <w:tcPr>
            <w:tcW w:w="1160" w:type="dxa"/>
            <w:vAlign w:val="bottom"/>
            <w:vMerge w:val="restart"/>
          </w:tcPr>
          <w:p>
            <w:pPr>
              <w:jc w:val="center"/>
              <w:ind w:left="519"/>
              <w:spacing w:after="0"/>
              <w:rPr>
                <w:sz w:val="20"/>
                <w:szCs w:val="20"/>
                <w:color w:val="auto"/>
              </w:rPr>
            </w:pPr>
            <w:r>
              <w:rPr>
                <w:rFonts w:ascii="Arial" w:cs="Arial" w:eastAsia="Arial" w:hAnsi="Arial"/>
                <w:sz w:val="16"/>
                <w:szCs w:val="16"/>
                <w:color w:val="auto"/>
                <w:w w:val="99"/>
              </w:rPr>
              <w:t>2,182</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EFFE7"/>
            </w:tcBorders>
            <w:gridSpan w:val="2"/>
            <w:vMerge w:val="continue"/>
          </w:tcPr>
          <w:p>
            <w:pPr>
              <w:spacing w:after="0"/>
              <w:rPr>
                <w:sz w:val="18"/>
                <w:szCs w:val="18"/>
                <w:color w:val="auto"/>
              </w:rPr>
            </w:pP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360" w:type="dxa"/>
            <w:vAlign w:val="bottom"/>
            <w:tcBorders>
              <w:bottom w:val="single" w:sz="8" w:color="CEFFE7"/>
            </w:tcBorders>
            <w:shd w:val="clear" w:color="auto" w:fill="CEFFE7"/>
          </w:tcPr>
          <w:p>
            <w:pPr>
              <w:spacing w:after="0"/>
              <w:rPr>
                <w:sz w:val="19"/>
                <w:szCs w:val="19"/>
                <w:color w:val="auto"/>
              </w:rPr>
            </w:pPr>
          </w:p>
        </w:tc>
        <w:tc>
          <w:tcPr>
            <w:tcW w:w="274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1,162</w:t>
            </w:r>
          </w:p>
        </w:tc>
        <w:tc>
          <w:tcPr>
            <w:tcW w:w="6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center"/>
              <w:ind w:left="519"/>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74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in our Gas Utilities were $4.8 million and $2.6 million as of June 30, 2022 and December 31, 2021,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61"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1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9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2021 Annual Report on Form 10-K.</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of cash collateral and contractual netting rights as permitted by GAAP that were accounted for at fair value on a recurring basis for derivative instruments.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center"/>
              <w:ind w:right="1100"/>
              <w:spacing w:after="0"/>
              <w:rPr>
                <w:sz w:val="20"/>
                <w:szCs w:val="20"/>
                <w:color w:val="auto"/>
              </w:rPr>
            </w:pPr>
            <w:r>
              <w:rPr>
                <w:rFonts w:ascii="Arial" w:cs="Arial" w:eastAsia="Arial" w:hAnsi="Arial"/>
                <w:sz w:val="16"/>
                <w:szCs w:val="16"/>
                <w:color w:val="auto"/>
              </w:rPr>
              <w:t>As of June 30, 2022</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color w:val="auto"/>
                <w:w w:val="96"/>
              </w:rPr>
              <w:t xml:space="preserve">Netting </w:t>
            </w:r>
            <w:r>
              <w:rPr>
                <w:rFonts w:ascii="Arial" w:cs="Arial" w:eastAsia="Arial" w:hAnsi="Arial"/>
                <w:sz w:val="21"/>
                <w:szCs w:val="21"/>
                <w:color w:val="auto"/>
                <w:w w:val="96"/>
                <w:vertAlign w:val="superscript"/>
              </w:rPr>
              <w:t>(a)</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2540" w:type="dxa"/>
            <w:vAlign w:val="bottom"/>
            <w:gridSpan w:val="4"/>
            <w:shd w:val="clear" w:color="auto" w:fill="CEFFE7"/>
          </w:tcPr>
          <w:p>
            <w:pPr>
              <w:jc w:val="center"/>
              <w:ind w:right="1080"/>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(806)</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(806)</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78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84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68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1100" w:type="dxa"/>
            <w:vAlign w:val="bottom"/>
            <w:shd w:val="clear" w:color="auto" w:fill="CEFFE7"/>
          </w:tcPr>
          <w:p>
            <w:pPr>
              <w:spacing w:after="0"/>
              <w:rPr>
                <w:sz w:val="6"/>
                <w:szCs w:val="6"/>
                <w:color w:val="auto"/>
              </w:rPr>
            </w:pPr>
          </w:p>
        </w:tc>
        <w:tc>
          <w:tcPr>
            <w:tcW w:w="36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5,524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(805)</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(805)</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4,719</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100" w:hanging="332"/>
        <w:spacing w:after="0" w:line="294" w:lineRule="auto"/>
        <w:tabs>
          <w:tab w:leader="none" w:pos="3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2022, $0.8 million of our commodity derivative assets and $0.8 million of our commodity liabilities, as well as related gross collateral amounts, were subject to master netting agreements.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900"/>
              <w:spacing w:after="0"/>
              <w:rPr>
                <w:sz w:val="20"/>
                <w:szCs w:val="20"/>
                <w:color w:val="auto"/>
              </w:rPr>
            </w:pPr>
            <w:r>
              <w:rPr>
                <w:rFonts w:ascii="Arial" w:cs="Arial" w:eastAsia="Arial" w:hAnsi="Arial"/>
                <w:sz w:val="16"/>
                <w:szCs w:val="16"/>
                <w:color w:val="auto"/>
              </w:rPr>
              <w:t>As of December 31, 2021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color w:val="auto"/>
                <w:w w:val="91"/>
              </w:rPr>
              <w:t xml:space="preserve">Netting </w:t>
            </w:r>
            <w:r>
              <w:rPr>
                <w:rFonts w:ascii="Arial" w:cs="Arial" w:eastAsia="Arial" w:hAnsi="Arial"/>
                <w:sz w:val="21"/>
                <w:szCs w:val="21"/>
                <w:color w:val="auto"/>
                <w:w w:val="91"/>
                <w:vertAlign w:val="superscript"/>
              </w:rPr>
              <w:t>(a)</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740" w:type="dxa"/>
            <w:vAlign w:val="bottom"/>
            <w:gridSpan w:val="4"/>
            <w:shd w:val="clear" w:color="auto" w:fill="CEFFE7"/>
          </w:tcPr>
          <w:p>
            <w:pPr>
              <w:jc w:val="center"/>
              <w:ind w:right="880"/>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(2,374)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(2,374)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78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84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20" w:type="dxa"/>
            <w:vAlign w:val="bottom"/>
            <w:shd w:val="clear" w:color="auto" w:fill="CEFFE7"/>
          </w:tcPr>
          <w:p>
            <w:pPr>
              <w:spacing w:after="0"/>
              <w:rPr>
                <w:sz w:val="6"/>
                <w:szCs w:val="6"/>
                <w:color w:val="auto"/>
              </w:rPr>
            </w:pPr>
          </w:p>
        </w:tc>
        <w:tc>
          <w:tcPr>
            <w:tcW w:w="88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640" w:type="dxa"/>
            <w:vAlign w:val="bottom"/>
            <w:shd w:val="clear" w:color="auto" w:fill="CEFFE7"/>
          </w:tcPr>
          <w:p>
            <w:pPr>
              <w:spacing w:after="0"/>
              <w:rPr>
                <w:sz w:val="6"/>
                <w:szCs w:val="6"/>
                <w:color w:val="auto"/>
              </w:rPr>
            </w:pPr>
          </w:p>
        </w:tc>
        <w:tc>
          <w:tcPr>
            <w:tcW w:w="900" w:type="dxa"/>
            <w:vAlign w:val="bottom"/>
            <w:shd w:val="clear" w:color="auto" w:fill="CEFFE7"/>
          </w:tcPr>
          <w:p>
            <w:pPr>
              <w:spacing w:after="0"/>
              <w:rPr>
                <w:sz w:val="6"/>
                <w:szCs w:val="6"/>
                <w:color w:val="auto"/>
              </w:rPr>
            </w:pPr>
          </w:p>
        </w:tc>
        <w:tc>
          <w:tcPr>
            <w:tcW w:w="36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(1,814)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(1,814)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580" w:hanging="332"/>
        <w:spacing w:after="0" w:line="284" w:lineRule="auto"/>
        <w:tabs>
          <w:tab w:leader="none" w:pos="3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2021, $2.4 million of our commodity derivative assets and $1.8 million of our commodity derivative liabilities, as well as related gross collateral amounts, were subject to master netting agreements.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4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2021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Condensed Consolidated Balance Sheets (in thousands) as of:</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color w:val="auto"/>
              </w:rPr>
              <w:t>June 30, 2022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79"/>
              <w:spacing w:after="0" w:line="157" w:lineRule="exact"/>
              <w:rPr>
                <w:sz w:val="20"/>
                <w:szCs w:val="20"/>
                <w:color w:val="auto"/>
              </w:rPr>
            </w:pPr>
            <w:r>
              <w:rPr>
                <w:rFonts w:ascii="Arial" w:cs="Arial" w:eastAsia="Arial" w:hAnsi="Arial"/>
                <w:sz w:val="16"/>
                <w:szCs w:val="16"/>
                <w:color w:val="auto"/>
              </w:rPr>
              <w:t>Carrying</w:t>
            </w: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3"/>
                <w:szCs w:val="13"/>
                <w:color w:val="auto"/>
              </w:rPr>
            </w:pPr>
          </w:p>
        </w:tc>
        <w:tc>
          <w:tcPr>
            <w:tcW w:w="1080" w:type="dxa"/>
            <w:vAlign w:val="bottom"/>
          </w:tcPr>
          <w:p>
            <w:pPr>
              <w:jc w:val="right"/>
              <w:ind w:right="279"/>
              <w:spacing w:after="0" w:line="157" w:lineRule="exact"/>
              <w:rPr>
                <w:sz w:val="20"/>
                <w:szCs w:val="20"/>
                <w:color w:val="auto"/>
              </w:rPr>
            </w:pPr>
            <w:r>
              <w:rPr>
                <w:rFonts w:ascii="Arial" w:cs="Arial" w:eastAsia="Arial" w:hAnsi="Arial"/>
                <w:sz w:val="16"/>
                <w:szCs w:val="16"/>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22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4,129,662</w:t>
            </w:r>
          </w:p>
        </w:tc>
        <w:tc>
          <w:tcPr>
            <w:tcW w:w="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3,917,015</w:t>
            </w:r>
          </w:p>
        </w:tc>
        <w:tc>
          <w:tcPr>
            <w:tcW w:w="1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4,126,923</w:t>
            </w:r>
          </w:p>
        </w:tc>
        <w:tc>
          <w:tcPr>
            <w:tcW w:w="24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4,570,619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140" w:hanging="332"/>
        <w:spacing w:after="0" w:line="284" w:lineRule="auto"/>
        <w:tabs>
          <w:tab w:leader="none" w:pos="3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4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Income for the period, net of tax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ind w:left="40"/>
              <w:spacing w:after="0"/>
              <w:rPr>
                <w:sz w:val="20"/>
                <w:szCs w:val="20"/>
                <w:color w:val="auto"/>
              </w:rPr>
            </w:pPr>
            <w:r>
              <w:rPr>
                <w:rFonts w:ascii="Arial" w:cs="Arial" w:eastAsia="Arial" w:hAnsi="Arial"/>
                <w:sz w:val="16"/>
                <w:szCs w:val="16"/>
                <w:color w:val="auto"/>
              </w:rPr>
              <w:t>Amount Reclassified from</w:t>
            </w:r>
          </w:p>
        </w:tc>
        <w:tc>
          <w:tcPr>
            <w:tcW w:w="140" w:type="dxa"/>
            <w:vAlign w:val="bottom"/>
          </w:tcPr>
          <w:p>
            <w:pPr>
              <w:spacing w:after="0"/>
              <w:rPr>
                <w:sz w:val="16"/>
                <w:szCs w:val="16"/>
                <w:color w:val="auto"/>
              </w:rPr>
            </w:pPr>
          </w:p>
        </w:tc>
        <w:tc>
          <w:tcPr>
            <w:tcW w:w="2020" w:type="dxa"/>
            <w:vAlign w:val="bottom"/>
            <w:gridSpan w:val="3"/>
          </w:tcPr>
          <w:p>
            <w:pPr>
              <w:jc w:val="center"/>
              <w:ind w:right="59"/>
              <w:spacing w:after="0"/>
              <w:rPr>
                <w:sz w:val="20"/>
                <w:szCs w:val="20"/>
                <w:color w:val="auto"/>
              </w:rPr>
            </w:pPr>
            <w:r>
              <w:rPr>
                <w:rFonts w:ascii="Arial" w:cs="Arial" w:eastAsia="Arial" w:hAnsi="Arial"/>
                <w:sz w:val="16"/>
                <w:szCs w:val="16"/>
                <w:color w:val="auto"/>
              </w:rPr>
              <w:t>Amount Reclassified from</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9"/>
              <w:spacing w:after="0"/>
              <w:rPr>
                <w:sz w:val="20"/>
                <w:szCs w:val="20"/>
                <w:color w:val="auto"/>
              </w:rPr>
            </w:pPr>
            <w:r>
              <w:rPr>
                <w:rFonts w:ascii="Arial" w:cs="Arial" w:eastAsia="Arial" w:hAnsi="Arial"/>
                <w:sz w:val="16"/>
                <w:szCs w:val="16"/>
                <w:color w:val="auto"/>
              </w:rPr>
              <w:t>AOCI</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left="579"/>
              <w:spacing w:after="0"/>
              <w:rPr>
                <w:sz w:val="20"/>
                <w:szCs w:val="20"/>
                <w:color w:val="auto"/>
              </w:rPr>
            </w:pPr>
            <w:r>
              <w:rPr>
                <w:rFonts w:ascii="Arial" w:cs="Arial" w:eastAsia="Arial" w:hAnsi="Arial"/>
                <w:sz w:val="16"/>
                <w:szCs w:val="16"/>
                <w:color w:val="auto"/>
              </w:rPr>
              <w:t>AOCI</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80" w:type="dxa"/>
            <w:vAlign w:val="bottom"/>
          </w:tcPr>
          <w:p>
            <w:pPr>
              <w:spacing w:after="0"/>
              <w:rPr>
                <w:sz w:val="24"/>
                <w:szCs w:val="24"/>
                <w:color w:val="auto"/>
              </w:rPr>
            </w:pPr>
          </w:p>
        </w:tc>
        <w:tc>
          <w:tcPr>
            <w:tcW w:w="2820" w:type="dxa"/>
            <w:vAlign w:val="bottom"/>
          </w:tcPr>
          <w:p>
            <w:pPr>
              <w:ind w:left="420"/>
              <w:spacing w:after="0"/>
              <w:rPr>
                <w:sz w:val="20"/>
                <w:szCs w:val="20"/>
                <w:color w:val="auto"/>
              </w:rPr>
            </w:pPr>
            <w:r>
              <w:rPr>
                <w:rFonts w:ascii="Arial" w:cs="Arial" w:eastAsia="Arial" w:hAnsi="Arial"/>
                <w:sz w:val="16"/>
                <w:szCs w:val="16"/>
                <w:color w:val="auto"/>
              </w:rPr>
              <w:t>Location on the Condensed</w:t>
            </w:r>
          </w:p>
        </w:tc>
        <w:tc>
          <w:tcPr>
            <w:tcW w:w="2380" w:type="dxa"/>
            <w:vAlign w:val="bottom"/>
            <w:gridSpan w:val="5"/>
          </w:tcPr>
          <w:p>
            <w:pPr>
              <w:ind w:left="40"/>
              <w:spacing w:after="0"/>
              <w:rPr>
                <w:sz w:val="20"/>
                <w:szCs w:val="20"/>
                <w:color w:val="auto"/>
              </w:rPr>
            </w:pPr>
            <w:r>
              <w:rPr>
                <w:rFonts w:ascii="Arial" w:cs="Arial" w:eastAsia="Arial" w:hAnsi="Arial"/>
                <w:sz w:val="16"/>
                <w:szCs w:val="16"/>
                <w:color w:val="auto"/>
              </w:rPr>
              <w:t>Three Months Ended June 30,</w:t>
            </w:r>
          </w:p>
        </w:tc>
        <w:tc>
          <w:tcPr>
            <w:tcW w:w="2160" w:type="dxa"/>
            <w:vAlign w:val="bottom"/>
            <w:gridSpan w:val="4"/>
          </w:tcPr>
          <w:p>
            <w:pPr>
              <w:jc w:val="center"/>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Consolidated Statements of Income</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EFFE7"/>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Gains and (losses) on cash flow hedges:</w:t>
            </w:r>
          </w:p>
        </w:tc>
        <w:tc>
          <w:tcPr>
            <w:tcW w:w="28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8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163"/>
        </w:trPr>
        <w:tc>
          <w:tcPr>
            <w:tcW w:w="388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Commodity contracts</w:t>
            </w:r>
          </w:p>
        </w:tc>
        <w:tc>
          <w:tcPr>
            <w:tcW w:w="2820" w:type="dxa"/>
            <w:vAlign w:val="bottom"/>
            <w:shd w:val="clear" w:color="auto" w:fill="CEFFE7"/>
          </w:tcPr>
          <w:p>
            <w:pPr>
              <w:ind w:left="40"/>
              <w:spacing w:after="0" w:line="163" w:lineRule="exact"/>
              <w:rPr>
                <w:sz w:val="20"/>
                <w:szCs w:val="20"/>
                <w:color w:val="auto"/>
              </w:rPr>
            </w:pPr>
            <w:r>
              <w:rPr>
                <w:rFonts w:ascii="Arial" w:cs="Arial" w:eastAsia="Arial" w:hAnsi="Arial"/>
                <w:sz w:val="16"/>
                <w:szCs w:val="16"/>
                <w:color w:val="auto"/>
              </w:rPr>
              <w:t>Fuel, purchased power and cost of</w:t>
            </w:r>
          </w:p>
        </w:tc>
        <w:tc>
          <w:tcPr>
            <w:tcW w:w="160" w:type="dxa"/>
            <w:vAlign w:val="bottom"/>
            <w:shd w:val="clear" w:color="auto" w:fill="CEFFE7"/>
          </w:tcPr>
          <w:p>
            <w:pPr>
              <w:spacing w:after="0"/>
              <w:rPr>
                <w:sz w:val="14"/>
                <w:szCs w:val="14"/>
                <w:color w:val="auto"/>
              </w:rPr>
            </w:pP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1,323</w:t>
            </w:r>
          </w:p>
        </w:tc>
        <w:tc>
          <w:tcPr>
            <w:tcW w:w="300" w:type="dxa"/>
            <w:vAlign w:val="bottom"/>
            <w:shd w:val="clear" w:color="auto" w:fill="CEFFE7"/>
          </w:tcPr>
          <w:p>
            <w:pPr>
              <w:spacing w:after="0"/>
              <w:rPr>
                <w:sz w:val="14"/>
                <w:szCs w:val="14"/>
                <w:color w:val="auto"/>
              </w:rPr>
            </w:pP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3,577</w:t>
            </w:r>
          </w:p>
        </w:tc>
        <w:tc>
          <w:tcPr>
            <w:tcW w:w="280" w:type="dxa"/>
            <w:vAlign w:val="bottom"/>
            <w:shd w:val="clear" w:color="auto" w:fill="CEFFE7"/>
          </w:tcPr>
          <w:p>
            <w:pPr>
              <w:spacing w:after="0"/>
              <w:rPr>
                <w:sz w:val="14"/>
                <w:szCs w:val="14"/>
                <w:color w:val="auto"/>
              </w:rPr>
            </w:pP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3880" w:type="dxa"/>
            <w:vAlign w:val="bottom"/>
            <w:vMerge w:val="continue"/>
            <w:shd w:val="clear" w:color="auto" w:fill="CEFFE7"/>
          </w:tcPr>
          <w:p>
            <w:pPr>
              <w:spacing w:after="0"/>
              <w:rPr>
                <w:sz w:val="18"/>
                <w:szCs w:val="18"/>
                <w:color w:val="auto"/>
              </w:rPr>
            </w:pPr>
          </w:p>
        </w:tc>
        <w:tc>
          <w:tcPr>
            <w:tcW w:w="2820" w:type="dxa"/>
            <w:vAlign w:val="bottom"/>
            <w:shd w:val="clear" w:color="auto" w:fill="CEFFE7"/>
          </w:tcPr>
          <w:p>
            <w:pPr>
              <w:ind w:left="40"/>
              <w:spacing w:after="0"/>
              <w:rPr>
                <w:sz w:val="20"/>
                <w:szCs w:val="20"/>
                <w:color w:val="auto"/>
              </w:rPr>
            </w:pPr>
            <w:r>
              <w:rPr>
                <w:rFonts w:ascii="Arial" w:cs="Arial" w:eastAsia="Arial" w:hAnsi="Arial"/>
                <w:sz w:val="16"/>
                <w:szCs w:val="16"/>
                <w:color w:val="auto"/>
              </w:rPr>
              <w:t>natural gas sold</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vMerge w:val="continue"/>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vMerge w:val="continue"/>
            <w:shd w:val="clear" w:color="auto" w:fill="CEFFE7"/>
          </w:tcPr>
          <w:p>
            <w:pPr>
              <w:spacing w:after="0"/>
              <w:rPr>
                <w:sz w:val="18"/>
                <w:szCs w:val="18"/>
                <w:color w:val="auto"/>
              </w:rPr>
            </w:pPr>
          </w:p>
        </w:tc>
        <w:tc>
          <w:tcPr>
            <w:tcW w:w="28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2,151</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7"/>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w:t>
            </w:r>
          </w:p>
        </w:tc>
        <w:tc>
          <w:tcPr>
            <w:tcW w:w="2820" w:type="dxa"/>
            <w:vAlign w:val="bottom"/>
            <w:shd w:val="clear" w:color="auto" w:fill="CEFFE7"/>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(81)</w:t>
            </w:r>
          </w:p>
        </w:tc>
        <w:tc>
          <w:tcPr>
            <w:tcW w:w="3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28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142"/>
        </w:trPr>
        <w:tc>
          <w:tcPr>
            <w:tcW w:w="3880" w:type="dxa"/>
            <w:vAlign w:val="bottom"/>
          </w:tcPr>
          <w:p>
            <w:pPr>
              <w:ind w:left="20"/>
              <w:spacing w:after="0" w:line="142" w:lineRule="exact"/>
              <w:rPr>
                <w:sz w:val="20"/>
                <w:szCs w:val="20"/>
                <w:color w:val="auto"/>
              </w:rPr>
            </w:pPr>
            <w:r>
              <w:rPr>
                <w:rFonts w:ascii="Arial" w:cs="Arial" w:eastAsia="Arial" w:hAnsi="Arial"/>
                <w:sz w:val="16"/>
                <w:szCs w:val="16"/>
                <w:color w:val="auto"/>
              </w:rPr>
              <w:t>Total reclassification adjustments related to cash flow</w:t>
            </w:r>
          </w:p>
        </w:tc>
        <w:tc>
          <w:tcPr>
            <w:tcW w:w="282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529</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(521)</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1,695</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hedges, net of tax</w:t>
            </w:r>
          </w:p>
        </w:tc>
        <w:tc>
          <w:tcPr>
            <w:tcW w:w="282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880" w:type="dxa"/>
            <w:vAlign w:val="bottom"/>
            <w:shd w:val="clear" w:color="auto" w:fill="CEFFE7"/>
          </w:tcPr>
          <w:p>
            <w:pPr>
              <w:spacing w:after="0"/>
              <w:rPr>
                <w:sz w:val="21"/>
                <w:szCs w:val="21"/>
                <w:color w:val="auto"/>
              </w:rPr>
            </w:pPr>
          </w:p>
        </w:tc>
        <w:tc>
          <w:tcPr>
            <w:tcW w:w="282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96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94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2820" w:type="dxa"/>
            <w:vAlign w:val="bottom"/>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Actuarial gain (loss)</w:t>
            </w:r>
          </w:p>
        </w:tc>
        <w:tc>
          <w:tcPr>
            <w:tcW w:w="2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Operations and maintenance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4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0"/>
        </w:trPr>
        <w:tc>
          <w:tcPr>
            <w:tcW w:w="3880" w:type="dxa"/>
            <w:vAlign w:val="bottom"/>
            <w:shd w:val="clear" w:color="auto" w:fill="CEFFE7"/>
          </w:tcPr>
          <w:p>
            <w:pPr>
              <w:spacing w:after="0"/>
              <w:rPr>
                <w:sz w:val="18"/>
                <w:szCs w:val="18"/>
                <w:color w:val="auto"/>
              </w:rPr>
            </w:pPr>
          </w:p>
        </w:tc>
        <w:tc>
          <w:tcPr>
            <w:tcW w:w="28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w:t>
            </w: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(329)</w:t>
            </w:r>
          </w:p>
        </w:tc>
        <w:tc>
          <w:tcPr>
            <w:tcW w:w="280" w:type="dxa"/>
            <w:vAlign w:val="bottom"/>
            <w:shd w:val="clear" w:color="auto" w:fill="CEFFE7"/>
          </w:tcPr>
          <w:p>
            <w:pPr>
              <w:spacing w:after="0"/>
              <w:rPr>
                <w:sz w:val="18"/>
                <w:szCs w:val="18"/>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15"/>
        </w:trPr>
        <w:tc>
          <w:tcPr>
            <w:tcW w:w="38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w:t>
            </w:r>
          </w:p>
        </w:tc>
        <w:tc>
          <w:tcPr>
            <w:tcW w:w="28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4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43"/>
        </w:trPr>
        <w:tc>
          <w:tcPr>
            <w:tcW w:w="3880" w:type="dxa"/>
            <w:vAlign w:val="bottom"/>
            <w:shd w:val="clear" w:color="auto" w:fill="CEFFE7"/>
          </w:tcPr>
          <w:p>
            <w:pPr>
              <w:ind w:left="20"/>
              <w:spacing w:after="0" w:line="143" w:lineRule="exact"/>
              <w:rPr>
                <w:sz w:val="20"/>
                <w:szCs w:val="20"/>
                <w:color w:val="auto"/>
              </w:rPr>
            </w:pPr>
            <w:r>
              <w:rPr>
                <w:rFonts w:ascii="Arial" w:cs="Arial" w:eastAsia="Arial" w:hAnsi="Arial"/>
                <w:sz w:val="16"/>
                <w:szCs w:val="16"/>
                <w:color w:val="auto"/>
              </w:rPr>
              <w:t>Total reclassification adjustments related to defined</w:t>
            </w:r>
          </w:p>
        </w:tc>
        <w:tc>
          <w:tcPr>
            <w:tcW w:w="2820" w:type="dxa"/>
            <w:vAlign w:val="bottom"/>
            <w:shd w:val="clear" w:color="auto" w:fill="CEFFE7"/>
          </w:tcPr>
          <w:p>
            <w:pPr>
              <w:spacing w:after="0"/>
              <w:rPr>
                <w:sz w:val="12"/>
                <w:szCs w:val="12"/>
                <w:color w:val="auto"/>
              </w:rPr>
            </w:pPr>
          </w:p>
        </w:tc>
        <w:tc>
          <w:tcPr>
            <w:tcW w:w="16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(105)</w:t>
            </w:r>
          </w:p>
        </w:tc>
        <w:tc>
          <w:tcPr>
            <w:tcW w:w="30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(422)</w:t>
            </w:r>
          </w:p>
        </w:tc>
        <w:tc>
          <w:tcPr>
            <w:tcW w:w="140" w:type="dxa"/>
            <w:vAlign w:val="bottom"/>
            <w:shd w:val="clear" w:color="auto" w:fill="CEFFE7"/>
          </w:tcPr>
          <w:p>
            <w:pPr>
              <w:spacing w:after="0"/>
              <w:rPr>
                <w:sz w:val="12"/>
                <w:szCs w:val="12"/>
                <w:color w:val="auto"/>
              </w:rPr>
            </w:pPr>
          </w:p>
        </w:tc>
        <w:tc>
          <w:tcPr>
            <w:tcW w:w="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(230)</w:t>
            </w:r>
          </w:p>
        </w:tc>
        <w:tc>
          <w:tcPr>
            <w:tcW w:w="28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20"/>
        </w:trPr>
        <w:tc>
          <w:tcPr>
            <w:tcW w:w="388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benefit plans, net of tax</w:t>
            </w:r>
          </w:p>
        </w:tc>
        <w:tc>
          <w:tcPr>
            <w:tcW w:w="2820" w:type="dxa"/>
            <w:vAlign w:val="bottom"/>
            <w:shd w:val="clear" w:color="auto" w:fill="CEFFE7"/>
          </w:tcPr>
          <w:p>
            <w:pPr>
              <w:spacing w:after="0"/>
              <w:rPr>
                <w:sz w:val="18"/>
                <w:szCs w:val="18"/>
                <w:color w:val="auto"/>
              </w:rPr>
            </w:pPr>
          </w:p>
        </w:tc>
        <w:tc>
          <w:tcPr>
            <w:tcW w:w="160" w:type="dxa"/>
            <w:vAlign w:val="bottom"/>
            <w:tcBorders>
              <w:bottom w:val="single" w:sz="8" w:color="auto"/>
            </w:tcBorders>
            <w:vMerge w:val="continue"/>
            <w:shd w:val="clear" w:color="auto" w:fill="CEFFE7"/>
          </w:tcPr>
          <w:p>
            <w:pPr>
              <w:spacing w:after="0"/>
              <w:rPr>
                <w:sz w:val="18"/>
                <w:szCs w:val="18"/>
                <w:color w:val="auto"/>
              </w:rPr>
            </w:pPr>
          </w:p>
        </w:tc>
        <w:tc>
          <w:tcPr>
            <w:tcW w:w="960" w:type="dxa"/>
            <w:vAlign w:val="bottom"/>
            <w:tcBorders>
              <w:bottom w:val="single" w:sz="8" w:color="auto"/>
            </w:tcBorders>
            <w:vMerge w:val="continue"/>
            <w:shd w:val="clear" w:color="auto" w:fill="CEFFE7"/>
          </w:tcPr>
          <w:p>
            <w:pPr>
              <w:spacing w:after="0"/>
              <w:rPr>
                <w:sz w:val="18"/>
                <w:szCs w:val="18"/>
                <w:color w:val="auto"/>
              </w:rPr>
            </w:pPr>
          </w:p>
        </w:tc>
        <w:tc>
          <w:tcPr>
            <w:tcW w:w="300" w:type="dxa"/>
            <w:vAlign w:val="bottom"/>
            <w:tcBorders>
              <w:bottom w:val="single" w:sz="8" w:color="auto"/>
            </w:tcBorders>
            <w:vMerge w:val="continue"/>
            <w:shd w:val="clear" w:color="auto" w:fill="CEFFE7"/>
          </w:tcPr>
          <w:p>
            <w:pPr>
              <w:spacing w:after="0"/>
              <w:rPr>
                <w:sz w:val="18"/>
                <w:szCs w:val="18"/>
                <w:color w:val="auto"/>
              </w:rPr>
            </w:pPr>
          </w:p>
        </w:tc>
        <w:tc>
          <w:tcPr>
            <w:tcW w:w="820" w:type="dxa"/>
            <w:vAlign w:val="bottom"/>
            <w:tcBorders>
              <w:bottom w:val="single" w:sz="8" w:color="auto"/>
            </w:tcBorders>
            <w:vMerge w:val="continue"/>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vMerge w:val="continue"/>
            <w:shd w:val="clear" w:color="auto" w:fill="CEFFE7"/>
          </w:tcPr>
          <w:p>
            <w:pPr>
              <w:spacing w:after="0"/>
              <w:rPr>
                <w:sz w:val="18"/>
                <w:szCs w:val="18"/>
                <w:color w:val="auto"/>
              </w:rPr>
            </w:pPr>
          </w:p>
        </w:tc>
        <w:tc>
          <w:tcPr>
            <w:tcW w:w="940" w:type="dxa"/>
            <w:vAlign w:val="bottom"/>
            <w:tcBorders>
              <w:bottom w:val="single" w:sz="8" w:color="auto"/>
            </w:tcBorders>
            <w:vMerge w:val="continue"/>
            <w:shd w:val="clear" w:color="auto" w:fill="CEFFE7"/>
          </w:tcPr>
          <w:p>
            <w:pPr>
              <w:spacing w:after="0"/>
              <w:rPr>
                <w:sz w:val="18"/>
                <w:szCs w:val="18"/>
                <w:color w:val="auto"/>
              </w:rPr>
            </w:pPr>
          </w:p>
        </w:tc>
        <w:tc>
          <w:tcPr>
            <w:tcW w:w="280" w:type="dxa"/>
            <w:vAlign w:val="bottom"/>
            <w:tcBorders>
              <w:bottom w:val="single" w:sz="8" w:color="auto"/>
            </w:tcBorders>
            <w:vMerge w:val="continue"/>
            <w:shd w:val="clear" w:color="auto" w:fill="CEFFE7"/>
          </w:tcPr>
          <w:p>
            <w:pPr>
              <w:spacing w:after="0"/>
              <w:rPr>
                <w:sz w:val="18"/>
                <w:szCs w:val="18"/>
                <w:color w:val="auto"/>
              </w:rPr>
            </w:pPr>
          </w:p>
        </w:tc>
        <w:tc>
          <w:tcPr>
            <w:tcW w:w="80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28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20" w:type="dxa"/>
            <w:vAlign w:val="bottom"/>
            <w:vMerge w:val="restart"/>
          </w:tcPr>
          <w:p>
            <w:pPr>
              <w:ind w:left="1660"/>
              <w:spacing w:after="0"/>
              <w:rPr>
                <w:sz w:val="20"/>
                <w:szCs w:val="20"/>
                <w:color w:val="auto"/>
              </w:rPr>
            </w:pPr>
            <w:r>
              <w:rPr>
                <w:rFonts w:ascii="Arial" w:cs="Arial" w:eastAsia="Arial" w:hAnsi="Arial"/>
                <w:sz w:val="16"/>
                <w:szCs w:val="16"/>
                <w:color w:val="auto"/>
              </w:rPr>
              <w:t>27</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38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vMerge w:val="restart"/>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2"/>
                <w:szCs w:val="12"/>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Pr>
          <w:p>
            <w:pPr>
              <w:spacing w:after="0"/>
              <w:rPr>
                <w:sz w:val="12"/>
                <w:szCs w:val="12"/>
                <w:color w:val="auto"/>
              </w:rPr>
            </w:pPr>
          </w:p>
        </w:tc>
        <w:tc>
          <w:tcPr>
            <w:tcW w:w="1540" w:type="dxa"/>
            <w:vAlign w:val="bottom"/>
          </w:tcPr>
          <w:p>
            <w:pPr>
              <w:jc w:val="center"/>
              <w:ind w:right="79"/>
              <w:spacing w:after="0" w:line="14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2021</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(10,384)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(11,176)</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(1,267)</w:t>
            </w: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June 30, 2022</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(9,373)</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(2,497)</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(10,946)</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(22,816)</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4000" w:type="dxa"/>
            <w:vAlign w:val="bottom"/>
            <w:tcBorders>
              <w:top w:val="single" w:sz="8" w:color="CEFFE7"/>
              <w:bottom w:val="single" w:sz="8" w:color="auto"/>
            </w:tcBorders>
            <w:gridSpan w:val="3"/>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vMerge w:val="restart"/>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2"/>
                <w:szCs w:val="12"/>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Pr>
          <w:p>
            <w:pPr>
              <w:spacing w:after="0"/>
              <w:rPr>
                <w:sz w:val="12"/>
                <w:szCs w:val="12"/>
                <w:color w:val="auto"/>
              </w:rPr>
            </w:pPr>
          </w:p>
        </w:tc>
        <w:tc>
          <w:tcPr>
            <w:tcW w:w="1540" w:type="dxa"/>
            <w:vAlign w:val="bottom"/>
          </w:tcPr>
          <w:p>
            <w:pPr>
              <w:jc w:val="center"/>
              <w:ind w:right="79"/>
              <w:spacing w:after="0" w:line="14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(27,346)</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w:t>
            </w: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June 30, 2021</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(11,472)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(14,003)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(24,446)</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0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8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vMerge w:val="restart"/>
          </w:tcPr>
          <w:p>
            <w:pPr>
              <w:jc w:val="right"/>
              <w:ind w:right="99"/>
              <w:spacing w:after="0"/>
              <w:rPr>
                <w:sz w:val="20"/>
                <w:szCs w:val="20"/>
                <w:color w:val="auto"/>
              </w:rPr>
            </w:pPr>
            <w:r>
              <w:rPr>
                <w:rFonts w:ascii="Arial" w:cs="Arial" w:eastAsia="Arial" w:hAnsi="Arial"/>
                <w:sz w:val="16"/>
                <w:szCs w:val="16"/>
                <w:color w:val="auto"/>
              </w:rPr>
              <w:t>Defined Benefit Pension Plan</w:t>
            </w:r>
          </w:p>
        </w:tc>
        <w:tc>
          <w:tcPr>
            <w:tcW w:w="180" w:type="dxa"/>
            <w:vAlign w:val="bottom"/>
          </w:tcPr>
          <w:p>
            <w:pPr>
              <w:spacing w:after="0"/>
              <w:rPr>
                <w:sz w:val="16"/>
                <w:szCs w:val="16"/>
                <w:color w:val="auto"/>
              </w:rPr>
            </w:pPr>
          </w:p>
        </w:tc>
        <w:tc>
          <w:tcPr>
            <w:tcW w:w="2280" w:type="dxa"/>
            <w:vAlign w:val="bottom"/>
            <w:gridSpan w:val="3"/>
          </w:tcPr>
          <w:p>
            <w:pPr>
              <w:jc w:val="right"/>
              <w:ind w:right="139"/>
              <w:spacing w:after="0"/>
              <w:rPr>
                <w:sz w:val="20"/>
                <w:szCs w:val="20"/>
                <w:color w:val="auto"/>
              </w:rPr>
            </w:pPr>
            <w:r>
              <w:rPr>
                <w:rFonts w:ascii="Arial" w:cs="Arial" w:eastAsia="Arial" w:hAnsi="Arial"/>
                <w:sz w:val="16"/>
                <w:szCs w:val="16"/>
                <w:color w:val="auto"/>
              </w:rPr>
              <w:t>Supplemental Non-qualified</w:t>
            </w:r>
          </w:p>
        </w:tc>
        <w:tc>
          <w:tcPr>
            <w:tcW w:w="140" w:type="dxa"/>
            <w:vAlign w:val="bottom"/>
          </w:tcPr>
          <w:p>
            <w:pPr>
              <w:spacing w:after="0"/>
              <w:rPr>
                <w:sz w:val="16"/>
                <w:szCs w:val="16"/>
                <w:color w:val="auto"/>
              </w:rPr>
            </w:pPr>
          </w:p>
        </w:tc>
        <w:tc>
          <w:tcPr>
            <w:tcW w:w="2380" w:type="dxa"/>
            <w:vAlign w:val="bottom"/>
            <w:gridSpan w:val="3"/>
          </w:tcPr>
          <w:p>
            <w:pPr>
              <w:jc w:val="center"/>
              <w:ind w:right="19"/>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Postretirement Healthcare Plan</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June 30,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Service cost</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982</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(1,355)</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1,020</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492</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2,328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7"/>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(4,630)</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(5,219)</w:t>
            </w:r>
          </w:p>
        </w:tc>
        <w:tc>
          <w:tcPr>
            <w:tcW w:w="18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Recognized net actuarial loss</w:t>
            </w:r>
          </w:p>
        </w:tc>
        <w:tc>
          <w:tcPr>
            <w:tcW w:w="1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1,523</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1,829</w:t>
            </w:r>
          </w:p>
        </w:tc>
        <w:tc>
          <w:tcPr>
            <w:tcW w:w="18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w:t>
            </w:r>
          </w:p>
        </w:tc>
        <w:tc>
          <w:tcPr>
            <w:tcW w:w="2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438</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3"/>
            <w:vMerge w:val="restart"/>
          </w:tcPr>
          <w:p>
            <w:pPr>
              <w:jc w:val="right"/>
              <w:ind w:right="99"/>
              <w:spacing w:after="0"/>
              <w:rPr>
                <w:sz w:val="20"/>
                <w:szCs w:val="20"/>
                <w:color w:val="auto"/>
              </w:rPr>
            </w:pPr>
            <w:r>
              <w:rPr>
                <w:rFonts w:ascii="Arial" w:cs="Arial" w:eastAsia="Arial" w:hAnsi="Arial"/>
                <w:sz w:val="16"/>
                <w:szCs w:val="16"/>
                <w:color w:val="auto"/>
              </w:rPr>
              <w:t>Defined Benefit Pension Plan</w:t>
            </w:r>
          </w:p>
        </w:tc>
        <w:tc>
          <w:tcPr>
            <w:tcW w:w="180" w:type="dxa"/>
            <w:vAlign w:val="bottom"/>
          </w:tcPr>
          <w:p>
            <w:pPr>
              <w:spacing w:after="0"/>
              <w:rPr>
                <w:sz w:val="24"/>
                <w:szCs w:val="24"/>
                <w:color w:val="auto"/>
              </w:rPr>
            </w:pPr>
          </w:p>
        </w:tc>
        <w:tc>
          <w:tcPr>
            <w:tcW w:w="2280" w:type="dxa"/>
            <w:vAlign w:val="bottom"/>
            <w:gridSpan w:val="3"/>
          </w:tcPr>
          <w:p>
            <w:pPr>
              <w:jc w:val="right"/>
              <w:ind w:right="139"/>
              <w:spacing w:after="0"/>
              <w:rPr>
                <w:sz w:val="20"/>
                <w:szCs w:val="20"/>
                <w:color w:val="auto"/>
              </w:rPr>
            </w:pPr>
            <w:r>
              <w:rPr>
                <w:rFonts w:ascii="Arial" w:cs="Arial" w:eastAsia="Arial" w:hAnsi="Arial"/>
                <w:sz w:val="16"/>
                <w:szCs w:val="16"/>
                <w:color w:val="auto"/>
              </w:rPr>
              <w:t>Supplemental Non-qualified</w:t>
            </w:r>
          </w:p>
        </w:tc>
        <w:tc>
          <w:tcPr>
            <w:tcW w:w="140" w:type="dxa"/>
            <w:vAlign w:val="bottom"/>
          </w:tcPr>
          <w:p>
            <w:pPr>
              <w:spacing w:after="0"/>
              <w:rPr>
                <w:sz w:val="24"/>
                <w:szCs w:val="24"/>
                <w:color w:val="auto"/>
              </w:rPr>
            </w:pPr>
          </w:p>
        </w:tc>
        <w:tc>
          <w:tcPr>
            <w:tcW w:w="2380" w:type="dxa"/>
            <w:vAlign w:val="bottom"/>
            <w:gridSpan w:val="3"/>
          </w:tcPr>
          <w:p>
            <w:pPr>
              <w:jc w:val="center"/>
              <w:ind w:right="19"/>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color w:val="auto"/>
              </w:rPr>
              <w:t>Defined Benefit Plans</w:t>
            </w: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Postretirement Healthcare Plan</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Six Months Ended June 30,</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Service cost</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1,964</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2,519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(1,747)</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1,713</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984</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5,409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7"/>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(9,261)</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(10,438)</w:t>
            </w:r>
          </w:p>
        </w:tc>
        <w:tc>
          <w:tcPr>
            <w:tcW w:w="18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3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Recognized net actuarial loss</w:t>
            </w:r>
          </w:p>
        </w:tc>
        <w:tc>
          <w:tcPr>
            <w:tcW w:w="1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3,046</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3,658</w:t>
            </w:r>
          </w:p>
        </w:tc>
        <w:tc>
          <w:tcPr>
            <w:tcW w:w="18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877</w:t>
            </w:r>
          </w:p>
        </w:tc>
        <w:tc>
          <w:tcPr>
            <w:tcW w:w="1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w:t>
            </w:r>
          </w:p>
        </w:tc>
        <w:tc>
          <w:tcPr>
            <w:tcW w:w="28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ind w:right="219"/>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248"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six months of 2022 and anticipated contributions for 2022 and 2023 are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Arial" w:cs="Arial" w:eastAsia="Arial" w:hAnsi="Arial"/>
                <w:sz w:val="16"/>
                <w:szCs w:val="16"/>
                <w:color w:val="auto"/>
              </w:rPr>
              <w:t>Contributions Made</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Additional Contributions</w:t>
            </w:r>
          </w:p>
        </w:tc>
        <w:tc>
          <w:tcPr>
            <w:tcW w:w="1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Contributions</w:t>
            </w:r>
          </w:p>
        </w:tc>
        <w:tc>
          <w:tcPr>
            <w:tcW w:w="0" w:type="dxa"/>
            <w:vAlign w:val="bottom"/>
          </w:tcPr>
          <w:p>
            <w:pPr>
              <w:spacing w:after="0"/>
              <w:rPr>
                <w:sz w:val="1"/>
                <w:szCs w:val="1"/>
                <w:color w:val="auto"/>
              </w:rPr>
            </w:pPr>
          </w:p>
        </w:tc>
      </w:tr>
      <w:tr>
        <w:trPr>
          <w:trHeight w:val="164"/>
        </w:trPr>
        <w:tc>
          <w:tcPr>
            <w:tcW w:w="5820" w:type="dxa"/>
            <w:vAlign w:val="bottom"/>
          </w:tcPr>
          <w:p>
            <w:pPr>
              <w:spacing w:after="0"/>
              <w:rPr>
                <w:sz w:val="14"/>
                <w:szCs w:val="14"/>
                <w:color w:val="auto"/>
              </w:rPr>
            </w:pPr>
          </w:p>
        </w:tc>
        <w:tc>
          <w:tcPr>
            <w:tcW w:w="1780" w:type="dxa"/>
            <w:vAlign w:val="bottom"/>
            <w:gridSpan w:val="2"/>
          </w:tcPr>
          <w:p>
            <w:pPr>
              <w:jc w:val="center"/>
              <w:spacing w:after="0" w:line="164" w:lineRule="exact"/>
              <w:rPr>
                <w:sz w:val="20"/>
                <w:szCs w:val="20"/>
                <w:color w:val="auto"/>
              </w:rPr>
            </w:pPr>
            <w:r>
              <w:rPr>
                <w:rFonts w:ascii="Arial" w:cs="Arial" w:eastAsia="Arial" w:hAnsi="Arial"/>
                <w:sz w:val="16"/>
                <w:szCs w:val="16"/>
                <w:color w:val="auto"/>
              </w:rPr>
              <w:t>Six Months Ended June</w:t>
            </w:r>
          </w:p>
        </w:tc>
        <w:tc>
          <w:tcPr>
            <w:tcW w:w="160" w:type="dxa"/>
            <w:vAlign w:val="bottom"/>
          </w:tcPr>
          <w:p>
            <w:pPr>
              <w:spacing w:after="0"/>
              <w:rPr>
                <w:sz w:val="14"/>
                <w:szCs w:val="14"/>
                <w:color w:val="auto"/>
              </w:rPr>
            </w:pPr>
          </w:p>
        </w:tc>
        <w:tc>
          <w:tcPr>
            <w:tcW w:w="1660" w:type="dxa"/>
            <w:vAlign w:val="bottom"/>
            <w:vMerge w:val="restart"/>
          </w:tcPr>
          <w:p>
            <w:pPr>
              <w:jc w:val="right"/>
              <w:ind w:right="99"/>
              <w:spacing w:after="0"/>
              <w:rPr>
                <w:sz w:val="20"/>
                <w:szCs w:val="20"/>
                <w:color w:val="auto"/>
              </w:rPr>
            </w:pPr>
            <w:r>
              <w:rPr>
                <w:rFonts w:ascii="Arial" w:cs="Arial" w:eastAsia="Arial" w:hAnsi="Arial"/>
                <w:sz w:val="16"/>
                <w:szCs w:val="16"/>
                <w:color w:val="auto"/>
              </w:rPr>
              <w:t>Anticipated for 2022</w:t>
            </w:r>
          </w:p>
        </w:tc>
        <w:tc>
          <w:tcPr>
            <w:tcW w:w="160" w:type="dxa"/>
            <w:vAlign w:val="bottom"/>
          </w:tcPr>
          <w:p>
            <w:pPr>
              <w:spacing w:after="0"/>
              <w:rPr>
                <w:sz w:val="14"/>
                <w:szCs w:val="14"/>
                <w:color w:val="auto"/>
              </w:rPr>
            </w:pPr>
          </w:p>
        </w:tc>
        <w:tc>
          <w:tcPr>
            <w:tcW w:w="1660" w:type="dxa"/>
            <w:vAlign w:val="bottom"/>
            <w:vMerge w:val="restart"/>
          </w:tcPr>
          <w:p>
            <w:pPr>
              <w:jc w:val="right"/>
              <w:ind w:right="99"/>
              <w:spacing w:after="0"/>
              <w:rPr>
                <w:sz w:val="20"/>
                <w:szCs w:val="20"/>
                <w:color w:val="auto"/>
              </w:rPr>
            </w:pPr>
            <w:r>
              <w:rPr>
                <w:rFonts w:ascii="Arial" w:cs="Arial" w:eastAsia="Arial" w:hAnsi="Arial"/>
                <w:sz w:val="16"/>
                <w:szCs w:val="16"/>
                <w:color w:val="auto"/>
              </w:rPr>
              <w:t>Anticipated for 2023</w:t>
            </w:r>
          </w:p>
        </w:tc>
        <w:tc>
          <w:tcPr>
            <w:tcW w:w="0" w:type="dxa"/>
            <w:vAlign w:val="bottom"/>
          </w:tcPr>
          <w:p>
            <w:pPr>
              <w:spacing w:after="0"/>
              <w:rPr>
                <w:sz w:val="1"/>
                <w:szCs w:val="1"/>
                <w:color w:val="auto"/>
              </w:rPr>
            </w:pPr>
          </w:p>
        </w:tc>
      </w:tr>
      <w:tr>
        <w:trPr>
          <w:trHeight w:val="215"/>
        </w:trPr>
        <w:tc>
          <w:tcPr>
            <w:tcW w:w="582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30, 2022</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8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2,552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2,552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17"/>
        </w:trPr>
        <w:tc>
          <w:tcPr>
            <w:tcW w:w="5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1,078</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1,078</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Funding Status of Employee Benefit Plans</w:t>
      </w:r>
    </w:p>
    <w:p>
      <w:pPr>
        <w:spacing w:after="0" w:line="26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Based on the fair value of assets and estimated discount rate used to value benefit obligations as of June 30, 2022, we estimate the unfunded status of our employee benefit plans to be approximately $29 million compared to $20 million at December 31, 2021. In 2012, we froze our pension plan and closed it to new participants. Since then, we have implemented various de-risking strategies including lump sum buyouts, the purchase of annuities and the reduction of return-seeking assets over time to a more liability-hedged portfolio. As a result, recent capital markets volatility has not materially affected our unfunded status and does not require interim re-measurement of our pension plan assets or defined benefit obligations.</w:t>
      </w:r>
    </w:p>
    <w:p>
      <w:pPr>
        <w:spacing w:after="0" w:line="200" w:lineRule="exact"/>
        <w:rPr>
          <w:sz w:val="20"/>
          <w:szCs w:val="20"/>
          <w:color w:val="auto"/>
        </w:rPr>
      </w:pPr>
    </w:p>
    <w:p>
      <w:pPr>
        <w:spacing w:after="0" w:line="26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 and Effective Tax Rates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2022 Compared to the Three Months Ended June 30, 2021</w:t>
      </w: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Income tax expense (benefit) for the three months ended June 30, 2022 was $(0.7) million compared to $0.6 million reported for the same period in 2021. For the three months ended June 30, 2022 the effective tax rate was (1.9)% compared to 2.0% for the same period in 2021. The lower effective tax rate was primarily due to $3.8 million of tax benefits from state rate changes, $1.5 million of increased tax benefits from federal PTCs associated with increased wind production and a current year PTC rate increase (inflation adjustment). These current year tax benefits were greater than prior year tax benefits from Nebraska Gas TCJA-related bill credits to customers (which were offset by reduced revenue) and prior year flow-through tax benefits related to repairs and certain indirect costs.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the Six Months Ended June 30, 2021</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Income tax expense for the six months ended June 30, 2022 was $14 million compared to $1.1 million reported for the same period in 2021. For the six months ended June 30, 2022, the effective tax rate was 8.1% compared to 0.8% for the same period in 2021. The higher effective tax rate was primarily due to $10 million of prior year tax benefits from Colorado Electric and Nebraska Gas TCJA-related bill credits to customers (which were offset by reduced revenue) partially offset by $3.8 million of current year tax benefits from state rate changes and $2.4 million of increased tax benefits from federal PTCs associated with increased wind production and a current year PTC rate increase (inflation adjustment).</w:t>
      </w:r>
    </w:p>
    <w:p>
      <w:pPr>
        <w:spacing w:after="0" w:line="200" w:lineRule="exact"/>
        <w:rPr>
          <w:sz w:val="20"/>
          <w:szCs w:val="20"/>
          <w:color w:val="auto"/>
        </w:rPr>
      </w:pPr>
    </w:p>
    <w:p>
      <w:pPr>
        <w:spacing w:after="0" w:line="242"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Our CODM reviews financial information presented on an operating segment basis for purposes of making decisions and assessing financial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CODM assesses the performance of our operating segments based on operating income.</w:t>
      </w:r>
    </w:p>
    <w:p>
      <w:pPr>
        <w:spacing w:after="0" w:line="2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the first nine months of 2021, we had reported four operating segments: Electric Utilities, Gas Utilities, Power Generation and Mining. 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operating segments are equivalent to our reportable segments.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52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5240" w:type="dxa"/>
            <w:vAlign w:val="bottom"/>
            <w:gridSpan w:val="2"/>
          </w:tcPr>
          <w:p>
            <w:pPr>
              <w:spacing w:after="0"/>
              <w:rPr>
                <w:sz w:val="20"/>
                <w:szCs w:val="20"/>
                <w:color w:val="auto"/>
              </w:rPr>
            </w:pPr>
            <w:r>
              <w:rPr>
                <w:rFonts w:ascii="Arial" w:cs="Arial" w:eastAsia="Arial" w:hAnsi="Arial"/>
                <w:sz w:val="16"/>
                <w:szCs w:val="16"/>
                <w:color w:val="252525"/>
              </w:rPr>
              <w:t>Segment information was as follows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assets (net of intercompany eliminations) as of:</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color w:val="auto"/>
              </w:rPr>
              <w:t>June 30, 2022</w:t>
            </w: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11"/>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980" w:type="dxa"/>
            <w:vAlign w:val="bottom"/>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3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3,834,826</w:t>
            </w:r>
          </w:p>
        </w:tc>
        <w:tc>
          <w:tcPr>
            <w:tcW w:w="80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3,796,662</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5,197,194</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5,246,370</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Corporate and Other</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620" w:type="dxa"/>
            <w:vAlign w:val="bottom"/>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102,542</w:t>
            </w:r>
          </w:p>
        </w:tc>
        <w:tc>
          <w:tcPr>
            <w:tcW w:w="80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88,864</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9,134,562</w:t>
            </w:r>
          </w:p>
        </w:tc>
        <w:tc>
          <w:tcPr>
            <w:tcW w:w="8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vMerge w:val="restart"/>
          </w:tcPr>
          <w:p>
            <w:pPr>
              <w:jc w:val="right"/>
              <w:ind w:right="39"/>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Three Months Ended June 30, 2022</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980" w:type="dxa"/>
            <w:vAlign w:val="bottom"/>
            <w:gridSpan w:val="2"/>
          </w:tcPr>
          <w:p>
            <w:pPr>
              <w:jc w:val="center"/>
              <w:ind w:right="19"/>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198,380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3,070</w:t>
            </w:r>
          </w:p>
        </w:tc>
        <w:tc>
          <w:tcPr>
            <w:tcW w:w="2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2,929 $</w:t>
            </w:r>
          </w:p>
        </w:tc>
        <w:tc>
          <w:tcPr>
            <w:tcW w:w="200" w:type="dxa"/>
            <w:vAlign w:val="bottom"/>
            <w:shd w:val="clear" w:color="auto" w:fill="CEFFE7"/>
          </w:tcPr>
          <w:p>
            <w:pPr>
              <w:spacing w:after="0"/>
              <w:rPr>
                <w:sz w:val="18"/>
                <w:szCs w:val="18"/>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204,379</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8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271,944</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239"/>
              <w:spacing w:after="0"/>
              <w:rPr>
                <w:sz w:val="20"/>
                <w:szCs w:val="20"/>
                <w:color w:val="auto"/>
              </w:rPr>
            </w:pPr>
            <w:r>
              <w:rPr>
                <w:rFonts w:ascii="Arial" w:cs="Arial" w:eastAsia="Arial" w:hAnsi="Arial"/>
                <w:sz w:val="16"/>
                <w:szCs w:val="16"/>
                <w:color w:val="auto"/>
                <w:w w:val="99"/>
              </w:rPr>
              <w:t>1,319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274,169</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center"/>
              <w:ind w:left="199"/>
              <w:spacing w:after="0"/>
              <w:rPr>
                <w:sz w:val="20"/>
                <w:szCs w:val="20"/>
                <w:color w:val="auto"/>
              </w:rPr>
            </w:pPr>
            <w:r>
              <w:rPr>
                <w:rFonts w:ascii="Arial" w:cs="Arial" w:eastAsia="Arial" w:hAnsi="Arial"/>
                <w:sz w:val="16"/>
                <w:szCs w:val="16"/>
                <w:color w:val="auto"/>
              </w:rPr>
              <w:t>(4,248)</w:t>
            </w:r>
          </w:p>
        </w:tc>
        <w:tc>
          <w:tcPr>
            <w:tcW w:w="20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3,871</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474,195</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vMerge w:val="restart"/>
          </w:tcPr>
          <w:p>
            <w:pPr>
              <w:jc w:val="right"/>
              <w:ind w:right="39"/>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Three Months Ended June 30, 2021</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980" w:type="dxa"/>
            <w:vAlign w:val="bottom"/>
            <w:gridSpan w:val="2"/>
          </w:tcPr>
          <w:p>
            <w:pPr>
              <w:jc w:val="center"/>
              <w:ind w:right="19"/>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185,235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2,900</w:t>
            </w:r>
          </w:p>
        </w:tc>
        <w:tc>
          <w:tcPr>
            <w:tcW w:w="2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2,881 $</w:t>
            </w:r>
          </w:p>
        </w:tc>
        <w:tc>
          <w:tcPr>
            <w:tcW w:w="200" w:type="dxa"/>
            <w:vAlign w:val="bottom"/>
            <w:shd w:val="clear" w:color="auto" w:fill="CEFFE7"/>
          </w:tcPr>
          <w:p>
            <w:pPr>
              <w:spacing w:after="0"/>
              <w:rPr>
                <w:sz w:val="18"/>
                <w:szCs w:val="18"/>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191,016</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183,187</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239"/>
              <w:spacing w:after="0"/>
              <w:rPr>
                <w:sz w:val="20"/>
                <w:szCs w:val="20"/>
                <w:color w:val="auto"/>
              </w:rPr>
            </w:pPr>
            <w:r>
              <w:rPr>
                <w:rFonts w:ascii="Arial" w:cs="Arial" w:eastAsia="Arial" w:hAnsi="Arial"/>
                <w:sz w:val="16"/>
                <w:szCs w:val="16"/>
                <w:color w:val="auto"/>
                <w:w w:val="99"/>
              </w:rPr>
              <w:t>1,519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186,050</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center"/>
              <w:ind w:left="199"/>
              <w:spacing w:after="0"/>
              <w:rPr>
                <w:sz w:val="20"/>
                <w:szCs w:val="20"/>
                <w:color w:val="auto"/>
              </w:rPr>
            </w:pPr>
            <w:r>
              <w:rPr>
                <w:rFonts w:ascii="Arial" w:cs="Arial" w:eastAsia="Arial" w:hAnsi="Arial"/>
                <w:sz w:val="16"/>
                <w:szCs w:val="16"/>
                <w:color w:val="auto"/>
              </w:rPr>
              <w:t>(4,400)</w:t>
            </w:r>
          </w:p>
        </w:tc>
        <w:tc>
          <w:tcPr>
            <w:tcW w:w="20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(4,494)</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4,150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372,572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vMerge w:val="restart"/>
          </w:tcPr>
          <w:p>
            <w:pPr>
              <w:jc w:val="right"/>
              <w:ind w:right="39"/>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Six Months Ended June 30, 2022</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980" w:type="dxa"/>
            <w:vAlign w:val="bottom"/>
            <w:gridSpan w:val="2"/>
          </w:tcPr>
          <w:p>
            <w:pPr>
              <w:jc w:val="center"/>
              <w:ind w:right="19"/>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7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401,119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3,940</w:t>
            </w:r>
          </w:p>
        </w:tc>
        <w:tc>
          <w:tcPr>
            <w:tcW w:w="2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5,858 $</w:t>
            </w:r>
          </w:p>
        </w:tc>
        <w:tc>
          <w:tcPr>
            <w:tcW w:w="200" w:type="dxa"/>
            <w:vAlign w:val="bottom"/>
            <w:shd w:val="clear" w:color="auto" w:fill="CEFFE7"/>
          </w:tcPr>
          <w:p>
            <w:pPr>
              <w:spacing w:after="0"/>
              <w:rPr>
                <w:sz w:val="18"/>
                <w:szCs w:val="18"/>
                <w:color w:val="auto"/>
              </w:rPr>
            </w:pPr>
          </w:p>
        </w:tc>
        <w:tc>
          <w:tcPr>
            <w:tcW w:w="940" w:type="dxa"/>
            <w:vAlign w:val="bottom"/>
            <w:gridSpan w:val="2"/>
            <w:shd w:val="clear" w:color="auto" w:fill="CEFFE7"/>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410,917</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890,974</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239"/>
              <w:spacing w:after="0"/>
              <w:rPr>
                <w:sz w:val="20"/>
                <w:szCs w:val="20"/>
                <w:color w:val="auto"/>
              </w:rPr>
            </w:pPr>
            <w:r>
              <w:rPr>
                <w:rFonts w:ascii="Arial" w:cs="Arial" w:eastAsia="Arial" w:hAnsi="Arial"/>
                <w:sz w:val="16"/>
                <w:szCs w:val="16"/>
                <w:color w:val="auto"/>
                <w:w w:val="99"/>
              </w:rPr>
              <w:t>2,638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895,561</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center"/>
              <w:ind w:left="199"/>
              <w:spacing w:after="0"/>
              <w:rPr>
                <w:sz w:val="20"/>
                <w:szCs w:val="20"/>
                <w:color w:val="auto"/>
              </w:rPr>
            </w:pPr>
            <w:r>
              <w:rPr>
                <w:rFonts w:ascii="Arial" w:cs="Arial" w:eastAsia="Arial" w:hAnsi="Arial"/>
                <w:sz w:val="16"/>
                <w:szCs w:val="16"/>
                <w:color w:val="auto"/>
              </w:rPr>
              <w:t>(8,496)</w:t>
            </w:r>
          </w:p>
        </w:tc>
        <w:tc>
          <w:tcPr>
            <w:tcW w:w="20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(8,713)</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1,292,093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5,672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1,297,765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vMerge w:val="restart"/>
          </w:tcPr>
          <w:p>
            <w:pPr>
              <w:jc w:val="right"/>
              <w:ind w:right="39"/>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rPr>
              <w:t>Inter-company Operating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rPr>
              <w:t>Revenue</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2C2C2C"/>
              </w:rPr>
              <w:t>Six Months Ended June 30, 2021</w:t>
            </w:r>
          </w:p>
        </w:tc>
        <w:tc>
          <w:tcPr>
            <w:tcW w:w="10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4"/>
                <w:szCs w:val="14"/>
                <w:color w:val="auto"/>
              </w:rPr>
            </w:pPr>
          </w:p>
        </w:tc>
        <w:tc>
          <w:tcPr>
            <w:tcW w:w="980" w:type="dxa"/>
            <w:vAlign w:val="bottom"/>
            <w:gridSpan w:val="2"/>
          </w:tcPr>
          <w:p>
            <w:pPr>
              <w:jc w:val="center"/>
              <w:ind w:right="19"/>
              <w:spacing w:after="0" w:line="164" w:lineRule="exact"/>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59"/>
              <w:spacing w:after="0" w:line="164" w:lineRule="exact"/>
              <w:rPr>
                <w:sz w:val="20"/>
                <w:szCs w:val="20"/>
                <w:color w:val="auto"/>
              </w:rPr>
            </w:pPr>
            <w:r>
              <w:rPr>
                <w:rFonts w:ascii="Arial" w:cs="Arial" w:eastAsia="Arial" w:hAnsi="Arial"/>
                <w:sz w:val="16"/>
                <w:szCs w:val="16"/>
                <w:color w:val="auto"/>
                <w:w w:val="99"/>
              </w:rPr>
              <w:t>Contract</w:t>
            </w:r>
          </w:p>
        </w:tc>
        <w:tc>
          <w:tcPr>
            <w:tcW w:w="200" w:type="dxa"/>
            <w:vAlign w:val="bottom"/>
          </w:tcPr>
          <w:p>
            <w:pPr>
              <w:spacing w:after="0"/>
              <w:rPr>
                <w:sz w:val="14"/>
                <w:szCs w:val="14"/>
                <w:color w:val="auto"/>
              </w:rPr>
            </w:pPr>
          </w:p>
        </w:tc>
        <w:tc>
          <w:tcPr>
            <w:tcW w:w="940" w:type="dxa"/>
            <w:vAlign w:val="bottom"/>
            <w:gridSpan w:val="2"/>
          </w:tcPr>
          <w:p>
            <w:pPr>
              <w:jc w:val="center"/>
              <w:ind w:right="460"/>
              <w:spacing w:after="0" w:line="164" w:lineRule="exact"/>
              <w:rPr>
                <w:sz w:val="20"/>
                <w:szCs w:val="20"/>
                <w:color w:val="auto"/>
              </w:rPr>
            </w:pPr>
            <w:r>
              <w:rPr>
                <w:rFonts w:ascii="Arial" w:cs="Arial" w:eastAsia="Arial" w:hAnsi="Arial"/>
                <w:sz w:val="16"/>
                <w:szCs w:val="16"/>
                <w:color w:val="auto"/>
                <w:w w:val="99"/>
              </w:rPr>
              <w:t>Other</w:t>
            </w:r>
          </w:p>
        </w:tc>
        <w:tc>
          <w:tcPr>
            <w:tcW w:w="160" w:type="dxa"/>
            <w:vAlign w:val="bottom"/>
          </w:tcPr>
          <w:p>
            <w:pPr>
              <w:spacing w:after="0"/>
              <w:rPr>
                <w:sz w:val="14"/>
                <w:szCs w:val="14"/>
                <w:color w:val="auto"/>
              </w:rPr>
            </w:pPr>
          </w:p>
        </w:tc>
        <w:tc>
          <w:tcPr>
            <w:tcW w:w="980" w:type="dxa"/>
            <w:vAlign w:val="bottom"/>
          </w:tcPr>
          <w:p>
            <w:pPr>
              <w:jc w:val="center"/>
              <w:ind w:right="39"/>
              <w:spacing w:after="0" w:line="164" w:lineRule="exact"/>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rPr>
              <w:t>Customers</w:t>
            </w:r>
          </w:p>
        </w:tc>
        <w:tc>
          <w:tcPr>
            <w:tcW w:w="11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9"/>
              </w:rPr>
              <w:t>Revenues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5"/>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5"/>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5"/>
          </w:tcPr>
          <w:p>
            <w:pPr>
              <w:jc w:val="right"/>
              <w:spacing w:after="0"/>
              <w:rPr>
                <w:sz w:val="20"/>
                <w:szCs w:val="20"/>
                <w:color w:val="auto"/>
              </w:rPr>
            </w:pPr>
            <w:r>
              <w:rPr>
                <w:rFonts w:ascii="Arial" w:cs="Arial" w:eastAsia="Arial" w:hAnsi="Arial"/>
                <w:sz w:val="16"/>
                <w:szCs w:val="16"/>
                <w:color w:val="auto"/>
              </w:rPr>
              <w:t>416,954</w:t>
            </w:r>
          </w:p>
        </w:tc>
        <w:tc>
          <w:tcPr>
            <w:tcW w:w="180" w:type="dxa"/>
            <w:vAlign w:val="bottom"/>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5"/>
          </w:tcPr>
          <w:p>
            <w:pPr>
              <w:jc w:val="right"/>
              <w:spacing w:after="0"/>
              <w:rPr>
                <w:sz w:val="20"/>
                <w:szCs w:val="20"/>
                <w:color w:val="auto"/>
              </w:rPr>
            </w:pPr>
            <w:r>
              <w:rPr>
                <w:rFonts w:ascii="Arial" w:cs="Arial" w:eastAsia="Arial" w:hAnsi="Arial"/>
                <w:sz w:val="16"/>
                <w:szCs w:val="16"/>
                <w:color w:val="auto"/>
              </w:rPr>
              <w:t>3,706</w:t>
            </w:r>
          </w:p>
        </w:tc>
        <w:tc>
          <w:tcPr>
            <w:tcW w:w="280" w:type="dxa"/>
            <w:vAlign w:val="bottom"/>
            <w:gridSpan w:val="2"/>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5"/>
          </w:tcPr>
          <w:p>
            <w:pPr>
              <w:jc w:val="right"/>
              <w:spacing w:after="0"/>
              <w:rPr>
                <w:sz w:val="20"/>
                <w:szCs w:val="20"/>
                <w:color w:val="auto"/>
              </w:rPr>
            </w:pPr>
            <w:r>
              <w:rPr>
                <w:rFonts w:ascii="Arial" w:cs="Arial" w:eastAsia="Arial" w:hAnsi="Arial"/>
                <w:sz w:val="16"/>
                <w:szCs w:val="16"/>
                <w:color w:val="auto"/>
              </w:rPr>
              <w:t>5,760 $</w:t>
            </w:r>
          </w:p>
        </w:tc>
        <w:tc>
          <w:tcPr>
            <w:tcW w:w="200" w:type="dxa"/>
            <w:vAlign w:val="bottom"/>
            <w:shd w:val="clear" w:color="auto" w:fill="CEFFE5"/>
          </w:tcPr>
          <w:p>
            <w:pPr>
              <w:spacing w:after="0"/>
              <w:rPr>
                <w:sz w:val="18"/>
                <w:szCs w:val="18"/>
                <w:color w:val="auto"/>
              </w:rPr>
            </w:pPr>
          </w:p>
        </w:tc>
        <w:tc>
          <w:tcPr>
            <w:tcW w:w="940" w:type="dxa"/>
            <w:vAlign w:val="bottom"/>
            <w:gridSpan w:val="2"/>
            <w:shd w:val="clear" w:color="auto" w:fill="CEFFE5"/>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5"/>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5"/>
          </w:tcPr>
          <w:p>
            <w:pPr>
              <w:jc w:val="right"/>
              <w:spacing w:after="0"/>
              <w:rPr>
                <w:sz w:val="20"/>
                <w:szCs w:val="20"/>
                <w:color w:val="auto"/>
              </w:rPr>
            </w:pPr>
            <w:r>
              <w:rPr>
                <w:rFonts w:ascii="Arial" w:cs="Arial" w:eastAsia="Arial" w:hAnsi="Arial"/>
                <w:sz w:val="16"/>
                <w:szCs w:val="16"/>
                <w:color w:val="auto"/>
              </w:rPr>
              <w:t>426,420</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581,686</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239"/>
              <w:spacing w:after="0"/>
              <w:rPr>
                <w:sz w:val="20"/>
                <w:szCs w:val="20"/>
                <w:color w:val="auto"/>
              </w:rPr>
            </w:pPr>
            <w:r>
              <w:rPr>
                <w:rFonts w:ascii="Arial" w:cs="Arial" w:eastAsia="Arial" w:hAnsi="Arial"/>
                <w:sz w:val="16"/>
                <w:szCs w:val="16"/>
                <w:color w:val="auto"/>
                <w:w w:val="99"/>
              </w:rPr>
              <w:t>3,039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588,569</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5"/>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tcBorders>
              <w:bottom w:val="single" w:sz="8" w:color="auto"/>
            </w:tcBorders>
            <w:shd w:val="clear" w:color="auto" w:fill="CEFFE5"/>
          </w:tcPr>
          <w:p>
            <w:pPr>
              <w:spacing w:after="0"/>
              <w:rPr>
                <w:sz w:val="18"/>
                <w:szCs w:val="18"/>
                <w:color w:val="auto"/>
              </w:rPr>
            </w:pPr>
          </w:p>
        </w:tc>
        <w:tc>
          <w:tcPr>
            <w:tcW w:w="1020" w:type="dxa"/>
            <w:vAlign w:val="bottom"/>
            <w:tcBorders>
              <w:bottom w:val="single" w:sz="8" w:color="auto"/>
            </w:tcBorders>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5"/>
          </w:tcPr>
          <w:p>
            <w:pPr>
              <w:spacing w:after="0"/>
              <w:rPr>
                <w:sz w:val="18"/>
                <w:szCs w:val="18"/>
                <w:color w:val="auto"/>
              </w:rPr>
            </w:pPr>
          </w:p>
        </w:tc>
        <w:tc>
          <w:tcPr>
            <w:tcW w:w="620" w:type="dxa"/>
            <w:vAlign w:val="bottom"/>
            <w:tcBorders>
              <w:bottom w:val="single" w:sz="8" w:color="auto"/>
            </w:tcBorders>
            <w:shd w:val="clear" w:color="auto" w:fill="CEFFE5"/>
          </w:tcPr>
          <w:p>
            <w:pPr>
              <w:spacing w:after="0"/>
              <w:rPr>
                <w:sz w:val="18"/>
                <w:szCs w:val="18"/>
                <w:color w:val="auto"/>
              </w:rPr>
            </w:pPr>
          </w:p>
        </w:tc>
        <w:tc>
          <w:tcPr>
            <w:tcW w:w="360" w:type="dxa"/>
            <w:vAlign w:val="bottom"/>
            <w:tcBorders>
              <w:bottom w:val="single" w:sz="8" w:color="auto"/>
            </w:tcBorders>
            <w:shd w:val="clear" w:color="auto" w:fill="CEFFE5"/>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5"/>
          </w:tcPr>
          <w:p>
            <w:pPr>
              <w:spacing w:after="0"/>
              <w:rPr>
                <w:sz w:val="18"/>
                <w:szCs w:val="18"/>
                <w:color w:val="auto"/>
              </w:rPr>
            </w:pPr>
          </w:p>
        </w:tc>
        <w:tc>
          <w:tcPr>
            <w:tcW w:w="140" w:type="dxa"/>
            <w:vAlign w:val="bottom"/>
            <w:tcBorders>
              <w:bottom w:val="single" w:sz="8" w:color="auto"/>
            </w:tcBorders>
            <w:shd w:val="clear" w:color="auto" w:fill="CEFFE5"/>
          </w:tcPr>
          <w:p>
            <w:pPr>
              <w:spacing w:after="0"/>
              <w:rPr>
                <w:sz w:val="18"/>
                <w:szCs w:val="18"/>
                <w:color w:val="auto"/>
              </w:rPr>
            </w:pPr>
          </w:p>
        </w:tc>
        <w:tc>
          <w:tcPr>
            <w:tcW w:w="1160" w:type="dxa"/>
            <w:vAlign w:val="bottom"/>
            <w:tcBorders>
              <w:bottom w:val="single" w:sz="8" w:color="auto"/>
            </w:tcBorders>
            <w:shd w:val="clear" w:color="auto" w:fill="CEFFE5"/>
          </w:tcPr>
          <w:p>
            <w:pPr>
              <w:jc w:val="center"/>
              <w:ind w:left="199"/>
              <w:spacing w:after="0"/>
              <w:rPr>
                <w:sz w:val="20"/>
                <w:szCs w:val="20"/>
                <w:color w:val="auto"/>
              </w:rPr>
            </w:pPr>
            <w:r>
              <w:rPr>
                <w:rFonts w:ascii="Arial" w:cs="Arial" w:eastAsia="Arial" w:hAnsi="Arial"/>
                <w:sz w:val="16"/>
                <w:szCs w:val="16"/>
                <w:color w:val="auto"/>
              </w:rPr>
              <w:t>(8,799)</w:t>
            </w:r>
          </w:p>
        </w:tc>
        <w:tc>
          <w:tcPr>
            <w:tcW w:w="200" w:type="dxa"/>
            <w:vAlign w:val="bottom"/>
            <w:tcBorders>
              <w:bottom w:val="single" w:sz="8" w:color="auto"/>
            </w:tcBorders>
            <w:shd w:val="clear" w:color="auto" w:fill="CEFFE5"/>
          </w:tcPr>
          <w:p>
            <w:pPr>
              <w:spacing w:after="0"/>
              <w:rPr>
                <w:sz w:val="18"/>
                <w:szCs w:val="18"/>
                <w:color w:val="auto"/>
              </w:rPr>
            </w:pPr>
          </w:p>
        </w:tc>
        <w:tc>
          <w:tcPr>
            <w:tcW w:w="800" w:type="dxa"/>
            <w:vAlign w:val="bottom"/>
            <w:tcBorders>
              <w:bottom w:val="single" w:sz="8" w:color="auto"/>
            </w:tcBorders>
            <w:shd w:val="clear" w:color="auto" w:fill="CEFFE5"/>
          </w:tcPr>
          <w:p>
            <w:pPr>
              <w:jc w:val="right"/>
              <w:spacing w:after="0"/>
              <w:rPr>
                <w:sz w:val="20"/>
                <w:szCs w:val="20"/>
                <w:color w:val="auto"/>
              </w:rPr>
            </w:pPr>
            <w:r>
              <w:rPr>
                <w:rFonts w:ascii="Arial" w:cs="Arial" w:eastAsia="Arial" w:hAnsi="Arial"/>
                <w:sz w:val="16"/>
                <w:szCs w:val="16"/>
                <w:color w:val="auto"/>
              </w:rPr>
              <w:t>(186)</w:t>
            </w:r>
          </w:p>
        </w:tc>
        <w:tc>
          <w:tcPr>
            <w:tcW w:w="140" w:type="dxa"/>
            <w:vAlign w:val="bottom"/>
            <w:shd w:val="clear" w:color="auto" w:fill="CEFFE5"/>
          </w:tcPr>
          <w:p>
            <w:pPr>
              <w:spacing w:after="0"/>
              <w:rPr>
                <w:sz w:val="18"/>
                <w:szCs w:val="18"/>
                <w:color w:val="auto"/>
              </w:rPr>
            </w:pPr>
          </w:p>
        </w:tc>
        <w:tc>
          <w:tcPr>
            <w:tcW w:w="160" w:type="dxa"/>
            <w:vAlign w:val="bottom"/>
            <w:tcBorders>
              <w:bottom w:val="single" w:sz="8" w:color="auto"/>
            </w:tcBorders>
            <w:shd w:val="clear" w:color="auto" w:fill="CEFFE5"/>
          </w:tcPr>
          <w:p>
            <w:pPr>
              <w:spacing w:after="0"/>
              <w:rPr>
                <w:sz w:val="18"/>
                <w:szCs w:val="18"/>
                <w:color w:val="auto"/>
              </w:rPr>
            </w:pPr>
          </w:p>
        </w:tc>
        <w:tc>
          <w:tcPr>
            <w:tcW w:w="980" w:type="dxa"/>
            <w:vAlign w:val="bottom"/>
            <w:tcBorders>
              <w:bottom w:val="single" w:sz="8" w:color="auto"/>
            </w:tcBorders>
            <w:shd w:val="clear" w:color="auto" w:fill="CEFFE5"/>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7,364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1,006,004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559"/>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3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53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3"/>
          </w:tcPr>
          <w:p>
            <w:pPr>
              <w:jc w:val="right"/>
              <w:ind w:right="299"/>
              <w:spacing w:after="0"/>
              <w:rPr>
                <w:sz w:val="20"/>
                <w:szCs w:val="20"/>
                <w:color w:val="auto"/>
              </w:rPr>
            </w:pPr>
            <w:r>
              <w:rPr>
                <w:rFonts w:ascii="Arial" w:cs="Arial" w:eastAsia="Arial" w:hAnsi="Arial"/>
                <w:sz w:val="16"/>
                <w:szCs w:val="16"/>
                <w:color w:val="auto"/>
              </w:rPr>
              <w:t>Three Months Ended June 30,</w:t>
            </w:r>
          </w:p>
        </w:tc>
        <w:tc>
          <w:tcPr>
            <w:tcW w:w="320" w:type="dxa"/>
            <w:vAlign w:val="bottom"/>
          </w:tcPr>
          <w:p>
            <w:pPr>
              <w:spacing w:after="0"/>
              <w:rPr>
                <w:sz w:val="24"/>
                <w:szCs w:val="24"/>
                <w:color w:val="auto"/>
              </w:rPr>
            </w:pPr>
          </w:p>
        </w:tc>
        <w:tc>
          <w:tcPr>
            <w:tcW w:w="2660" w:type="dxa"/>
            <w:vAlign w:val="bottom"/>
            <w:gridSpan w:val="3"/>
          </w:tcPr>
          <w:p>
            <w:pPr>
              <w:jc w:val="right"/>
              <w:ind w:right="419"/>
              <w:spacing w:after="0"/>
              <w:rPr>
                <w:sz w:val="20"/>
                <w:szCs w:val="20"/>
                <w:color w:val="auto"/>
              </w:rPr>
            </w:pPr>
            <w:r>
              <w:rPr>
                <w:rFonts w:ascii="Arial" w:cs="Arial" w:eastAsia="Arial" w:hAnsi="Arial"/>
                <w:sz w:val="16"/>
                <w:szCs w:val="16"/>
                <w:color w:val="auto"/>
              </w:rPr>
              <w:t>Six Months Ended June 30,</w:t>
            </w:r>
          </w:p>
        </w:tc>
      </w:tr>
      <w:tr>
        <w:trPr>
          <w:trHeight w:val="217"/>
        </w:trPr>
        <w:tc>
          <w:tcPr>
            <w:tcW w:w="136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r>
      <w:tr>
        <w:trPr>
          <w:trHeight w:val="211"/>
        </w:trPr>
        <w:tc>
          <w:tcPr>
            <w:tcW w:w="53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8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r>
      <w:tr>
        <w:trPr>
          <w:trHeight w:val="215"/>
        </w:trPr>
        <w:tc>
          <w:tcPr>
            <w:tcW w:w="5320" w:type="dxa"/>
            <w:vAlign w:val="bottom"/>
            <w:gridSpan w:val="2"/>
          </w:tcPr>
          <w:p>
            <w:pPr>
              <w:ind w:left="140"/>
              <w:spacing w:after="0"/>
              <w:rPr>
                <w:sz w:val="20"/>
                <w:szCs w:val="20"/>
                <w:color w:val="auto"/>
              </w:rPr>
            </w:pPr>
            <w:r>
              <w:rPr>
                <w:rFonts w:ascii="Arial" w:cs="Arial" w:eastAsia="Arial" w:hAnsi="Arial"/>
                <w:sz w:val="16"/>
                <w:szCs w:val="16"/>
                <w:color w:val="auto"/>
              </w:rPr>
              <w:t>Electric Utilities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45,226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47,462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95,972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86,805</w:t>
            </w:r>
          </w:p>
        </w:tc>
      </w:tr>
      <w:tr>
        <w:trPr>
          <w:trHeight w:val="217"/>
        </w:trPr>
        <w:tc>
          <w:tcPr>
            <w:tcW w:w="532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24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28,195</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19,985</w:t>
            </w:r>
          </w:p>
        </w:tc>
        <w:tc>
          <w:tcPr>
            <w:tcW w:w="32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151,735</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122,079</w:t>
            </w:r>
          </w:p>
        </w:tc>
      </w:tr>
      <w:tr>
        <w:trPr>
          <w:trHeight w:val="215"/>
        </w:trPr>
        <w:tc>
          <w:tcPr>
            <w:tcW w:w="532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Corporate and Other</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w:t>
            </w:r>
          </w:p>
        </w:tc>
      </w:tr>
      <w:tr>
        <w:trPr>
          <w:trHeight w:val="209"/>
        </w:trPr>
        <w:tc>
          <w:tcPr>
            <w:tcW w:w="53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72,389</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67,266</w:t>
            </w:r>
          </w:p>
        </w:tc>
        <w:tc>
          <w:tcPr>
            <w:tcW w:w="3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245,742</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205,581</w:t>
            </w:r>
          </w:p>
        </w:tc>
      </w:tr>
      <w:tr>
        <w:trPr>
          <w:trHeight w:val="251"/>
        </w:trPr>
        <w:tc>
          <w:tcPr>
            <w:tcW w:w="13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6"/>
        </w:trPr>
        <w:tc>
          <w:tcPr>
            <w:tcW w:w="53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(38,764)</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(38,202)</w:t>
            </w:r>
          </w:p>
        </w:tc>
        <w:tc>
          <w:tcPr>
            <w:tcW w:w="32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(77,309)</w:t>
            </w:r>
          </w:p>
        </w:tc>
        <w:tc>
          <w:tcPr>
            <w:tcW w:w="3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(75,802)</w:t>
            </w:r>
          </w:p>
        </w:tc>
      </w:tr>
      <w:tr>
        <w:trPr>
          <w:trHeight w:val="215"/>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1,563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2,267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53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658</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(586)</w:t>
            </w:r>
          </w:p>
        </w:tc>
        <w:tc>
          <w:tcPr>
            <w:tcW w:w="3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(13,830)</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(1,080)</w:t>
            </w:r>
          </w:p>
        </w:tc>
      </w:tr>
      <w:tr>
        <w:trPr>
          <w:trHeight w:val="209"/>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35,846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28,287</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156,870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128,774</w:t>
            </w:r>
          </w:p>
        </w:tc>
      </w:tr>
      <w:tr>
        <w:trPr>
          <w:trHeight w:val="216"/>
        </w:trPr>
        <w:tc>
          <w:tcPr>
            <w:tcW w:w="53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(2,431)</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(3,126)</w:t>
            </w:r>
          </w:p>
        </w:tc>
        <w:tc>
          <w:tcPr>
            <w:tcW w:w="3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(5,929)</w:t>
            </w:r>
          </w:p>
        </w:tc>
        <w:tc>
          <w:tcPr>
            <w:tcW w:w="3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(7,297)</w:t>
            </w: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150,941</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121,477</w:t>
            </w:r>
          </w:p>
        </w:tc>
      </w:tr>
      <w:tr>
        <w:trPr>
          <w:trHeight w:val="20"/>
        </w:trPr>
        <w:tc>
          <w:tcPr>
            <w:tcW w:w="1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Condensed Consolidated Balance Sheets (in thousands)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color w:val="auto"/>
              </w:rPr>
              <w:t>June 30, 2022</w:t>
            </w:r>
          </w:p>
        </w:tc>
        <w:tc>
          <w:tcPr>
            <w:tcW w:w="180" w:type="dxa"/>
            <w:vAlign w:val="bottom"/>
          </w:tcPr>
          <w:p>
            <w:pPr>
              <w:spacing w:after="0"/>
              <w:rPr>
                <w:sz w:val="18"/>
                <w:szCs w:val="18"/>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1"/>
        </w:trPr>
        <w:tc>
          <w:tcPr>
            <w:tcW w:w="71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Billed Accounts Receivable</w:t>
            </w:r>
          </w:p>
        </w:tc>
        <w:tc>
          <w:tcPr>
            <w:tcW w:w="300" w:type="dxa"/>
            <w:vAlign w:val="bottom"/>
            <w:tcBorders>
              <w:top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188,649</w:t>
            </w:r>
          </w:p>
        </w:tc>
        <w:tc>
          <w:tcPr>
            <w:tcW w:w="12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181,027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81,647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142,738</w:t>
            </w:r>
          </w:p>
        </w:tc>
      </w:t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Allowance for Credit Losses</w:t>
            </w:r>
          </w:p>
        </w:tc>
        <w:tc>
          <w:tcPr>
            <w:tcW w:w="3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(3,193)</w:t>
            </w:r>
          </w:p>
        </w:tc>
        <w:tc>
          <w:tcPr>
            <w:tcW w:w="12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(2,113)</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267,103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321,652</w:t>
            </w:r>
          </w:p>
        </w:tc>
      </w:tr>
      <w:tr>
        <w:trPr>
          <w:trHeight w:val="21"/>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six months ended June 30, 2022 and 2021, respectively,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color w:val="auto"/>
              </w:rPr>
              <w:t>Balance at Beginning</w:t>
            </w: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Additions Charged to</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Recoveries and Other</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color w:val="auto"/>
              </w:rPr>
              <w:t>Write-offs and Other</w:t>
            </w:r>
          </w:p>
        </w:tc>
        <w:tc>
          <w:tcPr>
            <w:tcW w:w="200" w:type="dxa"/>
            <w:vAlign w:val="bottom"/>
          </w:tcPr>
          <w:p>
            <w:pPr>
              <w:spacing w:after="0"/>
              <w:rPr>
                <w:sz w:val="16"/>
                <w:szCs w:val="16"/>
                <w:color w:val="auto"/>
              </w:rPr>
            </w:pPr>
          </w:p>
        </w:tc>
        <w:tc>
          <w:tcPr>
            <w:tcW w:w="1820" w:type="dxa"/>
            <w:vAlign w:val="bottom"/>
            <w:vMerge w:val="restart"/>
          </w:tcPr>
          <w:p>
            <w:pPr>
              <w:jc w:val="right"/>
              <w:ind w:right="199"/>
              <w:spacing w:after="0"/>
              <w:rPr>
                <w:sz w:val="20"/>
                <w:szCs w:val="20"/>
                <w:color w:val="auto"/>
              </w:rPr>
            </w:pPr>
            <w:r>
              <w:rPr>
                <w:rFonts w:ascii="Arial" w:cs="Arial" w:eastAsia="Arial" w:hAnsi="Arial"/>
                <w:sz w:val="16"/>
                <w:szCs w:val="16"/>
                <w:color w:val="auto"/>
              </w:rPr>
              <w:t>Balance at June 30,</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of Year</w:t>
            </w:r>
          </w:p>
        </w:tc>
        <w:tc>
          <w:tcPr>
            <w:tcW w:w="1740" w:type="dxa"/>
            <w:vAlign w:val="bottom"/>
            <w:gridSpan w:val="3"/>
          </w:tcPr>
          <w:p>
            <w:pPr>
              <w:jc w:val="right"/>
              <w:ind w:right="18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color w:val="auto"/>
              </w:rPr>
              <w:t>Deductions</w:t>
            </w: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EFEE7"/>
            </w:tcBorders>
            <w:shd w:val="clear" w:color="auto" w:fill="CEFEE7"/>
          </w:tcPr>
          <w:p>
            <w:pPr>
              <w:jc w:val="right"/>
              <w:ind w:right="1739"/>
              <w:spacing w:after="0"/>
              <w:rPr>
                <w:sz w:val="20"/>
                <w:szCs w:val="20"/>
                <w:color w:val="auto"/>
              </w:rPr>
            </w:pPr>
            <w:r>
              <w:rPr>
                <w:rFonts w:ascii="Arial" w:cs="Arial" w:eastAsia="Arial" w:hAnsi="Arial"/>
                <w:sz w:val="16"/>
                <w:szCs w:val="16"/>
                <w:color w:val="auto"/>
              </w:rPr>
              <w:t>2022</w:t>
            </w:r>
          </w:p>
        </w:tc>
        <w:tc>
          <w:tcPr>
            <w:tcW w:w="340" w:type="dxa"/>
            <w:vAlign w:val="bottom"/>
            <w:tcBorders>
              <w:top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2,113</w:t>
            </w:r>
          </w:p>
        </w:tc>
        <w:tc>
          <w:tcPr>
            <w:tcW w:w="100" w:type="dxa"/>
            <w:vAlign w:val="bottom"/>
            <w:tcBorders>
              <w:top w:val="single" w:sz="8" w:color="CEFEE7"/>
            </w:tcBorders>
            <w:shd w:val="clear" w:color="auto" w:fill="CEFEE7"/>
          </w:tcPr>
          <w:p>
            <w:pPr>
              <w:spacing w:after="0"/>
              <w:rPr>
                <w:sz w:val="18"/>
                <w:szCs w:val="18"/>
                <w:color w:val="auto"/>
              </w:rPr>
            </w:pPr>
          </w:p>
        </w:tc>
        <w:tc>
          <w:tcPr>
            <w:tcW w:w="640" w:type="dxa"/>
            <w:vAlign w:val="bottom"/>
            <w:tcBorders>
              <w:top w:val="single" w:sz="8" w:color="auto"/>
            </w:tcBorders>
            <w:shd w:val="clear" w:color="auto" w:fill="CEFEE7"/>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4,239</w:t>
            </w:r>
          </w:p>
        </w:tc>
        <w:tc>
          <w:tcPr>
            <w:tcW w:w="80" w:type="dxa"/>
            <w:vAlign w:val="bottom"/>
            <w:tcBorders>
              <w:top w:val="single" w:sz="8" w:color="CEFEE7"/>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1,266</w:t>
            </w:r>
          </w:p>
        </w:tc>
        <w:tc>
          <w:tcPr>
            <w:tcW w:w="100" w:type="dxa"/>
            <w:vAlign w:val="bottom"/>
            <w:tcBorders>
              <w:top w:val="single" w:sz="8" w:color="CEFEE7"/>
            </w:tcBorders>
            <w:shd w:val="clear" w:color="auto" w:fill="CEFEE7"/>
          </w:tcPr>
          <w:p>
            <w:pPr>
              <w:spacing w:after="0"/>
              <w:rPr>
                <w:sz w:val="18"/>
                <w:szCs w:val="18"/>
                <w:color w:val="auto"/>
              </w:rPr>
            </w:pPr>
          </w:p>
        </w:tc>
        <w:tc>
          <w:tcPr>
            <w:tcW w:w="260" w:type="dxa"/>
            <w:vAlign w:val="bottom"/>
            <w:tcBorders>
              <w:top w:val="single" w:sz="8" w:color="auto"/>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Borders>
              <w:top w:val="single" w:sz="8" w:color="CEFEE7"/>
            </w:tcBorders>
            <w:shd w:val="clear" w:color="auto" w:fill="CEFEE7"/>
          </w:tcPr>
          <w:p>
            <w:pPr>
              <w:spacing w:after="0"/>
              <w:rPr>
                <w:sz w:val="18"/>
                <w:szCs w:val="18"/>
                <w:color w:val="auto"/>
              </w:rPr>
            </w:pPr>
          </w:p>
        </w:tc>
        <w:tc>
          <w:tcPr>
            <w:tcW w:w="2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3,193</w:t>
            </w:r>
          </w:p>
        </w:tc>
        <w:tc>
          <w:tcPr>
            <w:tcW w:w="0" w:type="dxa"/>
            <w:vAlign w:val="bottom"/>
          </w:tcPr>
          <w:p>
            <w:pPr>
              <w:spacing w:after="0"/>
              <w:rPr>
                <w:sz w:val="1"/>
                <w:szCs w:val="1"/>
                <w:color w:val="auto"/>
              </w:rPr>
            </w:pPr>
          </w:p>
        </w:tc>
      </w:tr>
      <w:tr>
        <w:trPr>
          <w:trHeight w:val="215"/>
        </w:trPr>
        <w:tc>
          <w:tcPr>
            <w:tcW w:w="2200" w:type="dxa"/>
            <w:vAlign w:val="bottom"/>
          </w:tcPr>
          <w:p>
            <w:pPr>
              <w:jc w:val="right"/>
              <w:ind w:right="1739"/>
              <w:spacing w:after="0"/>
              <w:rPr>
                <w:sz w:val="20"/>
                <w:szCs w:val="20"/>
                <w:color w:val="auto"/>
              </w:rPr>
            </w:pPr>
            <w:r>
              <w:rPr>
                <w:rFonts w:ascii="Arial" w:cs="Arial" w:eastAsia="Arial" w:hAnsi="Arial"/>
                <w:sz w:val="16"/>
                <w:szCs w:val="16"/>
                <w:color w:val="auto"/>
              </w:rPr>
              <w:t>2021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(4,270)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Condensed Consolidated Balance Sheets (in thousands) as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color w:val="auto"/>
              </w:rPr>
              <w:t>June 30, 2022</w:t>
            </w:r>
          </w:p>
        </w:tc>
        <w:tc>
          <w:tcPr>
            <w:tcW w:w="180" w:type="dxa"/>
            <w:vAlign w:val="bottom"/>
          </w:tcPr>
          <w:p>
            <w:pPr>
              <w:spacing w:after="0"/>
              <w:rPr>
                <w:sz w:val="18"/>
                <w:szCs w:val="18"/>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10"/>
        </w:trPr>
        <w:tc>
          <w:tcPr>
            <w:tcW w:w="40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Materials and supplies</w:t>
            </w:r>
          </w:p>
        </w:tc>
        <w:tc>
          <w:tcPr>
            <w:tcW w:w="3100" w:type="dxa"/>
            <w:vAlign w:val="bottom"/>
            <w:tcBorders>
              <w:top w:val="single" w:sz="8" w:color="CEFFE7"/>
            </w:tcBorders>
            <w:shd w:val="clear" w:color="auto" w:fill="CEFFE7"/>
          </w:tcPr>
          <w:p>
            <w:pPr>
              <w:spacing w:after="0"/>
              <w:rPr>
                <w:sz w:val="18"/>
                <w:szCs w:val="18"/>
                <w:color w:val="auto"/>
              </w:rPr>
            </w:pPr>
          </w:p>
        </w:tc>
        <w:tc>
          <w:tcPr>
            <w:tcW w:w="300" w:type="dxa"/>
            <w:vAlign w:val="bottom"/>
            <w:tcBorders>
              <w:top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91,736</w:t>
            </w:r>
          </w:p>
        </w:tc>
        <w:tc>
          <w:tcPr>
            <w:tcW w:w="12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86,400</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Fuel - Electric Utilities</w:t>
            </w:r>
          </w:p>
        </w:tc>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1,267</w:t>
            </w:r>
          </w:p>
        </w:tc>
        <w:tc>
          <w:tcPr>
            <w:tcW w:w="0" w:type="dxa"/>
            <w:vAlign w:val="bottom"/>
          </w:tcPr>
          <w:p>
            <w:pPr>
              <w:spacing w:after="0"/>
              <w:rPr>
                <w:sz w:val="1"/>
                <w:szCs w:val="1"/>
                <w:color w:val="auto"/>
              </w:rPr>
            </w:pPr>
          </w:p>
        </w:tc>
      </w:tr>
      <w:tr>
        <w:trPr>
          <w:trHeight w:val="217"/>
        </w:trPr>
        <w:tc>
          <w:tcPr>
            <w:tcW w:w="4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in storage</w:t>
            </w:r>
          </w:p>
        </w:tc>
        <w:tc>
          <w:tcPr>
            <w:tcW w:w="3100" w:type="dxa"/>
            <w:vAlign w:val="bottom"/>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58,959</w:t>
            </w:r>
          </w:p>
        </w:tc>
        <w:tc>
          <w:tcPr>
            <w:tcW w:w="12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63,312</w:t>
            </w:r>
          </w:p>
        </w:tc>
        <w:tc>
          <w:tcPr>
            <w:tcW w:w="0" w:type="dxa"/>
            <w:vAlign w:val="bottom"/>
          </w:tcPr>
          <w:p>
            <w:pPr>
              <w:spacing w:after="0"/>
              <w:rPr>
                <w:sz w:val="1"/>
                <w:szCs w:val="1"/>
                <w:color w:val="auto"/>
              </w:rPr>
            </w:pPr>
          </w:p>
        </w:tc>
      </w:tr>
      <w:tr>
        <w:trPr>
          <w:trHeight w:val="209"/>
        </w:trPr>
        <w:tc>
          <w:tcPr>
            <w:tcW w:w="4060" w:type="dxa"/>
            <w:vAlign w:val="bottom"/>
          </w:tcPr>
          <w:p>
            <w:pPr>
              <w:ind w:left="220"/>
              <w:spacing w:after="0"/>
              <w:rPr>
                <w:sz w:val="20"/>
                <w:szCs w:val="20"/>
                <w:color w:val="auto"/>
              </w:rPr>
            </w:pPr>
            <w:r>
              <w:rPr>
                <w:rFonts w:ascii="Arial" w:cs="Arial" w:eastAsia="Arial" w:hAnsi="Arial"/>
                <w:sz w:val="16"/>
                <w:szCs w:val="16"/>
                <w:color w:val="auto"/>
              </w:rPr>
              <w:t>Total materials, supplies and fuel</w:t>
            </w:r>
          </w:p>
        </w:tc>
        <w:tc>
          <w:tcPr>
            <w:tcW w:w="3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150,979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100" w:type="dxa"/>
            <w:vAlign w:val="bottom"/>
            <w:vMerge w:val="restart"/>
          </w:tcPr>
          <w:p>
            <w:pPr>
              <w:jc w:val="right"/>
              <w:ind w:right="1359"/>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06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6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48"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Condensed Consolidated Balance Sheets (in thousands) as of:</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color w:val="auto"/>
              </w:rPr>
              <w:t>June 30, 2022</w:t>
            </w:r>
          </w:p>
        </w:tc>
        <w:tc>
          <w:tcPr>
            <w:tcW w:w="180" w:type="dxa"/>
            <w:vAlign w:val="bottom"/>
          </w:tcPr>
          <w:p>
            <w:pPr>
              <w:spacing w:after="0"/>
              <w:rPr>
                <w:sz w:val="18"/>
                <w:szCs w:val="18"/>
                <w:color w:val="auto"/>
              </w:rPr>
            </w:pP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0"/>
        </w:trPr>
        <w:tc>
          <w:tcPr>
            <w:tcW w:w="71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300" w:type="dxa"/>
            <w:vAlign w:val="bottom"/>
            <w:tcBorders>
              <w:top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64,417</w:t>
            </w:r>
          </w:p>
        </w:tc>
        <w:tc>
          <w:tcPr>
            <w:tcW w:w="120" w:type="dxa"/>
            <w:vAlign w:val="bottom"/>
            <w:tcBorders>
              <w:top w:val="single" w:sz="8" w:color="CEFFE7"/>
            </w:tcBorders>
            <w:shd w:val="clear" w:color="auto" w:fill="CEFFE7"/>
          </w:tcPr>
          <w:p>
            <w:pPr>
              <w:spacing w:after="0"/>
              <w:rPr>
                <w:sz w:val="18"/>
                <w:szCs w:val="18"/>
                <w:color w:val="auto"/>
              </w:rPr>
            </w:pP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74,387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42,944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50,874</w:t>
            </w:r>
          </w:p>
        </w:tc>
      </w:tr>
      <w:tr>
        <w:trPr>
          <w:trHeight w:val="217"/>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43,151</w:t>
            </w:r>
          </w:p>
        </w:tc>
        <w:tc>
          <w:tcPr>
            <w:tcW w:w="1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48,814</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33,764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33,680</w:t>
            </w:r>
          </w:p>
        </w:tc>
      </w:t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30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42,044</w:t>
            </w:r>
          </w:p>
        </w:tc>
        <w:tc>
          <w:tcPr>
            <w:tcW w:w="120" w:type="dxa"/>
            <w:vAlign w:val="bottom"/>
            <w:shd w:val="clear" w:color="auto" w:fill="CEFFE7"/>
          </w:tcPr>
          <w:p>
            <w:pPr>
              <w:spacing w:after="0"/>
              <w:rPr>
                <w:sz w:val="18"/>
                <w:szCs w:val="18"/>
                <w:color w:val="auto"/>
              </w:rPr>
            </w:pP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37,004</w:t>
            </w:r>
          </w:p>
        </w:tc>
      </w:tr>
      <w:tr>
        <w:trPr>
          <w:trHeight w:val="210"/>
        </w:trPr>
        <w:tc>
          <w:tcPr>
            <w:tcW w:w="716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226,320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244,759</w:t>
            </w:r>
          </w:p>
        </w:tc>
      </w:tr>
      <w:tr>
        <w:trPr>
          <w:trHeight w:val="21"/>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our 2021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Summary</w:t>
      </w:r>
    </w:p>
    <w:p>
      <w:pPr>
        <w:spacing w:after="0" w:line="23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We are a customer-focused energy solutions provider that invests in our communities’ safety, sustainability and growth with a mission of </w:t>
      </w:r>
      <w:r>
        <w:rPr>
          <w:rFonts w:ascii="Arial" w:cs="Arial" w:eastAsia="Arial" w:hAnsi="Arial"/>
          <w:sz w:val="16"/>
          <w:szCs w:val="16"/>
          <w:i w:val="1"/>
          <w:iCs w:val="1"/>
          <w:color w:val="auto"/>
        </w:rPr>
        <w:t>Improving Life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Energy </w:t>
      </w:r>
      <w:r>
        <w:rPr>
          <w:rFonts w:ascii="Arial" w:cs="Arial" w:eastAsia="Arial" w:hAnsi="Arial"/>
          <w:sz w:val="16"/>
          <w:szCs w:val="16"/>
          <w:color w:val="auto"/>
        </w:rPr>
        <w:t>and a vision to be the</w:t>
      </w:r>
      <w:r>
        <w:rPr>
          <w:rFonts w:ascii="Arial" w:cs="Arial" w:eastAsia="Arial" w:hAnsi="Arial"/>
          <w:sz w:val="16"/>
          <w:szCs w:val="16"/>
          <w:i w:val="1"/>
          <w:iCs w:val="1"/>
          <w:color w:val="auto"/>
        </w:rPr>
        <w:t xml:space="preserve"> Energy Partner of Choice</w:t>
      </w:r>
      <w:r>
        <w:rPr>
          <w:rFonts w:ascii="Arial" w:cs="Arial" w:eastAsia="Arial" w:hAnsi="Arial"/>
          <w:sz w:val="16"/>
          <w:szCs w:val="16"/>
          <w:color w:val="auto"/>
        </w:rPr>
        <w:t>. The Company’s core mission— and our primary focus — is to provide safe, reliable and cost-effective electric and natural gas service to 1.3 million utility customers in over 800 communities in eight states, including Arkansas, Colorado, Iowa, Kansas, Montana, Nebraska, South Dakota and Wyoming.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62"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natural gas and fuel costs.</w:t>
      </w:r>
    </w:p>
    <w:p>
      <w:pPr>
        <w:spacing w:after="0" w:line="21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 xml:space="preserve">In 2021, our Utilities submitted cost recovery applications with the utility commissions in our state jurisdictions to recover incremental costs associated with Winter Storm Uri. To date, we have received final commission approval for all of our Winter Storm Uri cost recovery applications with the exception of Wyoming Gas (which is approved for interim cost recovery).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further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Trends</w:t>
      </w:r>
    </w:p>
    <w:p>
      <w:pPr>
        <w:spacing w:after="0" w:line="262"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 xml:space="preserve">We are monitoring macroeconomic trends including inflationary pressures on the prices of commodities, materials, outside services and employee costs; supply chain constraints; rising interest rates and a competitive and tight labor market. </w:t>
      </w:r>
      <w:r>
        <w:rPr>
          <w:rFonts w:ascii="Arial" w:cs="Arial" w:eastAsia="Arial" w:hAnsi="Arial"/>
          <w:sz w:val="16"/>
          <w:szCs w:val="16"/>
          <w:color w:val="212529"/>
        </w:rPr>
        <w:t>To date, we have experienced moderate net impacts from these</w:t>
      </w:r>
      <w:r>
        <w:rPr>
          <w:rFonts w:ascii="Arial" w:cs="Arial" w:eastAsia="Arial" w:hAnsi="Arial"/>
          <w:sz w:val="16"/>
          <w:szCs w:val="16"/>
          <w:color w:val="auto"/>
        </w:rPr>
        <w:t xml:space="preserve"> </w:t>
      </w:r>
      <w:r>
        <w:rPr>
          <w:rFonts w:ascii="Arial" w:cs="Arial" w:eastAsia="Arial" w:hAnsi="Arial"/>
          <w:sz w:val="16"/>
          <w:szCs w:val="16"/>
          <w:color w:val="212529"/>
        </w:rPr>
        <w:t>trends.</w:t>
      </w:r>
    </w:p>
    <w:p>
      <w:pPr>
        <w:spacing w:after="0" w:line="21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212529"/>
        </w:rPr>
        <w:t>We have seen an increase in commodity energy costs that had an effect on customer bills. Our utilities have regulatory mechanisms that allow them to pass prudently incurred costs of energy through to the customer, which mitigates our exposure. Customer billing rates are adjusted periodically to reflect changes in our cost of energy.</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212529"/>
        </w:rPr>
        <w:t>We are proactively managing increased costs of materials and supply chain disruptions to achieve our forecasted capital investment targets. We have already contracted a significant majority of the materials needed for our 2022 capital program. We have also evaluated each of our forecasted projects and will prioritize depending on future constraints. Project delays may occur if costs rise significantly or if materials are not available.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line="275" w:lineRule="auto"/>
        <w:rPr>
          <w:sz w:val="20"/>
          <w:szCs w:val="20"/>
          <w:color w:val="auto"/>
        </w:rPr>
      </w:pPr>
      <w:r>
        <w:rPr>
          <w:rFonts w:ascii="Arial" w:cs="Arial" w:eastAsia="Arial" w:hAnsi="Arial"/>
          <w:sz w:val="16"/>
          <w:szCs w:val="16"/>
          <w:color w:val="212529"/>
        </w:rPr>
        <w:t>Rising interest rates have increased interest expense on our variable rate borrowings, which include our Revolving Credit Facility and CP Program. However, the increased interest expense was limited since 92% of our debt at June 30, 2022 is fixed rate debt. Additionally, rising discount rates and r</w:t>
      </w:r>
      <w:r>
        <w:rPr>
          <w:rFonts w:ascii="Arial" w:cs="Arial" w:eastAsia="Arial" w:hAnsi="Arial"/>
          <w:sz w:val="16"/>
          <w:szCs w:val="16"/>
          <w:color w:val="000000"/>
        </w:rPr>
        <w:t>ecent capital</w:t>
      </w:r>
      <w:r>
        <w:rPr>
          <w:rFonts w:ascii="Arial" w:cs="Arial" w:eastAsia="Arial" w:hAnsi="Arial"/>
          <w:sz w:val="16"/>
          <w:szCs w:val="16"/>
          <w:color w:val="212529"/>
        </w:rPr>
        <w:t xml:space="preserve"> </w:t>
      </w:r>
      <w:r>
        <w:rPr>
          <w:rFonts w:ascii="Arial" w:cs="Arial" w:eastAsia="Arial" w:hAnsi="Arial"/>
          <w:sz w:val="16"/>
          <w:szCs w:val="16"/>
          <w:color w:val="000000"/>
        </w:rPr>
        <w:t xml:space="preserve">markets volatility did not materially change the </w:t>
      </w:r>
      <w:r>
        <w:rPr>
          <w:rFonts w:ascii="Arial" w:cs="Arial" w:eastAsia="Arial" w:hAnsi="Arial"/>
          <w:sz w:val="16"/>
          <w:szCs w:val="16"/>
          <w:color w:val="212529"/>
        </w:rPr>
        <w:t>unfunded status of the BHC Pension Plan from the prior year</w:t>
      </w:r>
      <w:r>
        <w:rPr>
          <w:rFonts w:ascii="Arial" w:cs="Arial" w:eastAsia="Arial" w:hAnsi="Arial"/>
          <w:sz w:val="16"/>
          <w:szCs w:val="16"/>
          <w:color w:val="000000"/>
        </w:rPr>
        <w:t>.</w:t>
      </w:r>
    </w:p>
    <w:p>
      <w:pPr>
        <w:spacing w:after="0" w:line="191"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212529"/>
        </w:rPr>
        <w:t>We are faced with increased competition for employee and contractor talent in the current labor market. To date, we have seen increased employee and contractor costs related to attraction and retention of talent partially offset by decreases in headcount compared to the prior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More detailed discussion of the future uncertainties can be found in “Risk Factors” section in Part I, Item 1A of our 2021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48"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recent rate review activity for Wyoming Electric.</w:t>
      </w:r>
    </w:p>
    <w:p>
      <w:pPr>
        <w:spacing w:after="0" w:line="2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July 21, 2022, Wyoming Electric set a new all-time and summer peak load of 294 MW, surpassing the previous peaks of 288 MW set on July 18, 2022, 282 MW set on June 13, 2022 and 274 MW set on July 28, 2021.</w:t>
      </w:r>
    </w:p>
    <w:p>
      <w:pPr>
        <w:spacing w:after="0" w:line="182" w:lineRule="exact"/>
        <w:rPr>
          <w:rFonts w:ascii="Arial" w:cs="Arial" w:eastAsia="Arial" w:hAnsi="Arial"/>
          <w:sz w:val="16"/>
          <w:szCs w:val="16"/>
          <w:color w:val="auto"/>
        </w:rPr>
      </w:pPr>
    </w:p>
    <w:p>
      <w:pPr>
        <w:ind w:left="660" w:right="24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July 18, 2022, South Dakota Electric set a new all-time and summer peak load of 403 MW, surpassing the previous summer peak of 397 MW set in July 2021.</w:t>
      </w:r>
    </w:p>
    <w:p>
      <w:pPr>
        <w:spacing w:after="0" w:line="168" w:lineRule="exact"/>
        <w:rPr>
          <w:rFonts w:ascii="Arial" w:cs="Arial" w:eastAsia="Arial" w:hAnsi="Arial"/>
          <w:sz w:val="16"/>
          <w:szCs w:val="16"/>
          <w:color w:val="auto"/>
        </w:rPr>
      </w:pPr>
    </w:p>
    <w:p>
      <w:pPr>
        <w:ind w:left="660" w:right="240" w:hanging="328"/>
        <w:spacing w:after="0" w:line="26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June 21, 2022, Wyoming Electric completed its first agreement for service under its Blockchain Interruptible Service tariff. Under the five-year agreement, Wyoming Electric will deliver to a new customer in Cheyenne, Wyoming up to 45 MW with an option to expand service up to 75 MW. Energy will be sourced through the electric energy market and delivered through our Electric Utilities’ infrastructure. Under the agreement, the customer will be responsible for costs of service, and the load will be interruptible to prioritize the needs of Wyoming Electric’s existing retail customers. Wyoming Electric expects to begin delivering energy to this customer in the fourth quarter of 2022.</w:t>
      </w:r>
    </w:p>
    <w:p>
      <w:pPr>
        <w:spacing w:after="0" w:line="199" w:lineRule="exact"/>
        <w:rPr>
          <w:rFonts w:ascii="Arial" w:cs="Arial" w:eastAsia="Arial" w:hAnsi="Arial"/>
          <w:sz w:val="16"/>
          <w:szCs w:val="16"/>
          <w:color w:val="auto"/>
        </w:rPr>
      </w:pPr>
    </w:p>
    <w:p>
      <w:pPr>
        <w:ind w:left="660" w:right="140" w:hanging="328"/>
        <w:spacing w:after="0" w:line="259"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May 27, 2022, Colorado Electric filed its Clean Energy Plan, “2030 Ready Plan”, with the CPUC. The 2030 Ready Plan establishes a roadmap and preferred resource portfolio for Colorado Electric to cost-effectively achieve the state of Colorado’s requirement calling upon electric utilities to reduce GHG emissions by a minimum of 80% by 2030. The preferred resource portfolio calls for the addition of 149 MW of wind, 258 MW of solar and 50 MW of battery storage to Colorado Electric's system. The final mix of resources would be determined by the results of a competitive solicitation starting in 2023. Colorado legislation provides up to 50% utility ownership of these additions. As proposed, the plan will achieve a 90% reduction in emissions and result in 79% of Colorado Electric’s customers' electricity being generated by carbon-free sources by 2030. A CPUC decision on Phase 1 of the 2030 Ready Plan is expected by April 2023, which would be followed by a request for proposals for renewable energy resources.</w:t>
      </w:r>
    </w:p>
    <w:p>
      <w:pPr>
        <w:spacing w:after="0" w:line="207" w:lineRule="exact"/>
        <w:rPr>
          <w:rFonts w:ascii="Arial" w:cs="Arial" w:eastAsia="Arial" w:hAnsi="Arial"/>
          <w:sz w:val="16"/>
          <w:szCs w:val="16"/>
          <w:color w:val="auto"/>
        </w:rPr>
      </w:pPr>
    </w:p>
    <w:p>
      <w:pPr>
        <w:ind w:left="660" w:right="100" w:hanging="328"/>
        <w:spacing w:after="0" w:line="304"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23, 2022, Wyoming Electric set a new winter peak load of 262 MW, surpassing the previous winter peak of 252 MW set on January 5, 2022.</w:t>
      </w:r>
    </w:p>
    <w:p>
      <w:pPr>
        <w:spacing w:after="0" w:line="168" w:lineRule="exact"/>
        <w:rPr>
          <w:rFonts w:ascii="Arial" w:cs="Arial" w:eastAsia="Arial" w:hAnsi="Arial"/>
          <w:sz w:val="16"/>
          <w:szCs w:val="16"/>
          <w:color w:val="auto"/>
        </w:rPr>
      </w:pPr>
    </w:p>
    <w:p>
      <w:pPr>
        <w:ind w:left="660" w:right="180" w:hanging="328"/>
        <w:spacing w:after="0" w:line="26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On February 15, 2022, Wyoming Electric submitted a request to the WPSC seeking approval for a CPCN to construct an estimated 260-mile transmission expansion project. As proposed, the approximately $260 million transmission expansion project, known as </w:t>
      </w:r>
      <w:r>
        <w:rPr>
          <w:rFonts w:ascii="Arial" w:cs="Arial" w:eastAsia="Arial" w:hAnsi="Arial"/>
          <w:sz w:val="16"/>
          <w:szCs w:val="16"/>
          <w:i w:val="1"/>
          <w:iCs w:val="1"/>
          <w:color w:val="auto"/>
        </w:rPr>
        <w:t>Ready Wyoming</w:t>
      </w:r>
      <w:r>
        <w:rPr>
          <w:rFonts w:ascii="Arial" w:cs="Arial" w:eastAsia="Arial" w:hAnsi="Arial"/>
          <w:sz w:val="16"/>
          <w:szCs w:val="16"/>
          <w:color w:val="auto"/>
        </w:rPr>
        <w:t>, would provide customers long-term price stability and greater flexibility as power markets develop in the Western States. If approved, construction of the project would take place in multiple phases or segments spanning 2023 through 2025 and would interconnect South Dakota Electric’s and Wyoming Electric’s transmission systems.</w:t>
      </w:r>
    </w:p>
    <w:p>
      <w:pPr>
        <w:spacing w:after="0" w:line="199"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26, 2022, Colorado Electric agreed to join SPP’s Western Energy Imbalance Service Market. Colorado Electric will join the market in April 2023 and will continue to study long-term solutions for joining or developing an organized wholesale market. The expansion allows the utilities to participate in a real-time market.</w:t>
      </w:r>
    </w:p>
    <w:p>
      <w:pPr>
        <w:spacing w:after="0" w:line="191"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January 2022, South Dakota Electric placed in service a $19 million, 54-mile, 230 kV electric transmission line from Rapid City to Spearfish, South Dakota. The second leg of this transmission line rebuild project, an 85-mile segment from Spearfish to Gillette, Wyoming, is expected to be in service by the end of 2023.</w:t>
      </w:r>
    </w:p>
    <w:p>
      <w:pPr>
        <w:spacing w:after="0" w:line="191"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5, 2022, South Dakota Electric and Wyoming Electric set new winter peak loads. Wyoming Electric’s new winter peak load of 252 MW surpasses the previous peak of 247 MW set in December 2019. South Dakota Electric’s new winter peak of 327 MW surpasses the previous winter peak of 326 MW set in February 2021.</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recent rate review activity for Arkansas Gas.</w:t>
      </w:r>
    </w:p>
    <w:p>
      <w:pPr>
        <w:spacing w:after="0" w:line="261" w:lineRule="exact"/>
        <w:rPr>
          <w:rFonts w:ascii="Arial" w:cs="Arial" w:eastAsia="Arial" w:hAnsi="Arial"/>
          <w:sz w:val="16"/>
          <w:szCs w:val="16"/>
          <w:color w:val="auto"/>
        </w:rPr>
      </w:pPr>
    </w:p>
    <w:p>
      <w:pPr>
        <w:ind w:left="660" w:hanging="328"/>
        <w:spacing w:after="0" w:line="261"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June 6, 2022, Colorado Gas submitted a proposal to the CPUC seeking approval to offer a voluntary RNG and carbon offset program for residential and business customers. The program would allow participants to offset 100% or more of the emissions associated with their own natural gas usage. The offset would be achieved through a combination of carbon offset credits and RNG attributes. Colorado Gas has designed its voluntary RNG and carbon offset program as a comprehensive four-year pilot program starting in 2023 and running through 2026. On July 15, 2022, Kansas Gas submitted a similar RNG and carbon offset program proposal with the KCC. Nebraska Gas expects to submit a voluntary RNG and carbon offset program proposal to the NPSC later in 2022 with similar filings for Arkansas Gas, Iowa Gas and Wyoming Gas expected by 2023.</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262" w:lineRule="exact"/>
        <w:rPr>
          <w:sz w:val="20"/>
          <w:szCs w:val="20"/>
          <w:color w:val="auto"/>
        </w:rPr>
      </w:pPr>
    </w:p>
    <w:p>
      <w:pPr>
        <w:ind w:left="660" w:right="1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2.3-million-acre concession award in Costa Rica which was acquired by a BHC subsidiary in 2003. We believe we have meritorious defenses to the verdict and intend to appeal the verdict.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Results of Operations</w:t>
      </w:r>
    </w:p>
    <w:p>
      <w:pPr>
        <w:spacing w:after="0" w:line="26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2022 and 2021, and our financial condition as of June 30, 2022 and December 31, 2021, are not necessarily indicative of the results of operations and financial condition to be expected as of or for any other period or for the entire year.</w:t>
      </w:r>
    </w:p>
    <w:p>
      <w:pPr>
        <w:spacing w:after="0" w:line="20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 See further segment information in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of the Notes to Condensed Consolidated Financial Statements.</w:t>
      </w:r>
    </w:p>
    <w:p>
      <w:pPr>
        <w:spacing w:after="0" w:line="191"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Segment information does not include inter-company eliminations and all amounts are presented on a pre-tax basis unless otherwise indicated. Minor differences in amounts may result due to rounding.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45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796"/>
        </w:trPr>
        <w:tc>
          <w:tcPr>
            <w:tcW w:w="4560" w:type="dxa"/>
            <w:vAlign w:val="bottom"/>
            <w:gridSpan w:val="2"/>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64"/>
        </w:trPr>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320" w:type="dxa"/>
            <w:vAlign w:val="bottom"/>
            <w:gridSpan w:val="4"/>
          </w:tcPr>
          <w:p>
            <w:pPr>
              <w:jc w:val="right"/>
              <w:ind w:right="479"/>
              <w:spacing w:after="0"/>
              <w:rPr>
                <w:sz w:val="20"/>
                <w:szCs w:val="20"/>
                <w:color w:val="auto"/>
              </w:rPr>
            </w:pPr>
            <w:r>
              <w:rPr>
                <w:rFonts w:ascii="Arial" w:cs="Arial" w:eastAsia="Arial" w:hAnsi="Arial"/>
                <w:sz w:val="16"/>
                <w:szCs w:val="16"/>
                <w:color w:val="auto"/>
              </w:rPr>
              <w:t>Three Months Ended June 30,</w:t>
            </w:r>
          </w:p>
        </w:tc>
        <w:tc>
          <w:tcPr>
            <w:tcW w:w="400" w:type="dxa"/>
            <w:vAlign w:val="bottom"/>
          </w:tcPr>
          <w:p>
            <w:pPr>
              <w:spacing w:after="0"/>
              <w:rPr>
                <w:sz w:val="24"/>
                <w:szCs w:val="24"/>
                <w:color w:val="auto"/>
              </w:rPr>
            </w:pPr>
          </w:p>
        </w:tc>
        <w:tc>
          <w:tcPr>
            <w:tcW w:w="2960" w:type="dxa"/>
            <w:vAlign w:val="bottom"/>
            <w:gridSpan w:val="3"/>
          </w:tcPr>
          <w:p>
            <w:pPr>
              <w:jc w:val="right"/>
              <w:ind w:right="599"/>
              <w:spacing w:after="0"/>
              <w:rPr>
                <w:sz w:val="20"/>
                <w:szCs w:val="20"/>
                <w:color w:val="auto"/>
              </w:rPr>
            </w:pPr>
            <w:r>
              <w:rPr>
                <w:rFonts w:ascii="Arial" w:cs="Arial" w:eastAsia="Arial" w:hAnsi="Arial"/>
                <w:sz w:val="16"/>
                <w:szCs w:val="16"/>
                <w:color w:val="auto"/>
              </w:rPr>
              <w:t>Six Months Ended June 30,</w:t>
            </w:r>
          </w:p>
        </w:tc>
      </w:tr>
      <w:tr>
        <w:trPr>
          <w:trHeight w:val="217"/>
        </w:trPr>
        <w:tc>
          <w:tcPr>
            <w:tcW w:w="13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r>
      <w:tr>
        <w:trPr>
          <w:trHeight w:val="210"/>
        </w:trPr>
        <w:tc>
          <w:tcPr>
            <w:tcW w:w="1360" w:type="dxa"/>
            <w:vAlign w:val="bottom"/>
            <w:tcBorders>
              <w:bottom w:val="single" w:sz="8" w:color="CEFFE7"/>
            </w:tcBorders>
          </w:tcPr>
          <w:p>
            <w:pPr>
              <w:spacing w:after="0"/>
              <w:rPr>
                <w:sz w:val="18"/>
                <w:szCs w:val="18"/>
                <w:color w:val="auto"/>
              </w:rPr>
            </w:pPr>
          </w:p>
        </w:tc>
        <w:tc>
          <w:tcPr>
            <w:tcW w:w="3200" w:type="dxa"/>
            <w:vAlign w:val="bottom"/>
            <w:tcBorders>
              <w:bottom w:val="single" w:sz="8" w:color="CEFFE7"/>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97"/>
        </w:trPr>
        <w:tc>
          <w:tcPr>
            <w:tcW w:w="45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1020" w:type="dxa"/>
            <w:vAlign w:val="bottom"/>
            <w:shd w:val="clear" w:color="auto" w:fill="CEFFE7"/>
          </w:tcPr>
          <w:p>
            <w:pPr>
              <w:spacing w:after="0"/>
              <w:rPr>
                <w:sz w:val="17"/>
                <w:szCs w:val="17"/>
                <w:color w:val="auto"/>
              </w:rPr>
            </w:pPr>
          </w:p>
        </w:tc>
        <w:tc>
          <w:tcPr>
            <w:tcW w:w="64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1520" w:type="dxa"/>
            <w:vAlign w:val="bottom"/>
            <w:shd w:val="clear" w:color="auto" w:fill="CEFFE7"/>
          </w:tcPr>
          <w:p>
            <w:pPr>
              <w:spacing w:after="0"/>
              <w:rPr>
                <w:sz w:val="17"/>
                <w:szCs w:val="17"/>
                <w:color w:val="auto"/>
              </w:rPr>
            </w:pPr>
          </w:p>
        </w:tc>
        <w:tc>
          <w:tcPr>
            <w:tcW w:w="400" w:type="dxa"/>
            <w:vAlign w:val="bottom"/>
            <w:shd w:val="clear" w:color="auto" w:fill="CEFFE7"/>
          </w:tcPr>
          <w:p>
            <w:pPr>
              <w:spacing w:after="0"/>
              <w:rPr>
                <w:sz w:val="17"/>
                <w:szCs w:val="17"/>
                <w:color w:val="auto"/>
              </w:rPr>
            </w:pPr>
          </w:p>
        </w:tc>
        <w:tc>
          <w:tcPr>
            <w:tcW w:w="128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r>
      <w:tr>
        <w:trPr>
          <w:trHeight w:val="215"/>
        </w:trPr>
        <w:tc>
          <w:tcPr>
            <w:tcW w:w="4560" w:type="dxa"/>
            <w:vAlign w:val="bottom"/>
            <w:gridSpan w:val="2"/>
          </w:tcPr>
          <w:p>
            <w:pPr>
              <w:ind w:left="140"/>
              <w:spacing w:after="0"/>
              <w:rPr>
                <w:sz w:val="20"/>
                <w:szCs w:val="20"/>
                <w:color w:val="auto"/>
              </w:rPr>
            </w:pPr>
            <w:r>
              <w:rPr>
                <w:rFonts w:ascii="Arial" w:cs="Arial" w:eastAsia="Arial" w:hAnsi="Arial"/>
                <w:sz w:val="16"/>
                <w:szCs w:val="16"/>
                <w:color w:val="auto"/>
              </w:rPr>
              <w:t>Electric Utilities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45,226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47,462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95,972</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86,805</w:t>
            </w:r>
          </w:p>
        </w:tc>
      </w:tr>
      <w:tr>
        <w:trPr>
          <w:trHeight w:val="217"/>
        </w:trPr>
        <w:tc>
          <w:tcPr>
            <w:tcW w:w="456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102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28,195</w:t>
            </w:r>
          </w:p>
        </w:tc>
        <w:tc>
          <w:tcPr>
            <w:tcW w:w="14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19,985</w:t>
            </w:r>
          </w:p>
        </w:tc>
        <w:tc>
          <w:tcPr>
            <w:tcW w:w="40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151,735</w:t>
            </w:r>
          </w:p>
        </w:tc>
        <w:tc>
          <w:tcPr>
            <w:tcW w:w="38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122,079</w:t>
            </w:r>
          </w:p>
        </w:tc>
      </w:tr>
      <w:tr>
        <w:trPr>
          <w:trHeight w:val="215"/>
        </w:trPr>
        <w:tc>
          <w:tcPr>
            <w:tcW w:w="456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Corporate and Other</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w:t>
            </w:r>
          </w:p>
        </w:tc>
      </w:tr>
      <w:tr>
        <w:trPr>
          <w:trHeight w:val="209"/>
        </w:trPr>
        <w:tc>
          <w:tcPr>
            <w:tcW w:w="45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72,389</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67,266</w:t>
            </w:r>
          </w:p>
        </w:tc>
        <w:tc>
          <w:tcPr>
            <w:tcW w:w="4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245,742</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205,581</w:t>
            </w:r>
          </w:p>
        </w:tc>
      </w:tr>
      <w:tr>
        <w:trPr>
          <w:trHeight w:val="237"/>
        </w:trPr>
        <w:tc>
          <w:tcPr>
            <w:tcW w:w="13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45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(38,764)</w:t>
            </w:r>
          </w:p>
        </w:tc>
        <w:tc>
          <w:tcPr>
            <w:tcW w:w="14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(38,202)</w:t>
            </w:r>
          </w:p>
        </w:tc>
        <w:tc>
          <w:tcPr>
            <w:tcW w:w="40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(77,309)</w:t>
            </w:r>
          </w:p>
        </w:tc>
        <w:tc>
          <w:tcPr>
            <w:tcW w:w="38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(75,802)</w:t>
            </w:r>
          </w:p>
        </w:tc>
      </w:tr>
      <w:tr>
        <w:trPr>
          <w:trHeight w:val="215"/>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1,563</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(191)</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2,267</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45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658</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(586)</w:t>
            </w:r>
          </w:p>
        </w:tc>
        <w:tc>
          <w:tcPr>
            <w:tcW w:w="4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(13,830)</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(1,080)</w:t>
            </w:r>
          </w:p>
        </w:tc>
      </w:tr>
      <w:tr>
        <w:trPr>
          <w:trHeight w:val="209"/>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35,846</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28,287</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156,870</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128,774</w:t>
            </w:r>
          </w:p>
        </w:tc>
      </w:tr>
      <w:tr>
        <w:trPr>
          <w:trHeight w:val="216"/>
        </w:trPr>
        <w:tc>
          <w:tcPr>
            <w:tcW w:w="45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02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(2,431)</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(3,126)</w:t>
            </w:r>
          </w:p>
        </w:tc>
        <w:tc>
          <w:tcPr>
            <w:tcW w:w="40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(5,929)</w:t>
            </w:r>
          </w:p>
        </w:tc>
        <w:tc>
          <w:tcPr>
            <w:tcW w:w="380" w:type="dxa"/>
            <w:vAlign w:val="bottom"/>
            <w:tcBorders>
              <w:bottom w:val="single" w:sz="8" w:color="auto"/>
            </w:tcBorders>
            <w:shd w:val="clear" w:color="auto" w:fill="CEFFE7"/>
          </w:tcPr>
          <w:p>
            <w:pPr>
              <w:spacing w:after="0"/>
              <w:rPr>
                <w:sz w:val="18"/>
                <w:szCs w:val="18"/>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(7,297)</w:t>
            </w:r>
          </w:p>
        </w:tc>
      </w:tr>
      <w:tr>
        <w:trPr>
          <w:trHeight w:val="210"/>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150,941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121,477</w:t>
            </w:r>
          </w:p>
        </w:tc>
      </w:tr>
      <w:tr>
        <w:trPr>
          <w:trHeight w:val="20"/>
        </w:trPr>
        <w:tc>
          <w:tcPr>
            <w:tcW w:w="1360" w:type="dxa"/>
            <w:vAlign w:val="bottom"/>
            <w:tcBorders>
              <w:bottom w:val="single" w:sz="8" w:color="CEFFE7"/>
            </w:tcBorders>
          </w:tcPr>
          <w:p>
            <w:pPr>
              <w:spacing w:after="0" w:line="20" w:lineRule="exact"/>
              <w:rPr>
                <w:sz w:val="1"/>
                <w:szCs w:val="1"/>
                <w:color w:val="auto"/>
              </w:rPr>
            </w:pPr>
          </w:p>
        </w:tc>
        <w:tc>
          <w:tcPr>
            <w:tcW w:w="3200" w:type="dxa"/>
            <w:vAlign w:val="bottom"/>
            <w:tcBorders>
              <w:bottom w:val="single" w:sz="8" w:color="CEFFE7"/>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1360" w:type="dxa"/>
            <w:vAlign w:val="bottom"/>
            <w:shd w:val="clear" w:color="auto" w:fill="CEFFE7"/>
          </w:tcPr>
          <w:p>
            <w:pPr>
              <w:spacing w:after="0"/>
              <w:rPr>
                <w:sz w:val="20"/>
                <w:szCs w:val="20"/>
                <w:color w:val="auto"/>
              </w:rPr>
            </w:pPr>
          </w:p>
        </w:tc>
        <w:tc>
          <w:tcPr>
            <w:tcW w:w="3200" w:type="dxa"/>
            <w:vAlign w:val="bottom"/>
            <w:shd w:val="clear" w:color="auto" w:fill="CEFFE7"/>
          </w:tcPr>
          <w:p>
            <w:pPr>
              <w:spacing w:after="0"/>
              <w:rPr>
                <w:sz w:val="20"/>
                <w:szCs w:val="20"/>
                <w:color w:val="auto"/>
              </w:rPr>
            </w:pPr>
          </w:p>
        </w:tc>
        <w:tc>
          <w:tcPr>
            <w:tcW w:w="102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520" w:type="dxa"/>
            <w:vAlign w:val="bottom"/>
            <w:shd w:val="clear" w:color="auto" w:fill="CEFFE7"/>
          </w:tcPr>
          <w:p>
            <w:pPr>
              <w:spacing w:after="0"/>
              <w:rPr>
                <w:sz w:val="20"/>
                <w:szCs w:val="20"/>
                <w:color w:val="auto"/>
              </w:rPr>
            </w:pPr>
          </w:p>
        </w:tc>
        <w:tc>
          <w:tcPr>
            <w:tcW w:w="40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r>
      <w:tr>
        <w:trPr>
          <w:trHeight w:val="216"/>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1"/>
        </w:trPr>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2022 Compared to Three Months Ended June 30, 2021:</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jc w:val="both"/>
        <w:ind w:left="660" w:right="260" w:hanging="328"/>
        <w:spacing w:after="0" w:line="263"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Electric Utilities’ operating income decreased $2.2 million primarily due to higher operating expenses, lower pricing on the new Wygen I PPA and prior year regulatory actions reducing certain Winter Storm Uri impacts partially offset by increased rider revenues and prior year mark-to-market adjustments on wholesale energy contacts;</w:t>
      </w:r>
    </w:p>
    <w:p>
      <w:pPr>
        <w:spacing w:after="0" w:line="1" w:lineRule="exact"/>
        <w:rPr>
          <w:rFonts w:ascii="Arial" w:cs="Arial" w:eastAsia="Arial" w:hAnsi="Arial"/>
          <w:sz w:val="16"/>
          <w:szCs w:val="16"/>
          <w:color w:val="auto"/>
        </w:rPr>
      </w:pPr>
    </w:p>
    <w:p>
      <w:pPr>
        <w:ind w:left="660" w:right="280" w:hanging="328"/>
        <w:spacing w:after="0" w:line="24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Gas Utilities’ operating income increased $8.2 million primarily due to carrying costs on our Winter Storm Uri regulatory asset and new rates and rider recovery partially offset by higher operating expenses and unfavorable mark-to-market adjustments on wholesale commodity contracts;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income increased $1.8 million primarily due to lower costs for our non-qualified benefit plans which were driven by market performance; and</w:t>
      </w:r>
    </w:p>
    <w:p>
      <w:pPr>
        <w:spacing w:after="0" w:line="14" w:lineRule="exact"/>
        <w:rPr>
          <w:rFonts w:ascii="Arial" w:cs="Arial" w:eastAsia="Arial" w:hAnsi="Arial"/>
          <w:sz w:val="16"/>
          <w:szCs w:val="16"/>
          <w:color w:val="auto"/>
        </w:rPr>
      </w:pPr>
    </w:p>
    <w:p>
      <w:pPr>
        <w:ind w:left="660" w:right="20" w:hanging="328"/>
        <w:spacing w:after="0" w:line="270" w:lineRule="auto"/>
        <w:tabs>
          <w:tab w:leader="none" w:pos="649"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Income tax benefit increased $1.2 million driven by a lower effective tax rate due to tax benefits from state tax rate changes partially offset by higher pre-tax income.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Six Months Ended June 30, 2021:</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20" w:hanging="328"/>
        <w:spacing w:after="0" w:line="25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Electric Utilities’ operating income increased $9.2 million primarily due to prior year impacts related to Colorado Electric’s TCJA-related bill credits to customers (which were offset by reduced income tax expense), increased rider revenues, prior year mark-to-market adjustments on wholesale energy contacts and increased transmission and off-system energy sales partially offset by higher operating expenses and lower pricing on the new Wygen I PPA;</w:t>
      </w:r>
    </w:p>
    <w:p>
      <w:pPr>
        <w:ind w:left="660" w:right="100" w:hanging="328"/>
        <w:spacing w:after="0" w:line="252"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Gas Utilities’ operating income increased $30 million primarily due to new rates and rider recovery, carrying costs on our Winter Storm Uri regulatory asset, prior year Black Hills Energy Services Winter Storm Uri costs, customer growth and increased usage per customer partially offset by higher operating expenses;</w:t>
      </w:r>
    </w:p>
    <w:p>
      <w:pPr>
        <w:ind w:left="660" w:right="30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Corporate and Other expenses decreased $1.3 million primarily due to an allocation of a 2020 employee cost true-up in the first quarter of 2021, which was offset in our business segments;</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expense increased $1.5 million due to higher interest rates and higher debt balances primarily driven by Winter Storm Uri;</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increased $2.2 million primarily due to lower costs for our non-qualified benefit plans which were driven by market performance;</w:t>
      </w:r>
    </w:p>
    <w:p>
      <w:pPr>
        <w:spacing w:after="0" w:line="5" w:lineRule="exact"/>
        <w:rPr>
          <w:rFonts w:ascii="Arial" w:cs="Arial" w:eastAsia="Arial" w:hAnsi="Arial"/>
          <w:sz w:val="16"/>
          <w:szCs w:val="16"/>
          <w:color w:val="auto"/>
        </w:rPr>
      </w:pPr>
    </w:p>
    <w:p>
      <w:pPr>
        <w:ind w:left="660" w:right="340" w:hanging="328"/>
        <w:spacing w:after="0" w:line="255" w:lineRule="auto"/>
        <w:tabs>
          <w:tab w:leader="none" w:pos="649"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Income tax expense increased $13 million driven by higher pre-tax income and a higher effective tax rate primarily due to prior year tax benefits from Colorado Electric and Nebraska Gas TCJA-related bill credits partially offset by tax benefits from state tax rate changes; and</w:t>
      </w:r>
    </w:p>
    <w:p>
      <w:pPr>
        <w:ind w:left="660" w:right="100" w:hanging="328"/>
        <w:spacing w:after="0" w:line="28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Net income attributable to non-controlling interest decreased $1.4 million due to lower net income from Black Hills Colorado IPP primarily driven by a planned outage.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19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213"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Electric Utilities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5"/>
          </w:tcPr>
          <w:p>
            <w:pPr>
              <w:jc w:val="right"/>
              <w:ind w:right="619"/>
              <w:spacing w:after="0"/>
              <w:rPr>
                <w:sz w:val="20"/>
                <w:szCs w:val="20"/>
                <w:color w:val="auto"/>
              </w:rPr>
            </w:pPr>
            <w:r>
              <w:rPr>
                <w:rFonts w:ascii="Arial" w:cs="Arial" w:eastAsia="Arial" w:hAnsi="Arial"/>
                <w:sz w:val="16"/>
                <w:szCs w:val="16"/>
                <w:color w:val="auto"/>
              </w:rPr>
              <w:t>Three Months Ended June 30,</w:t>
            </w:r>
          </w:p>
        </w:tc>
        <w:tc>
          <w:tcPr>
            <w:tcW w:w="260" w:type="dxa"/>
            <w:vAlign w:val="bottom"/>
          </w:tcPr>
          <w:p>
            <w:pPr>
              <w:spacing w:after="0"/>
              <w:rPr>
                <w:sz w:val="18"/>
                <w:szCs w:val="18"/>
                <w:color w:val="auto"/>
              </w:rPr>
            </w:pPr>
          </w:p>
        </w:tc>
        <w:tc>
          <w:tcPr>
            <w:tcW w:w="3360" w:type="dxa"/>
            <w:vAlign w:val="bottom"/>
            <w:gridSpan w:val="6"/>
          </w:tcPr>
          <w:p>
            <w:pPr>
              <w:ind w:left="560"/>
              <w:spacing w:after="0"/>
              <w:rPr>
                <w:sz w:val="20"/>
                <w:szCs w:val="20"/>
                <w:color w:val="auto"/>
              </w:rPr>
            </w:pPr>
            <w:r>
              <w:rPr>
                <w:rFonts w:ascii="Arial" w:cs="Arial" w:eastAsia="Arial" w:hAnsi="Arial"/>
                <w:sz w:val="16"/>
                <w:szCs w:val="16"/>
                <w:color w:val="auto"/>
              </w:rPr>
              <w:t>Six Months Ended June 30,</w:t>
            </w:r>
          </w:p>
        </w:tc>
      </w:tr>
      <w:tr>
        <w:trPr>
          <w:trHeight w:val="217"/>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18"/>
                <w:szCs w:val="18"/>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Variance</w:t>
            </w:r>
          </w:p>
        </w:tc>
        <w:tc>
          <w:tcPr>
            <w:tcW w:w="26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Variance</w:t>
            </w:r>
          </w:p>
        </w:tc>
      </w:tr>
      <w:tr>
        <w:trPr>
          <w:trHeight w:val="76"/>
        </w:trPr>
        <w:tc>
          <w:tcPr>
            <w:tcW w:w="20" w:type="dxa"/>
            <w:vAlign w:val="bottom"/>
          </w:tcPr>
          <w:p>
            <w:pPr>
              <w:spacing w:after="0"/>
              <w:rPr>
                <w:sz w:val="6"/>
                <w:szCs w:val="6"/>
                <w:color w:val="auto"/>
              </w:rPr>
            </w:pPr>
          </w:p>
        </w:tc>
        <w:tc>
          <w:tcPr>
            <w:tcW w:w="40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120"/>
              <w:spacing w:after="0"/>
              <w:rPr>
                <w:sz w:val="20"/>
                <w:szCs w:val="20"/>
                <w:color w:val="auto"/>
              </w:rPr>
            </w:pPr>
            <w:r>
              <w:rPr>
                <w:rFonts w:ascii="Arial" w:cs="Arial" w:eastAsia="Arial" w:hAnsi="Arial"/>
                <w:sz w:val="16"/>
                <w:szCs w:val="16"/>
                <w:color w:val="auto"/>
              </w:rPr>
              <w:t>Electric - regulated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194,197</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181,503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12,694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389,921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404,599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(14,678)</w:t>
            </w: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EFFE7"/>
          </w:tcPr>
          <w:p>
            <w:pPr>
              <w:ind w:left="120"/>
              <w:spacing w:after="0"/>
              <w:rPr>
                <w:sz w:val="20"/>
                <w:szCs w:val="20"/>
                <w:color w:val="auto"/>
              </w:rPr>
            </w:pPr>
            <w:r>
              <w:rPr>
                <w:rFonts w:ascii="Arial" w:cs="Arial" w:eastAsia="Arial" w:hAnsi="Arial"/>
                <w:sz w:val="16"/>
                <w:szCs w:val="16"/>
                <w:color w:val="auto"/>
              </w:rPr>
              <w:t>Other - non-regulated</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10,182</w:t>
            </w:r>
          </w:p>
        </w:tc>
        <w:tc>
          <w:tcPr>
            <w:tcW w:w="24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9,513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669</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20,995</w:t>
            </w:r>
          </w:p>
        </w:tc>
        <w:tc>
          <w:tcPr>
            <w:tcW w:w="2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21,821</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20" w:type="dxa"/>
            <w:vAlign w:val="bottom"/>
            <w:tcBorders>
              <w:bottom w:val="single" w:sz="8" w:color="CEFFE7"/>
            </w:tcBorders>
          </w:tcPr>
          <w:p>
            <w:pPr>
              <w:ind w:left="2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204,379</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191,016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410,917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426,420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(15,503)</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402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c>
          <w:tcPr>
            <w:tcW w:w="90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96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100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1000" w:type="dxa"/>
            <w:vAlign w:val="bottom"/>
            <w:shd w:val="clear" w:color="auto" w:fill="CEFFE7"/>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6"/>
                <w:szCs w:val="16"/>
                <w:color w:val="auto"/>
              </w:rPr>
              <w:t>Cost of fuel and purchased power: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02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Electric - regulated</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55,723</w:t>
            </w:r>
          </w:p>
        </w:tc>
        <w:tc>
          <w:tcPr>
            <w:tcW w:w="24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44,607</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11,116</w:t>
            </w: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107,202</w:t>
            </w:r>
          </w:p>
        </w:tc>
        <w:tc>
          <w:tcPr>
            <w:tcW w:w="2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144,076</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(36,874)</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Other - non-regulated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EFFE7"/>
          </w:tcPr>
          <w:p>
            <w:pPr>
              <w:ind w:left="240"/>
              <w:spacing w:after="0"/>
              <w:rPr>
                <w:sz w:val="20"/>
                <w:szCs w:val="20"/>
                <w:color w:val="auto"/>
              </w:rPr>
            </w:pPr>
            <w:r>
              <w:rPr>
                <w:rFonts w:ascii="Arial" w:cs="Arial" w:eastAsia="Arial" w:hAnsi="Arial"/>
                <w:sz w:val="16"/>
                <w:szCs w:val="16"/>
                <w:color w:val="auto"/>
              </w:rPr>
              <w:t>Total cost of fuel and purchased power</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56,632</w:t>
            </w:r>
          </w:p>
        </w:tc>
        <w:tc>
          <w:tcPr>
            <w:tcW w:w="24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45,563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11,069</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109,042</w:t>
            </w:r>
          </w:p>
        </w:tc>
        <w:tc>
          <w:tcPr>
            <w:tcW w:w="2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145,862</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(36,820)</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4020" w:type="dxa"/>
            <w:vAlign w:val="bottom"/>
            <w:tcBorders>
              <w:bottom w:val="single" w:sz="8" w:color="CEFFE7"/>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Electric Utility margin (non-GAAP)</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147,747</w:t>
            </w:r>
          </w:p>
        </w:tc>
        <w:tc>
          <w:tcPr>
            <w:tcW w:w="24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145,453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2,294</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301,875</w:t>
            </w:r>
          </w:p>
        </w:tc>
        <w:tc>
          <w:tcPr>
            <w:tcW w:w="2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280,558</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21,317</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69,000</w:t>
            </w:r>
          </w:p>
        </w:tc>
        <w:tc>
          <w:tcPr>
            <w:tcW w:w="24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65,301</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3,699</w:t>
            </w: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138,669</w:t>
            </w:r>
          </w:p>
        </w:tc>
        <w:tc>
          <w:tcPr>
            <w:tcW w:w="2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129,035</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9,634</w:t>
            </w:r>
          </w:p>
        </w:tc>
        <w:tc>
          <w:tcPr>
            <w:tcW w:w="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32,690</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67,234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64,718</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2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102,521</w:t>
            </w:r>
          </w:p>
        </w:tc>
        <w:tc>
          <w:tcPr>
            <w:tcW w:w="24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97,991</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4,530</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205,903</w:t>
            </w:r>
          </w:p>
        </w:tc>
        <w:tc>
          <w:tcPr>
            <w:tcW w:w="2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193,753</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12,150</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4020" w:type="dxa"/>
            <w:vAlign w:val="bottom"/>
            <w:tcBorders>
              <w:bottom w:val="single" w:sz="8" w:color="CEFFE7"/>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0" w:type="dxa"/>
            <w:vAlign w:val="bottom"/>
          </w:tcPr>
          <w:p>
            <w:pPr>
              <w:spacing w:after="0"/>
              <w:rPr>
                <w:sz w:val="19"/>
                <w:szCs w:val="19"/>
                <w:color w:val="auto"/>
              </w:rPr>
            </w:pPr>
          </w:p>
        </w:tc>
        <w:tc>
          <w:tcPr>
            <w:tcW w:w="40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45,226</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47,462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(2,236)</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95,972</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86,805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9,167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599"/>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652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2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49"/>
        </w:trPr>
        <w:tc>
          <w:tcPr>
            <w:tcW w:w="65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Three Months Ended June 30, 2022 Compared to the Three Months Ended June 30, 2021:</w:t>
            </w: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12"/>
        </w:trPr>
        <w:tc>
          <w:tcPr>
            <w:tcW w:w="6520" w:type="dxa"/>
            <w:vAlign w:val="bottom"/>
            <w:gridSpan w:val="3"/>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59"/>
        </w:trPr>
        <w:tc>
          <w:tcPr>
            <w:tcW w:w="1360" w:type="dxa"/>
            <w:vAlign w:val="bottom"/>
            <w:tcBorders>
              <w:top w:val="single" w:sz="8" w:color="auto"/>
              <w:bottom w:val="single" w:sz="8" w:color="CEFFE7"/>
            </w:tcBorders>
          </w:tcPr>
          <w:p>
            <w:pPr>
              <w:spacing w:after="0"/>
              <w:rPr>
                <w:sz w:val="24"/>
                <w:szCs w:val="24"/>
                <w:color w:val="auto"/>
              </w:rPr>
            </w:pPr>
          </w:p>
        </w:tc>
        <w:tc>
          <w:tcPr>
            <w:tcW w:w="160" w:type="dxa"/>
            <w:vAlign w:val="bottom"/>
            <w:tcBorders>
              <w:top w:val="single" w:sz="8" w:color="auto"/>
              <w:bottom w:val="single" w:sz="8" w:color="CEFFE7"/>
            </w:tcBorders>
          </w:tcPr>
          <w:p>
            <w:pPr>
              <w:spacing w:after="0"/>
              <w:rPr>
                <w:sz w:val="24"/>
                <w:szCs w:val="24"/>
                <w:color w:val="auto"/>
              </w:rPr>
            </w:pPr>
          </w:p>
        </w:tc>
        <w:tc>
          <w:tcPr>
            <w:tcW w:w="5000" w:type="dxa"/>
            <w:vAlign w:val="bottom"/>
            <w:tcBorders>
              <w:bottom w:val="single" w:sz="8" w:color="CEFFE7"/>
            </w:tcBorders>
          </w:tcPr>
          <w:p>
            <w:pPr>
              <w:spacing w:after="0"/>
              <w:rPr>
                <w:sz w:val="24"/>
                <w:szCs w:val="24"/>
                <w:color w:val="auto"/>
              </w:rPr>
            </w:pPr>
          </w:p>
        </w:tc>
        <w:tc>
          <w:tcPr>
            <w:tcW w:w="2520" w:type="dxa"/>
            <w:vAlign w:val="bottom"/>
            <w:tcBorders>
              <w:bottom w:val="single" w:sz="8" w:color="CEFFE7"/>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(in millions)</w:t>
            </w:r>
          </w:p>
        </w:tc>
      </w:tr>
      <w:tr>
        <w:trPr>
          <w:trHeight w:val="211"/>
        </w:trPr>
        <w:tc>
          <w:tcPr>
            <w:tcW w:w="65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New rates and rider recovery</w:t>
            </w:r>
          </w:p>
        </w:tc>
        <w:tc>
          <w:tcPr>
            <w:tcW w:w="2520" w:type="dxa"/>
            <w:vAlign w:val="bottom"/>
            <w:shd w:val="clear" w:color="auto" w:fill="CEFFE7"/>
          </w:tcPr>
          <w:p>
            <w:pPr>
              <w:spacing w:after="0"/>
              <w:rPr>
                <w:sz w:val="18"/>
                <w:szCs w:val="18"/>
                <w:color w:val="auto"/>
              </w:rPr>
            </w:pP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w w:val="98"/>
              </w:rPr>
              <w:t>4.2</w:t>
            </w:r>
          </w:p>
        </w:tc>
      </w:tr>
      <w:tr>
        <w:trPr>
          <w:trHeight w:val="215"/>
        </w:trPr>
        <w:tc>
          <w:tcPr>
            <w:tcW w:w="6520" w:type="dxa"/>
            <w:vAlign w:val="bottom"/>
            <w:gridSpan w:val="3"/>
          </w:tcPr>
          <w:p>
            <w:pPr>
              <w:ind w:left="20"/>
              <w:spacing w:after="0"/>
              <w:rPr>
                <w:sz w:val="20"/>
                <w:szCs w:val="20"/>
                <w:color w:val="auto"/>
              </w:rPr>
            </w:pPr>
            <w:r>
              <w:rPr>
                <w:rFonts w:ascii="Arial" w:cs="Arial" w:eastAsia="Arial" w:hAnsi="Arial"/>
                <w:sz w:val="16"/>
                <w:szCs w:val="16"/>
                <w:color w:val="auto"/>
              </w:rPr>
              <w:t>Prior year mark-to-market on wholesale energy contracts</w:t>
            </w:r>
          </w:p>
        </w:tc>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w w:val="98"/>
              </w:rPr>
              <w:t>3.6</w:t>
            </w:r>
          </w:p>
        </w:tc>
      </w:tr>
      <w:tr>
        <w:trPr>
          <w:trHeight w:val="217"/>
        </w:trPr>
        <w:tc>
          <w:tcPr>
            <w:tcW w:w="65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Lower pricing on new Wygen I PPA</w:t>
            </w:r>
          </w:p>
        </w:tc>
        <w:tc>
          <w:tcPr>
            <w:tcW w:w="252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center"/>
              <w:ind w:left="1339"/>
              <w:spacing w:after="0"/>
              <w:rPr>
                <w:sz w:val="20"/>
                <w:szCs w:val="20"/>
                <w:color w:val="auto"/>
              </w:rPr>
            </w:pPr>
            <w:r>
              <w:rPr>
                <w:rFonts w:ascii="Arial" w:cs="Arial" w:eastAsia="Arial" w:hAnsi="Arial"/>
                <w:sz w:val="16"/>
                <w:szCs w:val="16"/>
                <w:color w:val="auto"/>
              </w:rPr>
              <w:t>(2.6)</w:t>
            </w:r>
          </w:p>
        </w:tc>
      </w:tr>
      <w:tr>
        <w:trPr>
          <w:trHeight w:val="216"/>
        </w:trPr>
        <w:tc>
          <w:tcPr>
            <w:tcW w:w="65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Prior year Winter Storm Uri impacts </w:t>
            </w:r>
            <w:r>
              <w:rPr>
                <w:rFonts w:ascii="Arial" w:cs="Arial" w:eastAsia="Arial" w:hAnsi="Arial"/>
                <w:sz w:val="21"/>
                <w:szCs w:val="21"/>
                <w:color w:val="auto"/>
                <w:vertAlign w:val="superscript"/>
              </w:rPr>
              <w:t>(a)</w:t>
            </w:r>
          </w:p>
        </w:tc>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jc w:val="center"/>
              <w:ind w:left="1339"/>
              <w:spacing w:after="0"/>
              <w:rPr>
                <w:sz w:val="20"/>
                <w:szCs w:val="20"/>
                <w:color w:val="auto"/>
              </w:rPr>
            </w:pPr>
            <w:r>
              <w:rPr>
                <w:rFonts w:ascii="Arial" w:cs="Arial" w:eastAsia="Arial" w:hAnsi="Arial"/>
                <w:sz w:val="16"/>
                <w:szCs w:val="16"/>
                <w:color w:val="auto"/>
              </w:rPr>
              <w:t>(2.4)</w:t>
            </w:r>
          </w:p>
        </w:tc>
      </w:tr>
      <w:tr>
        <w:trPr>
          <w:trHeight w:val="216"/>
        </w:trPr>
        <w:tc>
          <w:tcPr>
            <w:tcW w:w="652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Other</w:t>
            </w:r>
          </w:p>
        </w:tc>
        <w:tc>
          <w:tcPr>
            <w:tcW w:w="2520" w:type="dxa"/>
            <w:vAlign w:val="bottom"/>
            <w:shd w:val="clear" w:color="auto" w:fill="CEFFE7"/>
          </w:tcPr>
          <w:p>
            <w:pPr>
              <w:spacing w:after="0"/>
              <w:rPr>
                <w:sz w:val="18"/>
                <w:szCs w:val="18"/>
                <w:color w:val="auto"/>
              </w:rPr>
            </w:pPr>
          </w:p>
        </w:tc>
        <w:tc>
          <w:tcPr>
            <w:tcW w:w="4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center"/>
              <w:ind w:left="1339"/>
              <w:spacing w:after="0"/>
              <w:rPr>
                <w:sz w:val="20"/>
                <w:szCs w:val="20"/>
                <w:color w:val="auto"/>
              </w:rPr>
            </w:pPr>
            <w:r>
              <w:rPr>
                <w:rFonts w:ascii="Arial" w:cs="Arial" w:eastAsia="Arial" w:hAnsi="Arial"/>
                <w:sz w:val="16"/>
                <w:szCs w:val="16"/>
                <w:color w:val="auto"/>
              </w:rPr>
              <w:t>(0.5)</w:t>
            </w:r>
          </w:p>
        </w:tc>
      </w:tr>
      <w:tr>
        <w:trPr>
          <w:trHeight w:val="209"/>
        </w:trPr>
        <w:tc>
          <w:tcPr>
            <w:tcW w:w="6520" w:type="dxa"/>
            <w:vAlign w:val="bottom"/>
            <w:gridSpan w:val="3"/>
          </w:tcPr>
          <w:p>
            <w:pPr>
              <w:ind w:left="20"/>
              <w:spacing w:after="0"/>
              <w:rPr>
                <w:sz w:val="20"/>
                <w:szCs w:val="20"/>
                <w:color w:val="auto"/>
              </w:rPr>
            </w:pPr>
            <w:r>
              <w:rPr>
                <w:rFonts w:ascii="Arial" w:cs="Arial" w:eastAsia="Arial" w:hAnsi="Arial"/>
                <w:sz w:val="16"/>
                <w:szCs w:val="16"/>
                <w:color w:val="auto"/>
              </w:rPr>
              <w:t>Total increase in Electric Utility margin</w:t>
            </w:r>
          </w:p>
        </w:tc>
        <w:tc>
          <w:tcPr>
            <w:tcW w:w="25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center"/>
              <w:ind w:left="1339"/>
              <w:spacing w:after="0"/>
              <w:rPr>
                <w:sz w:val="20"/>
                <w:szCs w:val="20"/>
                <w:color w:val="auto"/>
              </w:rPr>
            </w:pPr>
            <w:r>
              <w:rPr>
                <w:rFonts w:ascii="Arial" w:cs="Arial" w:eastAsia="Arial" w:hAnsi="Arial"/>
                <w:sz w:val="16"/>
                <w:szCs w:val="16"/>
                <w:color w:val="auto"/>
                <w:w w:val="98"/>
              </w:rPr>
              <w:t>2.3</w:t>
            </w:r>
          </w:p>
        </w:tc>
      </w:tr>
      <w:tr>
        <w:trPr>
          <w:trHeight w:val="21"/>
        </w:trPr>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hanging="332"/>
        <w:spacing w:after="0" w:line="294"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the first quarter 2021, our Electric Utilities accrued $3.2 million of negative impacts to our regulated wholesale power margins due to the higher fuel costs associated with Winter Storm Uri. Through regulatory actions in the second quarter of 2021, our Electric Utilities were able to reduce $2.4 million of that negative impact.</w:t>
      </w:r>
    </w:p>
    <w:p>
      <w:pPr>
        <w:spacing w:after="0" w:line="174"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outside services expenses, higher cloud computing licensing costs and increased property taxes due to a higher asset base.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the Six Months Ended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Utility margin</w:t>
      </w:r>
      <w:r>
        <w:rPr>
          <w:rFonts w:ascii="Arial" w:cs="Arial" w:eastAsia="Arial" w:hAnsi="Arial"/>
          <w:sz w:val="16"/>
          <w:szCs w:val="16"/>
          <w:color w:val="auto"/>
        </w:rPr>
        <w:t xml:space="preserve"> increased as a result of the following:</w:t>
      </w:r>
    </w:p>
    <w:p>
      <w:pPr>
        <w:spacing w:after="0" w:line="343"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Prior year TCJA-related bill credits </w:t>
      </w:r>
      <w:r>
        <w:rPr>
          <w:rFonts w:ascii="Arial" w:cs="Arial" w:eastAsia="Arial" w:hAnsi="Arial"/>
          <w:sz w:val="21"/>
          <w:szCs w:val="21"/>
          <w:color w:val="auto"/>
          <w:vertAlign w:val="superscript"/>
        </w:rPr>
        <w:t>(a)</w:t>
      </w:r>
    </w:p>
    <w:p>
      <w:pPr>
        <w:ind w:left="20"/>
        <w:spacing w:after="0"/>
        <w:rPr>
          <w:sz w:val="20"/>
          <w:szCs w:val="20"/>
          <w:color w:val="auto"/>
        </w:rPr>
      </w:pPr>
      <w:r>
        <w:rPr>
          <w:rFonts w:ascii="Arial" w:cs="Arial" w:eastAsia="Arial" w:hAnsi="Arial"/>
          <w:sz w:val="16"/>
          <w:szCs w:val="16"/>
          <w:color w:val="auto"/>
        </w:rPr>
        <w:t>New rates and rider recovery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Prior year mark-to-market on wholesale energy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Transmission services and off-system energy sales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Customer load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Prior year Winter Storm Uri impacts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Lower pricing on new Wygen I PPA</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Weather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increase in Electric Utility margin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9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ectPr>
          <w:pgSz w:w="11900" w:h="16838" w:orient="portrait"/>
          <w:cols w:equalWidth="0" w:num="2">
            <w:col w:w="8320" w:space="720"/>
            <w:col w:w="2200"/>
          </w:cols>
          <w:pgMar w:left="320" w:top="117" w:right="339" w:bottom="1440" w:gutter="0" w:footer="0" w:header="0"/>
          <w:type w:val="continuous"/>
        </w:sectPr>
      </w:pPr>
    </w:p>
    <w:p>
      <w:pPr>
        <w:ind w:left="340" w:right="140" w:hanging="332"/>
        <w:spacing w:after="0" w:line="261" w:lineRule="auto"/>
        <w:tabs>
          <w:tab w:leader="none" w:pos="35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February 2021, Colorado Electric delivered $9.3 million of TCJA-related bill credits to its customers. These bill credits were offset by a reduction in income tax expense and resulted in an immaterial impact to Net income.</w:t>
      </w:r>
    </w:p>
    <w:p>
      <w:pPr>
        <w:ind w:left="340" w:right="320" w:hanging="332"/>
        <w:spacing w:after="0" w:line="272" w:lineRule="auto"/>
        <w:tabs>
          <w:tab w:leader="none" w:pos="344"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a result of Winter Storm Uri, our Electric Utilities incurred a $0.8 million negative impact to our regulated wholesale power margins due to higher fuel costs and $2.1 million of incremental fuel costs that are not recoverable through our fuel cost recovery mechanisms partially offset by $1.7 million of increased Electric Utility margin realized under Black Hills Wyoming’s Economy Energy PSA.</w:t>
      </w:r>
    </w:p>
    <w:p>
      <w:pPr>
        <w:spacing w:after="0" w:line="19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cloud computing licensing costs, higher maintenance expenses driven by planned generation outages, higher fuel costs, higher outside services expenses and increased property taxes due to a higher asset base.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Revenue (in thousands)</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4"/>
                <w:szCs w:val="14"/>
                <w:color w:val="auto"/>
              </w:rPr>
              <w:t>Quantities Sold (MWh)</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3"/>
          </w:tcPr>
          <w:p>
            <w:pPr>
              <w:jc w:val="right"/>
              <w:ind w:right="288"/>
              <w:spacing w:after="0" w:line="151" w:lineRule="exact"/>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3"/>
                <w:szCs w:val="13"/>
                <w:color w:val="auto"/>
              </w:rPr>
            </w:pPr>
          </w:p>
        </w:tc>
        <w:tc>
          <w:tcPr>
            <w:tcW w:w="1960" w:type="dxa"/>
            <w:vAlign w:val="bottom"/>
            <w:gridSpan w:val="4"/>
          </w:tcPr>
          <w:p>
            <w:pPr>
              <w:ind w:left="240"/>
              <w:spacing w:after="0" w:line="151" w:lineRule="exact"/>
              <w:rPr>
                <w:sz w:val="20"/>
                <w:szCs w:val="20"/>
                <w:color w:val="auto"/>
              </w:rPr>
            </w:pPr>
            <w:r>
              <w:rPr>
                <w:rFonts w:ascii="Arial" w:cs="Arial" w:eastAsia="Arial" w:hAnsi="Arial"/>
                <w:sz w:val="14"/>
                <w:szCs w:val="14"/>
                <w:color w:val="auto"/>
              </w:rPr>
              <w:t>Six Months Ended</w:t>
            </w:r>
          </w:p>
        </w:tc>
        <w:tc>
          <w:tcPr>
            <w:tcW w:w="2220" w:type="dxa"/>
            <w:vAlign w:val="bottom"/>
            <w:gridSpan w:val="2"/>
          </w:tcPr>
          <w:p>
            <w:pPr>
              <w:jc w:val="right"/>
              <w:ind w:right="428"/>
              <w:spacing w:after="0" w:line="151" w:lineRule="exact"/>
              <w:rPr>
                <w:sz w:val="20"/>
                <w:szCs w:val="20"/>
                <w:color w:val="auto"/>
              </w:rPr>
            </w:pPr>
            <w:r>
              <w:rPr>
                <w:rFonts w:ascii="Arial" w:cs="Arial" w:eastAsia="Arial" w:hAnsi="Arial"/>
                <w:sz w:val="14"/>
                <w:szCs w:val="14"/>
                <w:color w:val="auto"/>
              </w:rPr>
              <w:t>Three Months Ended</w:t>
            </w:r>
          </w:p>
        </w:tc>
        <w:tc>
          <w:tcPr>
            <w:tcW w:w="1940" w:type="dxa"/>
            <w:vAlign w:val="bottom"/>
            <w:gridSpan w:val="2"/>
          </w:tcPr>
          <w:p>
            <w:pPr>
              <w:jc w:val="right"/>
              <w:ind w:right="388"/>
              <w:spacing w:after="0" w:line="151"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June 30,</w:t>
            </w:r>
          </w:p>
        </w:tc>
        <w:tc>
          <w:tcPr>
            <w:tcW w:w="8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EFFE7"/>
            </w:tcBorders>
          </w:tcPr>
          <w:p>
            <w:pPr>
              <w:spacing w:after="0"/>
              <w:rPr>
                <w:sz w:val="16"/>
                <w:szCs w:val="16"/>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2022</w:t>
            </w: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2022</w:t>
            </w: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0"/>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52,853</w:t>
            </w:r>
          </w:p>
        </w:tc>
        <w:tc>
          <w:tcPr>
            <w:tcW w:w="30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53,451</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115,102</w:t>
            </w:r>
          </w:p>
        </w:tc>
        <w:tc>
          <w:tcPr>
            <w:tcW w:w="340" w:type="dxa"/>
            <w:vAlign w:val="bottom"/>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126,211</w:t>
            </w:r>
          </w:p>
        </w:tc>
        <w:tc>
          <w:tcPr>
            <w:tcW w:w="100" w:type="dxa"/>
            <w:vAlign w:val="bottom"/>
            <w:shd w:val="clear" w:color="auto" w:fill="CEFFE7"/>
          </w:tcPr>
          <w:p>
            <w:pPr>
              <w:spacing w:after="0"/>
              <w:rPr>
                <w:sz w:val="17"/>
                <w:szCs w:val="17"/>
                <w:color w:val="auto"/>
              </w:rPr>
            </w:pPr>
          </w:p>
        </w:tc>
        <w:tc>
          <w:tcPr>
            <w:tcW w:w="13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323,775</w:t>
            </w:r>
          </w:p>
        </w:tc>
        <w:tc>
          <w:tcPr>
            <w:tcW w:w="8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335,063</w:t>
            </w:r>
          </w:p>
        </w:tc>
        <w:tc>
          <w:tcPr>
            <w:tcW w:w="12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715,357</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731,149</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68,756</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66,809</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133,109</w:t>
            </w:r>
          </w:p>
        </w:tc>
        <w:tc>
          <w:tcPr>
            <w:tcW w:w="3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143,816</w:t>
            </w:r>
          </w:p>
        </w:tc>
        <w:tc>
          <w:tcPr>
            <w:tcW w:w="100" w:type="dxa"/>
            <w:vAlign w:val="bottom"/>
          </w:tcPr>
          <w:p>
            <w:pPr>
              <w:spacing w:after="0"/>
              <w:rPr>
                <w:sz w:val="17"/>
                <w:szCs w:val="17"/>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color w:val="auto"/>
              </w:rPr>
              <w:t>509,830</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501,463</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1,000,248</w:t>
            </w:r>
          </w:p>
        </w:tc>
        <w:tc>
          <w:tcPr>
            <w:tcW w:w="740" w:type="dxa"/>
            <w:vAlign w:val="bottom"/>
          </w:tcPr>
          <w:p>
            <w:pPr>
              <w:jc w:val="right"/>
              <w:spacing w:after="0"/>
              <w:rPr>
                <w:sz w:val="20"/>
                <w:szCs w:val="20"/>
                <w:color w:val="auto"/>
              </w:rPr>
            </w:pPr>
            <w:r>
              <w:rPr>
                <w:rFonts w:ascii="Arial" w:cs="Arial" w:eastAsia="Arial" w:hAnsi="Arial"/>
                <w:sz w:val="14"/>
                <w:szCs w:val="14"/>
                <w:color w:val="auto"/>
              </w:rPr>
              <w:t>994,418</w:t>
            </w:r>
          </w:p>
        </w:tc>
        <w:tc>
          <w:tcPr>
            <w:tcW w:w="0" w:type="dxa"/>
            <w:vAlign w:val="bottom"/>
          </w:tcPr>
          <w:p>
            <w:pPr>
              <w:spacing w:after="0"/>
              <w:rPr>
                <w:sz w:val="1"/>
                <w:szCs w:val="1"/>
                <w:color w:val="auto"/>
              </w:rPr>
            </w:pPr>
          </w:p>
        </w:tc>
      </w:tr>
      <w:tr>
        <w:trPr>
          <w:trHeight w:val="207"/>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Industrial</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38,190</w:t>
            </w:r>
          </w:p>
        </w:tc>
        <w:tc>
          <w:tcPr>
            <w:tcW w:w="300" w:type="dxa"/>
            <w:vAlign w:val="bottom"/>
            <w:shd w:val="clear" w:color="auto" w:fill="CEFFE7"/>
          </w:tcPr>
          <w:p>
            <w:pPr>
              <w:spacing w:after="0"/>
              <w:rPr>
                <w:sz w:val="17"/>
                <w:szCs w:val="17"/>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35,186</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73,598</w:t>
            </w:r>
          </w:p>
        </w:tc>
        <w:tc>
          <w:tcPr>
            <w:tcW w:w="340" w:type="dxa"/>
            <w:vAlign w:val="bottom"/>
            <w:shd w:val="clear" w:color="auto" w:fill="CEFFE7"/>
          </w:tcPr>
          <w:p>
            <w:pPr>
              <w:spacing w:after="0"/>
              <w:rPr>
                <w:sz w:val="17"/>
                <w:szCs w:val="17"/>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78,195</w:t>
            </w:r>
          </w:p>
        </w:tc>
        <w:tc>
          <w:tcPr>
            <w:tcW w:w="100" w:type="dxa"/>
            <w:vAlign w:val="bottom"/>
            <w:shd w:val="clear" w:color="auto" w:fill="CEFFE7"/>
          </w:tcPr>
          <w:p>
            <w:pPr>
              <w:spacing w:after="0"/>
              <w:rPr>
                <w:sz w:val="17"/>
                <w:szCs w:val="17"/>
                <w:color w:val="auto"/>
              </w:rPr>
            </w:pPr>
          </w:p>
        </w:tc>
        <w:tc>
          <w:tcPr>
            <w:tcW w:w="13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464,928</w:t>
            </w:r>
          </w:p>
        </w:tc>
        <w:tc>
          <w:tcPr>
            <w:tcW w:w="8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441,793</w:t>
            </w:r>
          </w:p>
        </w:tc>
        <w:tc>
          <w:tcPr>
            <w:tcW w:w="12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928,696</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856,984</w:t>
            </w:r>
          </w:p>
        </w:tc>
        <w:tc>
          <w:tcPr>
            <w:tcW w:w="0" w:type="dxa"/>
            <w:vAlign w:val="bottom"/>
          </w:tcPr>
          <w:p>
            <w:pPr>
              <w:spacing w:after="0"/>
              <w:rPr>
                <w:sz w:val="1"/>
                <w:szCs w:val="1"/>
                <w:color w:val="auto"/>
              </w:rPr>
            </w:pPr>
          </w:p>
        </w:tc>
      </w:tr>
      <w:tr>
        <w:trPr>
          <w:trHeight w:val="198"/>
        </w:trPr>
        <w:tc>
          <w:tcPr>
            <w:tcW w:w="28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Municipal</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4,992</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4,382</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9,567</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9,402</w:t>
            </w:r>
          </w:p>
        </w:tc>
        <w:tc>
          <w:tcPr>
            <w:tcW w:w="100" w:type="dxa"/>
            <w:vAlign w:val="bottom"/>
            <w:tcBorders>
              <w:bottom w:val="single" w:sz="8" w:color="CEFFE7"/>
            </w:tcBorders>
          </w:tcPr>
          <w:p>
            <w:pPr>
              <w:spacing w:after="0"/>
              <w:rPr>
                <w:sz w:val="17"/>
                <w:szCs w:val="17"/>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40,240</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39,863</w:t>
            </w: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75,545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76,105</w:t>
            </w:r>
          </w:p>
        </w:tc>
        <w:tc>
          <w:tcPr>
            <w:tcW w:w="0" w:type="dxa"/>
            <w:vAlign w:val="bottom"/>
          </w:tcPr>
          <w:p>
            <w:pPr>
              <w:spacing w:after="0"/>
              <w:rPr>
                <w:sz w:val="1"/>
                <w:szCs w:val="1"/>
                <w:color w:val="auto"/>
              </w:rPr>
            </w:pPr>
          </w:p>
        </w:tc>
      </w:tr>
      <w:tr>
        <w:trPr>
          <w:trHeight w:val="200"/>
        </w:trPr>
        <w:tc>
          <w:tcPr>
            <w:tcW w:w="28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Subtotal Retail Revenue - Electric</w:t>
            </w:r>
          </w:p>
        </w:tc>
        <w:tc>
          <w:tcPr>
            <w:tcW w:w="220" w:type="dxa"/>
            <w:vAlign w:val="bottom"/>
            <w:tcBorders>
              <w:bottom w:val="single" w:sz="8" w:color="auto"/>
            </w:tcBorders>
            <w:shd w:val="clear" w:color="auto" w:fill="CEFFE7"/>
          </w:tcPr>
          <w:p>
            <w:pPr>
              <w:spacing w:after="0"/>
              <w:rPr>
                <w:sz w:val="17"/>
                <w:szCs w:val="17"/>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164,791</w:t>
            </w:r>
          </w:p>
        </w:tc>
        <w:tc>
          <w:tcPr>
            <w:tcW w:w="300" w:type="dxa"/>
            <w:vAlign w:val="bottom"/>
            <w:tcBorders>
              <w:bottom w:val="single" w:sz="8" w:color="auto"/>
            </w:tcBorders>
            <w:shd w:val="clear" w:color="auto" w:fill="CEFFE7"/>
          </w:tcPr>
          <w:p>
            <w:pPr>
              <w:spacing w:after="0"/>
              <w:rPr>
                <w:sz w:val="17"/>
                <w:szCs w:val="17"/>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159,828</w:t>
            </w:r>
          </w:p>
        </w:tc>
        <w:tc>
          <w:tcPr>
            <w:tcW w:w="240" w:type="dxa"/>
            <w:vAlign w:val="bottom"/>
            <w:tcBorders>
              <w:bottom w:val="single" w:sz="8" w:color="auto"/>
            </w:tcBorders>
            <w:shd w:val="clear" w:color="auto" w:fill="CEFFE7"/>
          </w:tcPr>
          <w:p>
            <w:pPr>
              <w:spacing w:after="0"/>
              <w:rPr>
                <w:sz w:val="17"/>
                <w:szCs w:val="17"/>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331,377</w:t>
            </w:r>
          </w:p>
        </w:tc>
        <w:tc>
          <w:tcPr>
            <w:tcW w:w="340" w:type="dxa"/>
            <w:vAlign w:val="bottom"/>
            <w:tcBorders>
              <w:bottom w:val="single" w:sz="8" w:color="auto"/>
            </w:tcBorders>
            <w:shd w:val="clear" w:color="auto" w:fill="CEFFE7"/>
          </w:tcPr>
          <w:p>
            <w:pPr>
              <w:spacing w:after="0"/>
              <w:rPr>
                <w:sz w:val="17"/>
                <w:szCs w:val="17"/>
                <w:color w:val="auto"/>
              </w:rPr>
            </w:pPr>
          </w:p>
        </w:tc>
        <w:tc>
          <w:tcPr>
            <w:tcW w:w="7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357,624</w:t>
            </w:r>
          </w:p>
        </w:tc>
        <w:tc>
          <w:tcPr>
            <w:tcW w:w="100" w:type="dxa"/>
            <w:vAlign w:val="bottom"/>
            <w:shd w:val="clear" w:color="auto" w:fill="CEFFE7"/>
          </w:tcPr>
          <w:p>
            <w:pPr>
              <w:spacing w:after="0"/>
              <w:rPr>
                <w:sz w:val="17"/>
                <w:szCs w:val="17"/>
                <w:color w:val="auto"/>
              </w:rPr>
            </w:pPr>
          </w:p>
        </w:tc>
        <w:tc>
          <w:tcPr>
            <w:tcW w:w="134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1,338,773</w:t>
            </w:r>
          </w:p>
        </w:tc>
        <w:tc>
          <w:tcPr>
            <w:tcW w:w="88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1,318,182</w:t>
            </w:r>
          </w:p>
        </w:tc>
        <w:tc>
          <w:tcPr>
            <w:tcW w:w="120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2,719,846</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2,658,656</w:t>
            </w:r>
          </w:p>
        </w:tc>
        <w:tc>
          <w:tcPr>
            <w:tcW w:w="0" w:type="dxa"/>
            <w:vAlign w:val="bottom"/>
          </w:tcPr>
          <w:p>
            <w:pPr>
              <w:spacing w:after="0"/>
              <w:rPr>
                <w:sz w:val="1"/>
                <w:szCs w:val="1"/>
                <w:color w:val="auto"/>
              </w:rPr>
            </w:pPr>
          </w:p>
        </w:tc>
      </w:tr>
      <w:tr>
        <w:trPr>
          <w:trHeight w:val="192"/>
        </w:trPr>
        <w:tc>
          <w:tcPr>
            <w:tcW w:w="2820" w:type="dxa"/>
            <w:vAlign w:val="bottom"/>
          </w:tcPr>
          <w:p>
            <w:pPr>
              <w:ind w:left="20"/>
              <w:spacing w:after="0"/>
              <w:rPr>
                <w:sz w:val="20"/>
                <w:szCs w:val="20"/>
                <w:color w:val="auto"/>
              </w:rPr>
            </w:pPr>
            <w:r>
              <w:rPr>
                <w:rFonts w:ascii="Arial" w:cs="Arial" w:eastAsia="Arial" w:hAnsi="Arial"/>
                <w:sz w:val="14"/>
                <w:szCs w:val="14"/>
                <w:color w:val="auto"/>
              </w:rPr>
              <w:t>Contract Wholesale</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4,339</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3,010</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10,262</w:t>
            </w:r>
          </w:p>
        </w:tc>
        <w:tc>
          <w:tcPr>
            <w:tcW w:w="3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8,932</w:t>
            </w:r>
          </w:p>
        </w:tc>
        <w:tc>
          <w:tcPr>
            <w:tcW w:w="10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color w:val="auto"/>
              </w:rPr>
              <w:t>150,645</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129,763</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332,852</w:t>
            </w:r>
          </w:p>
        </w:tc>
        <w:tc>
          <w:tcPr>
            <w:tcW w:w="740" w:type="dxa"/>
            <w:vAlign w:val="bottom"/>
          </w:tcPr>
          <w:p>
            <w:pPr>
              <w:jc w:val="right"/>
              <w:spacing w:after="0"/>
              <w:rPr>
                <w:sz w:val="20"/>
                <w:szCs w:val="20"/>
                <w:color w:val="auto"/>
              </w:rPr>
            </w:pPr>
            <w:r>
              <w:rPr>
                <w:rFonts w:ascii="Arial" w:cs="Arial" w:eastAsia="Arial" w:hAnsi="Arial"/>
                <w:sz w:val="14"/>
                <w:szCs w:val="14"/>
                <w:color w:val="auto"/>
              </w:rPr>
              <w:t>286,758</w:t>
            </w:r>
          </w:p>
        </w:tc>
        <w:tc>
          <w:tcPr>
            <w:tcW w:w="0" w:type="dxa"/>
            <w:vAlign w:val="bottom"/>
          </w:tcPr>
          <w:p>
            <w:pPr>
              <w:spacing w:after="0"/>
              <w:rPr>
                <w:sz w:val="1"/>
                <w:szCs w:val="1"/>
                <w:color w:val="auto"/>
              </w:rPr>
            </w:pPr>
          </w:p>
        </w:tc>
      </w:tr>
      <w:tr>
        <w:trPr>
          <w:trHeight w:val="207"/>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Off-system/Power Marketing Wholesale</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8,666</w:t>
            </w:r>
          </w:p>
        </w:tc>
        <w:tc>
          <w:tcPr>
            <w:tcW w:w="300" w:type="dxa"/>
            <w:vAlign w:val="bottom"/>
            <w:shd w:val="clear" w:color="auto" w:fill="CEFFE7"/>
          </w:tcPr>
          <w:p>
            <w:pPr>
              <w:spacing w:after="0"/>
              <w:rPr>
                <w:sz w:val="17"/>
                <w:szCs w:val="17"/>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7,266</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15,820</w:t>
            </w:r>
          </w:p>
        </w:tc>
        <w:tc>
          <w:tcPr>
            <w:tcW w:w="340" w:type="dxa"/>
            <w:vAlign w:val="bottom"/>
            <w:shd w:val="clear" w:color="auto" w:fill="CEFFE7"/>
          </w:tcPr>
          <w:p>
            <w:pPr>
              <w:spacing w:after="0"/>
              <w:rPr>
                <w:sz w:val="17"/>
                <w:szCs w:val="17"/>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12,038</w:t>
            </w:r>
          </w:p>
        </w:tc>
        <w:tc>
          <w:tcPr>
            <w:tcW w:w="100" w:type="dxa"/>
            <w:vAlign w:val="bottom"/>
            <w:shd w:val="clear" w:color="auto" w:fill="CEFFE7"/>
          </w:tcPr>
          <w:p>
            <w:pPr>
              <w:spacing w:after="0"/>
              <w:rPr>
                <w:sz w:val="17"/>
                <w:szCs w:val="17"/>
                <w:color w:val="auto"/>
              </w:rPr>
            </w:pPr>
          </w:p>
        </w:tc>
        <w:tc>
          <w:tcPr>
            <w:tcW w:w="13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144,425</w:t>
            </w:r>
          </w:p>
        </w:tc>
        <w:tc>
          <w:tcPr>
            <w:tcW w:w="8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148,981</w:t>
            </w:r>
          </w:p>
        </w:tc>
        <w:tc>
          <w:tcPr>
            <w:tcW w:w="12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304,866</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209,202</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CEFFE7"/>
            </w:tcBorders>
          </w:tcPr>
          <w:p>
            <w:pPr>
              <w:ind w:left="20"/>
              <w:spacing w:after="0" w:line="202"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16,400</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11,399</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32,463</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26,005</w:t>
            </w:r>
          </w:p>
        </w:tc>
        <w:tc>
          <w:tcPr>
            <w:tcW w:w="100" w:type="dxa"/>
            <w:vAlign w:val="bottom"/>
            <w:tcBorders>
              <w:bottom w:val="single" w:sz="8" w:color="CEFFE7"/>
            </w:tcBorders>
          </w:tcPr>
          <w:p>
            <w:pPr>
              <w:spacing w:after="0"/>
              <w:rPr>
                <w:sz w:val="17"/>
                <w:szCs w:val="17"/>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8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Total Regulated</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194,197</w:t>
            </w:r>
          </w:p>
        </w:tc>
        <w:tc>
          <w:tcPr>
            <w:tcW w:w="300" w:type="dxa"/>
            <w:vAlign w:val="bottom"/>
            <w:shd w:val="clear" w:color="auto" w:fill="CEFFE7"/>
          </w:tcPr>
          <w:p>
            <w:pPr>
              <w:spacing w:after="0"/>
              <w:rPr>
                <w:sz w:val="17"/>
                <w:szCs w:val="17"/>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181,503</w:t>
            </w:r>
          </w:p>
        </w:tc>
        <w:tc>
          <w:tcPr>
            <w:tcW w:w="24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389,921</w:t>
            </w:r>
          </w:p>
        </w:tc>
        <w:tc>
          <w:tcPr>
            <w:tcW w:w="340" w:type="dxa"/>
            <w:vAlign w:val="bottom"/>
            <w:shd w:val="clear" w:color="auto" w:fill="CEFFE7"/>
          </w:tcPr>
          <w:p>
            <w:pPr>
              <w:spacing w:after="0"/>
              <w:rPr>
                <w:sz w:val="17"/>
                <w:szCs w:val="17"/>
                <w:color w:val="auto"/>
              </w:rPr>
            </w:pPr>
          </w:p>
        </w:tc>
        <w:tc>
          <w:tcPr>
            <w:tcW w:w="7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404,599</w:t>
            </w:r>
          </w:p>
        </w:tc>
        <w:tc>
          <w:tcPr>
            <w:tcW w:w="100" w:type="dxa"/>
            <w:vAlign w:val="bottom"/>
            <w:shd w:val="clear" w:color="auto" w:fill="CEFFE7"/>
          </w:tcPr>
          <w:p>
            <w:pPr>
              <w:spacing w:after="0"/>
              <w:rPr>
                <w:sz w:val="17"/>
                <w:szCs w:val="17"/>
                <w:color w:val="auto"/>
              </w:rPr>
            </w:pPr>
          </w:p>
        </w:tc>
        <w:tc>
          <w:tcPr>
            <w:tcW w:w="13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1,633,843</w:t>
            </w:r>
          </w:p>
        </w:tc>
        <w:tc>
          <w:tcPr>
            <w:tcW w:w="8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1,596,926</w:t>
            </w:r>
          </w:p>
        </w:tc>
        <w:tc>
          <w:tcPr>
            <w:tcW w:w="120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3,357,564</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3,154,616</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CEFFE7"/>
            </w:tcBorders>
          </w:tcPr>
          <w:p>
            <w:pPr>
              <w:ind w:left="20"/>
              <w:spacing w:after="0" w:line="202" w:lineRule="exact"/>
              <w:rPr>
                <w:sz w:val="20"/>
                <w:szCs w:val="20"/>
                <w:color w:val="auto"/>
              </w:rPr>
            </w:pPr>
            <w:r>
              <w:rPr>
                <w:rFonts w:ascii="Arial" w:cs="Arial" w:eastAsia="Arial" w:hAnsi="Arial"/>
                <w:sz w:val="14"/>
                <w:szCs w:val="14"/>
                <w:color w:val="auto"/>
              </w:rPr>
              <w:t xml:space="preserve">Non-Regulated </w:t>
            </w:r>
            <w:r>
              <w:rPr>
                <w:rFonts w:ascii="Arial" w:cs="Arial" w:eastAsia="Arial" w:hAnsi="Arial"/>
                <w:sz w:val="18"/>
                <w:szCs w:val="18"/>
                <w:color w:val="auto"/>
                <w:vertAlign w:val="superscript"/>
              </w:rPr>
              <w:t>(b)</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10,182</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9,513</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20,995</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21,821</w:t>
            </w:r>
          </w:p>
        </w:tc>
        <w:tc>
          <w:tcPr>
            <w:tcW w:w="100" w:type="dxa"/>
            <w:vAlign w:val="bottom"/>
            <w:tcBorders>
              <w:bottom w:val="single" w:sz="8" w:color="CEFFE7"/>
            </w:tcBorders>
          </w:tcPr>
          <w:p>
            <w:pPr>
              <w:spacing w:after="0"/>
              <w:rPr>
                <w:sz w:val="17"/>
                <w:szCs w:val="17"/>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72,770</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61,408</w:t>
            </w: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161,864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140,923</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204,379</w:t>
            </w:r>
          </w:p>
        </w:tc>
        <w:tc>
          <w:tcPr>
            <w:tcW w:w="30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191,016</w:t>
            </w:r>
          </w:p>
        </w:tc>
        <w:tc>
          <w:tcPr>
            <w:tcW w:w="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410,917</w:t>
            </w:r>
          </w:p>
        </w:tc>
        <w:tc>
          <w:tcPr>
            <w:tcW w:w="340" w:type="dxa"/>
            <w:vAlign w:val="bottom"/>
            <w:tcBorders>
              <w:bottom w:val="single" w:sz="8" w:color="auto"/>
            </w:tcBorders>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426,420</w:t>
            </w:r>
          </w:p>
        </w:tc>
        <w:tc>
          <w:tcPr>
            <w:tcW w:w="100" w:type="dxa"/>
            <w:vAlign w:val="bottom"/>
            <w:tcBorders>
              <w:bottom w:val="single" w:sz="8" w:color="CEFFE7"/>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1,706,613</w:t>
            </w:r>
          </w:p>
        </w:tc>
        <w:tc>
          <w:tcPr>
            <w:tcW w:w="88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1,658,334</w:t>
            </w:r>
          </w:p>
        </w:tc>
        <w:tc>
          <w:tcPr>
            <w:tcW w:w="120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3,519,428</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3,295,539</w:t>
            </w:r>
          </w:p>
        </w:tc>
        <w:tc>
          <w:tcPr>
            <w:tcW w:w="0" w:type="dxa"/>
            <w:vAlign w:val="bottom"/>
          </w:tcPr>
          <w:p>
            <w:pPr>
              <w:spacing w:after="0"/>
              <w:rPr>
                <w:sz w:val="1"/>
                <w:szCs w:val="1"/>
                <w:color w:val="auto"/>
              </w:rPr>
            </w:pPr>
          </w:p>
        </w:tc>
      </w:tr>
      <w:tr>
        <w:trPr>
          <w:trHeight w:val="20"/>
        </w:trPr>
        <w:tc>
          <w:tcPr>
            <w:tcW w:w="2820" w:type="dxa"/>
            <w:vAlign w:val="bottom"/>
            <w:tcBorders>
              <w:top w:val="single" w:sz="8" w:color="CEFFE7"/>
              <w:bottom w:val="single" w:sz="8" w:color="CEFFE7"/>
            </w:tcBorders>
            <w:vMerge w:val="restart"/>
          </w:tcPr>
          <w:p>
            <w:pPr>
              <w:ind w:left="20"/>
              <w:spacing w:after="0"/>
              <w:rPr>
                <w:sz w:val="20"/>
                <w:szCs w:val="20"/>
                <w:color w:val="auto"/>
              </w:rPr>
            </w:pPr>
            <w:r>
              <w:rPr>
                <w:rFonts w:ascii="Arial" w:cs="Arial" w:eastAsia="Arial" w:hAnsi="Arial"/>
                <w:sz w:val="14"/>
                <w:szCs w:val="14"/>
                <w:color w:val="auto"/>
              </w:rPr>
              <w:t xml:space="preserve">Other Uses, Losses or Generation, net </w:t>
            </w:r>
            <w:r>
              <w:rPr>
                <w:rFonts w:ascii="Arial" w:cs="Arial" w:eastAsia="Arial" w:hAnsi="Arial"/>
                <w:sz w:val="18"/>
                <w:szCs w:val="18"/>
                <w:color w:val="auto"/>
                <w:vertAlign w:val="superscript"/>
              </w:rPr>
              <w:t>(c)</w:t>
            </w: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20" w:type="dxa"/>
            <w:vAlign w:val="bottom"/>
            <w:tcBorders>
              <w:bottom w:val="single" w:sz="8" w:color="CEFFE7"/>
            </w:tcBorders>
            <w:vMerge w:val="continue"/>
          </w:tcPr>
          <w:p>
            <w:pPr>
              <w:spacing w:after="0"/>
              <w:rPr>
                <w:sz w:val="15"/>
                <w:szCs w:val="15"/>
                <w:color w:val="auto"/>
              </w:rPr>
            </w:pPr>
          </w:p>
        </w:tc>
        <w:tc>
          <w:tcPr>
            <w:tcW w:w="220" w:type="dxa"/>
            <w:vAlign w:val="bottom"/>
            <w:tcBorders>
              <w:bottom w:val="single" w:sz="8" w:color="CEFFE7"/>
            </w:tcBorders>
          </w:tcPr>
          <w:p>
            <w:pPr>
              <w:spacing w:after="0"/>
              <w:rPr>
                <w:sz w:val="15"/>
                <w:szCs w:val="15"/>
                <w:color w:val="auto"/>
              </w:rPr>
            </w:pPr>
          </w:p>
        </w:tc>
        <w:tc>
          <w:tcPr>
            <w:tcW w:w="800" w:type="dxa"/>
            <w:vAlign w:val="bottom"/>
            <w:tcBorders>
              <w:bottom w:val="single" w:sz="8" w:color="CEFFE7"/>
            </w:tcBorders>
          </w:tcPr>
          <w:p>
            <w:pPr>
              <w:spacing w:after="0"/>
              <w:rPr>
                <w:sz w:val="15"/>
                <w:szCs w:val="15"/>
                <w:color w:val="auto"/>
              </w:rPr>
            </w:pPr>
          </w:p>
        </w:tc>
        <w:tc>
          <w:tcPr>
            <w:tcW w:w="300" w:type="dxa"/>
            <w:vAlign w:val="bottom"/>
            <w:tcBorders>
              <w:bottom w:val="single" w:sz="8" w:color="CEFFE7"/>
            </w:tcBorders>
          </w:tcPr>
          <w:p>
            <w:pPr>
              <w:spacing w:after="0"/>
              <w:rPr>
                <w:sz w:val="15"/>
                <w:szCs w:val="15"/>
                <w:color w:val="auto"/>
              </w:rPr>
            </w:pPr>
          </w:p>
        </w:tc>
        <w:tc>
          <w:tcPr>
            <w:tcW w:w="740" w:type="dxa"/>
            <w:vAlign w:val="bottom"/>
            <w:tcBorders>
              <w:bottom w:val="single" w:sz="8" w:color="CEFFE7"/>
            </w:tcBorders>
          </w:tcPr>
          <w:p>
            <w:pPr>
              <w:spacing w:after="0"/>
              <w:rPr>
                <w:sz w:val="15"/>
                <w:szCs w:val="15"/>
                <w:color w:val="auto"/>
              </w:rPr>
            </w:pPr>
          </w:p>
        </w:tc>
        <w:tc>
          <w:tcPr>
            <w:tcW w:w="240" w:type="dxa"/>
            <w:vAlign w:val="bottom"/>
            <w:tcBorders>
              <w:bottom w:val="single" w:sz="8" w:color="CEFFE7"/>
            </w:tcBorders>
          </w:tcPr>
          <w:p>
            <w:pPr>
              <w:spacing w:after="0"/>
              <w:rPr>
                <w:sz w:val="15"/>
                <w:szCs w:val="15"/>
                <w:color w:val="auto"/>
              </w:rPr>
            </w:pPr>
          </w:p>
        </w:tc>
        <w:tc>
          <w:tcPr>
            <w:tcW w:w="800" w:type="dxa"/>
            <w:vAlign w:val="bottom"/>
            <w:tcBorders>
              <w:bottom w:val="single" w:sz="8" w:color="CEFFE7"/>
            </w:tcBorders>
          </w:tcPr>
          <w:p>
            <w:pPr>
              <w:spacing w:after="0"/>
              <w:rPr>
                <w:sz w:val="15"/>
                <w:szCs w:val="15"/>
                <w:color w:val="auto"/>
              </w:rPr>
            </w:pPr>
          </w:p>
        </w:tc>
        <w:tc>
          <w:tcPr>
            <w:tcW w:w="340" w:type="dxa"/>
            <w:vAlign w:val="bottom"/>
            <w:tcBorders>
              <w:bottom w:val="single" w:sz="8" w:color="CEFFE7"/>
            </w:tcBorders>
          </w:tcPr>
          <w:p>
            <w:pPr>
              <w:spacing w:after="0"/>
              <w:rPr>
                <w:sz w:val="15"/>
                <w:szCs w:val="15"/>
                <w:color w:val="auto"/>
              </w:rPr>
            </w:pPr>
          </w:p>
        </w:tc>
        <w:tc>
          <w:tcPr>
            <w:tcW w:w="720" w:type="dxa"/>
            <w:vAlign w:val="bottom"/>
            <w:tcBorders>
              <w:bottom w:val="single" w:sz="8" w:color="CEFFE7"/>
            </w:tcBorders>
          </w:tcPr>
          <w:p>
            <w:pPr>
              <w:spacing w:after="0"/>
              <w:rPr>
                <w:sz w:val="15"/>
                <w:szCs w:val="15"/>
                <w:color w:val="auto"/>
              </w:rPr>
            </w:pPr>
          </w:p>
        </w:tc>
        <w:tc>
          <w:tcPr>
            <w:tcW w:w="100" w:type="dxa"/>
            <w:vAlign w:val="bottom"/>
            <w:tcBorders>
              <w:bottom w:val="single" w:sz="8" w:color="CEFFE7"/>
            </w:tcBorders>
          </w:tcPr>
          <w:p>
            <w:pPr>
              <w:spacing w:after="0"/>
              <w:rPr>
                <w:sz w:val="15"/>
                <w:szCs w:val="15"/>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98,323</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94,932</w:t>
            </w: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211,609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227,680</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4"/>
                <w:szCs w:val="14"/>
                <w:color w:val="auto"/>
              </w:rPr>
              <w:t>Total Energy</w:t>
            </w:r>
          </w:p>
        </w:tc>
        <w:tc>
          <w:tcPr>
            <w:tcW w:w="220" w:type="dxa"/>
            <w:vAlign w:val="bottom"/>
            <w:tcBorders>
              <w:bottom w:val="single" w:sz="8" w:color="CEFFE7"/>
            </w:tcBorders>
            <w:shd w:val="clear" w:color="auto" w:fill="CEFFE7"/>
          </w:tcPr>
          <w:p>
            <w:pPr>
              <w:spacing w:after="0"/>
              <w:rPr>
                <w:sz w:val="18"/>
                <w:szCs w:val="18"/>
                <w:color w:val="auto"/>
              </w:rPr>
            </w:pPr>
          </w:p>
        </w:tc>
        <w:tc>
          <w:tcPr>
            <w:tcW w:w="800" w:type="dxa"/>
            <w:vAlign w:val="bottom"/>
            <w:tcBorders>
              <w:bottom w:val="single" w:sz="8" w:color="CEFFE7"/>
            </w:tcBorders>
            <w:shd w:val="clear" w:color="auto" w:fill="CEFFE7"/>
          </w:tcPr>
          <w:p>
            <w:pPr>
              <w:spacing w:after="0"/>
              <w:rPr>
                <w:sz w:val="18"/>
                <w:szCs w:val="18"/>
                <w:color w:val="auto"/>
              </w:rPr>
            </w:pPr>
          </w:p>
        </w:tc>
        <w:tc>
          <w:tcPr>
            <w:tcW w:w="300" w:type="dxa"/>
            <w:vAlign w:val="bottom"/>
            <w:tcBorders>
              <w:bottom w:val="single" w:sz="8" w:color="CEFFE7"/>
            </w:tcBorders>
            <w:shd w:val="clear" w:color="auto" w:fill="CEFFE7"/>
          </w:tcPr>
          <w:p>
            <w:pPr>
              <w:spacing w:after="0"/>
              <w:rPr>
                <w:sz w:val="18"/>
                <w:szCs w:val="18"/>
                <w:color w:val="auto"/>
              </w:rPr>
            </w:pPr>
          </w:p>
        </w:tc>
        <w:tc>
          <w:tcPr>
            <w:tcW w:w="740" w:type="dxa"/>
            <w:vAlign w:val="bottom"/>
            <w:tcBorders>
              <w:bottom w:val="single" w:sz="8" w:color="CEFFE7"/>
            </w:tcBorders>
            <w:shd w:val="clear" w:color="auto" w:fill="CEFFE7"/>
          </w:tcPr>
          <w:p>
            <w:pPr>
              <w:spacing w:after="0"/>
              <w:rPr>
                <w:sz w:val="18"/>
                <w:szCs w:val="18"/>
                <w:color w:val="auto"/>
              </w:rPr>
            </w:pPr>
          </w:p>
        </w:tc>
        <w:tc>
          <w:tcPr>
            <w:tcW w:w="240" w:type="dxa"/>
            <w:vAlign w:val="bottom"/>
            <w:tcBorders>
              <w:bottom w:val="single" w:sz="8" w:color="CEFFE7"/>
            </w:tcBorders>
            <w:shd w:val="clear" w:color="auto" w:fill="CEFFE7"/>
          </w:tcPr>
          <w:p>
            <w:pPr>
              <w:spacing w:after="0"/>
              <w:rPr>
                <w:sz w:val="18"/>
                <w:szCs w:val="18"/>
                <w:color w:val="auto"/>
              </w:rPr>
            </w:pPr>
          </w:p>
        </w:tc>
        <w:tc>
          <w:tcPr>
            <w:tcW w:w="800" w:type="dxa"/>
            <w:vAlign w:val="bottom"/>
            <w:tcBorders>
              <w:bottom w:val="single" w:sz="8" w:color="CEFFE7"/>
            </w:tcBorders>
            <w:shd w:val="clear" w:color="auto" w:fill="CEFFE7"/>
          </w:tcPr>
          <w:p>
            <w:pPr>
              <w:spacing w:after="0"/>
              <w:rPr>
                <w:sz w:val="18"/>
                <w:szCs w:val="18"/>
                <w:color w:val="auto"/>
              </w:rPr>
            </w:pPr>
          </w:p>
        </w:tc>
        <w:tc>
          <w:tcPr>
            <w:tcW w:w="340" w:type="dxa"/>
            <w:vAlign w:val="bottom"/>
            <w:tcBorders>
              <w:bottom w:val="single" w:sz="8" w:color="CEFFE7"/>
            </w:tcBorders>
            <w:shd w:val="clear" w:color="auto" w:fill="CEFFE7"/>
          </w:tcPr>
          <w:p>
            <w:pPr>
              <w:spacing w:after="0"/>
              <w:rPr>
                <w:sz w:val="18"/>
                <w:szCs w:val="18"/>
                <w:color w:val="auto"/>
              </w:rPr>
            </w:pPr>
          </w:p>
        </w:tc>
        <w:tc>
          <w:tcPr>
            <w:tcW w:w="720" w:type="dxa"/>
            <w:vAlign w:val="bottom"/>
            <w:tcBorders>
              <w:bottom w:val="single" w:sz="8" w:color="CEFFE7"/>
            </w:tcBorders>
            <w:shd w:val="clear" w:color="auto" w:fill="CEFFE7"/>
          </w:tcPr>
          <w:p>
            <w:pPr>
              <w:spacing w:after="0"/>
              <w:rPr>
                <w:sz w:val="18"/>
                <w:szCs w:val="18"/>
                <w:color w:val="auto"/>
              </w:rPr>
            </w:pPr>
          </w:p>
        </w:tc>
        <w:tc>
          <w:tcPr>
            <w:tcW w:w="100" w:type="dxa"/>
            <w:vAlign w:val="bottom"/>
            <w:tcBorders>
              <w:bottom w:val="single" w:sz="8" w:color="CEFFE7"/>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1,804,936</w:t>
            </w:r>
          </w:p>
        </w:tc>
        <w:tc>
          <w:tcPr>
            <w:tcW w:w="88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1,753,266</w:t>
            </w:r>
          </w:p>
        </w:tc>
        <w:tc>
          <w:tcPr>
            <w:tcW w:w="1200" w:type="dxa"/>
            <w:vAlign w:val="bottom"/>
            <w:tcBorders>
              <w:bottom w:val="single" w:sz="8" w:color="auto"/>
            </w:tcBorders>
            <w:shd w:val="clear" w:color="auto" w:fill="CEFFE7"/>
          </w:tcPr>
          <w:p>
            <w:pPr>
              <w:jc w:val="right"/>
              <w:ind w:right="288"/>
              <w:spacing w:after="0"/>
              <w:rPr>
                <w:sz w:val="20"/>
                <w:szCs w:val="20"/>
                <w:color w:val="auto"/>
              </w:rPr>
            </w:pPr>
            <w:r>
              <w:rPr>
                <w:rFonts w:ascii="Arial" w:cs="Arial" w:eastAsia="Arial" w:hAnsi="Arial"/>
                <w:sz w:val="14"/>
                <w:szCs w:val="14"/>
                <w:color w:val="auto"/>
              </w:rPr>
              <w:t>3,731,037</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3,523,219</w:t>
            </w:r>
          </w:p>
        </w:tc>
        <w:tc>
          <w:tcPr>
            <w:tcW w:w="0" w:type="dxa"/>
            <w:vAlign w:val="bottom"/>
          </w:tcPr>
          <w:p>
            <w:pPr>
              <w:spacing w:after="0"/>
              <w:rPr>
                <w:sz w:val="1"/>
                <w:szCs w:val="1"/>
                <w:color w:val="auto"/>
              </w:rPr>
            </w:pPr>
          </w:p>
        </w:tc>
      </w:tr>
      <w:tr>
        <w:trPr>
          <w:trHeight w:val="20"/>
        </w:trPr>
        <w:tc>
          <w:tcPr>
            <w:tcW w:w="28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tcBorders>
          </w:tcPr>
          <w:p>
            <w:pPr>
              <w:spacing w:after="0" w:line="20" w:lineRule="exact"/>
              <w:rPr>
                <w:sz w:val="1"/>
                <w:szCs w:val="1"/>
                <w:color w:val="auto"/>
              </w:rPr>
            </w:pPr>
          </w:p>
        </w:tc>
        <w:tc>
          <w:tcPr>
            <w:tcW w:w="74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7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color w:val="auto"/>
              </w:rPr>
              <w:t>Revenue (in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Quantities Sold (MWh)</w:t>
            </w:r>
          </w:p>
        </w:tc>
        <w:tc>
          <w:tcPr>
            <w:tcW w:w="900" w:type="dxa"/>
            <w:vAlign w:val="bottom"/>
            <w:tcBorders>
              <w:bottom w:val="single" w:sz="8" w:color="auto"/>
            </w:tcBorders>
          </w:tcPr>
          <w:p>
            <w:pPr>
              <w:spacing w:after="0"/>
              <w:rPr>
                <w:sz w:val="16"/>
                <w:szCs w:val="16"/>
                <w:color w:val="auto"/>
              </w:rPr>
            </w:pPr>
          </w:p>
        </w:tc>
      </w:tr>
      <w:tr>
        <w:trPr>
          <w:trHeight w:val="192"/>
        </w:trPr>
        <w:tc>
          <w:tcPr>
            <w:tcW w:w="282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140" w:type="dxa"/>
            <w:vAlign w:val="bottom"/>
          </w:tcPr>
          <w:p>
            <w:pPr>
              <w:spacing w:after="0"/>
              <w:rPr>
                <w:sz w:val="16"/>
                <w:szCs w:val="16"/>
                <w:color w:val="auto"/>
              </w:rPr>
            </w:pPr>
          </w:p>
        </w:tc>
        <w:tc>
          <w:tcPr>
            <w:tcW w:w="2060" w:type="dxa"/>
            <w:vAlign w:val="bottom"/>
            <w:gridSpan w:val="4"/>
          </w:tcPr>
          <w:p>
            <w:pPr>
              <w:ind w:left="40"/>
              <w:spacing w:after="0"/>
              <w:rPr>
                <w:sz w:val="20"/>
                <w:szCs w:val="20"/>
                <w:color w:val="auto"/>
              </w:rPr>
            </w:pPr>
            <w:r>
              <w:rPr>
                <w:rFonts w:ascii="Arial" w:cs="Arial" w:eastAsia="Arial" w:hAnsi="Arial"/>
                <w:sz w:val="14"/>
                <w:szCs w:val="14"/>
                <w:color w:val="auto"/>
              </w:rPr>
              <w:t>Six Months Ended June 30,</w:t>
            </w:r>
          </w:p>
        </w:tc>
        <w:tc>
          <w:tcPr>
            <w:tcW w:w="2120" w:type="dxa"/>
            <w:vAlign w:val="bottom"/>
            <w:gridSpan w:val="2"/>
          </w:tcPr>
          <w:p>
            <w:pPr>
              <w:jc w:val="right"/>
              <w:ind w:right="48"/>
              <w:spacing w:after="0"/>
              <w:rPr>
                <w:sz w:val="20"/>
                <w:szCs w:val="20"/>
                <w:color w:val="auto"/>
              </w:rPr>
            </w:pPr>
            <w:r>
              <w:rPr>
                <w:rFonts w:ascii="Arial" w:cs="Arial" w:eastAsia="Arial" w:hAnsi="Arial"/>
                <w:sz w:val="14"/>
                <w:szCs w:val="14"/>
                <w:color w:val="auto"/>
              </w:rPr>
              <w:t>Three Months Ended June 30,</w:t>
            </w:r>
          </w:p>
        </w:tc>
        <w:tc>
          <w:tcPr>
            <w:tcW w:w="2040" w:type="dxa"/>
            <w:vAlign w:val="bottom"/>
            <w:gridSpan w:val="2"/>
          </w:tcPr>
          <w:p>
            <w:pPr>
              <w:jc w:val="right"/>
              <w:ind w:right="88"/>
              <w:spacing w:after="0"/>
              <w:rPr>
                <w:sz w:val="20"/>
                <w:szCs w:val="20"/>
                <w:color w:val="auto"/>
              </w:rPr>
            </w:pPr>
            <w:r>
              <w:rPr>
                <w:rFonts w:ascii="Arial" w:cs="Arial" w:eastAsia="Arial" w:hAnsi="Arial"/>
                <w:sz w:val="14"/>
                <w:szCs w:val="14"/>
                <w:color w:val="auto"/>
              </w:rPr>
              <w:t>Six Months Ended June 30,</w:t>
            </w:r>
          </w:p>
        </w:tc>
      </w:tr>
      <w:tr>
        <w:trPr>
          <w:trHeight w:val="207"/>
        </w:trPr>
        <w:tc>
          <w:tcPr>
            <w:tcW w:w="2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2021</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EFFE7"/>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2021</w:t>
            </w:r>
          </w:p>
        </w:tc>
      </w:tr>
      <w:tr>
        <w:trPr>
          <w:trHeight w:val="200"/>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Colorado Electric</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71,197</w:t>
            </w:r>
          </w:p>
        </w:tc>
        <w:tc>
          <w:tcPr>
            <w:tcW w:w="2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64,009</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146,642</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143,446</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568,890</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596,364</w:t>
            </w:r>
          </w:p>
        </w:tc>
        <w:tc>
          <w:tcPr>
            <w:tcW w:w="114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1,188,478</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1,150,344</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76,195</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72,640</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154,792</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166,769</w:t>
            </w:r>
          </w:p>
        </w:tc>
        <w:tc>
          <w:tcPr>
            <w:tcW w:w="10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600,172</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581,628</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1,244,395</w:t>
            </w:r>
          </w:p>
        </w:tc>
        <w:tc>
          <w:tcPr>
            <w:tcW w:w="900" w:type="dxa"/>
            <w:vAlign w:val="bottom"/>
          </w:tcPr>
          <w:p>
            <w:pPr>
              <w:jc w:val="right"/>
              <w:spacing w:after="0"/>
              <w:rPr>
                <w:sz w:val="20"/>
                <w:szCs w:val="20"/>
                <w:color w:val="auto"/>
              </w:rPr>
            </w:pPr>
            <w:r>
              <w:rPr>
                <w:rFonts w:ascii="Arial" w:cs="Arial" w:eastAsia="Arial" w:hAnsi="Arial"/>
                <w:sz w:val="14"/>
                <w:szCs w:val="14"/>
                <w:color w:val="auto"/>
              </w:rPr>
              <w:t>1,163,476</w:t>
            </w:r>
          </w:p>
        </w:tc>
      </w:tr>
      <w:tr>
        <w:trPr>
          <w:trHeight w:val="207"/>
        </w:trPr>
        <w:tc>
          <w:tcPr>
            <w:tcW w:w="2820" w:type="dxa"/>
            <w:vAlign w:val="bottom"/>
            <w:shd w:val="clear" w:color="auto" w:fill="CEFFE7"/>
          </w:tcPr>
          <w:p>
            <w:pPr>
              <w:ind w:left="20"/>
              <w:spacing w:after="0"/>
              <w:rPr>
                <w:sz w:val="20"/>
                <w:szCs w:val="20"/>
                <w:color w:val="auto"/>
              </w:rPr>
            </w:pPr>
            <w:r>
              <w:rPr>
                <w:rFonts w:ascii="Arial" w:cs="Arial" w:eastAsia="Arial" w:hAnsi="Arial"/>
                <w:sz w:val="14"/>
                <w:szCs w:val="14"/>
                <w:color w:val="auto"/>
              </w:rPr>
              <w:t>Wyoming Electric</w:t>
            </w:r>
          </w:p>
        </w:tc>
        <w:tc>
          <w:tcPr>
            <w:tcW w:w="22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47,146</w:t>
            </w:r>
          </w:p>
        </w:tc>
        <w:tc>
          <w:tcPr>
            <w:tcW w:w="20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45,601</w:t>
            </w:r>
          </w:p>
        </w:tc>
        <w:tc>
          <w:tcPr>
            <w:tcW w:w="140" w:type="dxa"/>
            <w:vAlign w:val="bottom"/>
            <w:shd w:val="clear" w:color="auto" w:fill="CEFFE7"/>
          </w:tcPr>
          <w:p>
            <w:pPr>
              <w:spacing w:after="0"/>
              <w:rPr>
                <w:sz w:val="17"/>
                <w:szCs w:val="17"/>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89,235</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95,551</w:t>
            </w:r>
          </w:p>
        </w:tc>
        <w:tc>
          <w:tcPr>
            <w:tcW w:w="100" w:type="dxa"/>
            <w:vAlign w:val="bottom"/>
            <w:shd w:val="clear" w:color="auto" w:fill="CEFFE7"/>
          </w:tcPr>
          <w:p>
            <w:pPr>
              <w:spacing w:after="0"/>
              <w:rPr>
                <w:sz w:val="17"/>
                <w:szCs w:val="17"/>
                <w:color w:val="auto"/>
              </w:rPr>
            </w:pPr>
          </w:p>
        </w:tc>
        <w:tc>
          <w:tcPr>
            <w:tcW w:w="116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464,781</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418,934</w:t>
            </w:r>
          </w:p>
        </w:tc>
        <w:tc>
          <w:tcPr>
            <w:tcW w:w="114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924,691</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840,796</w:t>
            </w:r>
          </w:p>
        </w:tc>
      </w:tr>
      <w:tr>
        <w:trPr>
          <w:trHeight w:val="198"/>
        </w:trPr>
        <w:tc>
          <w:tcPr>
            <w:tcW w:w="28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Integrated Generation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9,841</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8,766</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20,248</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20,654</w:t>
            </w:r>
          </w:p>
        </w:tc>
        <w:tc>
          <w:tcPr>
            <w:tcW w:w="100" w:type="dxa"/>
            <w:vAlign w:val="bottom"/>
            <w:tcBorders>
              <w:bottom w:val="single" w:sz="8" w:color="CEFFE7"/>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72,770</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61,408</w:t>
            </w: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161,864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140,923</w:t>
            </w:r>
          </w:p>
        </w:tc>
      </w:tr>
      <w:tr>
        <w:trPr>
          <w:trHeight w:val="225"/>
        </w:trPr>
        <w:tc>
          <w:tcPr>
            <w:tcW w:w="282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4"/>
                <w:szCs w:val="14"/>
                <w:color w:val="auto"/>
              </w:rPr>
              <w:t>Total Revenue and Quantities Sold</w:t>
            </w:r>
          </w:p>
        </w:tc>
        <w:tc>
          <w:tcPr>
            <w:tcW w:w="2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204,379</w:t>
            </w:r>
          </w:p>
        </w:tc>
        <w:tc>
          <w:tcPr>
            <w:tcW w:w="2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191,016</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410,917</w:t>
            </w:r>
          </w:p>
        </w:tc>
        <w:tc>
          <w:tcPr>
            <w:tcW w:w="24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426,420</w:t>
            </w:r>
          </w:p>
        </w:tc>
        <w:tc>
          <w:tcPr>
            <w:tcW w:w="100" w:type="dxa"/>
            <w:vAlign w:val="bottom"/>
            <w:tcBorders>
              <w:bottom w:val="single" w:sz="8" w:color="CEFFE7"/>
            </w:tcBorders>
            <w:shd w:val="clear" w:color="auto" w:fill="CEFFE7"/>
          </w:tcPr>
          <w:p>
            <w:pPr>
              <w:spacing w:after="0"/>
              <w:rPr>
                <w:sz w:val="19"/>
                <w:szCs w:val="19"/>
                <w:color w:val="auto"/>
              </w:rPr>
            </w:pPr>
          </w:p>
        </w:tc>
        <w:tc>
          <w:tcPr>
            <w:tcW w:w="116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1,706,613</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1,658,334</w:t>
            </w:r>
          </w:p>
        </w:tc>
        <w:tc>
          <w:tcPr>
            <w:tcW w:w="114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3,519,428</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3,295,539</w:t>
            </w:r>
          </w:p>
        </w:tc>
      </w:tr>
      <w:tr>
        <w:trPr>
          <w:trHeight w:val="20"/>
        </w:trPr>
        <w:tc>
          <w:tcPr>
            <w:tcW w:w="28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220" w:type="dxa"/>
            <w:vAlign w:val="bottom"/>
            <w:gridSpan w:val="2"/>
          </w:tcPr>
          <w:p>
            <w:pPr>
              <w:jc w:val="right"/>
              <w:ind w:right="539"/>
              <w:spacing w:after="0"/>
              <w:rPr>
                <w:sz w:val="20"/>
                <w:szCs w:val="20"/>
                <w:color w:val="auto"/>
              </w:rPr>
            </w:pPr>
            <w:r>
              <w:rPr>
                <w:rFonts w:ascii="Arial" w:cs="Arial" w:eastAsia="Arial" w:hAnsi="Arial"/>
                <w:sz w:val="16"/>
                <w:szCs w:val="16"/>
                <w:color w:val="auto"/>
              </w:rPr>
              <w:t>Three Months Ended June 30,</w:t>
            </w:r>
          </w:p>
        </w:tc>
        <w:tc>
          <w:tcPr>
            <w:tcW w:w="2780" w:type="dxa"/>
            <w:vAlign w:val="bottom"/>
            <w:gridSpan w:val="2"/>
          </w:tcPr>
          <w:p>
            <w:pPr>
              <w:jc w:val="right"/>
              <w:ind w:right="419"/>
              <w:spacing w:after="0"/>
              <w:rPr>
                <w:sz w:val="20"/>
                <w:szCs w:val="20"/>
                <w:color w:val="auto"/>
              </w:rPr>
            </w:pPr>
            <w:r>
              <w:rPr>
                <w:rFonts w:ascii="Arial" w:cs="Arial" w:eastAsia="Arial" w:hAnsi="Arial"/>
                <w:sz w:val="16"/>
                <w:szCs w:val="16"/>
                <w:color w:val="auto"/>
              </w:rPr>
              <w:t>Six Months Ended June 30,</w:t>
            </w:r>
          </w:p>
        </w:tc>
      </w:tr>
      <w:tr>
        <w:trPr>
          <w:trHeight w:val="21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17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2022</w:t>
            </w: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Generated:</w:t>
            </w: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52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Coal</w:t>
            </w:r>
          </w:p>
        </w:tc>
        <w:tc>
          <w:tcPr>
            <w:tcW w:w="176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589,438</w:t>
            </w:r>
          </w:p>
        </w:tc>
        <w:tc>
          <w:tcPr>
            <w:tcW w:w="14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623,822</w:t>
            </w:r>
          </w:p>
        </w:tc>
        <w:tc>
          <w:tcPr>
            <w:tcW w:w="15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1,252,876</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1,241,956</w:t>
            </w:r>
          </w:p>
        </w:tc>
      </w:tr>
      <w:tr>
        <w:trPr>
          <w:trHeight w:val="215"/>
        </w:trPr>
        <w:tc>
          <w:tcPr>
            <w:tcW w:w="5240" w:type="dxa"/>
            <w:vAlign w:val="bottom"/>
          </w:tcPr>
          <w:p>
            <w:pPr>
              <w:ind w:left="240"/>
              <w:spacing w:after="0"/>
              <w:rPr>
                <w:sz w:val="20"/>
                <w:szCs w:val="20"/>
                <w:color w:val="auto"/>
              </w:rPr>
            </w:pPr>
            <w:r>
              <w:rPr>
                <w:rFonts w:ascii="Arial" w:cs="Arial" w:eastAsia="Arial" w:hAnsi="Arial"/>
                <w:sz w:val="16"/>
                <w:szCs w:val="16"/>
                <w:color w:val="auto"/>
              </w:rPr>
              <w:t>Natural Gas and Oil</w:t>
            </w: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262,157</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377,155</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558,579</w:t>
            </w:r>
          </w:p>
        </w:tc>
        <w:tc>
          <w:tcPr>
            <w:tcW w:w="1240" w:type="dxa"/>
            <w:vAlign w:val="bottom"/>
          </w:tcPr>
          <w:p>
            <w:pPr>
              <w:jc w:val="right"/>
              <w:spacing w:after="0"/>
              <w:rPr>
                <w:sz w:val="20"/>
                <w:szCs w:val="20"/>
                <w:color w:val="auto"/>
              </w:rPr>
            </w:pPr>
            <w:r>
              <w:rPr>
                <w:rFonts w:ascii="Arial" w:cs="Arial" w:eastAsia="Arial" w:hAnsi="Arial"/>
                <w:sz w:val="16"/>
                <w:szCs w:val="16"/>
                <w:color w:val="auto"/>
              </w:rPr>
              <w:t>750,941</w:t>
            </w:r>
          </w:p>
        </w:tc>
      </w:tr>
      <w:tr>
        <w:trPr>
          <w:trHeight w:val="217"/>
        </w:trPr>
        <w:tc>
          <w:tcPr>
            <w:tcW w:w="52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7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244,456</w:t>
            </w:r>
          </w:p>
        </w:tc>
        <w:tc>
          <w:tcPr>
            <w:tcW w:w="146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195,736</w:t>
            </w:r>
          </w:p>
        </w:tc>
        <w:tc>
          <w:tcPr>
            <w:tcW w:w="15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498,024</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409,583</w:t>
            </w:r>
          </w:p>
        </w:tc>
      </w:tr>
      <w:tr>
        <w:trPr>
          <w:trHeight w:val="209"/>
        </w:trPr>
        <w:tc>
          <w:tcPr>
            <w:tcW w:w="524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Generated</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1,096,051</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1,196,713</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2,309,479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2,402,480</w:t>
            </w:r>
          </w:p>
        </w:tc>
      </w:tr>
      <w:tr>
        <w:trPr>
          <w:trHeight w:val="197"/>
        </w:trPr>
        <w:tc>
          <w:tcPr>
            <w:tcW w:w="5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760" w:type="dxa"/>
            <w:vAlign w:val="bottom"/>
            <w:shd w:val="clear" w:color="auto" w:fill="CEFFE7"/>
          </w:tcPr>
          <w:p>
            <w:pPr>
              <w:spacing w:after="0"/>
              <w:rPr>
                <w:sz w:val="17"/>
                <w:szCs w:val="17"/>
                <w:color w:val="auto"/>
              </w:rPr>
            </w:pPr>
          </w:p>
        </w:tc>
        <w:tc>
          <w:tcPr>
            <w:tcW w:w="1460" w:type="dxa"/>
            <w:vAlign w:val="bottom"/>
            <w:shd w:val="clear" w:color="auto" w:fill="CEFFE7"/>
          </w:tcPr>
          <w:p>
            <w:pPr>
              <w:spacing w:after="0"/>
              <w:rPr>
                <w:sz w:val="17"/>
                <w:szCs w:val="17"/>
                <w:color w:val="auto"/>
              </w:rPr>
            </w:pPr>
          </w:p>
        </w:tc>
        <w:tc>
          <w:tcPr>
            <w:tcW w:w="1540" w:type="dxa"/>
            <w:vAlign w:val="bottom"/>
            <w:shd w:val="clear" w:color="auto" w:fill="CEFFE7"/>
          </w:tcPr>
          <w:p>
            <w:pPr>
              <w:spacing w:after="0"/>
              <w:rPr>
                <w:sz w:val="17"/>
                <w:szCs w:val="17"/>
                <w:color w:val="auto"/>
              </w:rPr>
            </w:pPr>
          </w:p>
        </w:tc>
        <w:tc>
          <w:tcPr>
            <w:tcW w:w="1240" w:type="dxa"/>
            <w:vAlign w:val="bottom"/>
            <w:shd w:val="clear" w:color="auto" w:fill="CEFFE7"/>
          </w:tcPr>
          <w:p>
            <w:pPr>
              <w:spacing w:after="0"/>
              <w:rPr>
                <w:sz w:val="17"/>
                <w:szCs w:val="17"/>
                <w:color w:val="auto"/>
              </w:rPr>
            </w:pPr>
          </w:p>
        </w:tc>
      </w:tr>
      <w:tr>
        <w:trPr>
          <w:trHeight w:val="215"/>
        </w:trPr>
        <w:tc>
          <w:tcPr>
            <w:tcW w:w="5240" w:type="dxa"/>
            <w:vAlign w:val="bottom"/>
          </w:tcPr>
          <w:p>
            <w:pPr>
              <w:ind w:left="240"/>
              <w:spacing w:after="0"/>
              <w:rPr>
                <w:sz w:val="20"/>
                <w:szCs w:val="20"/>
                <w:color w:val="auto"/>
              </w:rPr>
            </w:pPr>
            <w:r>
              <w:rPr>
                <w:rFonts w:ascii="Arial" w:cs="Arial" w:eastAsia="Arial" w:hAnsi="Arial"/>
                <w:sz w:val="16"/>
                <w:szCs w:val="16"/>
                <w:color w:val="auto"/>
              </w:rPr>
              <w:t>Coal, Natural Gas, Oil and Other Market Purchases</w:t>
            </w: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608,045</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481,346</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1,196,205</w:t>
            </w:r>
          </w:p>
        </w:tc>
        <w:tc>
          <w:tcPr>
            <w:tcW w:w="1240" w:type="dxa"/>
            <w:vAlign w:val="bottom"/>
          </w:tcPr>
          <w:p>
            <w:pPr>
              <w:jc w:val="right"/>
              <w:spacing w:after="0"/>
              <w:rPr>
                <w:sz w:val="20"/>
                <w:szCs w:val="20"/>
                <w:color w:val="auto"/>
              </w:rPr>
            </w:pPr>
            <w:r>
              <w:rPr>
                <w:rFonts w:ascii="Arial" w:cs="Arial" w:eastAsia="Arial" w:hAnsi="Arial"/>
                <w:sz w:val="16"/>
                <w:szCs w:val="16"/>
                <w:color w:val="auto"/>
              </w:rPr>
              <w:t>945,887</w:t>
            </w:r>
          </w:p>
        </w:tc>
      </w:tr>
      <w:tr>
        <w:trPr>
          <w:trHeight w:val="217"/>
        </w:trPr>
        <w:tc>
          <w:tcPr>
            <w:tcW w:w="52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7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100,840</w:t>
            </w:r>
          </w:p>
        </w:tc>
        <w:tc>
          <w:tcPr>
            <w:tcW w:w="146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75,207</w:t>
            </w:r>
          </w:p>
        </w:tc>
        <w:tc>
          <w:tcPr>
            <w:tcW w:w="15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225,353</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174,852</w:t>
            </w:r>
          </w:p>
        </w:tc>
      </w:tr>
      <w:tr>
        <w:trPr>
          <w:trHeight w:val="209"/>
        </w:trPr>
        <w:tc>
          <w:tcPr>
            <w:tcW w:w="5240" w:type="dxa"/>
            <w:vAlign w:val="bottom"/>
            <w:tcBorders>
              <w:bottom w:val="single" w:sz="8" w:color="CEFFE7"/>
            </w:tcBorders>
          </w:tcPr>
          <w:p>
            <w:pPr>
              <w:ind w:left="440"/>
              <w:spacing w:after="0"/>
              <w:rPr>
                <w:sz w:val="20"/>
                <w:szCs w:val="20"/>
                <w:color w:val="auto"/>
              </w:rPr>
            </w:pPr>
            <w:r>
              <w:rPr>
                <w:rFonts w:ascii="Arial" w:cs="Arial" w:eastAsia="Arial" w:hAnsi="Arial"/>
                <w:sz w:val="16"/>
                <w:szCs w:val="16"/>
                <w:color w:val="auto"/>
              </w:rPr>
              <w:t>Total Purchased</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708,885</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556,553</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1,421,558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1,120,739</w:t>
            </w:r>
          </w:p>
        </w:tc>
      </w:tr>
      <w:tr>
        <w:trPr>
          <w:trHeight w:val="143"/>
        </w:trPr>
        <w:tc>
          <w:tcPr>
            <w:tcW w:w="5240" w:type="dxa"/>
            <w:vAlign w:val="bottom"/>
            <w:shd w:val="clear" w:color="auto" w:fill="CEFFE7"/>
          </w:tcPr>
          <w:p>
            <w:pPr>
              <w:spacing w:after="0"/>
              <w:rPr>
                <w:sz w:val="12"/>
                <w:szCs w:val="12"/>
                <w:color w:val="auto"/>
              </w:rPr>
            </w:pPr>
          </w:p>
        </w:tc>
        <w:tc>
          <w:tcPr>
            <w:tcW w:w="1760" w:type="dxa"/>
            <w:vAlign w:val="bottom"/>
            <w:shd w:val="clear" w:color="auto" w:fill="CEFFE7"/>
          </w:tcPr>
          <w:p>
            <w:pPr>
              <w:spacing w:after="0"/>
              <w:rPr>
                <w:sz w:val="12"/>
                <w:szCs w:val="12"/>
                <w:color w:val="auto"/>
              </w:rPr>
            </w:pPr>
          </w:p>
        </w:tc>
        <w:tc>
          <w:tcPr>
            <w:tcW w:w="1460" w:type="dxa"/>
            <w:vAlign w:val="bottom"/>
            <w:shd w:val="clear" w:color="auto" w:fill="CEFFE7"/>
          </w:tcPr>
          <w:p>
            <w:pPr>
              <w:spacing w:after="0"/>
              <w:rPr>
                <w:sz w:val="12"/>
                <w:szCs w:val="12"/>
                <w:color w:val="auto"/>
              </w:rPr>
            </w:pPr>
          </w:p>
        </w:tc>
        <w:tc>
          <w:tcPr>
            <w:tcW w:w="1540" w:type="dxa"/>
            <w:vAlign w:val="bottom"/>
            <w:shd w:val="clear" w:color="auto" w:fill="CEFFE7"/>
          </w:tcPr>
          <w:p>
            <w:pPr>
              <w:spacing w:after="0"/>
              <w:rPr>
                <w:sz w:val="12"/>
                <w:szCs w:val="12"/>
                <w:color w:val="auto"/>
              </w:rPr>
            </w:pPr>
          </w:p>
        </w:tc>
        <w:tc>
          <w:tcPr>
            <w:tcW w:w="1240" w:type="dxa"/>
            <w:vAlign w:val="bottom"/>
            <w:shd w:val="clear" w:color="auto" w:fill="CEFFE7"/>
          </w:tcPr>
          <w:p>
            <w:pPr>
              <w:spacing w:after="0"/>
              <w:rPr>
                <w:sz w:val="12"/>
                <w:szCs w:val="12"/>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1,804,936</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1,753,266</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3,731,037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3,523,219</w:t>
            </w:r>
          </w:p>
        </w:tc>
      </w:tr>
      <w:tr>
        <w:trPr>
          <w:trHeight w:val="21"/>
        </w:trPr>
        <w:tc>
          <w:tcPr>
            <w:tcW w:w="52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13"/>
        </w:trPr>
        <w:tc>
          <w:tcPr>
            <w:tcW w:w="5240" w:type="dxa"/>
            <w:vAlign w:val="bottom"/>
          </w:tcPr>
          <w:p>
            <w:pPr>
              <w:spacing w:after="0"/>
              <w:rPr>
                <w:sz w:val="24"/>
                <w:szCs w:val="24"/>
                <w:color w:val="auto"/>
              </w:rPr>
            </w:pPr>
          </w:p>
        </w:tc>
        <w:tc>
          <w:tcPr>
            <w:tcW w:w="1760" w:type="dxa"/>
            <w:vAlign w:val="bottom"/>
          </w:tcPr>
          <w:p>
            <w:pPr>
              <w:jc w:val="right"/>
              <w:ind w:right="1199"/>
              <w:spacing w:after="0"/>
              <w:rPr>
                <w:sz w:val="20"/>
                <w:szCs w:val="20"/>
                <w:color w:val="auto"/>
              </w:rPr>
            </w:pPr>
            <w:r>
              <w:rPr>
                <w:rFonts w:ascii="Arial" w:cs="Arial" w:eastAsia="Arial" w:hAnsi="Arial"/>
                <w:sz w:val="16"/>
                <w:szCs w:val="16"/>
                <w:color w:val="auto"/>
              </w:rPr>
              <w:t>38</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6"/>
        </w:trPr>
        <w:tc>
          <w:tcPr>
            <w:tcW w:w="52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52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071"/>
        </w:trPr>
        <w:tc>
          <w:tcPr>
            <w:tcW w:w="136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3220" w:type="dxa"/>
            <w:vAlign w:val="bottom"/>
            <w:gridSpan w:val="2"/>
          </w:tcPr>
          <w:p>
            <w:pPr>
              <w:jc w:val="right"/>
              <w:ind w:right="539"/>
              <w:spacing w:after="0"/>
              <w:rPr>
                <w:sz w:val="20"/>
                <w:szCs w:val="20"/>
                <w:color w:val="auto"/>
              </w:rPr>
            </w:pPr>
            <w:r>
              <w:rPr>
                <w:rFonts w:ascii="Arial" w:cs="Arial" w:eastAsia="Arial" w:hAnsi="Arial"/>
                <w:sz w:val="16"/>
                <w:szCs w:val="16"/>
                <w:color w:val="auto"/>
              </w:rPr>
              <w:t>Three Months Ended June 30,</w:t>
            </w:r>
          </w:p>
        </w:tc>
        <w:tc>
          <w:tcPr>
            <w:tcW w:w="2780" w:type="dxa"/>
            <w:vAlign w:val="bottom"/>
            <w:gridSpan w:val="2"/>
          </w:tcPr>
          <w:p>
            <w:pPr>
              <w:jc w:val="right"/>
              <w:ind w:right="419"/>
              <w:spacing w:after="0"/>
              <w:rPr>
                <w:sz w:val="20"/>
                <w:szCs w:val="20"/>
                <w:color w:val="auto"/>
              </w:rPr>
            </w:pPr>
            <w:r>
              <w:rPr>
                <w:rFonts w:ascii="Arial" w:cs="Arial" w:eastAsia="Arial" w:hAnsi="Arial"/>
                <w:sz w:val="16"/>
                <w:szCs w:val="16"/>
                <w:color w:val="auto"/>
              </w:rPr>
              <w:t>Six Months Ended June 30,</w:t>
            </w:r>
          </w:p>
        </w:tc>
      </w:tr>
      <w:tr>
        <w:trPr>
          <w:trHeight w:val="217"/>
        </w:trPr>
        <w:tc>
          <w:tcPr>
            <w:tcW w:w="5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7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2022</w:t>
            </w: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Generated:</w:t>
            </w: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524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76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112,117</w:t>
            </w:r>
          </w:p>
        </w:tc>
        <w:tc>
          <w:tcPr>
            <w:tcW w:w="14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110,821</w:t>
            </w:r>
          </w:p>
        </w:tc>
        <w:tc>
          <w:tcPr>
            <w:tcW w:w="15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197,548</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201,077</w:t>
            </w:r>
          </w:p>
        </w:tc>
      </w:tr>
      <w:tr>
        <w:trPr>
          <w:trHeight w:val="215"/>
        </w:trPr>
        <w:tc>
          <w:tcPr>
            <w:tcW w:w="5240" w:type="dxa"/>
            <w:vAlign w:val="bottom"/>
            <w:gridSpan w:val="2"/>
          </w:tcPr>
          <w:p>
            <w:pPr>
              <w:ind w:left="220"/>
              <w:spacing w:after="0"/>
              <w:rPr>
                <w:sz w:val="20"/>
                <w:szCs w:val="20"/>
                <w:color w:val="auto"/>
              </w:rPr>
            </w:pPr>
            <w:r>
              <w:rPr>
                <w:rFonts w:ascii="Arial" w:cs="Arial" w:eastAsia="Arial" w:hAnsi="Arial"/>
                <w:sz w:val="16"/>
                <w:szCs w:val="16"/>
                <w:color w:val="auto"/>
              </w:rPr>
              <w:t>South Dakota Electric</w:t>
            </w: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367,936</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442,665</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823,541</w:t>
            </w:r>
          </w:p>
        </w:tc>
        <w:tc>
          <w:tcPr>
            <w:tcW w:w="1240" w:type="dxa"/>
            <w:vAlign w:val="bottom"/>
          </w:tcPr>
          <w:p>
            <w:pPr>
              <w:jc w:val="right"/>
              <w:spacing w:after="0"/>
              <w:rPr>
                <w:sz w:val="20"/>
                <w:szCs w:val="20"/>
                <w:color w:val="auto"/>
              </w:rPr>
            </w:pPr>
            <w:r>
              <w:rPr>
                <w:rFonts w:ascii="Arial" w:cs="Arial" w:eastAsia="Arial" w:hAnsi="Arial"/>
                <w:sz w:val="16"/>
                <w:szCs w:val="16"/>
                <w:color w:val="auto"/>
              </w:rPr>
              <w:t>911,481</w:t>
            </w:r>
          </w:p>
        </w:tc>
      </w:tr>
      <w:tr>
        <w:trPr>
          <w:trHeight w:val="217"/>
        </w:trPr>
        <w:tc>
          <w:tcPr>
            <w:tcW w:w="524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76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225,720</w:t>
            </w:r>
          </w:p>
        </w:tc>
        <w:tc>
          <w:tcPr>
            <w:tcW w:w="14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222,540</w:t>
            </w:r>
          </w:p>
        </w:tc>
        <w:tc>
          <w:tcPr>
            <w:tcW w:w="15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430,318</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396,530</w:t>
            </w:r>
          </w:p>
        </w:tc>
      </w:tr>
      <w:tr>
        <w:trPr>
          <w:trHeight w:val="215"/>
        </w:trPr>
        <w:tc>
          <w:tcPr>
            <w:tcW w:w="5240" w:type="dxa"/>
            <w:vAlign w:val="bottom"/>
            <w:tcBorders>
              <w:bottom w:val="single" w:sz="8" w:color="CEFFE7"/>
            </w:tcBorders>
            <w:gridSpan w:val="2"/>
          </w:tcPr>
          <w:p>
            <w:pPr>
              <w:ind w:left="220"/>
              <w:spacing w:after="0"/>
              <w:rPr>
                <w:sz w:val="20"/>
                <w:szCs w:val="20"/>
                <w:color w:val="auto"/>
              </w:rPr>
            </w:pPr>
            <w:r>
              <w:rPr>
                <w:rFonts w:ascii="Arial" w:cs="Arial" w:eastAsia="Arial" w:hAnsi="Arial"/>
                <w:sz w:val="16"/>
                <w:szCs w:val="16"/>
                <w:color w:val="auto"/>
              </w:rPr>
              <w:t>Integrated Generation</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390,278</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420,687</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858,072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893,392</w:t>
            </w:r>
          </w:p>
        </w:tc>
      </w:tr>
      <w:tr>
        <w:trPr>
          <w:trHeight w:val="210"/>
        </w:trPr>
        <w:tc>
          <w:tcPr>
            <w:tcW w:w="5240" w:type="dxa"/>
            <w:vAlign w:val="bottom"/>
            <w:gridSpan w:val="2"/>
            <w:shd w:val="clear" w:color="auto" w:fill="CEFFE7"/>
          </w:tcPr>
          <w:p>
            <w:pPr>
              <w:ind w:left="480"/>
              <w:spacing w:after="0"/>
              <w:rPr>
                <w:sz w:val="20"/>
                <w:szCs w:val="20"/>
                <w:color w:val="auto"/>
              </w:rPr>
            </w:pPr>
            <w:r>
              <w:rPr>
                <w:rFonts w:ascii="Arial" w:cs="Arial" w:eastAsia="Arial" w:hAnsi="Arial"/>
                <w:sz w:val="16"/>
                <w:szCs w:val="16"/>
                <w:color w:val="auto"/>
              </w:rPr>
              <w:t>Total Generated</w:t>
            </w:r>
          </w:p>
        </w:tc>
        <w:tc>
          <w:tcPr>
            <w:tcW w:w="17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1,096,051</w:t>
            </w:r>
          </w:p>
        </w:tc>
        <w:tc>
          <w:tcPr>
            <w:tcW w:w="146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1,196,713</w:t>
            </w:r>
          </w:p>
        </w:tc>
        <w:tc>
          <w:tcPr>
            <w:tcW w:w="15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2,309,479</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2,402,480</w:t>
            </w:r>
          </w:p>
        </w:tc>
      </w:tr>
      <w:tr>
        <w:trPr>
          <w:trHeight w:val="195"/>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524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76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255,969</w:t>
            </w:r>
          </w:p>
        </w:tc>
        <w:tc>
          <w:tcPr>
            <w:tcW w:w="14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251,648</w:t>
            </w:r>
          </w:p>
        </w:tc>
        <w:tc>
          <w:tcPr>
            <w:tcW w:w="15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556,366</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471,893</w:t>
            </w:r>
          </w:p>
        </w:tc>
      </w:tr>
      <w:tr>
        <w:trPr>
          <w:trHeight w:val="215"/>
        </w:trPr>
        <w:tc>
          <w:tcPr>
            <w:tcW w:w="5240" w:type="dxa"/>
            <w:vAlign w:val="bottom"/>
            <w:gridSpan w:val="2"/>
          </w:tcPr>
          <w:p>
            <w:pPr>
              <w:ind w:left="220"/>
              <w:spacing w:after="0"/>
              <w:rPr>
                <w:sz w:val="20"/>
                <w:szCs w:val="20"/>
                <w:color w:val="auto"/>
              </w:rPr>
            </w:pPr>
            <w:r>
              <w:rPr>
                <w:rFonts w:ascii="Arial" w:cs="Arial" w:eastAsia="Arial" w:hAnsi="Arial"/>
                <w:sz w:val="16"/>
                <w:szCs w:val="16"/>
                <w:color w:val="auto"/>
              </w:rPr>
              <w:t>South Dakota Electric</w:t>
            </w:r>
          </w:p>
        </w:tc>
        <w:tc>
          <w:tcPr>
            <w:tcW w:w="1760" w:type="dxa"/>
            <w:vAlign w:val="bottom"/>
          </w:tcPr>
          <w:p>
            <w:pPr>
              <w:jc w:val="right"/>
              <w:ind w:right="239"/>
              <w:spacing w:after="0"/>
              <w:rPr>
                <w:sz w:val="20"/>
                <w:szCs w:val="20"/>
                <w:color w:val="auto"/>
              </w:rPr>
            </w:pPr>
            <w:r>
              <w:rPr>
                <w:rFonts w:ascii="Arial" w:cs="Arial" w:eastAsia="Arial" w:hAnsi="Arial"/>
                <w:sz w:val="16"/>
                <w:szCs w:val="16"/>
                <w:color w:val="auto"/>
              </w:rPr>
              <w:t>248,625</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154,633</w:t>
            </w:r>
          </w:p>
        </w:tc>
        <w:tc>
          <w:tcPr>
            <w:tcW w:w="1540" w:type="dxa"/>
            <w:vAlign w:val="bottom"/>
          </w:tcPr>
          <w:p>
            <w:pPr>
              <w:jc w:val="right"/>
              <w:ind w:right="259"/>
              <w:spacing w:after="0"/>
              <w:rPr>
                <w:sz w:val="20"/>
                <w:szCs w:val="20"/>
                <w:color w:val="auto"/>
              </w:rPr>
            </w:pPr>
            <w:r>
              <w:rPr>
                <w:rFonts w:ascii="Arial" w:cs="Arial" w:eastAsia="Arial" w:hAnsi="Arial"/>
                <w:sz w:val="16"/>
                <w:szCs w:val="16"/>
                <w:color w:val="auto"/>
              </w:rPr>
              <w:t>445,688</w:t>
            </w:r>
          </w:p>
        </w:tc>
        <w:tc>
          <w:tcPr>
            <w:tcW w:w="1240" w:type="dxa"/>
            <w:vAlign w:val="bottom"/>
          </w:tcPr>
          <w:p>
            <w:pPr>
              <w:jc w:val="right"/>
              <w:spacing w:after="0"/>
              <w:rPr>
                <w:sz w:val="20"/>
                <w:szCs w:val="20"/>
                <w:color w:val="auto"/>
              </w:rPr>
            </w:pPr>
            <w:r>
              <w:rPr>
                <w:rFonts w:ascii="Arial" w:cs="Arial" w:eastAsia="Arial" w:hAnsi="Arial"/>
                <w:sz w:val="16"/>
                <w:szCs w:val="16"/>
                <w:color w:val="auto"/>
              </w:rPr>
              <w:t>296,635</w:t>
            </w:r>
          </w:p>
        </w:tc>
      </w:tr>
      <w:tr>
        <w:trPr>
          <w:trHeight w:val="217"/>
        </w:trPr>
        <w:tc>
          <w:tcPr>
            <w:tcW w:w="524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76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185,932</w:t>
            </w:r>
          </w:p>
        </w:tc>
        <w:tc>
          <w:tcPr>
            <w:tcW w:w="146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135,177</w:t>
            </w:r>
          </w:p>
        </w:tc>
        <w:tc>
          <w:tcPr>
            <w:tcW w:w="15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376,737</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307,602</w:t>
            </w:r>
          </w:p>
        </w:tc>
      </w:tr>
      <w:tr>
        <w:trPr>
          <w:trHeight w:val="215"/>
        </w:trPr>
        <w:tc>
          <w:tcPr>
            <w:tcW w:w="5240" w:type="dxa"/>
            <w:vAlign w:val="bottom"/>
            <w:tcBorders>
              <w:bottom w:val="single" w:sz="8" w:color="CEFFE7"/>
            </w:tcBorders>
            <w:gridSpan w:val="2"/>
          </w:tcPr>
          <w:p>
            <w:pPr>
              <w:ind w:left="220"/>
              <w:spacing w:after="0"/>
              <w:rPr>
                <w:sz w:val="20"/>
                <w:szCs w:val="20"/>
                <w:color w:val="auto"/>
              </w:rPr>
            </w:pPr>
            <w:r>
              <w:rPr>
                <w:rFonts w:ascii="Arial" w:cs="Arial" w:eastAsia="Arial" w:hAnsi="Arial"/>
                <w:sz w:val="16"/>
                <w:szCs w:val="16"/>
                <w:color w:val="auto"/>
              </w:rPr>
              <w:t>Integrated Generation</w:t>
            </w:r>
          </w:p>
        </w:tc>
        <w:tc>
          <w:tcPr>
            <w:tcW w:w="1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18,359</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15,095</w:t>
            </w:r>
          </w:p>
        </w:tc>
        <w:tc>
          <w:tcPr>
            <w:tcW w:w="1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42,767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44,609</w:t>
            </w:r>
          </w:p>
        </w:tc>
      </w:tr>
      <w:tr>
        <w:trPr>
          <w:trHeight w:val="210"/>
        </w:trPr>
        <w:tc>
          <w:tcPr>
            <w:tcW w:w="5240" w:type="dxa"/>
            <w:vAlign w:val="bottom"/>
            <w:gridSpan w:val="2"/>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7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708,885</w:t>
            </w:r>
          </w:p>
        </w:tc>
        <w:tc>
          <w:tcPr>
            <w:tcW w:w="146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556,553</w:t>
            </w:r>
          </w:p>
        </w:tc>
        <w:tc>
          <w:tcPr>
            <w:tcW w:w="15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1,421,558</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1,120,739</w:t>
            </w:r>
          </w:p>
        </w:tc>
      </w:tr>
      <w:tr>
        <w:trPr>
          <w:trHeight w:val="143"/>
        </w:trPr>
        <w:tc>
          <w:tcPr>
            <w:tcW w:w="13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41"/>
        </w:trPr>
        <w:tc>
          <w:tcPr>
            <w:tcW w:w="52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17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1,804,936</w:t>
            </w:r>
          </w:p>
        </w:tc>
        <w:tc>
          <w:tcPr>
            <w:tcW w:w="146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1,753,266</w:t>
            </w:r>
          </w:p>
        </w:tc>
        <w:tc>
          <w:tcPr>
            <w:tcW w:w="15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3,731,037</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3,523,219</w:t>
            </w: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3880" w:type="dxa"/>
            <w:vAlign w:val="bottom"/>
            <w:tcBorders>
              <w:top w:val="single" w:sz="8" w:color="CEFFE7"/>
            </w:tcBorders>
          </w:tcPr>
          <w:p>
            <w:pPr>
              <w:spacing w:after="0" w:line="20" w:lineRule="exact"/>
              <w:rPr>
                <w:sz w:val="1"/>
                <w:szCs w:val="1"/>
                <w:color w:val="auto"/>
              </w:rPr>
            </w:pPr>
          </w:p>
        </w:tc>
        <w:tc>
          <w:tcPr>
            <w:tcW w:w="176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auto"/>
              </w:rPr>
              <w:t>Three Months Ended June 30,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Six Months Ended 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226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color w:val="auto"/>
              </w:rPr>
              <w:t>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Borders>
              <w:bottom w:val="single" w:sz="8" w:color="auto"/>
            </w:tcBorders>
            <w:gridSpan w:val="2"/>
          </w:tcPr>
          <w:p>
            <w:pPr>
              <w:jc w:val="right"/>
              <w:ind w:right="939"/>
              <w:spacing w:after="0"/>
              <w:rPr>
                <w:sz w:val="20"/>
                <w:szCs w:val="20"/>
                <w:color w:val="auto"/>
              </w:rPr>
            </w:pPr>
            <w:r>
              <w:rPr>
                <w:rFonts w:ascii="Arial" w:cs="Arial" w:eastAsia="Arial" w:hAnsi="Arial"/>
                <w:sz w:val="16"/>
                <w:szCs w:val="16"/>
                <w:color w:val="auto"/>
              </w:rPr>
              <w:t>2022</w:t>
            </w:r>
          </w:p>
        </w:tc>
        <w:tc>
          <w:tcPr>
            <w:tcW w:w="204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rPr>
              <w:t>Degree Days</w:t>
            </w: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color w:val="auto"/>
              </w:rPr>
              <w:t>Actual</w:t>
            </w:r>
          </w:p>
        </w:tc>
        <w:tc>
          <w:tcPr>
            <w:tcW w:w="1280" w:type="dxa"/>
            <w:vAlign w:val="bottom"/>
          </w:tcPr>
          <w:p>
            <w:pPr>
              <w:ind w:left="60"/>
              <w:spacing w:after="0" w:line="157" w:lineRule="exact"/>
              <w:rPr>
                <w:sz w:val="20"/>
                <w:szCs w:val="20"/>
                <w:color w:val="auto"/>
              </w:rPr>
            </w:pPr>
            <w:r>
              <w:rPr>
                <w:rFonts w:ascii="Arial" w:cs="Arial" w:eastAsia="Arial" w:hAnsi="Arial"/>
                <w:sz w:val="16"/>
                <w:szCs w:val="16"/>
                <w:color w:val="auto"/>
              </w:rPr>
              <w:t>Variance from</w:t>
            </w:r>
          </w:p>
        </w:tc>
        <w:tc>
          <w:tcPr>
            <w:tcW w:w="2020" w:type="dxa"/>
            <w:vAlign w:val="bottom"/>
            <w:gridSpan w:val="2"/>
          </w:tcPr>
          <w:p>
            <w:pPr>
              <w:jc w:val="center"/>
              <w:ind w:left="759"/>
              <w:spacing w:after="0" w:line="157" w:lineRule="exact"/>
              <w:rPr>
                <w:sz w:val="20"/>
                <w:szCs w:val="20"/>
                <w:color w:val="auto"/>
              </w:rPr>
            </w:pPr>
            <w:r>
              <w:rPr>
                <w:rFonts w:ascii="Arial" w:cs="Arial" w:eastAsia="Arial" w:hAnsi="Arial"/>
                <w:sz w:val="16"/>
                <w:szCs w:val="16"/>
                <w:color w:val="auto"/>
                <w:w w:val="98"/>
              </w:rPr>
              <w:t>Variance from</w:t>
            </w:r>
          </w:p>
        </w:tc>
        <w:tc>
          <w:tcPr>
            <w:tcW w:w="140" w:type="dxa"/>
            <w:vAlign w:val="bottom"/>
          </w:tcPr>
          <w:p>
            <w:pPr>
              <w:spacing w:after="0"/>
              <w:rPr>
                <w:sz w:val="13"/>
                <w:szCs w:val="13"/>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Actual</w:t>
            </w:r>
          </w:p>
        </w:tc>
        <w:tc>
          <w:tcPr>
            <w:tcW w:w="1280" w:type="dxa"/>
            <w:vAlign w:val="bottom"/>
          </w:tcPr>
          <w:p>
            <w:pPr>
              <w:jc w:val="right"/>
              <w:ind w:right="139"/>
              <w:spacing w:after="0" w:line="157" w:lineRule="exact"/>
              <w:rPr>
                <w:sz w:val="20"/>
                <w:szCs w:val="20"/>
                <w:color w:val="auto"/>
              </w:rPr>
            </w:pPr>
            <w:r>
              <w:rPr>
                <w:rFonts w:ascii="Arial" w:cs="Arial" w:eastAsia="Arial" w:hAnsi="Arial"/>
                <w:sz w:val="16"/>
                <w:szCs w:val="16"/>
                <w:color w:val="auto"/>
              </w:rPr>
              <w:t>Variance from</w:t>
            </w:r>
          </w:p>
        </w:tc>
        <w:tc>
          <w:tcPr>
            <w:tcW w:w="900" w:type="dxa"/>
            <w:vAlign w:val="bottom"/>
            <w:vMerge w:val="restart"/>
          </w:tcPr>
          <w:p>
            <w:pPr>
              <w:jc w:val="right"/>
              <w:ind w:right="219"/>
              <w:spacing w:after="0"/>
              <w:rPr>
                <w:sz w:val="20"/>
                <w:szCs w:val="20"/>
                <w:color w:val="auto"/>
              </w:rPr>
            </w:pPr>
            <w:r>
              <w:rPr>
                <w:rFonts w:ascii="Arial" w:cs="Arial" w:eastAsia="Arial" w:hAnsi="Arial"/>
                <w:sz w:val="16"/>
                <w:szCs w:val="16"/>
                <w:color w:val="auto"/>
              </w:rPr>
              <w:t>Actual</w:t>
            </w:r>
          </w:p>
        </w:tc>
        <w:tc>
          <w:tcPr>
            <w:tcW w:w="1140" w:type="dxa"/>
            <w:vAlign w:val="bottom"/>
          </w:tcPr>
          <w:p>
            <w:pPr>
              <w:jc w:val="right"/>
              <w:ind w:right="19"/>
              <w:spacing w:after="0" w:line="157" w:lineRule="exact"/>
              <w:rPr>
                <w:sz w:val="20"/>
                <w:szCs w:val="20"/>
                <w:color w:val="auto"/>
              </w:rPr>
            </w:pPr>
            <w:r>
              <w:rPr>
                <w:rFonts w:ascii="Arial" w:cs="Arial" w:eastAsia="Arial" w:hAnsi="Arial"/>
                <w:sz w:val="16"/>
                <w:szCs w:val="16"/>
                <w:color w:val="auto"/>
              </w:rPr>
              <w:t>Variance from</w:t>
            </w:r>
          </w:p>
        </w:tc>
        <w:tc>
          <w:tcPr>
            <w:tcW w:w="0" w:type="dxa"/>
            <w:vAlign w:val="bottom"/>
          </w:tcPr>
          <w:p>
            <w:pPr>
              <w:spacing w:after="0"/>
              <w:rPr>
                <w:sz w:val="1"/>
                <w:szCs w:val="1"/>
                <w:color w:val="auto"/>
              </w:rPr>
            </w:pPr>
          </w:p>
        </w:tc>
      </w:tr>
      <w:tr>
        <w:trPr>
          <w:trHeight w:val="215"/>
        </w:trPr>
        <w:tc>
          <w:tcPr>
            <w:tcW w:w="25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Normal</w:t>
            </w:r>
          </w:p>
        </w:tc>
        <w:tc>
          <w:tcPr>
            <w:tcW w:w="1160" w:type="dxa"/>
            <w:vAlign w:val="bottom"/>
          </w:tcPr>
          <w:p>
            <w:pPr>
              <w:jc w:val="right"/>
              <w:ind w:right="479"/>
              <w:spacing w:after="0"/>
              <w:rPr>
                <w:sz w:val="20"/>
                <w:szCs w:val="20"/>
                <w:color w:val="auto"/>
              </w:rPr>
            </w:pPr>
            <w:r>
              <w:rPr>
                <w:rFonts w:ascii="Arial" w:cs="Arial" w:eastAsia="Arial" w:hAnsi="Arial"/>
                <w:sz w:val="16"/>
                <w:szCs w:val="16"/>
                <w:color w:val="auto"/>
              </w:rPr>
              <w:t>Actual</w:t>
            </w:r>
          </w:p>
        </w:tc>
        <w:tc>
          <w:tcPr>
            <w:tcW w:w="1000" w:type="dxa"/>
            <w:vAlign w:val="bottom"/>
            <w:gridSpan w:val="2"/>
          </w:tcPr>
          <w:p>
            <w:pPr>
              <w:jc w:val="center"/>
              <w:ind w:right="400"/>
              <w:spacing w:after="0"/>
              <w:rPr>
                <w:sz w:val="20"/>
                <w:szCs w:val="20"/>
                <w:color w:val="auto"/>
              </w:rPr>
            </w:pPr>
            <w:r>
              <w:rPr>
                <w:rFonts w:ascii="Arial" w:cs="Arial" w:eastAsia="Arial" w:hAnsi="Arial"/>
                <w:sz w:val="16"/>
                <w:szCs w:val="16"/>
                <w:color w:val="auto"/>
              </w:rPr>
              <w:t>Normal</w:t>
            </w:r>
          </w:p>
        </w:tc>
        <w:tc>
          <w:tcPr>
            <w:tcW w:w="1000" w:type="dxa"/>
            <w:vAlign w:val="bottom"/>
            <w:vMerge w:val="continue"/>
          </w:tcPr>
          <w:p>
            <w:pPr>
              <w:spacing w:after="0"/>
              <w:rPr>
                <w:sz w:val="18"/>
                <w:szCs w:val="18"/>
                <w:color w:val="auto"/>
              </w:rPr>
            </w:pPr>
          </w:p>
        </w:tc>
        <w:tc>
          <w:tcPr>
            <w:tcW w:w="1280" w:type="dxa"/>
            <w:vAlign w:val="bottom"/>
          </w:tcPr>
          <w:p>
            <w:pPr>
              <w:jc w:val="right"/>
              <w:ind w:right="359"/>
              <w:spacing w:after="0"/>
              <w:rPr>
                <w:sz w:val="20"/>
                <w:szCs w:val="20"/>
                <w:color w:val="auto"/>
              </w:rPr>
            </w:pPr>
            <w:r>
              <w:rPr>
                <w:rFonts w:ascii="Arial" w:cs="Arial" w:eastAsia="Arial" w:hAnsi="Arial"/>
                <w:sz w:val="16"/>
                <w:szCs w:val="16"/>
                <w:color w:val="auto"/>
              </w:rPr>
              <w:t>Normal</w:t>
            </w:r>
          </w:p>
        </w:tc>
        <w:tc>
          <w:tcPr>
            <w:tcW w:w="900" w:type="dxa"/>
            <w:vAlign w:val="bottom"/>
            <w:vMerge w:val="continue"/>
          </w:tcPr>
          <w:p>
            <w:pPr>
              <w:spacing w:after="0"/>
              <w:rPr>
                <w:sz w:val="18"/>
                <w:szCs w:val="18"/>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Normal</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Colorado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556</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(5)%</w:t>
            </w:r>
          </w:p>
        </w:tc>
        <w:tc>
          <w:tcPr>
            <w:tcW w:w="11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595</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3,271</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5 %</w:t>
            </w:r>
          </w:p>
        </w:tc>
        <w:tc>
          <w:tcPr>
            <w:tcW w:w="9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3,326</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5"/>
        </w:trPr>
        <w:tc>
          <w:tcPr>
            <w:tcW w:w="2500" w:type="dxa"/>
            <w:vAlign w:val="bottom"/>
          </w:tcPr>
          <w:p>
            <w:pPr>
              <w:ind w:left="240"/>
              <w:spacing w:after="0"/>
              <w:rPr>
                <w:sz w:val="20"/>
                <w:szCs w:val="20"/>
                <w:color w:val="auto"/>
              </w:rPr>
            </w:pPr>
            <w:r>
              <w:rPr>
                <w:rFonts w:ascii="Arial" w:cs="Arial" w:eastAsia="Arial" w:hAnsi="Arial"/>
                <w:sz w:val="16"/>
                <w:szCs w:val="16"/>
                <w:color w:val="auto"/>
              </w:rPr>
              <w:t>South Dakota Electric</w:t>
            </w:r>
          </w:p>
        </w:tc>
        <w:tc>
          <w:tcPr>
            <w:tcW w:w="980" w:type="dxa"/>
            <w:vAlign w:val="bottom"/>
          </w:tcPr>
          <w:p>
            <w:pPr>
              <w:jc w:val="right"/>
              <w:spacing w:after="0"/>
              <w:rPr>
                <w:sz w:val="20"/>
                <w:szCs w:val="20"/>
                <w:color w:val="auto"/>
              </w:rPr>
            </w:pPr>
            <w:r>
              <w:rPr>
                <w:rFonts w:ascii="Arial" w:cs="Arial" w:eastAsia="Arial" w:hAnsi="Arial"/>
                <w:sz w:val="16"/>
                <w:szCs w:val="16"/>
                <w:color w:val="auto"/>
              </w:rPr>
              <w:t>1,221</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13 %</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1,048</w:t>
            </w: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4,469</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4,372</w:t>
            </w:r>
          </w:p>
        </w:tc>
        <w:tc>
          <w:tcPr>
            <w:tcW w:w="114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25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Wyoming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1,159</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(3)%</w:t>
            </w:r>
          </w:p>
        </w:tc>
        <w:tc>
          <w:tcPr>
            <w:tcW w:w="11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1,221</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2 %</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4,291</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2 %</w:t>
            </w:r>
          </w:p>
        </w:tc>
        <w:tc>
          <w:tcPr>
            <w:tcW w:w="9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4,482</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16"/>
        </w:trPr>
        <w:tc>
          <w:tcPr>
            <w:tcW w:w="2500" w:type="dxa"/>
            <w:vAlign w:val="bottom"/>
          </w:tcPr>
          <w:p>
            <w:pPr>
              <w:ind w:left="46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6"/>
                <w:szCs w:val="16"/>
                <w:color w:val="auto"/>
              </w:rPr>
              <w:t>904</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3 %</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875</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3,885</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3,915</w:t>
            </w:r>
          </w:p>
        </w:tc>
        <w:tc>
          <w:tcPr>
            <w:tcW w:w="114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162"/>
        </w:trPr>
        <w:tc>
          <w:tcPr>
            <w:tcW w:w="2500" w:type="dxa"/>
            <w:vAlign w:val="bottom"/>
            <w:shd w:val="clear" w:color="auto" w:fill="CEFFE7"/>
          </w:tcPr>
          <w:p>
            <w:pPr>
              <w:spacing w:after="0"/>
              <w:rPr>
                <w:sz w:val="14"/>
                <w:szCs w:val="14"/>
                <w:color w:val="auto"/>
              </w:rPr>
            </w:pPr>
          </w:p>
        </w:tc>
        <w:tc>
          <w:tcPr>
            <w:tcW w:w="980" w:type="dxa"/>
            <w:vAlign w:val="bottom"/>
            <w:shd w:val="clear" w:color="auto" w:fill="CEFFE7"/>
          </w:tcPr>
          <w:p>
            <w:pPr>
              <w:spacing w:after="0"/>
              <w:rPr>
                <w:sz w:val="14"/>
                <w:szCs w:val="14"/>
                <w:color w:val="auto"/>
              </w:rPr>
            </w:pPr>
          </w:p>
        </w:tc>
        <w:tc>
          <w:tcPr>
            <w:tcW w:w="1280" w:type="dxa"/>
            <w:vAlign w:val="bottom"/>
            <w:shd w:val="clear" w:color="auto" w:fill="CEFFE7"/>
          </w:tcPr>
          <w:p>
            <w:pPr>
              <w:spacing w:after="0"/>
              <w:rPr>
                <w:sz w:val="14"/>
                <w:szCs w:val="14"/>
                <w:color w:val="auto"/>
              </w:rPr>
            </w:pPr>
          </w:p>
        </w:tc>
        <w:tc>
          <w:tcPr>
            <w:tcW w:w="116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140" w:type="dxa"/>
            <w:vAlign w:val="bottom"/>
            <w:shd w:val="clear" w:color="auto" w:fill="CEFFE7"/>
          </w:tcPr>
          <w:p>
            <w:pPr>
              <w:spacing w:after="0"/>
              <w:rPr>
                <w:sz w:val="14"/>
                <w:szCs w:val="14"/>
                <w:color w:val="auto"/>
              </w:rPr>
            </w:pPr>
          </w:p>
        </w:tc>
        <w:tc>
          <w:tcPr>
            <w:tcW w:w="1000" w:type="dxa"/>
            <w:vAlign w:val="bottom"/>
            <w:shd w:val="clear" w:color="auto" w:fill="CEFFE7"/>
          </w:tcPr>
          <w:p>
            <w:pPr>
              <w:spacing w:after="0"/>
              <w:rPr>
                <w:sz w:val="14"/>
                <w:szCs w:val="14"/>
                <w:color w:val="auto"/>
              </w:rPr>
            </w:pPr>
          </w:p>
        </w:tc>
        <w:tc>
          <w:tcPr>
            <w:tcW w:w="1280" w:type="dxa"/>
            <w:vAlign w:val="bottom"/>
            <w:shd w:val="clear" w:color="auto" w:fill="CEFFE7"/>
          </w:tcPr>
          <w:p>
            <w:pPr>
              <w:spacing w:after="0"/>
              <w:rPr>
                <w:sz w:val="14"/>
                <w:szCs w:val="14"/>
                <w:color w:val="auto"/>
              </w:rPr>
            </w:pPr>
          </w:p>
        </w:tc>
        <w:tc>
          <w:tcPr>
            <w:tcW w:w="900" w:type="dxa"/>
            <w:vAlign w:val="bottom"/>
            <w:shd w:val="clear" w:color="auto" w:fill="CEFFE7"/>
          </w:tcPr>
          <w:p>
            <w:pPr>
              <w:spacing w:after="0"/>
              <w:rPr>
                <w:sz w:val="14"/>
                <w:szCs w:val="14"/>
                <w:color w:val="auto"/>
              </w:rPr>
            </w:pPr>
          </w:p>
        </w:tc>
        <w:tc>
          <w:tcPr>
            <w:tcW w:w="114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Cooling Degree Days:</w:t>
            </w: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Colorado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333</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24 %</w:t>
            </w:r>
          </w:p>
        </w:tc>
        <w:tc>
          <w:tcPr>
            <w:tcW w:w="11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300</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44 %</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333</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24 %</w:t>
            </w:r>
          </w:p>
        </w:tc>
        <w:tc>
          <w:tcPr>
            <w:tcW w:w="9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300</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5"/>
        </w:trPr>
        <w:tc>
          <w:tcPr>
            <w:tcW w:w="2500" w:type="dxa"/>
            <w:vAlign w:val="bottom"/>
          </w:tcPr>
          <w:p>
            <w:pPr>
              <w:ind w:left="240"/>
              <w:spacing w:after="0"/>
              <w:rPr>
                <w:sz w:val="20"/>
                <w:szCs w:val="20"/>
                <w:color w:val="auto"/>
              </w:rPr>
            </w:pPr>
            <w:r>
              <w:rPr>
                <w:rFonts w:ascii="Arial" w:cs="Arial" w:eastAsia="Arial" w:hAnsi="Arial"/>
                <w:sz w:val="16"/>
                <w:szCs w:val="16"/>
                <w:color w:val="auto"/>
              </w:rPr>
              <w:t>South Dakota Electric</w:t>
            </w:r>
          </w:p>
        </w:tc>
        <w:tc>
          <w:tcPr>
            <w:tcW w:w="980" w:type="dxa"/>
            <w:vAlign w:val="bottom"/>
          </w:tcPr>
          <w:p>
            <w:pPr>
              <w:jc w:val="right"/>
              <w:spacing w:after="0"/>
              <w:rPr>
                <w:sz w:val="20"/>
                <w:szCs w:val="20"/>
                <w:color w:val="auto"/>
              </w:rPr>
            </w:pPr>
            <w:r>
              <w:rPr>
                <w:rFonts w:ascii="Arial" w:cs="Arial" w:eastAsia="Arial" w:hAnsi="Arial"/>
                <w:sz w:val="16"/>
                <w:szCs w:val="16"/>
                <w:color w:val="auto"/>
              </w:rPr>
              <w:t>107</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167</w:t>
            </w:r>
          </w:p>
        </w:tc>
        <w:tc>
          <w:tcPr>
            <w:tcW w:w="860" w:type="dxa"/>
            <w:vAlign w:val="bottom"/>
          </w:tcPr>
          <w:p>
            <w:pPr>
              <w:jc w:val="right"/>
              <w:spacing w:after="0"/>
              <w:rPr>
                <w:sz w:val="20"/>
                <w:szCs w:val="20"/>
                <w:color w:val="auto"/>
              </w:rPr>
            </w:pPr>
            <w:r>
              <w:rPr>
                <w:rFonts w:ascii="Arial" w:cs="Arial" w:eastAsia="Arial" w:hAnsi="Arial"/>
                <w:sz w:val="16"/>
                <w:szCs w:val="16"/>
                <w:color w:val="auto"/>
              </w:rPr>
              <w:t>69 %</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14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7"/>
        </w:trPr>
        <w:tc>
          <w:tcPr>
            <w:tcW w:w="25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Wyoming Electric</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102 %</w:t>
            </w:r>
          </w:p>
        </w:tc>
        <w:tc>
          <w:tcPr>
            <w:tcW w:w="116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117</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134 %</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w:t>
            </w:r>
          </w:p>
        </w:tc>
        <w:tc>
          <w:tcPr>
            <w:tcW w:w="1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102 %</w:t>
            </w:r>
          </w:p>
        </w:tc>
        <w:tc>
          <w:tcPr>
            <w:tcW w:w="9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117</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134 %</w:t>
            </w:r>
          </w:p>
        </w:tc>
        <w:tc>
          <w:tcPr>
            <w:tcW w:w="0" w:type="dxa"/>
            <w:vAlign w:val="bottom"/>
          </w:tcPr>
          <w:p>
            <w:pPr>
              <w:spacing w:after="0"/>
              <w:rPr>
                <w:sz w:val="1"/>
                <w:szCs w:val="1"/>
                <w:color w:val="auto"/>
              </w:rPr>
            </w:pPr>
          </w:p>
        </w:tc>
      </w:tr>
      <w:tr>
        <w:trPr>
          <w:trHeight w:val="282"/>
        </w:trPr>
        <w:tc>
          <w:tcPr>
            <w:tcW w:w="2500" w:type="dxa"/>
            <w:vAlign w:val="bottom"/>
          </w:tcPr>
          <w:p>
            <w:pPr>
              <w:ind w:left="46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6"/>
                <w:szCs w:val="16"/>
                <w:color w:val="auto"/>
              </w:rPr>
              <w:t>213</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28 %</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218</w:t>
            </w:r>
          </w:p>
        </w:tc>
        <w:tc>
          <w:tcPr>
            <w:tcW w:w="860" w:type="dxa"/>
            <w:vAlign w:val="bottom"/>
          </w:tcPr>
          <w:p>
            <w:pPr>
              <w:jc w:val="right"/>
              <w:spacing w:after="0"/>
              <w:rPr>
                <w:sz w:val="20"/>
                <w:szCs w:val="20"/>
                <w:color w:val="auto"/>
              </w:rPr>
            </w:pPr>
            <w:r>
              <w:rPr>
                <w:rFonts w:ascii="Arial" w:cs="Arial" w:eastAsia="Arial" w:hAnsi="Arial"/>
                <w:sz w:val="16"/>
                <w:szCs w:val="16"/>
                <w:color w:val="auto"/>
              </w:rPr>
              <w:t>56 %</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14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vMerge w:val="restart"/>
          </w:tcPr>
          <w:p>
            <w:pPr>
              <w:ind w:left="20"/>
              <w:spacing w:after="0"/>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3600" w:type="dxa"/>
            <w:vAlign w:val="bottom"/>
            <w:gridSpan w:val="2"/>
          </w:tcPr>
          <w:p>
            <w:pPr>
              <w:jc w:val="right"/>
              <w:ind w:right="699"/>
              <w:spacing w:after="0"/>
              <w:rPr>
                <w:sz w:val="20"/>
                <w:szCs w:val="20"/>
                <w:color w:val="auto"/>
              </w:rPr>
            </w:pPr>
            <w:r>
              <w:rPr>
                <w:rFonts w:ascii="Arial" w:cs="Arial" w:eastAsia="Arial" w:hAnsi="Arial"/>
                <w:sz w:val="16"/>
                <w:szCs w:val="16"/>
                <w:color w:val="auto"/>
              </w:rPr>
              <w:t>Three Months Ended June 30,</w:t>
            </w:r>
          </w:p>
        </w:tc>
        <w:tc>
          <w:tcPr>
            <w:tcW w:w="2900" w:type="dxa"/>
            <w:vAlign w:val="bottom"/>
            <w:gridSpan w:val="2"/>
          </w:tcPr>
          <w:p>
            <w:pPr>
              <w:jc w:val="right"/>
              <w:ind w:right="51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2022</w:t>
            </w:r>
          </w:p>
        </w:tc>
        <w:tc>
          <w:tcPr>
            <w:tcW w:w="15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2021</w:t>
            </w: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2022</w:t>
            </w: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4740" w:type="dxa"/>
            <w:vAlign w:val="bottom"/>
            <w:shd w:val="clear" w:color="auto" w:fill="CEFFE7"/>
          </w:tcPr>
          <w:p>
            <w:pPr>
              <w:ind w:left="20"/>
              <w:spacing w:after="0" w:line="210" w:lineRule="exact"/>
              <w:rPr>
                <w:sz w:val="20"/>
                <w:szCs w:val="20"/>
                <w:color w:val="auto"/>
              </w:rPr>
            </w:pPr>
            <w:r>
              <w:rPr>
                <w:rFonts w:ascii="Arial" w:cs="Arial" w:eastAsia="Arial" w:hAnsi="Arial"/>
                <w:sz w:val="24"/>
                <w:szCs w:val="24"/>
                <w:color w:val="auto"/>
                <w:vertAlign w:val="subscript"/>
              </w:rPr>
              <w:t>Coal</w:t>
            </w:r>
            <w:r>
              <w:rPr>
                <w:rFonts w:ascii="Arial" w:cs="Arial" w:eastAsia="Arial" w:hAnsi="Arial"/>
                <w:sz w:val="9"/>
                <w:szCs w:val="9"/>
                <w:color w:val="auto"/>
              </w:rPr>
              <w:t xml:space="preserve"> (b) (c)</w:t>
            </w:r>
          </w:p>
        </w:tc>
        <w:tc>
          <w:tcPr>
            <w:tcW w:w="204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82.1 %</w:t>
            </w:r>
          </w:p>
        </w:tc>
        <w:tc>
          <w:tcPr>
            <w:tcW w:w="15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86.1 %</w:t>
            </w:r>
          </w:p>
        </w:tc>
        <w:tc>
          <w:tcPr>
            <w:tcW w:w="160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86.3 %</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86.2 %</w:t>
            </w: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95.1 %</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97.6 %</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95.2 %</w:t>
            </w:r>
          </w:p>
        </w:tc>
        <w:tc>
          <w:tcPr>
            <w:tcW w:w="1300" w:type="dxa"/>
            <w:vAlign w:val="bottom"/>
          </w:tcPr>
          <w:p>
            <w:pPr>
              <w:jc w:val="right"/>
              <w:spacing w:after="0"/>
              <w:rPr>
                <w:sz w:val="20"/>
                <w:szCs w:val="20"/>
                <w:color w:val="auto"/>
              </w:rPr>
            </w:pPr>
            <w:r>
              <w:rPr>
                <w:rFonts w:ascii="Arial" w:cs="Arial" w:eastAsia="Arial" w:hAnsi="Arial"/>
                <w:sz w:val="16"/>
                <w:szCs w:val="16"/>
                <w:color w:val="auto"/>
              </w:rPr>
              <w:t>93.8 %</w:t>
            </w:r>
          </w:p>
        </w:tc>
        <w:tc>
          <w:tcPr>
            <w:tcW w:w="0" w:type="dxa"/>
            <w:vAlign w:val="bottom"/>
          </w:tcPr>
          <w:p>
            <w:pPr>
              <w:spacing w:after="0"/>
              <w:rPr>
                <w:sz w:val="1"/>
                <w:szCs w:val="1"/>
                <w:color w:val="auto"/>
              </w:rPr>
            </w:pPr>
          </w:p>
        </w:tc>
      </w:tr>
      <w:tr>
        <w:trPr>
          <w:trHeight w:val="217"/>
        </w:trPr>
        <w:tc>
          <w:tcPr>
            <w:tcW w:w="4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04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93.8 %</w:t>
            </w:r>
          </w:p>
        </w:tc>
        <w:tc>
          <w:tcPr>
            <w:tcW w:w="15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96.8 %</w:t>
            </w:r>
          </w:p>
        </w:tc>
        <w:tc>
          <w:tcPr>
            <w:tcW w:w="160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94.7 %</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95.3 %</w:t>
            </w: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91.4 %</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94.4 %</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92.7 %</w:t>
            </w:r>
          </w:p>
        </w:tc>
        <w:tc>
          <w:tcPr>
            <w:tcW w:w="1300" w:type="dxa"/>
            <w:vAlign w:val="bottom"/>
          </w:tcPr>
          <w:p>
            <w:pPr>
              <w:jc w:val="right"/>
              <w:spacing w:after="0"/>
              <w:rPr>
                <w:sz w:val="20"/>
                <w:szCs w:val="20"/>
                <w:color w:val="auto"/>
              </w:rPr>
            </w:pPr>
            <w:r>
              <w:rPr>
                <w:rFonts w:ascii="Arial" w:cs="Arial" w:eastAsia="Arial" w:hAnsi="Arial"/>
                <w:sz w:val="16"/>
                <w:szCs w:val="16"/>
                <w:color w:val="auto"/>
              </w:rPr>
              <w:t>92.1 %</w:t>
            </w:r>
          </w:p>
        </w:tc>
        <w:tc>
          <w:tcPr>
            <w:tcW w:w="0" w:type="dxa"/>
            <w:vAlign w:val="bottom"/>
          </w:tcPr>
          <w:p>
            <w:pPr>
              <w:spacing w:after="0"/>
              <w:rPr>
                <w:sz w:val="1"/>
                <w:szCs w:val="1"/>
                <w:color w:val="auto"/>
              </w:rPr>
            </w:pPr>
          </w:p>
        </w:tc>
      </w:tr>
      <w:tr>
        <w:trPr>
          <w:trHeight w:val="163"/>
        </w:trPr>
        <w:tc>
          <w:tcPr>
            <w:tcW w:w="4740" w:type="dxa"/>
            <w:vAlign w:val="bottom"/>
            <w:shd w:val="clear" w:color="auto" w:fill="CEFFE7"/>
          </w:tcPr>
          <w:p>
            <w:pPr>
              <w:spacing w:after="0"/>
              <w:rPr>
                <w:sz w:val="14"/>
                <w:szCs w:val="14"/>
                <w:color w:val="auto"/>
              </w:rPr>
            </w:pPr>
          </w:p>
        </w:tc>
        <w:tc>
          <w:tcPr>
            <w:tcW w:w="2040" w:type="dxa"/>
            <w:vAlign w:val="bottom"/>
            <w:shd w:val="clear" w:color="auto" w:fill="CEFFE7"/>
          </w:tcPr>
          <w:p>
            <w:pPr>
              <w:spacing w:after="0"/>
              <w:rPr>
                <w:sz w:val="14"/>
                <w:szCs w:val="14"/>
                <w:color w:val="auto"/>
              </w:rPr>
            </w:pPr>
          </w:p>
        </w:tc>
        <w:tc>
          <w:tcPr>
            <w:tcW w:w="1560" w:type="dxa"/>
            <w:vAlign w:val="bottom"/>
            <w:shd w:val="clear" w:color="auto" w:fill="CEFFE7"/>
          </w:tcPr>
          <w:p>
            <w:pPr>
              <w:spacing w:after="0"/>
              <w:rPr>
                <w:sz w:val="14"/>
                <w:szCs w:val="14"/>
                <w:color w:val="auto"/>
              </w:rPr>
            </w:pPr>
          </w:p>
        </w:tc>
        <w:tc>
          <w:tcPr>
            <w:tcW w:w="1600" w:type="dxa"/>
            <w:vAlign w:val="bottom"/>
            <w:shd w:val="clear" w:color="auto" w:fill="CEFFE7"/>
          </w:tcPr>
          <w:p>
            <w:pPr>
              <w:spacing w:after="0"/>
              <w:rPr>
                <w:sz w:val="14"/>
                <w:szCs w:val="14"/>
                <w:color w:val="auto"/>
              </w:rPr>
            </w:pPr>
          </w:p>
        </w:tc>
        <w:tc>
          <w:tcPr>
            <w:tcW w:w="1300" w:type="dxa"/>
            <w:vAlign w:val="bottom"/>
            <w:shd w:val="clear" w:color="auto" w:fill="CEFFE7"/>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39.8 %</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31.0 %</w:t>
            </w:r>
          </w:p>
        </w:tc>
        <w:tc>
          <w:tcPr>
            <w:tcW w:w="1600" w:type="dxa"/>
            <w:vAlign w:val="bottom"/>
          </w:tcPr>
          <w:p>
            <w:pPr>
              <w:jc w:val="right"/>
              <w:ind w:right="239"/>
              <w:spacing w:after="0"/>
              <w:rPr>
                <w:sz w:val="20"/>
                <w:szCs w:val="20"/>
                <w:color w:val="auto"/>
              </w:rPr>
            </w:pPr>
            <w:r>
              <w:rPr>
                <w:rFonts w:ascii="Arial" w:cs="Arial" w:eastAsia="Arial" w:hAnsi="Arial"/>
                <w:sz w:val="16"/>
                <w:szCs w:val="16"/>
                <w:color w:val="auto"/>
              </w:rPr>
              <w:t>40.9 %</w:t>
            </w:r>
          </w:p>
        </w:tc>
        <w:tc>
          <w:tcPr>
            <w:tcW w:w="1300" w:type="dxa"/>
            <w:vAlign w:val="bottom"/>
          </w:tcPr>
          <w:p>
            <w:pPr>
              <w:jc w:val="right"/>
              <w:spacing w:after="0"/>
              <w:rPr>
                <w:sz w:val="20"/>
                <w:szCs w:val="20"/>
                <w:color w:val="auto"/>
              </w:rPr>
            </w:pPr>
            <w:r>
              <w:rPr>
                <w:rFonts w:ascii="Arial" w:cs="Arial" w:eastAsia="Arial" w:hAnsi="Arial"/>
                <w:sz w:val="16"/>
                <w:szCs w:val="16"/>
                <w:color w:val="auto"/>
              </w:rPr>
              <w:t>34.1 %</w:t>
            </w:r>
          </w:p>
        </w:tc>
        <w:tc>
          <w:tcPr>
            <w:tcW w:w="0" w:type="dxa"/>
            <w:vAlign w:val="bottom"/>
          </w:tcPr>
          <w:p>
            <w:pPr>
              <w:spacing w:after="0"/>
              <w:rPr>
                <w:sz w:val="1"/>
                <w:szCs w:val="1"/>
                <w:color w:val="auto"/>
              </w:rPr>
            </w:pPr>
          </w:p>
        </w:tc>
      </w:tr>
      <w:tr>
        <w:trPr>
          <w:trHeight w:val="283"/>
        </w:trPr>
        <w:tc>
          <w:tcPr>
            <w:tcW w:w="4740" w:type="dxa"/>
            <w:vAlign w:val="bottom"/>
          </w:tcPr>
          <w:p>
            <w:pPr>
              <w:spacing w:after="0"/>
              <w:rPr>
                <w:sz w:val="20"/>
                <w:szCs w:val="20"/>
                <w:color w:val="auto"/>
              </w:rPr>
            </w:pPr>
            <w:r>
              <w:rPr>
                <w:rFonts w:ascii="Arial" w:cs="Arial" w:eastAsia="Arial" w:hAnsi="Arial"/>
                <w:sz w:val="16"/>
                <w:szCs w:val="16"/>
                <w:color w:val="auto"/>
              </w:rPr>
              <w:t>__________</w:t>
            </w:r>
          </w:p>
        </w:tc>
        <w:tc>
          <w:tcPr>
            <w:tcW w:w="2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7"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2022 included planned outages at Neil Simpson II and Wyodak Plant.</w:t>
      </w:r>
    </w:p>
    <w:p>
      <w:pPr>
        <w:spacing w:after="0" w:line="14" w:lineRule="exact"/>
        <w:rPr>
          <w:rFonts w:ascii="Arial" w:cs="Arial" w:eastAsia="Arial" w:hAnsi="Arial"/>
          <w:sz w:val="14"/>
          <w:szCs w:val="14"/>
          <w:color w:val="auto"/>
        </w:rPr>
      </w:pPr>
    </w:p>
    <w:p>
      <w:pPr>
        <w:ind w:left="380" w:hanging="372"/>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2021 included planned outages at Neil Simpson II, Wygen, Wygen II, and Wygen III and unplanned outages at Neil Simpson II and Wyodak Plant.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Arial" w:cs="Arial" w:eastAsia="Arial" w:hAnsi="Arial"/>
                <w:sz w:val="16"/>
                <w:szCs w:val="16"/>
                <w:b w:val="1"/>
                <w:bCs w:val="1"/>
                <w:color w:val="auto"/>
              </w:rPr>
              <w:t>Gas Utilities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24"/>
        </w:trPr>
        <w:tc>
          <w:tcPr>
            <w:tcW w:w="5040" w:type="dxa"/>
            <w:vAlign w:val="bottom"/>
            <w:gridSpan w:val="4"/>
          </w:tcPr>
          <w:p>
            <w:pPr>
              <w:spacing w:after="0"/>
              <w:rPr>
                <w:sz w:val="20"/>
                <w:szCs w:val="20"/>
                <w:color w:val="auto"/>
              </w:rPr>
            </w:pPr>
            <w:r>
              <w:rPr>
                <w:rFonts w:ascii="Arial" w:cs="Arial" w:eastAsia="Arial" w:hAnsi="Arial"/>
                <w:sz w:val="16"/>
                <w:szCs w:val="16"/>
                <w:color w:val="auto"/>
              </w:rPr>
              <w:t>Operating results for the Gas Utilities were as follows (in thousands):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7"/>
        </w:trPr>
        <w:tc>
          <w:tcPr>
            <w:tcW w:w="3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color w:val="auto"/>
              </w:rPr>
              <w:t>Three Months Ended June 30,</w:t>
            </w: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Six Months Ended June 30,</w:t>
            </w:r>
          </w:p>
        </w:tc>
        <w:tc>
          <w:tcPr>
            <w:tcW w:w="980" w:type="dxa"/>
            <w:vAlign w:val="bottom"/>
            <w:tcBorders>
              <w:bottom w:val="single" w:sz="8" w:color="auto"/>
            </w:tcBorders>
          </w:tcPr>
          <w:p>
            <w:pPr>
              <w:spacing w:after="0"/>
              <w:rPr>
                <w:sz w:val="24"/>
                <w:szCs w:val="24"/>
                <w:color w:val="auto"/>
              </w:rPr>
            </w:pPr>
          </w:p>
        </w:tc>
      </w:tr>
      <w:tr>
        <w:trPr>
          <w:trHeight w:val="209"/>
        </w:trPr>
        <w:tc>
          <w:tcPr>
            <w:tcW w:w="3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Variance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8"/>
              </w:rPr>
              <w:t>Variance</w:t>
            </w:r>
          </w:p>
        </w:tc>
      </w:tr>
      <w:tr>
        <w:trPr>
          <w:trHeight w:val="196"/>
        </w:trPr>
        <w:tc>
          <w:tcPr>
            <w:tcW w:w="340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7"/>
        </w:trPr>
        <w:tc>
          <w:tcPr>
            <w:tcW w:w="34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258,349</w:t>
            </w:r>
          </w:p>
        </w:tc>
        <w:tc>
          <w:tcPr>
            <w:tcW w:w="3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172,465</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85,884</w:t>
            </w:r>
          </w:p>
        </w:tc>
        <w:tc>
          <w:tcPr>
            <w:tcW w:w="3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854,807</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550,542</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304,265</w:t>
            </w:r>
          </w:p>
        </w:tc>
      </w:tr>
      <w:tr>
        <w:trPr>
          <w:trHeight w:val="215"/>
        </w:trPr>
        <w:tc>
          <w:tcPr>
            <w:tcW w:w="340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Other - non-regulated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15,821</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w:t>
            </w:r>
          </w:p>
        </w:tc>
      </w:tr>
      <w:tr>
        <w:trPr>
          <w:trHeight w:val="210"/>
        </w:trPr>
        <w:tc>
          <w:tcPr>
            <w:tcW w:w="340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274,169</w:t>
            </w:r>
          </w:p>
        </w:tc>
        <w:tc>
          <w:tcPr>
            <w:tcW w:w="3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186,050</w:t>
            </w:r>
          </w:p>
        </w:tc>
        <w:tc>
          <w:tcPr>
            <w:tcW w:w="24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88,119</w:t>
            </w:r>
          </w:p>
        </w:tc>
        <w:tc>
          <w:tcPr>
            <w:tcW w:w="3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895,561</w:t>
            </w:r>
          </w:p>
        </w:tc>
        <w:tc>
          <w:tcPr>
            <w:tcW w:w="32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588,569</w:t>
            </w:r>
          </w:p>
        </w:tc>
        <w:tc>
          <w:tcPr>
            <w:tcW w:w="3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306,992</w:t>
            </w:r>
          </w:p>
        </w:tc>
      </w:tr>
      <w:tr>
        <w:trPr>
          <w:trHeight w:val="237"/>
        </w:trPr>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3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Cost of natural gas sold:</w:t>
            </w:r>
          </w:p>
        </w:tc>
        <w:tc>
          <w:tcPr>
            <w:tcW w:w="28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06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r>
      <w:tr>
        <w:trPr>
          <w:trHeight w:val="215"/>
        </w:trPr>
        <w:tc>
          <w:tcPr>
            <w:tcW w:w="3400" w:type="dxa"/>
            <w:vAlign w:val="bottom"/>
          </w:tcPr>
          <w:p>
            <w:pPr>
              <w:ind w:left="140"/>
              <w:spacing w:after="0"/>
              <w:rPr>
                <w:sz w:val="20"/>
                <w:szCs w:val="20"/>
                <w:color w:val="auto"/>
              </w:rPr>
            </w:pPr>
            <w:r>
              <w:rPr>
                <w:rFonts w:ascii="Arial" w:cs="Arial" w:eastAsia="Arial" w:hAnsi="Arial"/>
                <w:sz w:val="16"/>
                <w:szCs w:val="16"/>
                <w:color w:val="auto"/>
              </w:rPr>
              <w:t>Natural gas - regulated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126,704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62,317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64,387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510,416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245,284</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265,132</w:t>
            </w:r>
          </w:p>
        </w:tc>
      </w:tr>
      <w:tr>
        <w:trPr>
          <w:trHeight w:val="217"/>
        </w:trPr>
        <w:tc>
          <w:tcPr>
            <w:tcW w:w="340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Other - non-regulated</w:t>
            </w:r>
          </w:p>
        </w:tc>
        <w:tc>
          <w:tcPr>
            <w:tcW w:w="2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5,040</w:t>
            </w:r>
          </w:p>
        </w:tc>
        <w:tc>
          <w:tcPr>
            <w:tcW w:w="3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798</w:t>
            </w:r>
          </w:p>
        </w:tc>
        <w:tc>
          <w:tcPr>
            <w:tcW w:w="24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4,242</w:t>
            </w:r>
          </w:p>
        </w:tc>
        <w:tc>
          <w:tcPr>
            <w:tcW w:w="3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6,055</w:t>
            </w:r>
          </w:p>
        </w:tc>
        <w:tc>
          <w:tcPr>
            <w:tcW w:w="32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10,881</w:t>
            </w:r>
          </w:p>
        </w:tc>
        <w:tc>
          <w:tcPr>
            <w:tcW w:w="3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(4,826)</w:t>
            </w:r>
          </w:p>
        </w:tc>
      </w:tr>
      <w:tr>
        <w:trPr>
          <w:trHeight w:val="209"/>
        </w:trPr>
        <w:tc>
          <w:tcPr>
            <w:tcW w:w="340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cost of natural gas sold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131,744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63,115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68,629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516,471</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256,165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260,306</w:t>
            </w:r>
          </w:p>
        </w:tc>
      </w:tr>
      <w:tr>
        <w:trPr>
          <w:trHeight w:val="237"/>
        </w:trPr>
        <w:tc>
          <w:tcPr>
            <w:tcW w:w="3400" w:type="dxa"/>
            <w:vAlign w:val="bottom"/>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940" w:type="dxa"/>
            <w:vAlign w:val="bottom"/>
            <w:tcBorders>
              <w:bottom w:val="single" w:sz="8" w:color="auto"/>
            </w:tcBorders>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spacing w:after="0"/>
              <w:rPr>
                <w:sz w:val="20"/>
                <w:szCs w:val="20"/>
                <w:color w:val="auto"/>
              </w:rPr>
            </w:pPr>
          </w:p>
        </w:tc>
        <w:tc>
          <w:tcPr>
            <w:tcW w:w="32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32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spacing w:after="0"/>
              <w:rPr>
                <w:sz w:val="20"/>
                <w:szCs w:val="20"/>
                <w:color w:val="auto"/>
              </w:rPr>
            </w:pPr>
          </w:p>
        </w:tc>
        <w:tc>
          <w:tcPr>
            <w:tcW w:w="36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spacing w:after="0"/>
              <w:rPr>
                <w:sz w:val="20"/>
                <w:szCs w:val="20"/>
                <w:color w:val="auto"/>
              </w:rPr>
            </w:pPr>
          </w:p>
        </w:tc>
      </w:tr>
      <w:tr>
        <w:trPr>
          <w:trHeight w:val="209"/>
        </w:trPr>
        <w:tc>
          <w:tcPr>
            <w:tcW w:w="34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Gas Utility margin (non-GAAP)</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142,425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379,090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332,404</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46,686</w:t>
            </w:r>
          </w:p>
        </w:tc>
      </w:tr>
      <w:tr>
        <w:trPr>
          <w:trHeight w:val="237"/>
        </w:trPr>
        <w:tc>
          <w:tcPr>
            <w:tcW w:w="340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98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94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106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1000" w:type="dxa"/>
            <w:vAlign w:val="bottom"/>
            <w:shd w:val="clear" w:color="auto" w:fill="CEFFE7"/>
          </w:tcPr>
          <w:p>
            <w:pPr>
              <w:spacing w:after="0"/>
              <w:rPr>
                <w:sz w:val="20"/>
                <w:szCs w:val="20"/>
                <w:color w:val="auto"/>
              </w:rPr>
            </w:pPr>
          </w:p>
        </w:tc>
        <w:tc>
          <w:tcPr>
            <w:tcW w:w="320" w:type="dxa"/>
            <w:vAlign w:val="bottom"/>
            <w:shd w:val="clear" w:color="auto" w:fill="CEFFE7"/>
          </w:tcPr>
          <w:p>
            <w:pPr>
              <w:spacing w:after="0"/>
              <w:rPr>
                <w:sz w:val="20"/>
                <w:szCs w:val="20"/>
                <w:color w:val="auto"/>
              </w:rPr>
            </w:pPr>
          </w:p>
        </w:tc>
        <w:tc>
          <w:tcPr>
            <w:tcW w:w="980" w:type="dxa"/>
            <w:vAlign w:val="bottom"/>
            <w:shd w:val="clear" w:color="auto" w:fill="CEFFE7"/>
          </w:tcPr>
          <w:p>
            <w:pPr>
              <w:spacing w:after="0"/>
              <w:rPr>
                <w:sz w:val="20"/>
                <w:szCs w:val="20"/>
                <w:color w:val="auto"/>
              </w:rPr>
            </w:pPr>
          </w:p>
        </w:tc>
        <w:tc>
          <w:tcPr>
            <w:tcW w:w="360" w:type="dxa"/>
            <w:vAlign w:val="bottom"/>
            <w:shd w:val="clear" w:color="auto" w:fill="CEFFE7"/>
          </w:tcPr>
          <w:p>
            <w:pPr>
              <w:spacing w:after="0"/>
              <w:rPr>
                <w:sz w:val="20"/>
                <w:szCs w:val="20"/>
                <w:color w:val="auto"/>
              </w:rPr>
            </w:pPr>
          </w:p>
        </w:tc>
        <w:tc>
          <w:tcPr>
            <w:tcW w:w="980" w:type="dxa"/>
            <w:vAlign w:val="bottom"/>
            <w:shd w:val="clear" w:color="auto" w:fill="CEFFE7"/>
          </w:tcPr>
          <w:p>
            <w:pPr>
              <w:spacing w:after="0"/>
              <w:rPr>
                <w:sz w:val="20"/>
                <w:szCs w:val="20"/>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83,689</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77,263</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170,130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159,463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10,667</w:t>
            </w:r>
          </w:p>
        </w:tc>
      </w:tr>
      <w:tr>
        <w:trPr>
          <w:trHeight w:val="217"/>
        </w:trPr>
        <w:tc>
          <w:tcPr>
            <w:tcW w:w="3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30,541</w:t>
            </w:r>
          </w:p>
        </w:tc>
        <w:tc>
          <w:tcPr>
            <w:tcW w:w="38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25,687</w:t>
            </w:r>
          </w:p>
        </w:tc>
        <w:tc>
          <w:tcPr>
            <w:tcW w:w="240" w:type="dxa"/>
            <w:vAlign w:val="bottom"/>
            <w:tcBorders>
              <w:bottom w:val="single" w:sz="8" w:color="auto"/>
            </w:tcBorders>
            <w:shd w:val="clear" w:color="auto" w:fill="CEFFE7"/>
          </w:tcPr>
          <w:p>
            <w:pPr>
              <w:spacing w:after="0"/>
              <w:rPr>
                <w:sz w:val="18"/>
                <w:szCs w:val="18"/>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4,854</w:t>
            </w:r>
          </w:p>
        </w:tc>
        <w:tc>
          <w:tcPr>
            <w:tcW w:w="3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57,225</w:t>
            </w:r>
          </w:p>
        </w:tc>
        <w:tc>
          <w:tcPr>
            <w:tcW w:w="32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50,862</w:t>
            </w:r>
          </w:p>
        </w:tc>
        <w:tc>
          <w:tcPr>
            <w:tcW w:w="3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6,363</w:t>
            </w:r>
          </w:p>
        </w:tc>
      </w:tr>
      <w:tr>
        <w:trPr>
          <w:trHeight w:val="209"/>
        </w:trPr>
        <w:tc>
          <w:tcPr>
            <w:tcW w:w="340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114,230</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102,950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11,280</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227,355</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210,325</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17,030</w:t>
            </w:r>
          </w:p>
        </w:tc>
      </w:tr>
      <w:tr>
        <w:trPr>
          <w:trHeight w:val="237"/>
        </w:trPr>
        <w:tc>
          <w:tcPr>
            <w:tcW w:w="3400" w:type="dxa"/>
            <w:vAlign w:val="bottom"/>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940" w:type="dxa"/>
            <w:vAlign w:val="bottom"/>
            <w:tcBorders>
              <w:bottom w:val="single" w:sz="8" w:color="auto"/>
            </w:tcBorders>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spacing w:after="0"/>
              <w:rPr>
                <w:sz w:val="20"/>
                <w:szCs w:val="20"/>
                <w:color w:val="auto"/>
              </w:rPr>
            </w:pPr>
          </w:p>
        </w:tc>
        <w:tc>
          <w:tcPr>
            <w:tcW w:w="32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spacing w:after="0"/>
              <w:rPr>
                <w:sz w:val="20"/>
                <w:szCs w:val="20"/>
                <w:color w:val="auto"/>
              </w:rPr>
            </w:pPr>
          </w:p>
        </w:tc>
        <w:tc>
          <w:tcPr>
            <w:tcW w:w="32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spacing w:after="0"/>
              <w:rPr>
                <w:sz w:val="20"/>
                <w:szCs w:val="20"/>
                <w:color w:val="auto"/>
              </w:rPr>
            </w:pPr>
          </w:p>
        </w:tc>
        <w:tc>
          <w:tcPr>
            <w:tcW w:w="36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spacing w:after="0"/>
              <w:rPr>
                <w:sz w:val="20"/>
                <w:szCs w:val="20"/>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28,195</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19,985</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8,210</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151,735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122,079</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29,656</w:t>
            </w: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2022 Compared to the Three Months Ended June 30,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113" w:lineRule="exact"/>
        <w:rPr>
          <w:sz w:val="20"/>
          <w:szCs w:val="20"/>
          <w:color w:val="auto"/>
        </w:rPr>
      </w:pPr>
    </w:p>
    <w:p>
      <w:pPr>
        <w:ind w:left="974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Carrying costs on Winter Storm Uri regulatory asset </w:t>
      </w:r>
      <w:r>
        <w:rPr>
          <w:rFonts w:ascii="Arial" w:cs="Arial" w:eastAsia="Arial" w:hAnsi="Arial"/>
          <w:sz w:val="21"/>
          <w:szCs w:val="21"/>
          <w:color w:val="auto"/>
          <w:vertAlign w:val="superscript"/>
        </w:rPr>
        <w:t>(a)</w:t>
      </w:r>
    </w:p>
    <w:p>
      <w:pPr>
        <w:ind w:left="20"/>
        <w:spacing w:after="0"/>
        <w:rPr>
          <w:sz w:val="20"/>
          <w:szCs w:val="20"/>
          <w:color w:val="auto"/>
        </w:rPr>
      </w:pPr>
      <w:r>
        <w:rPr>
          <w:rFonts w:ascii="Arial" w:cs="Arial" w:eastAsia="Arial" w:hAnsi="Arial"/>
          <w:sz w:val="16"/>
          <w:szCs w:val="16"/>
          <w:color w:val="auto"/>
        </w:rPr>
        <w:t>New rates and rider recovery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Current and prior year TCJA-related bill credits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Increased transportation and transmission volumes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customer growth and increased usage per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increase in Gas Utility margin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9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9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ectPr>
          <w:pgSz w:w="11900" w:h="16838" w:orient="portrait"/>
          <w:cols w:equalWidth="0" w:num="2">
            <w:col w:w="8320" w:space="720"/>
            <w:col w:w="2200"/>
          </w:cols>
          <w:pgMar w:left="320" w:top="125" w:right="339" w:bottom="1440" w:gutter="0" w:footer="0" w:header="0"/>
          <w:type w:val="continuous"/>
        </w:sectPr>
      </w:pPr>
    </w:p>
    <w:p>
      <w:pPr>
        <w:ind w:left="340" w:right="20" w:hanging="332"/>
        <w:spacing w:after="0" w:line="248" w:lineRule="auto"/>
        <w:tabs>
          <w:tab w:leader="none" w:pos="3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Commission approval to recover carrying costs on Winter Storm Uri regulatory assets which offset increased interest expense. Additionally, the carrying costs accrued during the three months ended June 30, 2022 included a one-time, $10.3 million true-up to reflect Commission authorized rates.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Condensed Consolidated Financial Statements for additional information.</w:t>
      </w:r>
    </w:p>
    <w:p>
      <w:pPr>
        <w:jc w:val="right"/>
        <w:ind w:left="340" w:right="20" w:hanging="332"/>
        <w:spacing w:after="0" w:line="264" w:lineRule="auto"/>
        <w:tabs>
          <w:tab w:leader="none" w:pos="2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June 2021, Nebraska Gas provided $2.9 million TCJA-related bill credits to its customers. For the three months ended June 30, 2022, Kansas Gas provided $0.7 million of TCJA and state tax reform bill credits to customers. These bill credits were offset by a reduction in income tax expense and resulted in an immateriall impact to Net income.</w:t>
      </w:r>
    </w:p>
    <w:p>
      <w:pPr>
        <w:spacing w:after="0" w:line="200" w:lineRule="exact"/>
        <w:rPr>
          <w:sz w:val="20"/>
          <w:szCs w:val="20"/>
          <w:color w:val="auto"/>
        </w:rPr>
      </w:pPr>
    </w:p>
    <w:p>
      <w:pPr>
        <w:spacing w:after="0" w:line="250"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outside services and materials expenses, increased bad debt expense primarily attributable to higher billings, higher cloud computing licensing costs and higher vehicle expenses due to higher fuel costs.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the Six Months Ended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113" w:lineRule="exact"/>
        <w:rPr>
          <w:sz w:val="20"/>
          <w:szCs w:val="20"/>
          <w:color w:val="auto"/>
        </w:rPr>
      </w:pPr>
    </w:p>
    <w:p>
      <w:pPr>
        <w:jc w:val="right"/>
        <w:ind w:right="70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Carrying costs on Winter Storm Uri regulatory asset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17" w:lineRule="auto"/>
        <w:rPr>
          <w:sz w:val="20"/>
          <w:szCs w:val="20"/>
          <w:color w:val="auto"/>
        </w:rPr>
      </w:pPr>
      <w:r>
        <w:rPr>
          <w:rFonts w:ascii="Arial" w:cs="Arial" w:eastAsia="Arial" w:hAnsi="Arial"/>
          <w:sz w:val="16"/>
          <w:szCs w:val="16"/>
          <w:color w:val="auto"/>
        </w:rPr>
        <w:t xml:space="preserve">Prior year Black Hills Energy Services Winter Storm Uri costs </w:t>
      </w:r>
      <w:r>
        <w:rPr>
          <w:rFonts w:ascii="Arial" w:cs="Arial" w:eastAsia="Arial" w:hAnsi="Arial"/>
          <w:sz w:val="21"/>
          <w:szCs w:val="21"/>
          <w:color w:val="auto"/>
          <w:vertAlign w:val="superscript"/>
        </w:rPr>
        <w:t>(b)</w:t>
      </w:r>
    </w:p>
    <w:p>
      <w:pPr>
        <w:ind w:left="20"/>
        <w:spacing w:after="0"/>
        <w:rPr>
          <w:sz w:val="20"/>
          <w:szCs w:val="20"/>
          <w:color w:val="auto"/>
        </w:rPr>
      </w:pPr>
      <w:r>
        <w:rPr>
          <w:rFonts w:ascii="Arial" w:cs="Arial" w:eastAsia="Arial" w:hAnsi="Arial"/>
          <w:sz w:val="16"/>
          <w:szCs w:val="16"/>
          <w:color w:val="auto"/>
        </w:rPr>
        <w:t>Residential customer growth and increased usage per customer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Increased transportation and transmission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Current and prior year TCJA-related bill credits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Weather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increase in Gas Utility margin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14.6</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1.4</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46355</wp:posOffset>
            </wp:positionV>
            <wp:extent cx="1397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p>
      <w:pPr>
        <w:jc w:val="both"/>
        <w:ind w:left="340" w:right="20" w:hanging="332"/>
        <w:spacing w:after="0" w:line="258" w:lineRule="auto"/>
        <w:tabs>
          <w:tab w:leader="none" w:pos="3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Commission approval to recover carrying costs on Winter Storm Uri regulatory assets which offset increased interest expense. Additionally, the carrying costs accrued during the six months ended June 30, 2022 included a one-time, $10.3 million true-up to reflect Commission authorized rates.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Condensed Consolidated Financial Statements for additional information.</w:t>
      </w:r>
    </w:p>
    <w:p>
      <w:pPr>
        <w:ind w:left="340" w:right="240" w:hanging="332"/>
        <w:spacing w:after="0" w:line="261" w:lineRule="auto"/>
        <w:tabs>
          <w:tab w:leader="none" w:pos="3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was not recoverable through a regulatory mechanism.</w:t>
      </w:r>
    </w:p>
    <w:p>
      <w:pPr>
        <w:ind w:left="340" w:right="20" w:hanging="332"/>
        <w:spacing w:after="0" w:line="284" w:lineRule="auto"/>
        <w:tabs>
          <w:tab w:leader="none" w:pos="22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June 2021, Nebraska Gas provided $2.9 million TCJA-related bill credits to its customers. For the three months ended June 30, 2022, Kansas Gas provided $1.5 million of TCJA and state tax reform bill credits to customers. These bill credits were offset by a reduction in income tax expense and resulted in a minimal impact to Net income.</w:t>
      </w:r>
    </w:p>
    <w:p>
      <w:pPr>
        <w:spacing w:after="0" w:line="181" w:lineRule="exact"/>
        <w:rPr>
          <w:sz w:val="20"/>
          <w:szCs w:val="20"/>
          <w:color w:val="auto"/>
        </w:rPr>
      </w:pPr>
    </w:p>
    <w:p>
      <w:pPr>
        <w:jc w:val="both"/>
        <w:ind w:right="160"/>
        <w:spacing w:after="0" w:line="275"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cloud computing licensing costs, higher outside services and materials expenses, increased bad debt expense primarily attributable to higher billings, higher vehicle expenses due to higher fuel costs and increased property taxes due to a higher asset base.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Revenue (in thousands)</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Quantities Sold and Transported (Dth)</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3"/>
          </w:tcPr>
          <w:p>
            <w:pPr>
              <w:jc w:val="right"/>
              <w:ind w:right="388"/>
              <w:spacing w:after="0" w:line="151" w:lineRule="exact"/>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3"/>
                <w:szCs w:val="13"/>
                <w:color w:val="auto"/>
              </w:rPr>
            </w:pPr>
          </w:p>
        </w:tc>
        <w:tc>
          <w:tcPr>
            <w:tcW w:w="2120" w:type="dxa"/>
            <w:vAlign w:val="bottom"/>
            <w:gridSpan w:val="4"/>
          </w:tcPr>
          <w:p>
            <w:pPr>
              <w:ind w:left="300"/>
              <w:spacing w:after="0" w:line="151" w:lineRule="exact"/>
              <w:rPr>
                <w:sz w:val="20"/>
                <w:szCs w:val="20"/>
                <w:color w:val="auto"/>
              </w:rPr>
            </w:pPr>
            <w:r>
              <w:rPr>
                <w:rFonts w:ascii="Arial" w:cs="Arial" w:eastAsia="Arial" w:hAnsi="Arial"/>
                <w:sz w:val="14"/>
                <w:szCs w:val="14"/>
                <w:color w:val="auto"/>
              </w:rPr>
              <w:t>Six Months Ended</w:t>
            </w:r>
          </w:p>
        </w:tc>
        <w:tc>
          <w:tcPr>
            <w:tcW w:w="2380" w:type="dxa"/>
            <w:vAlign w:val="bottom"/>
            <w:gridSpan w:val="2"/>
          </w:tcPr>
          <w:p>
            <w:pPr>
              <w:jc w:val="right"/>
              <w:ind w:right="508"/>
              <w:spacing w:after="0" w:line="151" w:lineRule="exact"/>
              <w:rPr>
                <w:sz w:val="20"/>
                <w:szCs w:val="20"/>
                <w:color w:val="auto"/>
              </w:rPr>
            </w:pPr>
            <w:r>
              <w:rPr>
                <w:rFonts w:ascii="Arial" w:cs="Arial" w:eastAsia="Arial" w:hAnsi="Arial"/>
                <w:sz w:val="14"/>
                <w:szCs w:val="14"/>
                <w:color w:val="auto"/>
              </w:rPr>
              <w:t>Three Months Ended</w:t>
            </w:r>
          </w:p>
        </w:tc>
        <w:tc>
          <w:tcPr>
            <w:tcW w:w="2160" w:type="dxa"/>
            <w:vAlign w:val="bottom"/>
            <w:gridSpan w:val="2"/>
          </w:tcPr>
          <w:p>
            <w:pPr>
              <w:jc w:val="right"/>
              <w:ind w:right="488"/>
              <w:spacing w:after="0" w:line="151"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June 30,</w:t>
            </w:r>
          </w:p>
        </w:tc>
        <w:tc>
          <w:tcPr>
            <w:tcW w:w="940" w:type="dxa"/>
            <w:vAlign w:val="bottom"/>
          </w:tcPr>
          <w:p>
            <w:pPr>
              <w:spacing w:after="0"/>
              <w:rPr>
                <w:sz w:val="16"/>
                <w:szCs w:val="16"/>
                <w:color w:val="auto"/>
              </w:rPr>
            </w:pPr>
          </w:p>
        </w:tc>
        <w:tc>
          <w:tcPr>
            <w:tcW w:w="2160" w:type="dxa"/>
            <w:vAlign w:val="bottom"/>
            <w:gridSpan w:val="2"/>
          </w:tcPr>
          <w:p>
            <w:pPr>
              <w:jc w:val="right"/>
              <w:ind w:right="788"/>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94"/>
        </w:trPr>
        <w:tc>
          <w:tcPr>
            <w:tcW w:w="2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EFFE7"/>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0"/>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143,127</w:t>
            </w:r>
          </w:p>
        </w:tc>
        <w:tc>
          <w:tcPr>
            <w:tcW w:w="360" w:type="dxa"/>
            <w:vAlign w:val="bottom"/>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98,370</w:t>
            </w:r>
          </w:p>
        </w:tc>
        <w:tc>
          <w:tcPr>
            <w:tcW w:w="26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519,171</w:t>
            </w:r>
          </w:p>
        </w:tc>
        <w:tc>
          <w:tcPr>
            <w:tcW w:w="36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332,767</w:t>
            </w:r>
          </w:p>
        </w:tc>
        <w:tc>
          <w:tcPr>
            <w:tcW w:w="100" w:type="dxa"/>
            <w:vAlign w:val="bottom"/>
            <w:shd w:val="clear" w:color="auto" w:fill="CEFFE7"/>
          </w:tcPr>
          <w:p>
            <w:pPr>
              <w:spacing w:after="0"/>
              <w:rPr>
                <w:sz w:val="17"/>
                <w:szCs w:val="17"/>
                <w:color w:val="auto"/>
              </w:rPr>
            </w:pPr>
          </w:p>
        </w:tc>
        <w:tc>
          <w:tcPr>
            <w:tcW w:w="14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8,523,755</w:t>
            </w:r>
          </w:p>
        </w:tc>
        <w:tc>
          <w:tcPr>
            <w:tcW w:w="94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8,575,051</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40,338,005</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39,143,789</w:t>
            </w:r>
          </w:p>
        </w:tc>
        <w:tc>
          <w:tcPr>
            <w:tcW w:w="0" w:type="dxa"/>
            <w:vAlign w:val="bottom"/>
          </w:tcPr>
          <w:p>
            <w:pPr>
              <w:spacing w:after="0"/>
              <w:rPr>
                <w:sz w:val="1"/>
                <w:szCs w:val="1"/>
                <w:color w:val="auto"/>
              </w:rPr>
            </w:pPr>
          </w:p>
        </w:tc>
      </w:tr>
      <w:tr>
        <w:trPr>
          <w:trHeight w:val="199"/>
        </w:trPr>
        <w:tc>
          <w:tcPr>
            <w:tcW w:w="20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61,182</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36,888</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219,824</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127,977</w:t>
            </w:r>
          </w:p>
        </w:tc>
        <w:tc>
          <w:tcPr>
            <w:tcW w:w="100" w:type="dxa"/>
            <w:vAlign w:val="bottom"/>
          </w:tcPr>
          <w:p>
            <w:pPr>
              <w:spacing w:after="0"/>
              <w:rPr>
                <w:sz w:val="17"/>
                <w:szCs w:val="17"/>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4,499,245</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4,493,931</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19,130,948</w:t>
            </w:r>
          </w:p>
        </w:tc>
        <w:tc>
          <w:tcPr>
            <w:tcW w:w="960" w:type="dxa"/>
            <w:vAlign w:val="bottom"/>
          </w:tcPr>
          <w:p>
            <w:pPr>
              <w:jc w:val="right"/>
              <w:spacing w:after="0"/>
              <w:rPr>
                <w:sz w:val="20"/>
                <w:szCs w:val="20"/>
                <w:color w:val="auto"/>
              </w:rPr>
            </w:pPr>
            <w:r>
              <w:rPr>
                <w:rFonts w:ascii="Arial" w:cs="Arial" w:eastAsia="Arial" w:hAnsi="Arial"/>
                <w:sz w:val="14"/>
                <w:szCs w:val="14"/>
                <w:color w:val="auto"/>
              </w:rPr>
              <w:t>18,306,252</w:t>
            </w:r>
          </w:p>
        </w:tc>
        <w:tc>
          <w:tcPr>
            <w:tcW w:w="0" w:type="dxa"/>
            <w:vAlign w:val="bottom"/>
          </w:tcPr>
          <w:p>
            <w:pPr>
              <w:spacing w:after="0"/>
              <w:rPr>
                <w:sz w:val="1"/>
                <w:szCs w:val="1"/>
                <w:color w:val="auto"/>
              </w:rPr>
            </w:pPr>
          </w:p>
        </w:tc>
      </w:tr>
      <w:tr>
        <w:trPr>
          <w:trHeight w:val="206"/>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Industrial</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16,875</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5,811</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26,113</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10,713</w:t>
            </w:r>
          </w:p>
        </w:tc>
        <w:tc>
          <w:tcPr>
            <w:tcW w:w="100" w:type="dxa"/>
            <w:vAlign w:val="bottom"/>
            <w:shd w:val="clear" w:color="auto" w:fill="CEFFE7"/>
          </w:tcPr>
          <w:p>
            <w:pPr>
              <w:spacing w:after="0"/>
              <w:rPr>
                <w:sz w:val="17"/>
                <w:szCs w:val="17"/>
                <w:color w:val="auto"/>
              </w:rPr>
            </w:pPr>
          </w:p>
        </w:tc>
        <w:tc>
          <w:tcPr>
            <w:tcW w:w="14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2,150,532</w:t>
            </w:r>
          </w:p>
        </w:tc>
        <w:tc>
          <w:tcPr>
            <w:tcW w:w="94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1,337,672</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3,315,115</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2,235,961</w:t>
            </w:r>
          </w:p>
        </w:tc>
        <w:tc>
          <w:tcPr>
            <w:tcW w:w="0" w:type="dxa"/>
            <w:vAlign w:val="bottom"/>
          </w:tcPr>
          <w:p>
            <w:pPr>
              <w:spacing w:after="0"/>
              <w:rPr>
                <w:sz w:val="1"/>
                <w:szCs w:val="1"/>
                <w:color w:val="auto"/>
              </w:rPr>
            </w:pPr>
          </w:p>
        </w:tc>
      </w:tr>
      <w:tr>
        <w:trPr>
          <w:trHeight w:val="198"/>
        </w:trPr>
        <w:tc>
          <w:tcPr>
            <w:tcW w:w="20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5,072</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EFFE7"/>
            </w:tcBorders>
          </w:tcPr>
          <w:p>
            <w:pPr>
              <w:spacing w:after="0"/>
              <w:rPr>
                <w:sz w:val="17"/>
                <w:szCs w:val="17"/>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6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Total Distribution</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223,483</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140,651</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770,179</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470,567</w:t>
            </w:r>
          </w:p>
        </w:tc>
        <w:tc>
          <w:tcPr>
            <w:tcW w:w="100" w:type="dxa"/>
            <w:vAlign w:val="bottom"/>
            <w:shd w:val="clear" w:color="auto" w:fill="CEFFE7"/>
          </w:tcPr>
          <w:p>
            <w:pPr>
              <w:spacing w:after="0"/>
              <w:rPr>
                <w:sz w:val="17"/>
                <w:szCs w:val="17"/>
                <w:color w:val="auto"/>
              </w:rPr>
            </w:pPr>
          </w:p>
        </w:tc>
        <w:tc>
          <w:tcPr>
            <w:tcW w:w="14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15,173,532</w:t>
            </w:r>
          </w:p>
        </w:tc>
        <w:tc>
          <w:tcPr>
            <w:tcW w:w="94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14,406,654</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62,784,068</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59,686,002</w:t>
            </w:r>
          </w:p>
        </w:tc>
        <w:tc>
          <w:tcPr>
            <w:tcW w:w="0" w:type="dxa"/>
            <w:vAlign w:val="bottom"/>
          </w:tcPr>
          <w:p>
            <w:pPr>
              <w:spacing w:after="0"/>
              <w:rPr>
                <w:sz w:val="1"/>
                <w:szCs w:val="1"/>
                <w:color w:val="auto"/>
              </w:rPr>
            </w:pPr>
          </w:p>
        </w:tc>
      </w:tr>
      <w:tr>
        <w:trPr>
          <w:trHeight w:val="153"/>
        </w:trPr>
        <w:tc>
          <w:tcPr>
            <w:tcW w:w="2060" w:type="dxa"/>
            <w:vAlign w:val="bottom"/>
          </w:tcPr>
          <w:p>
            <w:pPr>
              <w:ind w:left="20"/>
              <w:spacing w:after="0" w:line="153" w:lineRule="exact"/>
              <w:rPr>
                <w:sz w:val="20"/>
                <w:szCs w:val="20"/>
                <w:color w:val="auto"/>
              </w:rPr>
            </w:pPr>
            <w:r>
              <w:rPr>
                <w:rFonts w:ascii="Arial" w:cs="Arial" w:eastAsia="Arial" w:hAnsi="Arial"/>
                <w:sz w:val="14"/>
                <w:szCs w:val="14"/>
                <w:color w:val="auto"/>
              </w:rPr>
              <w:t>Transportation and</w:t>
            </w:r>
          </w:p>
        </w:tc>
        <w:tc>
          <w:tcPr>
            <w:tcW w:w="2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34,865</w:t>
            </w:r>
          </w:p>
        </w:tc>
        <w:tc>
          <w:tcPr>
            <w:tcW w:w="3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31,814</w:t>
            </w: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84,627</w:t>
            </w:r>
          </w:p>
        </w:tc>
        <w:tc>
          <w:tcPr>
            <w:tcW w:w="36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79,975</w:t>
            </w:r>
          </w:p>
        </w:tc>
        <w:tc>
          <w:tcPr>
            <w:tcW w:w="100" w:type="dxa"/>
            <w:vAlign w:val="bottom"/>
          </w:tcPr>
          <w:p>
            <w:pPr>
              <w:spacing w:after="0"/>
              <w:rPr>
                <w:sz w:val="13"/>
                <w:szCs w:val="13"/>
                <w:color w:val="auto"/>
              </w:rPr>
            </w:pPr>
          </w:p>
        </w:tc>
        <w:tc>
          <w:tcPr>
            <w:tcW w:w="1440" w:type="dxa"/>
            <w:vAlign w:val="bottom"/>
            <w:vMerge w:val="restart"/>
          </w:tcPr>
          <w:p>
            <w:pPr>
              <w:jc w:val="right"/>
              <w:ind w:right="288"/>
              <w:spacing w:after="0"/>
              <w:rPr>
                <w:sz w:val="20"/>
                <w:szCs w:val="20"/>
                <w:color w:val="auto"/>
              </w:rPr>
            </w:pPr>
            <w:r>
              <w:rPr>
                <w:rFonts w:ascii="Arial" w:cs="Arial" w:eastAsia="Arial" w:hAnsi="Arial"/>
                <w:sz w:val="14"/>
                <w:szCs w:val="14"/>
                <w:color w:val="auto"/>
              </w:rPr>
              <w:t>37,623,610</w:t>
            </w: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34,074,214</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auto"/>
              </w:rPr>
              <w:t>82,668,813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79,388,652</w:t>
            </w:r>
          </w:p>
        </w:tc>
        <w:tc>
          <w:tcPr>
            <w:tcW w:w="0" w:type="dxa"/>
            <w:vAlign w:val="bottom"/>
          </w:tcPr>
          <w:p>
            <w:pPr>
              <w:spacing w:after="0"/>
              <w:rPr>
                <w:sz w:val="1"/>
                <w:szCs w:val="1"/>
                <w:color w:val="auto"/>
              </w:rPr>
            </w:pPr>
          </w:p>
        </w:tc>
      </w:tr>
      <w:tr>
        <w:trPr>
          <w:trHeight w:val="185"/>
        </w:trPr>
        <w:tc>
          <w:tcPr>
            <w:tcW w:w="20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Transmission</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EFFE7"/>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6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Total Regulated</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258,349</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172,465</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854,807</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550,542</w:t>
            </w:r>
          </w:p>
        </w:tc>
        <w:tc>
          <w:tcPr>
            <w:tcW w:w="100" w:type="dxa"/>
            <w:vAlign w:val="bottom"/>
            <w:shd w:val="clear" w:color="auto" w:fill="CEFFE7"/>
          </w:tcPr>
          <w:p>
            <w:pPr>
              <w:spacing w:after="0"/>
              <w:rPr>
                <w:sz w:val="17"/>
                <w:szCs w:val="17"/>
                <w:color w:val="auto"/>
              </w:rPr>
            </w:pPr>
          </w:p>
        </w:tc>
        <w:tc>
          <w:tcPr>
            <w:tcW w:w="1440" w:type="dxa"/>
            <w:vAlign w:val="bottom"/>
            <w:shd w:val="clear" w:color="auto" w:fill="CEFFE7"/>
          </w:tcPr>
          <w:p>
            <w:pPr>
              <w:jc w:val="right"/>
              <w:ind w:right="288"/>
              <w:spacing w:after="0"/>
              <w:rPr>
                <w:sz w:val="20"/>
                <w:szCs w:val="20"/>
                <w:color w:val="auto"/>
              </w:rPr>
            </w:pPr>
            <w:r>
              <w:rPr>
                <w:rFonts w:ascii="Arial" w:cs="Arial" w:eastAsia="Arial" w:hAnsi="Arial"/>
                <w:sz w:val="14"/>
                <w:szCs w:val="14"/>
                <w:color w:val="auto"/>
              </w:rPr>
              <w:t>52,797,142</w:t>
            </w:r>
          </w:p>
        </w:tc>
        <w:tc>
          <w:tcPr>
            <w:tcW w:w="94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48,480,868</w:t>
            </w:r>
          </w:p>
        </w:tc>
        <w:tc>
          <w:tcPr>
            <w:tcW w:w="120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145,452,881</w:t>
            </w: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139,074,654</w:t>
            </w:r>
          </w:p>
        </w:tc>
        <w:tc>
          <w:tcPr>
            <w:tcW w:w="0" w:type="dxa"/>
            <w:vAlign w:val="bottom"/>
          </w:tcPr>
          <w:p>
            <w:pPr>
              <w:spacing w:after="0"/>
              <w:rPr>
                <w:sz w:val="1"/>
                <w:szCs w:val="1"/>
                <w:color w:val="auto"/>
              </w:rPr>
            </w:pPr>
          </w:p>
        </w:tc>
      </w:tr>
      <w:tr>
        <w:trPr>
          <w:trHeight w:val="198"/>
        </w:trPr>
        <w:tc>
          <w:tcPr>
            <w:tcW w:w="206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Non-regulated Services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40,755</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38,027</w:t>
            </w:r>
          </w:p>
        </w:tc>
        <w:tc>
          <w:tcPr>
            <w:tcW w:w="100" w:type="dxa"/>
            <w:vAlign w:val="bottom"/>
            <w:tcBorders>
              <w:bottom w:val="single" w:sz="8" w:color="CEFFE7"/>
            </w:tcBorders>
          </w:tcPr>
          <w:p>
            <w:pPr>
              <w:spacing w:after="0"/>
              <w:rPr>
                <w:sz w:val="17"/>
                <w:szCs w:val="17"/>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060" w:type="dxa"/>
            <w:vAlign w:val="bottom"/>
            <w:shd w:val="clear" w:color="auto" w:fill="CEFFE7"/>
          </w:tcPr>
          <w:p>
            <w:pPr>
              <w:ind w:left="220"/>
              <w:spacing w:after="0" w:line="137" w:lineRule="exact"/>
              <w:rPr>
                <w:sz w:val="20"/>
                <w:szCs w:val="20"/>
                <w:color w:val="auto"/>
              </w:rPr>
            </w:pPr>
            <w:r>
              <w:rPr>
                <w:rFonts w:ascii="Arial" w:cs="Arial" w:eastAsia="Arial" w:hAnsi="Arial"/>
                <w:sz w:val="14"/>
                <w:szCs w:val="14"/>
                <w:color w:val="auto"/>
              </w:rPr>
              <w:t>Total Revenue and</w:t>
            </w:r>
          </w:p>
        </w:tc>
        <w:tc>
          <w:tcPr>
            <w:tcW w:w="260" w:type="dxa"/>
            <w:vAlign w:val="bottom"/>
            <w:vMerge w:val="restart"/>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274,169</w:t>
            </w:r>
          </w:p>
        </w:tc>
        <w:tc>
          <w:tcPr>
            <w:tcW w:w="360" w:type="dxa"/>
            <w:vAlign w:val="bottom"/>
            <w:vMerge w:val="restart"/>
            <w:shd w:val="clear" w:color="auto" w:fill="CEFFE7"/>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186,050</w:t>
            </w:r>
          </w:p>
        </w:tc>
        <w:tc>
          <w:tcPr>
            <w:tcW w:w="260" w:type="dxa"/>
            <w:vAlign w:val="bottom"/>
            <w:vMerge w:val="restart"/>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895,561</w:t>
            </w:r>
          </w:p>
        </w:tc>
        <w:tc>
          <w:tcPr>
            <w:tcW w:w="360" w:type="dxa"/>
            <w:vAlign w:val="bottom"/>
            <w:vMerge w:val="restart"/>
            <w:shd w:val="clear" w:color="auto" w:fill="CEFFE7"/>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EFFE7"/>
          </w:tcPr>
          <w:p>
            <w:pPr>
              <w:jc w:val="right"/>
              <w:ind w:right="8"/>
              <w:spacing w:after="0"/>
              <w:rPr>
                <w:sz w:val="20"/>
                <w:szCs w:val="20"/>
                <w:color w:val="auto"/>
              </w:rPr>
            </w:pPr>
            <w:r>
              <w:rPr>
                <w:rFonts w:ascii="Arial" w:cs="Arial" w:eastAsia="Arial" w:hAnsi="Arial"/>
                <w:sz w:val="14"/>
                <w:szCs w:val="14"/>
                <w:color w:val="auto"/>
              </w:rPr>
              <w:t>588,569</w:t>
            </w:r>
          </w:p>
        </w:tc>
        <w:tc>
          <w:tcPr>
            <w:tcW w:w="100" w:type="dxa"/>
            <w:vAlign w:val="bottom"/>
            <w:shd w:val="clear" w:color="auto" w:fill="CEFFE7"/>
          </w:tcPr>
          <w:p>
            <w:pPr>
              <w:spacing w:after="0"/>
              <w:rPr>
                <w:sz w:val="11"/>
                <w:szCs w:val="11"/>
                <w:color w:val="auto"/>
              </w:rPr>
            </w:pPr>
          </w:p>
        </w:tc>
        <w:tc>
          <w:tcPr>
            <w:tcW w:w="1440" w:type="dxa"/>
            <w:vAlign w:val="bottom"/>
            <w:vMerge w:val="restart"/>
            <w:shd w:val="clear" w:color="auto" w:fill="CEFFE7"/>
          </w:tcPr>
          <w:p>
            <w:pPr>
              <w:jc w:val="right"/>
              <w:ind w:right="288"/>
              <w:spacing w:after="0"/>
              <w:rPr>
                <w:sz w:val="20"/>
                <w:szCs w:val="20"/>
                <w:color w:val="auto"/>
              </w:rPr>
            </w:pPr>
            <w:r>
              <w:rPr>
                <w:rFonts w:ascii="Arial" w:cs="Arial" w:eastAsia="Arial" w:hAnsi="Arial"/>
                <w:sz w:val="14"/>
                <w:szCs w:val="14"/>
                <w:color w:val="auto"/>
              </w:rPr>
              <w:t>52,797,142</w:t>
            </w:r>
          </w:p>
        </w:tc>
        <w:tc>
          <w:tcPr>
            <w:tcW w:w="940" w:type="dxa"/>
            <w:vAlign w:val="bottom"/>
            <w:vMerge w:val="restart"/>
            <w:shd w:val="clear" w:color="auto" w:fill="CEFFE7"/>
          </w:tcPr>
          <w:p>
            <w:pPr>
              <w:jc w:val="right"/>
              <w:ind w:right="108"/>
              <w:spacing w:after="0"/>
              <w:rPr>
                <w:sz w:val="20"/>
                <w:szCs w:val="20"/>
                <w:color w:val="auto"/>
              </w:rPr>
            </w:pPr>
            <w:r>
              <w:rPr>
                <w:rFonts w:ascii="Arial" w:cs="Arial" w:eastAsia="Arial" w:hAnsi="Arial"/>
                <w:sz w:val="14"/>
                <w:szCs w:val="14"/>
                <w:color w:val="auto"/>
              </w:rPr>
              <w:t>48,480,868</w:t>
            </w:r>
          </w:p>
        </w:tc>
        <w:tc>
          <w:tcPr>
            <w:tcW w:w="1200" w:type="dxa"/>
            <w:vAlign w:val="bottom"/>
            <w:vMerge w:val="restart"/>
            <w:shd w:val="clear" w:color="auto" w:fill="CEFFE7"/>
          </w:tcPr>
          <w:p>
            <w:pPr>
              <w:jc w:val="right"/>
              <w:ind w:right="168"/>
              <w:spacing w:after="0"/>
              <w:rPr>
                <w:sz w:val="20"/>
                <w:szCs w:val="20"/>
                <w:color w:val="auto"/>
              </w:rPr>
            </w:pPr>
            <w:r>
              <w:rPr>
                <w:rFonts w:ascii="Arial" w:cs="Arial" w:eastAsia="Arial" w:hAnsi="Arial"/>
                <w:sz w:val="14"/>
                <w:szCs w:val="14"/>
                <w:color w:val="auto"/>
              </w:rPr>
              <w:t>145,452,881</w:t>
            </w:r>
          </w:p>
        </w:tc>
        <w:tc>
          <w:tcPr>
            <w:tcW w:w="960" w:type="dxa"/>
            <w:vAlign w:val="bottom"/>
            <w:vMerge w:val="restart"/>
            <w:shd w:val="clear" w:color="auto" w:fill="CEFFE7"/>
          </w:tcPr>
          <w:p>
            <w:pPr>
              <w:jc w:val="right"/>
              <w:spacing w:after="0"/>
              <w:rPr>
                <w:sz w:val="20"/>
                <w:szCs w:val="20"/>
                <w:color w:val="auto"/>
              </w:rPr>
            </w:pPr>
            <w:r>
              <w:rPr>
                <w:rFonts w:ascii="Arial" w:cs="Arial" w:eastAsia="Arial" w:hAnsi="Arial"/>
                <w:sz w:val="14"/>
                <w:szCs w:val="14"/>
                <w:color w:val="auto"/>
              </w:rPr>
              <w:t>139,074,654</w:t>
            </w:r>
          </w:p>
        </w:tc>
        <w:tc>
          <w:tcPr>
            <w:tcW w:w="0" w:type="dxa"/>
            <w:vAlign w:val="bottom"/>
          </w:tcPr>
          <w:p>
            <w:pPr>
              <w:spacing w:after="0"/>
              <w:rPr>
                <w:sz w:val="1"/>
                <w:szCs w:val="1"/>
                <w:color w:val="auto"/>
              </w:rPr>
            </w:pPr>
          </w:p>
        </w:tc>
      </w:tr>
      <w:tr>
        <w:trPr>
          <w:trHeight w:val="178"/>
        </w:trPr>
        <w:tc>
          <w:tcPr>
            <w:tcW w:w="2060" w:type="dxa"/>
            <w:vAlign w:val="bottom"/>
            <w:tcBorders>
              <w:bottom w:val="single" w:sz="8" w:color="CEFFE7"/>
            </w:tcBorders>
            <w:shd w:val="clear" w:color="auto" w:fill="CEFFE7"/>
          </w:tcPr>
          <w:p>
            <w:pPr>
              <w:ind w:left="220"/>
              <w:spacing w:after="0" w:line="158" w:lineRule="exact"/>
              <w:rPr>
                <w:sz w:val="20"/>
                <w:szCs w:val="20"/>
                <w:color w:val="auto"/>
              </w:rPr>
            </w:pPr>
            <w:r>
              <w:rPr>
                <w:rFonts w:ascii="Arial" w:cs="Arial" w:eastAsia="Arial" w:hAnsi="Arial"/>
                <w:sz w:val="14"/>
                <w:szCs w:val="14"/>
                <w:color w:val="auto"/>
              </w:rPr>
              <w:t>Quantities Sold</w:t>
            </w:r>
          </w:p>
        </w:tc>
        <w:tc>
          <w:tcPr>
            <w:tcW w:w="260" w:type="dxa"/>
            <w:vAlign w:val="bottom"/>
            <w:tcBorders>
              <w:bottom w:val="single" w:sz="8" w:color="auto"/>
            </w:tcBorders>
            <w:vMerge w:val="continue"/>
            <w:shd w:val="clear" w:color="auto" w:fill="CEFFE7"/>
          </w:tcPr>
          <w:p>
            <w:pPr>
              <w:spacing w:after="0"/>
              <w:rPr>
                <w:sz w:val="15"/>
                <w:szCs w:val="15"/>
                <w:color w:val="auto"/>
              </w:rPr>
            </w:pPr>
          </w:p>
        </w:tc>
        <w:tc>
          <w:tcPr>
            <w:tcW w:w="840" w:type="dxa"/>
            <w:vAlign w:val="bottom"/>
            <w:tcBorders>
              <w:bottom w:val="single" w:sz="8" w:color="auto"/>
            </w:tcBorders>
            <w:vMerge w:val="continue"/>
            <w:shd w:val="clear" w:color="auto" w:fill="CEFFE7"/>
          </w:tcPr>
          <w:p>
            <w:pPr>
              <w:spacing w:after="0"/>
              <w:rPr>
                <w:sz w:val="15"/>
                <w:szCs w:val="15"/>
                <w:color w:val="auto"/>
              </w:rPr>
            </w:pPr>
          </w:p>
        </w:tc>
        <w:tc>
          <w:tcPr>
            <w:tcW w:w="360" w:type="dxa"/>
            <w:vAlign w:val="bottom"/>
            <w:tcBorders>
              <w:bottom w:val="single" w:sz="8" w:color="auto"/>
            </w:tcBorders>
            <w:vMerge w:val="continue"/>
            <w:shd w:val="clear" w:color="auto" w:fill="CEFFE7"/>
          </w:tcPr>
          <w:p>
            <w:pPr>
              <w:spacing w:after="0"/>
              <w:rPr>
                <w:sz w:val="15"/>
                <w:szCs w:val="15"/>
                <w:color w:val="auto"/>
              </w:rPr>
            </w:pPr>
          </w:p>
        </w:tc>
        <w:tc>
          <w:tcPr>
            <w:tcW w:w="800" w:type="dxa"/>
            <w:vAlign w:val="bottom"/>
            <w:tcBorders>
              <w:bottom w:val="single" w:sz="8" w:color="auto"/>
            </w:tcBorders>
            <w:vMerge w:val="continue"/>
            <w:shd w:val="clear" w:color="auto" w:fill="CEFFE7"/>
          </w:tcPr>
          <w:p>
            <w:pPr>
              <w:spacing w:after="0"/>
              <w:rPr>
                <w:sz w:val="15"/>
                <w:szCs w:val="15"/>
                <w:color w:val="auto"/>
              </w:rPr>
            </w:pPr>
          </w:p>
        </w:tc>
        <w:tc>
          <w:tcPr>
            <w:tcW w:w="260" w:type="dxa"/>
            <w:vAlign w:val="bottom"/>
            <w:tcBorders>
              <w:bottom w:val="single" w:sz="8" w:color="auto"/>
            </w:tcBorders>
            <w:vMerge w:val="continue"/>
            <w:shd w:val="clear" w:color="auto" w:fill="CEFFE7"/>
          </w:tcPr>
          <w:p>
            <w:pPr>
              <w:spacing w:after="0"/>
              <w:rPr>
                <w:sz w:val="15"/>
                <w:szCs w:val="15"/>
                <w:color w:val="auto"/>
              </w:rPr>
            </w:pPr>
          </w:p>
        </w:tc>
        <w:tc>
          <w:tcPr>
            <w:tcW w:w="860" w:type="dxa"/>
            <w:vAlign w:val="bottom"/>
            <w:tcBorders>
              <w:bottom w:val="single" w:sz="8" w:color="auto"/>
            </w:tcBorders>
            <w:vMerge w:val="continue"/>
            <w:shd w:val="clear" w:color="auto" w:fill="CEFFE7"/>
          </w:tcPr>
          <w:p>
            <w:pPr>
              <w:spacing w:after="0"/>
              <w:rPr>
                <w:sz w:val="15"/>
                <w:szCs w:val="15"/>
                <w:color w:val="auto"/>
              </w:rPr>
            </w:pPr>
          </w:p>
        </w:tc>
        <w:tc>
          <w:tcPr>
            <w:tcW w:w="360" w:type="dxa"/>
            <w:vAlign w:val="bottom"/>
            <w:tcBorders>
              <w:bottom w:val="single" w:sz="8" w:color="auto"/>
            </w:tcBorders>
            <w:vMerge w:val="continue"/>
            <w:shd w:val="clear" w:color="auto" w:fill="CEFFE7"/>
          </w:tcPr>
          <w:p>
            <w:pPr>
              <w:spacing w:after="0"/>
              <w:rPr>
                <w:sz w:val="15"/>
                <w:szCs w:val="15"/>
                <w:color w:val="auto"/>
              </w:rPr>
            </w:pPr>
          </w:p>
        </w:tc>
        <w:tc>
          <w:tcPr>
            <w:tcW w:w="800" w:type="dxa"/>
            <w:vAlign w:val="bottom"/>
            <w:tcBorders>
              <w:bottom w:val="single" w:sz="8" w:color="auto"/>
            </w:tcBorders>
            <w:vMerge w:val="continue"/>
            <w:shd w:val="clear" w:color="auto" w:fill="CEFFE7"/>
          </w:tcPr>
          <w:p>
            <w:pPr>
              <w:spacing w:after="0"/>
              <w:rPr>
                <w:sz w:val="15"/>
                <w:szCs w:val="15"/>
                <w:color w:val="auto"/>
              </w:rPr>
            </w:pPr>
          </w:p>
        </w:tc>
        <w:tc>
          <w:tcPr>
            <w:tcW w:w="100" w:type="dxa"/>
            <w:vAlign w:val="bottom"/>
            <w:tcBorders>
              <w:bottom w:val="single" w:sz="8" w:color="CEFFE7"/>
            </w:tcBorders>
            <w:shd w:val="clear" w:color="auto" w:fill="CEFFE7"/>
          </w:tcPr>
          <w:p>
            <w:pPr>
              <w:spacing w:after="0"/>
              <w:rPr>
                <w:sz w:val="15"/>
                <w:szCs w:val="15"/>
                <w:color w:val="auto"/>
              </w:rPr>
            </w:pPr>
          </w:p>
        </w:tc>
        <w:tc>
          <w:tcPr>
            <w:tcW w:w="1440" w:type="dxa"/>
            <w:vAlign w:val="bottom"/>
            <w:tcBorders>
              <w:bottom w:val="single" w:sz="8" w:color="auto"/>
            </w:tcBorders>
            <w:vMerge w:val="continue"/>
            <w:shd w:val="clear" w:color="auto" w:fill="CEFFE7"/>
          </w:tcPr>
          <w:p>
            <w:pPr>
              <w:spacing w:after="0"/>
              <w:rPr>
                <w:sz w:val="15"/>
                <w:szCs w:val="15"/>
                <w:color w:val="auto"/>
              </w:rPr>
            </w:pPr>
          </w:p>
        </w:tc>
        <w:tc>
          <w:tcPr>
            <w:tcW w:w="940" w:type="dxa"/>
            <w:vAlign w:val="bottom"/>
            <w:tcBorders>
              <w:bottom w:val="single" w:sz="8" w:color="auto"/>
            </w:tcBorders>
            <w:vMerge w:val="continue"/>
            <w:shd w:val="clear" w:color="auto" w:fill="CEFFE7"/>
          </w:tcPr>
          <w:p>
            <w:pPr>
              <w:spacing w:after="0"/>
              <w:rPr>
                <w:sz w:val="15"/>
                <w:szCs w:val="15"/>
                <w:color w:val="auto"/>
              </w:rPr>
            </w:pPr>
          </w:p>
        </w:tc>
        <w:tc>
          <w:tcPr>
            <w:tcW w:w="1200" w:type="dxa"/>
            <w:vAlign w:val="bottom"/>
            <w:tcBorders>
              <w:bottom w:val="single" w:sz="8" w:color="auto"/>
            </w:tcBorders>
            <w:vMerge w:val="continue"/>
            <w:shd w:val="clear" w:color="auto" w:fill="CEFFE7"/>
          </w:tcPr>
          <w:p>
            <w:pPr>
              <w:spacing w:after="0"/>
              <w:rPr>
                <w:sz w:val="15"/>
                <w:szCs w:val="15"/>
                <w:color w:val="auto"/>
              </w:rPr>
            </w:pPr>
          </w:p>
        </w:tc>
        <w:tc>
          <w:tcPr>
            <w:tcW w:w="960" w:type="dxa"/>
            <w:vAlign w:val="bottom"/>
            <w:tcBorders>
              <w:bottom w:val="single" w:sz="8" w:color="auto"/>
            </w:tcBorders>
            <w:vMerge w:val="continue"/>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color w:val="auto"/>
              </w:rPr>
              <w:t>Revenue (in thousands)</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Quantities Sold &amp; Transported (Dth)</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gridSpan w:val="3"/>
          </w:tcPr>
          <w:p>
            <w:pPr>
              <w:jc w:val="right"/>
              <w:ind w:right="368"/>
              <w:spacing w:after="0" w:line="151" w:lineRule="exact"/>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3"/>
                <w:szCs w:val="13"/>
                <w:color w:val="auto"/>
              </w:rPr>
            </w:pPr>
          </w:p>
        </w:tc>
        <w:tc>
          <w:tcPr>
            <w:tcW w:w="2120" w:type="dxa"/>
            <w:vAlign w:val="bottom"/>
            <w:gridSpan w:val="4"/>
          </w:tcPr>
          <w:p>
            <w:pPr>
              <w:ind w:left="300"/>
              <w:spacing w:after="0" w:line="151" w:lineRule="exact"/>
              <w:rPr>
                <w:sz w:val="20"/>
                <w:szCs w:val="20"/>
                <w:color w:val="auto"/>
              </w:rPr>
            </w:pPr>
            <w:r>
              <w:rPr>
                <w:rFonts w:ascii="Arial" w:cs="Arial" w:eastAsia="Arial" w:hAnsi="Arial"/>
                <w:sz w:val="14"/>
                <w:szCs w:val="14"/>
                <w:color w:val="auto"/>
              </w:rPr>
              <w:t>Six Months Ended</w:t>
            </w:r>
          </w:p>
        </w:tc>
        <w:tc>
          <w:tcPr>
            <w:tcW w:w="2380" w:type="dxa"/>
            <w:vAlign w:val="bottom"/>
            <w:gridSpan w:val="2"/>
          </w:tcPr>
          <w:p>
            <w:pPr>
              <w:jc w:val="right"/>
              <w:ind w:right="508"/>
              <w:spacing w:after="0" w:line="151" w:lineRule="exact"/>
              <w:rPr>
                <w:sz w:val="20"/>
                <w:szCs w:val="20"/>
                <w:color w:val="auto"/>
              </w:rPr>
            </w:pPr>
            <w:r>
              <w:rPr>
                <w:rFonts w:ascii="Arial" w:cs="Arial" w:eastAsia="Arial" w:hAnsi="Arial"/>
                <w:sz w:val="14"/>
                <w:szCs w:val="14"/>
                <w:color w:val="auto"/>
              </w:rPr>
              <w:t>Three Months Ended</w:t>
            </w:r>
          </w:p>
        </w:tc>
        <w:tc>
          <w:tcPr>
            <w:tcW w:w="2160" w:type="dxa"/>
            <w:vAlign w:val="bottom"/>
            <w:gridSpan w:val="2"/>
          </w:tcPr>
          <w:p>
            <w:pPr>
              <w:jc w:val="right"/>
              <w:ind w:right="488"/>
              <w:spacing w:after="0" w:line="151" w:lineRule="exact"/>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jc w:val="right"/>
              <w:ind w:right="888"/>
              <w:spacing w:after="0"/>
              <w:rPr>
                <w:sz w:val="20"/>
                <w:szCs w:val="20"/>
                <w:color w:val="auto"/>
              </w:rPr>
            </w:pPr>
            <w:r>
              <w:rPr>
                <w:rFonts w:ascii="Arial" w:cs="Arial" w:eastAsia="Arial" w:hAnsi="Arial"/>
                <w:sz w:val="14"/>
                <w:szCs w:val="14"/>
                <w:color w:val="auto"/>
              </w:rPr>
              <w:t>June 30,</w:t>
            </w:r>
          </w:p>
        </w:tc>
        <w:tc>
          <w:tcPr>
            <w:tcW w:w="2160" w:type="dxa"/>
            <w:vAlign w:val="bottom"/>
            <w:gridSpan w:val="2"/>
          </w:tcPr>
          <w:p>
            <w:pPr>
              <w:jc w:val="right"/>
              <w:ind w:right="788"/>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94"/>
        </w:trPr>
        <w:tc>
          <w:tcPr>
            <w:tcW w:w="2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2022</w:t>
            </w:r>
          </w:p>
        </w:tc>
        <w:tc>
          <w:tcPr>
            <w:tcW w:w="12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2021</w:t>
            </w: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2022</w:t>
            </w: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2060" w:type="dxa"/>
            <w:vAlign w:val="bottom"/>
          </w:tcPr>
          <w:p>
            <w:pPr>
              <w:ind w:left="20"/>
              <w:spacing w:after="0"/>
              <w:rPr>
                <w:sz w:val="20"/>
                <w:szCs w:val="20"/>
                <w:color w:val="auto"/>
              </w:rPr>
            </w:pPr>
            <w:r>
              <w:rPr>
                <w:rFonts w:ascii="Arial" w:cs="Arial" w:eastAsia="Arial" w:hAnsi="Arial"/>
                <w:sz w:val="14"/>
                <w:szCs w:val="14"/>
                <w:color w:val="auto"/>
              </w:rPr>
              <w:t>Arkansas Gas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51,815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32,994</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179,624</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119,988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5,445,450</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5,718,417</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18,373,186</w:t>
            </w:r>
          </w:p>
        </w:tc>
        <w:tc>
          <w:tcPr>
            <w:tcW w:w="1000" w:type="dxa"/>
            <w:vAlign w:val="bottom"/>
          </w:tcPr>
          <w:p>
            <w:pPr>
              <w:jc w:val="right"/>
              <w:spacing w:after="0"/>
              <w:rPr>
                <w:sz w:val="20"/>
                <w:szCs w:val="20"/>
                <w:color w:val="auto"/>
              </w:rPr>
            </w:pPr>
            <w:r>
              <w:rPr>
                <w:rFonts w:ascii="Arial" w:cs="Arial" w:eastAsia="Arial" w:hAnsi="Arial"/>
                <w:sz w:val="14"/>
                <w:szCs w:val="14"/>
                <w:color w:val="auto"/>
              </w:rPr>
              <w:t>19,025,151</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Colorado Gas</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50,328</w:t>
            </w:r>
          </w:p>
        </w:tc>
        <w:tc>
          <w:tcPr>
            <w:tcW w:w="360" w:type="dxa"/>
            <w:vAlign w:val="bottom"/>
            <w:shd w:val="clear" w:color="auto" w:fill="CEFFE7"/>
          </w:tcPr>
          <w:p>
            <w:pPr>
              <w:spacing w:after="0"/>
              <w:rPr>
                <w:sz w:val="17"/>
                <w:szCs w:val="17"/>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34,190</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170,381</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113,312</w:t>
            </w:r>
          </w:p>
        </w:tc>
        <w:tc>
          <w:tcPr>
            <w:tcW w:w="100" w:type="dxa"/>
            <w:vAlign w:val="bottom"/>
            <w:shd w:val="clear" w:color="auto" w:fill="CEFFE7"/>
          </w:tcPr>
          <w:p>
            <w:pPr>
              <w:spacing w:after="0"/>
              <w:rPr>
                <w:sz w:val="17"/>
                <w:szCs w:val="17"/>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6,365,777</w:t>
            </w:r>
          </w:p>
        </w:tc>
        <w:tc>
          <w:tcPr>
            <w:tcW w:w="128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5,957,285</w:t>
            </w:r>
          </w:p>
        </w:tc>
        <w:tc>
          <w:tcPr>
            <w:tcW w:w="11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19,784,461</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19,323,300</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Iowa Gas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42,050</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29,831</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162,629</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86,585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8,178,613</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7,016,613</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23,554,795</w:t>
            </w:r>
          </w:p>
        </w:tc>
        <w:tc>
          <w:tcPr>
            <w:tcW w:w="1000" w:type="dxa"/>
            <w:vAlign w:val="bottom"/>
          </w:tcPr>
          <w:p>
            <w:pPr>
              <w:jc w:val="right"/>
              <w:spacing w:after="0"/>
              <w:rPr>
                <w:sz w:val="20"/>
                <w:szCs w:val="20"/>
                <w:color w:val="auto"/>
              </w:rPr>
            </w:pPr>
            <w:r>
              <w:rPr>
                <w:rFonts w:ascii="Arial" w:cs="Arial" w:eastAsia="Arial" w:hAnsi="Arial"/>
                <w:sz w:val="14"/>
                <w:szCs w:val="14"/>
                <w:color w:val="auto"/>
              </w:rPr>
              <w:t>21,330,586</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Kansas Gas</w:t>
            </w:r>
          </w:p>
        </w:tc>
        <w:tc>
          <w:tcPr>
            <w:tcW w:w="26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35,482</w:t>
            </w:r>
          </w:p>
        </w:tc>
        <w:tc>
          <w:tcPr>
            <w:tcW w:w="360" w:type="dxa"/>
            <w:vAlign w:val="bottom"/>
            <w:shd w:val="clear" w:color="auto" w:fill="CEFFE7"/>
          </w:tcPr>
          <w:p>
            <w:pPr>
              <w:spacing w:after="0"/>
              <w:rPr>
                <w:sz w:val="17"/>
                <w:szCs w:val="17"/>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21,163</w:t>
            </w:r>
          </w:p>
        </w:tc>
        <w:tc>
          <w:tcPr>
            <w:tcW w:w="28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94,333</w:t>
            </w:r>
          </w:p>
        </w:tc>
        <w:tc>
          <w:tcPr>
            <w:tcW w:w="360" w:type="dxa"/>
            <w:vAlign w:val="bottom"/>
            <w:shd w:val="clear" w:color="auto" w:fill="CEFFE7"/>
          </w:tcPr>
          <w:p>
            <w:pPr>
              <w:spacing w:after="0"/>
              <w:rPr>
                <w:sz w:val="17"/>
                <w:szCs w:val="17"/>
                <w:color w:val="auto"/>
              </w:rPr>
            </w:pPr>
          </w:p>
        </w:tc>
        <w:tc>
          <w:tcPr>
            <w:tcW w:w="8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61,226</w:t>
            </w:r>
          </w:p>
        </w:tc>
        <w:tc>
          <w:tcPr>
            <w:tcW w:w="100" w:type="dxa"/>
            <w:vAlign w:val="bottom"/>
            <w:shd w:val="clear" w:color="auto" w:fill="CEFFE7"/>
          </w:tcPr>
          <w:p>
            <w:pPr>
              <w:spacing w:after="0"/>
              <w:rPr>
                <w:sz w:val="17"/>
                <w:szCs w:val="17"/>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8,762,807</w:t>
            </w:r>
          </w:p>
        </w:tc>
        <w:tc>
          <w:tcPr>
            <w:tcW w:w="1280" w:type="dxa"/>
            <w:vAlign w:val="bottom"/>
            <w:shd w:val="clear" w:color="auto" w:fill="CEFFE7"/>
          </w:tcPr>
          <w:p>
            <w:pPr>
              <w:jc w:val="right"/>
              <w:ind w:right="108"/>
              <w:spacing w:after="0"/>
              <w:rPr>
                <w:sz w:val="20"/>
                <w:szCs w:val="20"/>
                <w:color w:val="auto"/>
              </w:rPr>
            </w:pPr>
            <w:r>
              <w:rPr>
                <w:rFonts w:ascii="Arial" w:cs="Arial" w:eastAsia="Arial" w:hAnsi="Arial"/>
                <w:sz w:val="14"/>
                <w:szCs w:val="14"/>
                <w:color w:val="auto"/>
              </w:rPr>
              <w:t>7,155,427</w:t>
            </w:r>
          </w:p>
        </w:tc>
        <w:tc>
          <w:tcPr>
            <w:tcW w:w="116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19,751,874</w:t>
            </w:r>
          </w:p>
        </w:tc>
        <w:tc>
          <w:tcPr>
            <w:tcW w:w="10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17,618,224</w:t>
            </w:r>
          </w:p>
        </w:tc>
        <w:tc>
          <w:tcPr>
            <w:tcW w:w="0" w:type="dxa"/>
            <w:vAlign w:val="bottom"/>
          </w:tcPr>
          <w:p>
            <w:pPr>
              <w:spacing w:after="0"/>
              <w:rPr>
                <w:sz w:val="1"/>
                <w:szCs w:val="1"/>
                <w:color w:val="auto"/>
              </w:rPr>
            </w:pPr>
          </w:p>
        </w:tc>
      </w:tr>
      <w:tr>
        <w:trPr>
          <w:trHeight w:val="198"/>
        </w:trPr>
        <w:tc>
          <w:tcPr>
            <w:tcW w:w="2060" w:type="dxa"/>
            <w:vAlign w:val="bottom"/>
          </w:tcPr>
          <w:p>
            <w:pPr>
              <w:ind w:left="20"/>
              <w:spacing w:after="0"/>
              <w:rPr>
                <w:sz w:val="20"/>
                <w:szCs w:val="20"/>
                <w:color w:val="auto"/>
              </w:rPr>
            </w:pPr>
            <w:r>
              <w:rPr>
                <w:rFonts w:ascii="Arial" w:cs="Arial" w:eastAsia="Arial" w:hAnsi="Arial"/>
                <w:sz w:val="14"/>
                <w:szCs w:val="14"/>
                <w:color w:val="auto"/>
              </w:rPr>
              <w:t>Nebraska Gas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62,337</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43,037</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196,571</w:t>
            </w:r>
          </w:p>
        </w:tc>
        <w:tc>
          <w:tcPr>
            <w:tcW w:w="3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136,135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16,714,480</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15,822,880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44,050,254</w:t>
            </w:r>
          </w:p>
        </w:tc>
        <w:tc>
          <w:tcPr>
            <w:tcW w:w="1000" w:type="dxa"/>
            <w:vAlign w:val="bottom"/>
          </w:tcPr>
          <w:p>
            <w:pPr>
              <w:jc w:val="right"/>
              <w:spacing w:after="0"/>
              <w:rPr>
                <w:sz w:val="20"/>
                <w:szCs w:val="20"/>
                <w:color w:val="auto"/>
              </w:rPr>
            </w:pPr>
            <w:r>
              <w:rPr>
                <w:rFonts w:ascii="Arial" w:cs="Arial" w:eastAsia="Arial" w:hAnsi="Arial"/>
                <w:sz w:val="14"/>
                <w:szCs w:val="14"/>
                <w:color w:val="auto"/>
              </w:rPr>
              <w:t>43,106,981</w:t>
            </w:r>
          </w:p>
        </w:tc>
        <w:tc>
          <w:tcPr>
            <w:tcW w:w="0" w:type="dxa"/>
            <w:vAlign w:val="bottom"/>
          </w:tcPr>
          <w:p>
            <w:pPr>
              <w:spacing w:after="0"/>
              <w:rPr>
                <w:sz w:val="1"/>
                <w:szCs w:val="1"/>
                <w:color w:val="auto"/>
              </w:rPr>
            </w:pPr>
          </w:p>
        </w:tc>
      </w:tr>
      <w:tr>
        <w:trPr>
          <w:trHeight w:val="207"/>
        </w:trPr>
        <w:tc>
          <w:tcPr>
            <w:tcW w:w="2060" w:type="dxa"/>
            <w:vAlign w:val="bottom"/>
            <w:shd w:val="clear" w:color="auto" w:fill="CEFFE7"/>
          </w:tcPr>
          <w:p>
            <w:pPr>
              <w:ind w:left="20"/>
              <w:spacing w:after="0"/>
              <w:rPr>
                <w:sz w:val="20"/>
                <w:szCs w:val="20"/>
                <w:color w:val="auto"/>
              </w:rPr>
            </w:pPr>
            <w:r>
              <w:rPr>
                <w:rFonts w:ascii="Arial" w:cs="Arial" w:eastAsia="Arial" w:hAnsi="Arial"/>
                <w:sz w:val="14"/>
                <w:szCs w:val="14"/>
                <w:color w:val="auto"/>
              </w:rPr>
              <w:t>Wyoming Gas</w:t>
            </w:r>
          </w:p>
        </w:tc>
        <w:tc>
          <w:tcPr>
            <w:tcW w:w="260" w:type="dxa"/>
            <w:vAlign w:val="bottom"/>
            <w:tcBorders>
              <w:bottom w:val="single" w:sz="8" w:color="auto"/>
            </w:tcBorders>
            <w:shd w:val="clear" w:color="auto" w:fill="CEFFE7"/>
          </w:tcPr>
          <w:p>
            <w:pPr>
              <w:spacing w:after="0"/>
              <w:rPr>
                <w:sz w:val="17"/>
                <w:szCs w:val="17"/>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32,157</w:t>
            </w:r>
          </w:p>
        </w:tc>
        <w:tc>
          <w:tcPr>
            <w:tcW w:w="360" w:type="dxa"/>
            <w:vAlign w:val="bottom"/>
            <w:tcBorders>
              <w:bottom w:val="single" w:sz="8" w:color="auto"/>
            </w:tcBorders>
            <w:shd w:val="clear" w:color="auto" w:fill="CEFFE7"/>
          </w:tcPr>
          <w:p>
            <w:pPr>
              <w:spacing w:after="0"/>
              <w:rPr>
                <w:sz w:val="17"/>
                <w:szCs w:val="17"/>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24,835</w:t>
            </w:r>
          </w:p>
        </w:tc>
        <w:tc>
          <w:tcPr>
            <w:tcW w:w="28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92,023</w:t>
            </w:r>
          </w:p>
        </w:tc>
        <w:tc>
          <w:tcPr>
            <w:tcW w:w="360" w:type="dxa"/>
            <w:vAlign w:val="bottom"/>
            <w:tcBorders>
              <w:bottom w:val="single" w:sz="8" w:color="auto"/>
            </w:tcBorders>
            <w:shd w:val="clear" w:color="auto" w:fill="CEFFE7"/>
          </w:tcPr>
          <w:p>
            <w:pPr>
              <w:spacing w:after="0"/>
              <w:rPr>
                <w:sz w:val="17"/>
                <w:szCs w:val="17"/>
                <w:color w:val="auto"/>
              </w:rPr>
            </w:pPr>
          </w:p>
        </w:tc>
        <w:tc>
          <w:tcPr>
            <w:tcW w:w="8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71,323</w:t>
            </w:r>
          </w:p>
        </w:tc>
        <w:tc>
          <w:tcPr>
            <w:tcW w:w="100" w:type="dxa"/>
            <w:vAlign w:val="bottom"/>
            <w:shd w:val="clear" w:color="auto" w:fill="CEFFE7"/>
          </w:tcPr>
          <w:p>
            <w:pPr>
              <w:spacing w:after="0"/>
              <w:rPr>
                <w:sz w:val="17"/>
                <w:szCs w:val="17"/>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7,330,015</w:t>
            </w:r>
          </w:p>
        </w:tc>
        <w:tc>
          <w:tcPr>
            <w:tcW w:w="1280" w:type="dxa"/>
            <w:vAlign w:val="bottom"/>
            <w:tcBorders>
              <w:bottom w:val="single" w:sz="8" w:color="auto"/>
            </w:tcBorders>
            <w:shd w:val="clear" w:color="auto" w:fill="CEFFE7"/>
          </w:tcPr>
          <w:p>
            <w:pPr>
              <w:jc w:val="right"/>
              <w:ind w:right="108"/>
              <w:spacing w:after="0"/>
              <w:rPr>
                <w:sz w:val="20"/>
                <w:szCs w:val="20"/>
                <w:color w:val="auto"/>
              </w:rPr>
            </w:pPr>
            <w:r>
              <w:rPr>
                <w:rFonts w:ascii="Arial" w:cs="Arial" w:eastAsia="Arial" w:hAnsi="Arial"/>
                <w:sz w:val="14"/>
                <w:szCs w:val="14"/>
                <w:color w:val="auto"/>
              </w:rPr>
              <w:t>6,810,246</w:t>
            </w:r>
          </w:p>
        </w:tc>
        <w:tc>
          <w:tcPr>
            <w:tcW w:w="116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19,938,311</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18,670,412</w:t>
            </w:r>
          </w:p>
        </w:tc>
        <w:tc>
          <w:tcPr>
            <w:tcW w:w="0" w:type="dxa"/>
            <w:vAlign w:val="bottom"/>
          </w:tcPr>
          <w:p>
            <w:pPr>
              <w:spacing w:after="0"/>
              <w:rPr>
                <w:sz w:val="1"/>
                <w:szCs w:val="1"/>
                <w:color w:val="auto"/>
              </w:rPr>
            </w:pPr>
          </w:p>
        </w:tc>
      </w:tr>
      <w:tr>
        <w:trPr>
          <w:trHeight w:val="133"/>
        </w:trPr>
        <w:tc>
          <w:tcPr>
            <w:tcW w:w="2060" w:type="dxa"/>
            <w:vAlign w:val="bottom"/>
          </w:tcPr>
          <w:p>
            <w:pPr>
              <w:ind w:left="240"/>
              <w:spacing w:after="0" w:line="133" w:lineRule="exact"/>
              <w:rPr>
                <w:sz w:val="20"/>
                <w:szCs w:val="20"/>
                <w:color w:val="auto"/>
              </w:rPr>
            </w:pPr>
            <w:r>
              <w:rPr>
                <w:rFonts w:ascii="Arial" w:cs="Arial" w:eastAsia="Arial" w:hAnsi="Arial"/>
                <w:sz w:val="14"/>
                <w:szCs w:val="14"/>
                <w:color w:val="auto"/>
              </w:rPr>
              <w:t>Total Revenue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274,169</w:t>
            </w:r>
          </w:p>
        </w:tc>
        <w:tc>
          <w:tcPr>
            <w:tcW w:w="3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186,050</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895,561</w:t>
            </w:r>
          </w:p>
        </w:tc>
        <w:tc>
          <w:tcPr>
            <w:tcW w:w="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588,569</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52,797,142</w:t>
            </w: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48,480,868</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145,452,881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139,074,654</w:t>
            </w:r>
          </w:p>
        </w:tc>
        <w:tc>
          <w:tcPr>
            <w:tcW w:w="0" w:type="dxa"/>
            <w:vAlign w:val="bottom"/>
          </w:tcPr>
          <w:p>
            <w:pPr>
              <w:spacing w:after="0"/>
              <w:rPr>
                <w:sz w:val="1"/>
                <w:szCs w:val="1"/>
                <w:color w:val="auto"/>
              </w:rPr>
            </w:pPr>
          </w:p>
        </w:tc>
      </w:tr>
      <w:tr>
        <w:trPr>
          <w:trHeight w:val="163"/>
        </w:trPr>
        <w:tc>
          <w:tcPr>
            <w:tcW w:w="2060" w:type="dxa"/>
            <w:vAlign w:val="bottom"/>
          </w:tcPr>
          <w:p>
            <w:pPr>
              <w:ind w:left="240"/>
              <w:spacing w:after="0" w:line="158" w:lineRule="exact"/>
              <w:rPr>
                <w:sz w:val="20"/>
                <w:szCs w:val="20"/>
                <w:color w:val="auto"/>
              </w:rPr>
            </w:pPr>
            <w:r>
              <w:rPr>
                <w:rFonts w:ascii="Arial" w:cs="Arial" w:eastAsia="Arial" w:hAnsi="Arial"/>
                <w:sz w:val="14"/>
                <w:szCs w:val="14"/>
                <w:color w:val="auto"/>
              </w:rPr>
              <w:t>Quantities Sold</w:t>
            </w:r>
          </w:p>
        </w:tc>
        <w:tc>
          <w:tcPr>
            <w:tcW w:w="2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left="2400"/>
        <w:spacing w:after="0"/>
        <w:rPr>
          <w:sz w:val="20"/>
          <w:szCs w:val="20"/>
          <w:color w:val="auto"/>
        </w:rPr>
      </w:pPr>
      <w:r>
        <w:rPr>
          <w:rFonts w:ascii="Arial" w:cs="Arial" w:eastAsia="Arial" w:hAnsi="Arial"/>
          <w:sz w:val="16"/>
          <w:szCs w:val="16"/>
          <w:color w:val="auto"/>
        </w:rPr>
        <w:t>Three Months Ended June 30,</w:t>
      </w:r>
    </w:p>
    <w:p>
      <w:pPr>
        <w:spacing w:after="0" w:line="32" w:lineRule="exact"/>
        <w:rPr>
          <w:sz w:val="20"/>
          <w:szCs w:val="20"/>
          <w:color w:val="auto"/>
        </w:rPr>
      </w:pPr>
    </w:p>
    <w:p>
      <w:pPr>
        <w:ind w:left="3560"/>
        <w:spacing w:after="0"/>
        <w:tabs>
          <w:tab w:leader="none" w:pos="5640" w:val="left"/>
        </w:tabs>
        <w:rPr>
          <w:sz w:val="20"/>
          <w:szCs w:val="20"/>
          <w:color w:val="auto"/>
        </w:rPr>
      </w:pPr>
      <w:r>
        <w:rPr>
          <w:rFonts w:ascii="Arial" w:cs="Arial" w:eastAsia="Arial" w:hAnsi="Arial"/>
          <w:sz w:val="16"/>
          <w:szCs w:val="16"/>
          <w:color w:val="auto"/>
        </w:rPr>
        <w:t>2022</w:t>
      </w:r>
      <w:r>
        <w:rPr>
          <w:sz w:val="20"/>
          <w:szCs w:val="20"/>
          <w:color w:val="auto"/>
        </w:rPr>
        <w:tab/>
      </w: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Six Months Ended June 30,</w:t>
      </w:r>
    </w:p>
    <w:p>
      <w:pPr>
        <w:spacing w:after="0" w:line="32" w:lineRule="exact"/>
        <w:rPr>
          <w:sz w:val="20"/>
          <w:szCs w:val="20"/>
          <w:color w:val="auto"/>
        </w:rPr>
      </w:pPr>
    </w:p>
    <w:p>
      <w:pPr>
        <w:spacing w:after="0"/>
        <w:tabs>
          <w:tab w:leader="none" w:pos="2080" w:val="left"/>
        </w:tabs>
        <w:rPr>
          <w:sz w:val="20"/>
          <w:szCs w:val="20"/>
          <w:color w:val="auto"/>
        </w:rPr>
      </w:pPr>
      <w:r>
        <w:rPr>
          <w:rFonts w:ascii="Arial" w:cs="Arial" w:eastAsia="Arial" w:hAnsi="Arial"/>
          <w:sz w:val="16"/>
          <w:szCs w:val="16"/>
          <w:color w:val="auto"/>
        </w:rPr>
        <w:t>2022</w:t>
      </w:r>
      <w:r>
        <w:rPr>
          <w:sz w:val="20"/>
          <w:szCs w:val="20"/>
          <w:color w:val="auto"/>
        </w:rPr>
        <w:tab/>
      </w:r>
      <w:r>
        <w:rPr>
          <w:rFonts w:ascii="Arial" w:cs="Arial" w:eastAsia="Arial" w:hAnsi="Arial"/>
          <w:sz w:val="16"/>
          <w:szCs w:val="16"/>
          <w:color w:val="auto"/>
        </w:rPr>
        <w:t>2021</w:t>
      </w:r>
    </w:p>
    <w:p>
      <w:pPr>
        <w:spacing w:after="0" w:line="31"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Heating Degree Days</w:t>
            </w:r>
          </w:p>
        </w:tc>
        <w:tc>
          <w:tcPr>
            <w:tcW w:w="94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color w:val="auto"/>
              </w:rPr>
              <w:t>Actual</w:t>
            </w:r>
          </w:p>
        </w:tc>
        <w:tc>
          <w:tcPr>
            <w:tcW w:w="12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rPr>
              <w:t>Variance</w:t>
            </w:r>
          </w:p>
        </w:tc>
        <w:tc>
          <w:tcPr>
            <w:tcW w:w="8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color w:val="auto"/>
              </w:rPr>
              <w:t>Actual</w:t>
            </w:r>
          </w:p>
        </w:tc>
        <w:tc>
          <w:tcPr>
            <w:tcW w:w="1180" w:type="dxa"/>
            <w:vAlign w:val="bottom"/>
            <w:tcBorders>
              <w:top w:val="single" w:sz="8" w:color="auto"/>
            </w:tcBorders>
          </w:tcPr>
          <w:p>
            <w:pPr>
              <w:jc w:val="center"/>
              <w:ind w:left="39"/>
              <w:spacing w:after="0" w:line="158" w:lineRule="exact"/>
              <w:rPr>
                <w:sz w:val="20"/>
                <w:szCs w:val="20"/>
                <w:color w:val="auto"/>
              </w:rPr>
            </w:pPr>
            <w:r>
              <w:rPr>
                <w:rFonts w:ascii="Arial" w:cs="Arial" w:eastAsia="Arial" w:hAnsi="Arial"/>
                <w:sz w:val="16"/>
                <w:szCs w:val="16"/>
                <w:color w:val="auto"/>
                <w:w w:val="98"/>
              </w:rPr>
              <w:t>Variance</w:t>
            </w:r>
          </w:p>
        </w:tc>
        <w:tc>
          <w:tcPr>
            <w:tcW w:w="120" w:type="dxa"/>
            <w:vAlign w:val="bottom"/>
          </w:tcPr>
          <w:p>
            <w:pPr>
              <w:spacing w:after="0"/>
              <w:rPr>
                <w:sz w:val="13"/>
                <w:szCs w:val="13"/>
                <w:color w:val="auto"/>
              </w:rPr>
            </w:pPr>
          </w:p>
        </w:tc>
        <w:tc>
          <w:tcPr>
            <w:tcW w:w="960" w:type="dxa"/>
            <w:vAlign w:val="bottom"/>
            <w:tcBorders>
              <w:top w:val="single" w:sz="8" w:color="auto"/>
            </w:tcBorders>
            <w:vMerge w:val="restart"/>
          </w:tcPr>
          <w:p>
            <w:pPr>
              <w:ind w:left="300"/>
              <w:spacing w:after="0"/>
              <w:rPr>
                <w:sz w:val="20"/>
                <w:szCs w:val="20"/>
                <w:color w:val="auto"/>
              </w:rPr>
            </w:pPr>
            <w:r>
              <w:rPr>
                <w:rFonts w:ascii="Arial" w:cs="Arial" w:eastAsia="Arial" w:hAnsi="Arial"/>
                <w:sz w:val="16"/>
                <w:szCs w:val="16"/>
                <w:color w:val="auto"/>
              </w:rPr>
              <w:t>Actual</w:t>
            </w:r>
          </w:p>
        </w:tc>
        <w:tc>
          <w:tcPr>
            <w:tcW w:w="1260" w:type="dxa"/>
            <w:vAlign w:val="bottom"/>
            <w:tcBorders>
              <w:top w:val="single" w:sz="8" w:color="auto"/>
            </w:tcBorders>
          </w:tcPr>
          <w:p>
            <w:pPr>
              <w:jc w:val="right"/>
              <w:ind w:right="239"/>
              <w:spacing w:after="0" w:line="158" w:lineRule="exact"/>
              <w:rPr>
                <w:sz w:val="20"/>
                <w:szCs w:val="20"/>
                <w:color w:val="auto"/>
              </w:rPr>
            </w:pPr>
            <w:r>
              <w:rPr>
                <w:rFonts w:ascii="Arial" w:cs="Arial" w:eastAsia="Arial" w:hAnsi="Arial"/>
                <w:sz w:val="16"/>
                <w:szCs w:val="16"/>
                <w:color w:val="auto"/>
              </w:rPr>
              <w:t>Variance</w:t>
            </w: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Actual</w:t>
            </w:r>
          </w:p>
        </w:tc>
        <w:tc>
          <w:tcPr>
            <w:tcW w:w="1160" w:type="dxa"/>
            <w:vAlign w:val="bottom"/>
            <w:tcBorders>
              <w:top w:val="single" w:sz="8" w:color="auto"/>
            </w:tcBorders>
          </w:tcPr>
          <w:p>
            <w:pPr>
              <w:jc w:val="right"/>
              <w:ind w:right="139"/>
              <w:spacing w:after="0" w:line="158" w:lineRule="exact"/>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215"/>
        </w:trPr>
        <w:tc>
          <w:tcPr>
            <w:tcW w:w="26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from Normal</w:t>
            </w:r>
          </w:p>
        </w:tc>
        <w:tc>
          <w:tcPr>
            <w:tcW w:w="820" w:type="dxa"/>
            <w:vAlign w:val="bottom"/>
            <w:vMerge w:val="continue"/>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color w:val="auto"/>
              </w:rPr>
              <w:t>from Normal</w:t>
            </w:r>
          </w:p>
        </w:tc>
        <w:tc>
          <w:tcPr>
            <w:tcW w:w="960" w:type="dxa"/>
            <w:vAlign w:val="bottom"/>
            <w:vMerge w:val="continue"/>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from Normal</w:t>
            </w:r>
          </w:p>
        </w:tc>
        <w:tc>
          <w:tcPr>
            <w:tcW w:w="84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from Normal</w:t>
            </w:r>
          </w:p>
        </w:tc>
        <w:tc>
          <w:tcPr>
            <w:tcW w:w="0" w:type="dxa"/>
            <w:vAlign w:val="bottom"/>
          </w:tcPr>
          <w:p>
            <w:pPr>
              <w:spacing w:after="0"/>
              <w:rPr>
                <w:sz w:val="1"/>
                <w:szCs w:val="1"/>
                <w:color w:val="auto"/>
              </w:rPr>
            </w:pPr>
          </w:p>
        </w:tc>
      </w:tr>
      <w:tr>
        <w:trPr>
          <w:trHeight w:val="210"/>
        </w:trPr>
        <w:tc>
          <w:tcPr>
            <w:tcW w:w="2680" w:type="dxa"/>
            <w:vAlign w:val="bottom"/>
            <w:tcBorders>
              <w:top w:val="single" w:sz="8" w:color="auto"/>
            </w:tcBorders>
            <w:shd w:val="clear" w:color="auto" w:fill="CEFFE7"/>
          </w:tcPr>
          <w:p>
            <w:pPr>
              <w:ind w:left="4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940" w:type="dxa"/>
            <w:vAlign w:val="bottom"/>
            <w:tcBorders>
              <w:top w:val="single" w:sz="8" w:color="auto"/>
            </w:tcBorders>
            <w:shd w:val="clear" w:color="auto" w:fill="CEFFE7"/>
          </w:tcPr>
          <w:p>
            <w:pPr>
              <w:jc w:val="center"/>
              <w:ind w:left="39"/>
              <w:spacing w:after="0"/>
              <w:rPr>
                <w:sz w:val="20"/>
                <w:szCs w:val="20"/>
                <w:color w:val="auto"/>
              </w:rPr>
            </w:pPr>
            <w:r>
              <w:rPr>
                <w:rFonts w:ascii="Arial" w:cs="Arial" w:eastAsia="Arial" w:hAnsi="Arial"/>
                <w:sz w:val="16"/>
                <w:szCs w:val="16"/>
                <w:color w:val="auto"/>
                <w:w w:val="97"/>
              </w:rPr>
              <w:t>271</w:t>
            </w:r>
          </w:p>
        </w:tc>
        <w:tc>
          <w:tcPr>
            <w:tcW w:w="128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(18)%</w:t>
            </w:r>
          </w:p>
        </w:tc>
        <w:tc>
          <w:tcPr>
            <w:tcW w:w="82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97"/>
              </w:rPr>
              <w:t>383</w:t>
            </w:r>
          </w:p>
        </w:tc>
        <w:tc>
          <w:tcPr>
            <w:tcW w:w="1180" w:type="dxa"/>
            <w:vAlign w:val="bottom"/>
            <w:tcBorders>
              <w:top w:val="single" w:sz="8" w:color="auto"/>
            </w:tcBorders>
            <w:shd w:val="clear" w:color="auto" w:fill="CEFFE7"/>
          </w:tcPr>
          <w:p>
            <w:pPr>
              <w:jc w:val="center"/>
              <w:ind w:left="19"/>
              <w:spacing w:after="0"/>
              <w:rPr>
                <w:sz w:val="20"/>
                <w:szCs w:val="20"/>
                <w:color w:val="auto"/>
              </w:rPr>
            </w:pPr>
            <w:r>
              <w:rPr>
                <w:rFonts w:ascii="Arial" w:cs="Arial" w:eastAsia="Arial" w:hAnsi="Arial"/>
                <w:sz w:val="16"/>
                <w:szCs w:val="16"/>
                <w:color w:val="auto"/>
                <w:w w:val="99"/>
              </w:rPr>
              <w:t>16%</w:t>
            </w:r>
          </w:p>
        </w:tc>
        <w:tc>
          <w:tcPr>
            <w:tcW w:w="120" w:type="dxa"/>
            <w:vAlign w:val="bottom"/>
            <w:tcBorders>
              <w:top w:val="single" w:sz="8" w:color="CEFFE7"/>
            </w:tcBorders>
            <w:shd w:val="clear" w:color="auto" w:fill="CEFFE7"/>
          </w:tcPr>
          <w:p>
            <w:pPr>
              <w:spacing w:after="0"/>
              <w:rPr>
                <w:sz w:val="18"/>
                <w:szCs w:val="18"/>
                <w:color w:val="auto"/>
              </w:rPr>
            </w:pPr>
          </w:p>
        </w:tc>
        <w:tc>
          <w:tcPr>
            <w:tcW w:w="960" w:type="dxa"/>
            <w:vAlign w:val="bottom"/>
            <w:tcBorders>
              <w:top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2,370</w:t>
            </w:r>
          </w:p>
        </w:tc>
        <w:tc>
          <w:tcPr>
            <w:tcW w:w="1260" w:type="dxa"/>
            <w:vAlign w:val="bottom"/>
            <w:tcBorders>
              <w:top w:val="single" w:sz="8" w:color="auto"/>
            </w:tcBorders>
            <w:shd w:val="clear" w:color="auto" w:fill="CEFFE7"/>
          </w:tcPr>
          <w:p>
            <w:pPr>
              <w:jc w:val="right"/>
              <w:ind w:right="379"/>
              <w:spacing w:after="0"/>
              <w:rPr>
                <w:sz w:val="20"/>
                <w:szCs w:val="20"/>
                <w:color w:val="auto"/>
              </w:rPr>
            </w:pPr>
            <w:r>
              <w:rPr>
                <w:rFonts w:ascii="Arial" w:cs="Arial" w:eastAsia="Arial" w:hAnsi="Arial"/>
                <w:sz w:val="16"/>
                <w:szCs w:val="16"/>
                <w:color w:val="auto"/>
              </w:rPr>
              <w:t>(3)%</w:t>
            </w:r>
          </w:p>
        </w:tc>
        <w:tc>
          <w:tcPr>
            <w:tcW w:w="84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99"/>
              </w:rPr>
              <w:t>2,504</w:t>
            </w:r>
          </w:p>
        </w:tc>
        <w:tc>
          <w:tcPr>
            <w:tcW w:w="1160" w:type="dxa"/>
            <w:vAlign w:val="bottom"/>
            <w:tcBorders>
              <w:top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2680" w:type="dxa"/>
            <w:vAlign w:val="bottom"/>
          </w:tcPr>
          <w:p>
            <w:pPr>
              <w:ind w:left="40"/>
              <w:spacing w:after="0"/>
              <w:rPr>
                <w:sz w:val="20"/>
                <w:szCs w:val="20"/>
                <w:color w:val="auto"/>
              </w:rPr>
            </w:pPr>
            <w:r>
              <w:rPr>
                <w:rFonts w:ascii="Arial" w:cs="Arial" w:eastAsia="Arial" w:hAnsi="Arial"/>
                <w:sz w:val="16"/>
                <w:szCs w:val="16"/>
                <w:color w:val="auto"/>
              </w:rPr>
              <w:t>Colorado Gas</w:t>
            </w:r>
          </w:p>
        </w:tc>
        <w:tc>
          <w:tcPr>
            <w:tcW w:w="940" w:type="dxa"/>
            <w:vAlign w:val="bottom"/>
          </w:tcPr>
          <w:p>
            <w:pPr>
              <w:jc w:val="center"/>
              <w:ind w:left="39"/>
              <w:spacing w:after="0"/>
              <w:rPr>
                <w:sz w:val="20"/>
                <w:szCs w:val="20"/>
                <w:color w:val="auto"/>
              </w:rPr>
            </w:pPr>
            <w:r>
              <w:rPr>
                <w:rFonts w:ascii="Arial" w:cs="Arial" w:eastAsia="Arial" w:hAnsi="Arial"/>
                <w:sz w:val="16"/>
                <w:szCs w:val="16"/>
                <w:color w:val="auto"/>
                <w:w w:val="97"/>
              </w:rPr>
              <w:t>817</w:t>
            </w:r>
          </w:p>
        </w:tc>
        <w:tc>
          <w:tcPr>
            <w:tcW w:w="1280" w:type="dxa"/>
            <w:vAlign w:val="bottom"/>
          </w:tcPr>
          <w:p>
            <w:pPr>
              <w:jc w:val="center"/>
              <w:spacing w:after="0"/>
              <w:rPr>
                <w:sz w:val="20"/>
                <w:szCs w:val="20"/>
                <w:color w:val="auto"/>
              </w:rPr>
            </w:pPr>
            <w:r>
              <w:rPr>
                <w:rFonts w:ascii="Arial" w:cs="Arial" w:eastAsia="Arial" w:hAnsi="Arial"/>
                <w:sz w:val="16"/>
                <w:szCs w:val="16"/>
                <w:color w:val="auto"/>
              </w:rPr>
              <w:t>(14)%</w:t>
            </w:r>
          </w:p>
        </w:tc>
        <w:tc>
          <w:tcPr>
            <w:tcW w:w="820" w:type="dxa"/>
            <w:vAlign w:val="bottom"/>
          </w:tcPr>
          <w:p>
            <w:pPr>
              <w:jc w:val="center"/>
              <w:spacing w:after="0"/>
              <w:rPr>
                <w:sz w:val="20"/>
                <w:szCs w:val="20"/>
                <w:color w:val="auto"/>
              </w:rPr>
            </w:pPr>
            <w:r>
              <w:rPr>
                <w:rFonts w:ascii="Arial" w:cs="Arial" w:eastAsia="Arial" w:hAnsi="Arial"/>
                <w:sz w:val="16"/>
                <w:szCs w:val="16"/>
                <w:color w:val="auto"/>
                <w:w w:val="97"/>
              </w:rPr>
              <w:t>865</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3,763</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3,830</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2680" w:type="dxa"/>
            <w:vAlign w:val="bottom"/>
            <w:shd w:val="clear" w:color="auto" w:fill="CEFFE7"/>
          </w:tcPr>
          <w:p>
            <w:pPr>
              <w:ind w:left="40"/>
              <w:spacing w:after="0"/>
              <w:rPr>
                <w:sz w:val="20"/>
                <w:szCs w:val="20"/>
                <w:color w:val="auto"/>
              </w:rPr>
            </w:pPr>
            <w:r>
              <w:rPr>
                <w:rFonts w:ascii="Arial" w:cs="Arial" w:eastAsia="Arial" w:hAnsi="Arial"/>
                <w:sz w:val="16"/>
                <w:szCs w:val="16"/>
                <w:color w:val="auto"/>
              </w:rPr>
              <w:t>Iowa Gas</w:t>
            </w:r>
          </w:p>
        </w:tc>
        <w:tc>
          <w:tcPr>
            <w:tcW w:w="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7"/>
              </w:rPr>
              <w:t>803</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17%</w:t>
            </w:r>
          </w:p>
        </w:tc>
        <w:tc>
          <w:tcPr>
            <w:tcW w:w="8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7"/>
              </w:rPr>
              <w:t>691</w:t>
            </w:r>
          </w:p>
        </w:tc>
        <w:tc>
          <w:tcPr>
            <w:tcW w:w="118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FFE7"/>
          </w:tcPr>
          <w:p>
            <w:pPr>
              <w:spacing w:after="0"/>
              <w:rPr>
                <w:sz w:val="18"/>
                <w:szCs w:val="18"/>
                <w:color w:val="auto"/>
              </w:rPr>
            </w:pPr>
          </w:p>
        </w:tc>
        <w:tc>
          <w:tcPr>
            <w:tcW w:w="9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4,382</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8%</w:t>
            </w:r>
          </w:p>
        </w:tc>
        <w:tc>
          <w:tcPr>
            <w:tcW w:w="8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4,113</w:t>
            </w:r>
          </w:p>
        </w:tc>
        <w:tc>
          <w:tcPr>
            <w:tcW w:w="116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268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940" w:type="dxa"/>
            <w:vAlign w:val="bottom"/>
          </w:tcPr>
          <w:p>
            <w:pPr>
              <w:jc w:val="center"/>
              <w:ind w:left="39"/>
              <w:spacing w:after="0"/>
              <w:rPr>
                <w:sz w:val="20"/>
                <w:szCs w:val="20"/>
                <w:color w:val="auto"/>
              </w:rPr>
            </w:pPr>
            <w:r>
              <w:rPr>
                <w:rFonts w:ascii="Arial" w:cs="Arial" w:eastAsia="Arial" w:hAnsi="Arial"/>
                <w:sz w:val="16"/>
                <w:szCs w:val="16"/>
                <w:color w:val="auto"/>
                <w:w w:val="97"/>
              </w:rPr>
              <w:t>436</w:t>
            </w:r>
          </w:p>
        </w:tc>
        <w:tc>
          <w:tcPr>
            <w:tcW w:w="1280" w:type="dxa"/>
            <w:vAlign w:val="bottom"/>
          </w:tcPr>
          <w:p>
            <w:pPr>
              <w:jc w:val="center"/>
              <w:spacing w:after="0"/>
              <w:rPr>
                <w:sz w:val="20"/>
                <w:szCs w:val="20"/>
                <w:color w:val="auto"/>
              </w:rPr>
            </w:pPr>
            <w:r>
              <w:rPr>
                <w:rFonts w:ascii="Arial" w:cs="Arial" w:eastAsia="Arial" w:hAnsi="Arial"/>
                <w:sz w:val="16"/>
                <w:szCs w:val="16"/>
                <w:color w:val="auto"/>
              </w:rPr>
              <w:t>(2)%</w:t>
            </w:r>
          </w:p>
        </w:tc>
        <w:tc>
          <w:tcPr>
            <w:tcW w:w="820" w:type="dxa"/>
            <w:vAlign w:val="bottom"/>
          </w:tcPr>
          <w:p>
            <w:pPr>
              <w:jc w:val="center"/>
              <w:spacing w:after="0"/>
              <w:rPr>
                <w:sz w:val="20"/>
                <w:szCs w:val="20"/>
                <w:color w:val="auto"/>
              </w:rPr>
            </w:pPr>
            <w:r>
              <w:rPr>
                <w:rFonts w:ascii="Arial" w:cs="Arial" w:eastAsia="Arial" w:hAnsi="Arial"/>
                <w:sz w:val="16"/>
                <w:szCs w:val="16"/>
                <w:color w:val="auto"/>
                <w:w w:val="97"/>
              </w:rPr>
              <w:t>493</w:t>
            </w:r>
          </w:p>
        </w:tc>
        <w:tc>
          <w:tcPr>
            <w:tcW w:w="1180" w:type="dxa"/>
            <w:vAlign w:val="bottom"/>
          </w:tcPr>
          <w:p>
            <w:pPr>
              <w:jc w:val="center"/>
              <w:ind w:left="19"/>
              <w:spacing w:after="0"/>
              <w:rPr>
                <w:sz w:val="20"/>
                <w:szCs w:val="20"/>
                <w:color w:val="auto"/>
              </w:rPr>
            </w:pPr>
            <w:r>
              <w:rPr>
                <w:rFonts w:ascii="Arial" w:cs="Arial" w:eastAsia="Arial" w:hAnsi="Arial"/>
                <w:sz w:val="16"/>
                <w:szCs w:val="16"/>
                <w:color w:val="auto"/>
                <w:w w:val="99"/>
              </w:rPr>
              <w:t>10%</w:t>
            </w:r>
          </w:p>
        </w:tc>
        <w:tc>
          <w:tcPr>
            <w:tcW w:w="1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3,020</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4%</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3,069</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680" w:type="dxa"/>
            <w:vAlign w:val="bottom"/>
            <w:shd w:val="clear" w:color="auto" w:fill="CEFFE7"/>
          </w:tcPr>
          <w:p>
            <w:pPr>
              <w:ind w:left="40"/>
              <w:spacing w:after="0"/>
              <w:rPr>
                <w:sz w:val="20"/>
                <w:szCs w:val="20"/>
                <w:color w:val="auto"/>
              </w:rPr>
            </w:pPr>
            <w:r>
              <w:rPr>
                <w:rFonts w:ascii="Arial" w:cs="Arial" w:eastAsia="Arial" w:hAnsi="Arial"/>
                <w:sz w:val="16"/>
                <w:szCs w:val="16"/>
                <w:color w:val="auto"/>
              </w:rPr>
              <w:t>Nebraska Gas</w:t>
            </w:r>
          </w:p>
        </w:tc>
        <w:tc>
          <w:tcPr>
            <w:tcW w:w="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7"/>
              </w:rPr>
              <w:t>679</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7%</w:t>
            </w:r>
          </w:p>
        </w:tc>
        <w:tc>
          <w:tcPr>
            <w:tcW w:w="8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7"/>
              </w:rPr>
              <w:t>624</w:t>
            </w:r>
          </w:p>
        </w:tc>
        <w:tc>
          <w:tcPr>
            <w:tcW w:w="118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FFE7"/>
          </w:tcPr>
          <w:p>
            <w:pPr>
              <w:spacing w:after="0"/>
              <w:rPr>
                <w:sz w:val="18"/>
                <w:szCs w:val="18"/>
                <w:color w:val="auto"/>
              </w:rPr>
            </w:pPr>
          </w:p>
        </w:tc>
        <w:tc>
          <w:tcPr>
            <w:tcW w:w="9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3,720</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1%</w:t>
            </w:r>
          </w:p>
        </w:tc>
        <w:tc>
          <w:tcPr>
            <w:tcW w:w="8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3,721</w:t>
            </w:r>
          </w:p>
        </w:tc>
        <w:tc>
          <w:tcPr>
            <w:tcW w:w="116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2680" w:type="dxa"/>
            <w:vAlign w:val="bottom"/>
          </w:tcPr>
          <w:p>
            <w:pPr>
              <w:ind w:left="40"/>
              <w:spacing w:after="0"/>
              <w:rPr>
                <w:sz w:val="20"/>
                <w:szCs w:val="20"/>
                <w:color w:val="auto"/>
              </w:rPr>
            </w:pPr>
            <w:r>
              <w:rPr>
                <w:rFonts w:ascii="Arial" w:cs="Arial" w:eastAsia="Arial" w:hAnsi="Arial"/>
                <w:sz w:val="16"/>
                <w:szCs w:val="16"/>
                <w:color w:val="auto"/>
              </w:rPr>
              <w:t>Wyoming Gas</w:t>
            </w:r>
          </w:p>
        </w:tc>
        <w:tc>
          <w:tcPr>
            <w:tcW w:w="940" w:type="dxa"/>
            <w:vAlign w:val="bottom"/>
          </w:tcPr>
          <w:p>
            <w:pPr>
              <w:jc w:val="center"/>
              <w:ind w:left="39"/>
              <w:spacing w:after="0"/>
              <w:rPr>
                <w:sz w:val="20"/>
                <w:szCs w:val="20"/>
                <w:color w:val="auto"/>
              </w:rPr>
            </w:pPr>
            <w:r>
              <w:rPr>
                <w:rFonts w:ascii="Arial" w:cs="Arial" w:eastAsia="Arial" w:hAnsi="Arial"/>
                <w:sz w:val="16"/>
                <w:szCs w:val="16"/>
                <w:color w:val="auto"/>
              </w:rPr>
              <w:t>1,326</w:t>
            </w:r>
          </w:p>
        </w:tc>
        <w:tc>
          <w:tcPr>
            <w:tcW w:w="1280" w:type="dxa"/>
            <w:vAlign w:val="bottom"/>
          </w:tcPr>
          <w:p>
            <w:pPr>
              <w:jc w:val="center"/>
              <w:spacing w:after="0"/>
              <w:rPr>
                <w:sz w:val="20"/>
                <w:szCs w:val="20"/>
                <w:color w:val="auto"/>
              </w:rPr>
            </w:pPr>
            <w:r>
              <w:rPr>
                <w:rFonts w:ascii="Arial" w:cs="Arial" w:eastAsia="Arial" w:hAnsi="Arial"/>
                <w:sz w:val="16"/>
                <w:szCs w:val="16"/>
                <w:color w:val="auto"/>
              </w:rPr>
              <w:t>9%</w:t>
            </w: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1,200</w:t>
            </w:r>
          </w:p>
        </w:tc>
        <w:tc>
          <w:tcPr>
            <w:tcW w:w="1180" w:type="dxa"/>
            <w:vAlign w:val="bottom"/>
          </w:tcPr>
          <w:p>
            <w:pPr>
              <w:jc w:val="center"/>
              <w:ind w:lef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4,598</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4%</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4,625</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2680" w:type="dxa"/>
            <w:vAlign w:val="bottom"/>
            <w:shd w:val="clear" w:color="auto" w:fill="CEFFE7"/>
          </w:tcPr>
          <w:p>
            <w:pPr>
              <w:ind w:left="26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7"/>
              </w:rPr>
              <w:t>768</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w:t>
            </w:r>
          </w:p>
        </w:tc>
        <w:tc>
          <w:tcPr>
            <w:tcW w:w="8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7"/>
              </w:rPr>
              <w:t>739</w:t>
            </w:r>
          </w:p>
        </w:tc>
        <w:tc>
          <w:tcPr>
            <w:tcW w:w="1180" w:type="dxa"/>
            <w:vAlign w:val="bottom"/>
            <w:shd w:val="clear" w:color="auto" w:fill="CEFFE7"/>
          </w:tcPr>
          <w:p>
            <w:pPr>
              <w:jc w:val="center"/>
              <w:ind w:lef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EFFE7"/>
          </w:tcPr>
          <w:p>
            <w:pPr>
              <w:spacing w:after="0"/>
              <w:rPr>
                <w:sz w:val="18"/>
                <w:szCs w:val="18"/>
                <w:color w:val="auto"/>
              </w:rPr>
            </w:pPr>
          </w:p>
        </w:tc>
        <w:tc>
          <w:tcPr>
            <w:tcW w:w="960" w:type="dxa"/>
            <w:vAlign w:val="bottom"/>
            <w:shd w:val="clear" w:color="auto" w:fill="CEFFE7"/>
          </w:tcPr>
          <w:p>
            <w:pPr>
              <w:ind w:left="340"/>
              <w:spacing w:after="0"/>
              <w:rPr>
                <w:sz w:val="20"/>
                <w:szCs w:val="20"/>
                <w:color w:val="auto"/>
              </w:rPr>
            </w:pPr>
            <w:r>
              <w:rPr>
                <w:rFonts w:ascii="Arial" w:cs="Arial" w:eastAsia="Arial" w:hAnsi="Arial"/>
                <w:sz w:val="16"/>
                <w:szCs w:val="16"/>
                <w:color w:val="auto"/>
              </w:rPr>
              <w:t>3,933</w:t>
            </w:r>
          </w:p>
        </w:tc>
        <w:tc>
          <w:tcPr>
            <w:tcW w:w="126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rPr>
              <w:t>2%</w:t>
            </w:r>
          </w:p>
        </w:tc>
        <w:tc>
          <w:tcPr>
            <w:tcW w:w="8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9"/>
              </w:rPr>
              <w:t>3,925</w:t>
            </w:r>
          </w:p>
        </w:tc>
        <w:tc>
          <w:tcPr>
            <w:tcW w:w="116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4" w:lineRule="exact"/>
        <w:rPr>
          <w:rFonts w:ascii="Arial" w:cs="Arial" w:eastAsia="Arial" w:hAnsi="Arial"/>
          <w:sz w:val="14"/>
          <w:szCs w:val="14"/>
          <w:color w:val="auto"/>
        </w:rPr>
      </w:pPr>
    </w:p>
    <w:p>
      <w:pPr>
        <w:ind w:left="340" w:right="520" w:hanging="332"/>
        <w:spacing w:after="0" w:line="284" w:lineRule="auto"/>
        <w:tabs>
          <w:tab w:leader="none" w:pos="349"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5"/>
          </w:tcPr>
          <w:p>
            <w:pPr>
              <w:ind w:left="280"/>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8"/>
                <w:szCs w:val="18"/>
                <w:color w:val="auto"/>
              </w:rPr>
            </w:pPr>
          </w:p>
        </w:tc>
        <w:tc>
          <w:tcPr>
            <w:tcW w:w="2960" w:type="dxa"/>
            <w:vAlign w:val="bottom"/>
            <w:gridSpan w:val="5"/>
          </w:tcPr>
          <w:p>
            <w:pPr>
              <w:jc w:val="center"/>
              <w:ind w:right="159"/>
              <w:spacing w:after="0"/>
              <w:rPr>
                <w:sz w:val="20"/>
                <w:szCs w:val="20"/>
                <w:color w:val="auto"/>
              </w:rPr>
            </w:pPr>
            <w:r>
              <w:rPr>
                <w:rFonts w:ascii="Arial" w:cs="Arial" w:eastAsia="Arial" w:hAnsi="Arial"/>
                <w:sz w:val="16"/>
                <w:szCs w:val="16"/>
                <w:color w:val="auto"/>
              </w:rPr>
              <w:t>Six Months Ended June 30,</w:t>
            </w:r>
          </w:p>
        </w:tc>
      </w:tr>
      <w:tr>
        <w:trPr>
          <w:trHeight w:val="217"/>
        </w:trPr>
        <w:tc>
          <w:tcPr>
            <w:tcW w:w="484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Variance</w:t>
            </w:r>
          </w:p>
        </w:tc>
      </w:tr>
      <w:tr>
        <w:trPr>
          <w:trHeight w:val="236"/>
        </w:trPr>
        <w:tc>
          <w:tcPr>
            <w:tcW w:w="48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(loss)</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ind w:left="280"/>
              <w:spacing w:after="0"/>
              <w:rPr>
                <w:sz w:val="20"/>
                <w:szCs w:val="20"/>
                <w:color w:val="auto"/>
              </w:rPr>
            </w:pPr>
            <w:r>
              <w:rPr>
                <w:rFonts w:ascii="Arial" w:cs="Arial" w:eastAsia="Arial" w:hAnsi="Arial"/>
                <w:sz w:val="16"/>
                <w:szCs w:val="16"/>
                <w:color w:val="auto"/>
              </w:rPr>
              <w:t>(1,032)</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(851)</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(1,965)</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(3,303)</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1,338</w:t>
            </w:r>
          </w:p>
        </w:tc>
      </w:tr>
      <w:tr>
        <w:trPr>
          <w:trHeight w:val="20"/>
        </w:trPr>
        <w:tc>
          <w:tcPr>
            <w:tcW w:w="484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2022 Compared to the Three Months Ended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same period in the prior year.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the Six Months Ended June 30, 2021:</w:t>
      </w:r>
    </w:p>
    <w:p>
      <w:pPr>
        <w:spacing w:after="0" w:line="248"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The decrease in Operating (loss) was primarily due to an allocation of a 2020 employee cost true-up in the first quarter of 2021, which was offset in our business segments.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48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96"/>
        </w:trPr>
        <w:tc>
          <w:tcPr>
            <w:tcW w:w="5900" w:type="dxa"/>
            <w:vAlign w:val="bottom"/>
            <w:gridSpan w:val="4"/>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4"/>
        </w:trPr>
        <w:tc>
          <w:tcPr>
            <w:tcW w:w="13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5"/>
          </w:tcPr>
          <w:p>
            <w:pPr>
              <w:jc w:val="right"/>
              <w:ind w:right="419"/>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24"/>
                <w:szCs w:val="24"/>
                <w:color w:val="auto"/>
              </w:rPr>
            </w:pPr>
          </w:p>
        </w:tc>
        <w:tc>
          <w:tcPr>
            <w:tcW w:w="2960" w:type="dxa"/>
            <w:vAlign w:val="bottom"/>
            <w:gridSpan w:val="5"/>
          </w:tcPr>
          <w:p>
            <w:pPr>
              <w:jc w:val="right"/>
              <w:ind w:right="519"/>
              <w:spacing w:after="0"/>
              <w:rPr>
                <w:sz w:val="20"/>
                <w:szCs w:val="20"/>
                <w:color w:val="auto"/>
              </w:rPr>
            </w:pPr>
            <w:r>
              <w:rPr>
                <w:rFonts w:ascii="Arial" w:cs="Arial" w:eastAsia="Arial" w:hAnsi="Arial"/>
                <w:sz w:val="16"/>
                <w:szCs w:val="16"/>
                <w:color w:val="auto"/>
              </w:rPr>
              <w:t>Six Months Ended June 30,</w:t>
            </w:r>
          </w:p>
        </w:tc>
      </w:tr>
      <w:tr>
        <w:trPr>
          <w:trHeight w:val="217"/>
        </w:trPr>
        <w:tc>
          <w:tcPr>
            <w:tcW w:w="1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Variance</w:t>
            </w:r>
          </w:p>
        </w:tc>
      </w:tr>
      <w:tr>
        <w:trPr>
          <w:trHeight w:val="210"/>
        </w:trPr>
        <w:tc>
          <w:tcPr>
            <w:tcW w:w="1360" w:type="dxa"/>
            <w:vAlign w:val="bottom"/>
            <w:tcBorders>
              <w:bottom w:val="single" w:sz="8" w:color="CEFFE7"/>
            </w:tcBorders>
          </w:tcPr>
          <w:p>
            <w:pPr>
              <w:spacing w:after="0"/>
              <w:rPr>
                <w:sz w:val="18"/>
                <w:szCs w:val="18"/>
                <w:color w:val="auto"/>
              </w:rPr>
            </w:pPr>
          </w:p>
        </w:tc>
        <w:tc>
          <w:tcPr>
            <w:tcW w:w="348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48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(38,764)</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(38,202)</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(562)</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(77,309)</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(75,802)</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(1,507)</w:t>
            </w:r>
          </w:p>
        </w:tc>
      </w:tr>
      <w:tr>
        <w:trPr>
          <w:trHeight w:val="215"/>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1,754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2,267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2,192</w:t>
            </w:r>
          </w:p>
        </w:tc>
      </w:tr>
      <w:tr>
        <w:trPr>
          <w:trHeight w:val="217"/>
        </w:trPr>
        <w:tc>
          <w:tcPr>
            <w:tcW w:w="48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658</w:t>
            </w: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1,244</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(13,830)</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(1,080)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(12,750)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2022 Compared to the Three Months Ended June 30, 2021: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net was comparable to the same period in the prior year.</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26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increase in Other income, net was due to lower costs for our non-qualified benefit plans which were driven by market performance partially offset by higher non-service pension costs primarily driven by a higher discount rate.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p>
    <w:p>
      <w:pPr>
        <w:spacing w:after="0" w:line="24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 xml:space="preserve">Income tax benefit increased due to a lower effective tax rate partially offset by higher pre-tax income. For the three months ended June 30, 2022, the effective tax rate was (1.9)% compared to 2.0% for the same period in 2021.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Notes to Condensed Consolidated Financial Statements for discussion of effective tax rate variances.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the Six Months Ended June 30, 2021:</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due to higher interest rates and higher debt balances primarily driven by Winter Storm Uri.</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26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increase in Other income, net was due to lower costs for our non-qualified benefit plans which were driven by market performance partially offset by higher non-service pension costs primarily driven by a higher discount rate.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Benefit (Expense)</w:t>
      </w:r>
    </w:p>
    <w:p>
      <w:pPr>
        <w:spacing w:after="0" w:line="246"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 xml:space="preserve">Income tax expense increased due to higher pre-tax income and a higher effective tax rate. For the six months ended June 30, 2022, the effective tax rate was 8.1% compared to 0.8% for the same period in 2021.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Notes to Condensed Consolidated Financial Statements for discussion of effective tax rate variances.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2021 Annual Report on Form 10-K except as described below.</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Cash Flow Activities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8"/>
        </w:trPr>
        <w:tc>
          <w:tcPr>
            <w:tcW w:w="7100" w:type="dxa"/>
            <w:vAlign w:val="bottom"/>
            <w:gridSpan w:val="2"/>
          </w:tcPr>
          <w:p>
            <w:pPr>
              <w:spacing w:after="0"/>
              <w:rPr>
                <w:sz w:val="20"/>
                <w:szCs w:val="20"/>
                <w:color w:val="auto"/>
              </w:rPr>
            </w:pPr>
            <w:r>
              <w:rPr>
                <w:rFonts w:ascii="Arial" w:cs="Arial" w:eastAsia="Arial" w:hAnsi="Arial"/>
                <w:sz w:val="16"/>
                <w:szCs w:val="16"/>
                <w:color w:val="auto"/>
              </w:rPr>
              <w:t>The following table summarizes our cash flows for the six months ended June 30, (in thousands):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5"/>
        </w:trPr>
        <w:tc>
          <w:tcPr>
            <w:tcW w:w="20" w:type="dxa"/>
            <w:vAlign w:val="bottom"/>
          </w:tcPr>
          <w:p>
            <w:pPr>
              <w:spacing w:after="0"/>
              <w:rPr>
                <w:sz w:val="24"/>
                <w:szCs w:val="24"/>
                <w:color w:val="auto"/>
              </w:rPr>
            </w:pPr>
          </w:p>
        </w:tc>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provided by (used in):</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10"/>
        </w:trPr>
        <w:tc>
          <w:tcPr>
            <w:tcW w:w="20" w:type="dxa"/>
            <w:vAlign w:val="bottom"/>
          </w:tcPr>
          <w:p>
            <w:pPr>
              <w:spacing w:after="0"/>
              <w:rPr>
                <w:sz w:val="18"/>
                <w:szCs w:val="18"/>
                <w:color w:val="auto"/>
              </w:rPr>
            </w:pPr>
          </w:p>
        </w:tc>
        <w:tc>
          <w:tcPr>
            <w:tcW w:w="70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activities</w:t>
            </w:r>
          </w:p>
        </w:tc>
        <w:tc>
          <w:tcPr>
            <w:tcW w:w="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442,030</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(250,173)</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692,203</w:t>
            </w:r>
          </w:p>
        </w:tc>
      </w:tr>
      <w:tr>
        <w:trPr>
          <w:trHeight w:val="215"/>
        </w:trPr>
        <w:tc>
          <w:tcPr>
            <w:tcW w:w="2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219"/>
              <w:spacing w:after="0"/>
              <w:rPr>
                <w:sz w:val="20"/>
                <w:szCs w:val="20"/>
                <w:color w:val="auto"/>
              </w:rPr>
            </w:pPr>
            <w:r>
              <w:rPr>
                <w:rFonts w:ascii="Arial" w:cs="Arial" w:eastAsia="Arial" w:hAnsi="Arial"/>
                <w:sz w:val="16"/>
                <w:szCs w:val="16"/>
                <w:color w:val="auto"/>
                <w:w w:val="99"/>
              </w:rPr>
              <w:t>(291,385)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199"/>
              <w:spacing w:after="0"/>
              <w:rPr>
                <w:sz w:val="20"/>
                <w:szCs w:val="20"/>
                <w:color w:val="auto"/>
              </w:rPr>
            </w:pPr>
            <w:r>
              <w:rPr>
                <w:rFonts w:ascii="Arial" w:cs="Arial" w:eastAsia="Arial" w:hAnsi="Arial"/>
                <w:sz w:val="16"/>
                <w:szCs w:val="16"/>
                <w:color w:val="auto"/>
              </w:rPr>
              <w:t>(309,737)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18,352</w:t>
            </w:r>
          </w:p>
        </w:tc>
      </w:tr>
      <w:tr>
        <w:trPr>
          <w:trHeight w:val="217"/>
        </w:trPr>
        <w:tc>
          <w:tcPr>
            <w:tcW w:w="20" w:type="dxa"/>
            <w:vAlign w:val="bottom"/>
          </w:tcPr>
          <w:p>
            <w:pPr>
              <w:spacing w:after="0"/>
              <w:rPr>
                <w:sz w:val="18"/>
                <w:szCs w:val="18"/>
                <w:color w:val="auto"/>
              </w:rPr>
            </w:pPr>
          </w:p>
        </w:tc>
        <w:tc>
          <w:tcPr>
            <w:tcW w:w="708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w w:val="99"/>
              </w:rPr>
              <w:t>(149,093)</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554,905</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(703,998)</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2022 Compared to the Six Months Ended June 30,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Net cash provided by (used in) operating activities was $692 million higher than the same period in 2021. The variance to the prior year was primarily attributable to:</w:t>
      </w:r>
    </w:p>
    <w:p>
      <w:pPr>
        <w:spacing w:after="0" w:line="196" w:lineRule="exact"/>
        <w:rPr>
          <w:sz w:val="20"/>
          <w:szCs w:val="20"/>
          <w:color w:val="auto"/>
        </w:rPr>
      </w:pPr>
    </w:p>
    <w:p>
      <w:pPr>
        <w:ind w:left="660" w:right="120" w:hanging="328"/>
        <w:spacing w:after="0" w:line="266"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$26 million higher for the six months ended June 30, 2022 compared to the same period in the prior year primarily due to increased Electric and Gas Utility margins driven by new rates and increased rider revenues and prior year impacts from Winter Storm Uri.</w:t>
      </w:r>
    </w:p>
    <w:p>
      <w:pPr>
        <w:spacing w:after="0" w:line="211"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$670 million higher, primarily attributable to:</w:t>
      </w:r>
    </w:p>
    <w:p>
      <w:pPr>
        <w:spacing w:after="0" w:line="248" w:lineRule="exact"/>
        <w:rPr>
          <w:rFonts w:ascii="Arial" w:cs="Arial" w:eastAsia="Arial" w:hAnsi="Arial"/>
          <w:sz w:val="16"/>
          <w:szCs w:val="16"/>
          <w:color w:val="auto"/>
        </w:rPr>
      </w:pPr>
    </w:p>
    <w:p>
      <w:pPr>
        <w:ind w:left="1140" w:hanging="322"/>
        <w:spacing w:after="0" w:line="275" w:lineRule="auto"/>
        <w:tabs>
          <w:tab w:leader="none" w:pos="11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Cash inflows increased by $679 million as a result of changes in our regulatory assets and liabilities primarily driven by prior year incremental fuel, purchased power and natural gas costs due to Winter Storm Uri and current year recovery of a portion of Winter Storm Uri incremental and carrying costs from customers;</w:t>
      </w:r>
    </w:p>
    <w:p>
      <w:pPr>
        <w:spacing w:after="0" w:line="191" w:lineRule="exact"/>
        <w:rPr>
          <w:rFonts w:ascii="Arial" w:cs="Arial" w:eastAsia="Arial" w:hAnsi="Arial"/>
          <w:sz w:val="16"/>
          <w:szCs w:val="16"/>
          <w:color w:val="auto"/>
        </w:rPr>
      </w:pPr>
    </w:p>
    <w:p>
      <w:pPr>
        <w:ind w:left="1140" w:right="400" w:hanging="322"/>
        <w:spacing w:after="0" w:line="304" w:lineRule="auto"/>
        <w:tabs>
          <w:tab w:leader="none" w:pos="11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Cash inflows decreased by $44 million as a result of changes in accounts receivable and other current assets primarily driven by higher pass-through revenues reflecting higher commodity prices; and</w:t>
      </w:r>
    </w:p>
    <w:p>
      <w:pPr>
        <w:spacing w:after="0" w:line="168" w:lineRule="exact"/>
        <w:rPr>
          <w:rFonts w:ascii="Arial" w:cs="Arial" w:eastAsia="Arial" w:hAnsi="Arial"/>
          <w:sz w:val="16"/>
          <w:szCs w:val="16"/>
          <w:color w:val="auto"/>
        </w:rPr>
      </w:pPr>
    </w:p>
    <w:p>
      <w:pPr>
        <w:ind w:left="1140" w:right="40" w:hanging="322"/>
        <w:spacing w:after="0" w:line="286" w:lineRule="auto"/>
        <w:tabs>
          <w:tab w:leader="none" w:pos="1130" w:val="left"/>
        </w:tabs>
        <w:numPr>
          <w:ilvl w:val="1"/>
          <w:numId w:val="35"/>
        </w:numPr>
        <w:rPr>
          <w:rFonts w:ascii="Arial" w:cs="Arial" w:eastAsia="Arial" w:hAnsi="Arial"/>
          <w:sz w:val="16"/>
          <w:szCs w:val="16"/>
          <w:color w:val="auto"/>
        </w:rPr>
      </w:pPr>
      <w:r>
        <w:rPr>
          <w:rFonts w:ascii="Arial" w:cs="Arial" w:eastAsia="Arial" w:hAnsi="Arial"/>
          <w:sz w:val="16"/>
          <w:szCs w:val="16"/>
          <w:color w:val="auto"/>
        </w:rPr>
        <w:t>Cash outflows decreased by $36 million as a result of changes in accounts payable and accrued liabilities primarily driven by payment timing of natural gas and power purchases and other working capital requirements.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outflows increased by $4.0 million for other operating activities which was primarily driven by changes in contractor retainage balances.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$18 million lower than the same period in 2021. The variance to the prior year was primarily attributable to:</w:t>
      </w:r>
    </w:p>
    <w:p>
      <w:pPr>
        <w:spacing w:after="0" w:line="248" w:lineRule="exact"/>
        <w:rPr>
          <w:sz w:val="20"/>
          <w:szCs w:val="20"/>
          <w:color w:val="auto"/>
        </w:rPr>
      </w:pPr>
    </w:p>
    <w:p>
      <w:pPr>
        <w:ind w:left="660" w:right="120" w:hanging="328"/>
        <w:spacing w:after="0" w:line="28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Capital expenditures of $294 million for the six months ended June 30, 2022 compared to $319 million for the same period in the prior year. Lower current year expenditures were driven by lower programmatic safety, reliability and integrity spending at our Gas and Electric Utilities; and</w:t>
      </w:r>
    </w:p>
    <w:p>
      <w:pPr>
        <w:spacing w:after="0" w:line="196" w:lineRule="exact"/>
        <w:rPr>
          <w:rFonts w:ascii="Arial" w:cs="Arial" w:eastAsia="Arial" w:hAnsi="Arial"/>
          <w:sz w:val="16"/>
          <w:szCs w:val="16"/>
          <w:color w:val="auto"/>
        </w:rPr>
      </w:pPr>
    </w:p>
    <w:p>
      <w:pPr>
        <w:ind w:left="660" w:right="500" w:hanging="328"/>
        <w:spacing w:after="0" w:line="28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inflows decreased by $7.3 million for other investing activities which was primarily driven by prior year sales of transmission assets and facilities, none of which were individually material.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$704 million higher than the same period in 2021. The variance to the prior year was primarily attributable to:</w:t>
      </w:r>
    </w:p>
    <w:p>
      <w:pPr>
        <w:spacing w:after="0" w:line="248" w:lineRule="exact"/>
        <w:rPr>
          <w:sz w:val="20"/>
          <w:szCs w:val="20"/>
          <w:color w:val="auto"/>
        </w:rPr>
      </w:pPr>
    </w:p>
    <w:p>
      <w:pPr>
        <w:ind w:left="660" w:right="120" w:hanging="328"/>
        <w:spacing w:after="0" w:line="304"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inflows decreased $680 million due to short-term and long-term repayments in excess of borrowings which was primarily driven by prior year term loan borrowings related to Winter Storm Uri;</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inflows decreased $20 million due to decreased issuances of common stock;</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outflows increased $6.0 million due to increased dividends paid on common stock;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inflows increased by $1.4 million for other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1"/>
                <w:szCs w:val="21"/>
                <w:color w:val="auto"/>
              </w:rPr>
            </w:pPr>
          </w:p>
        </w:tc>
        <w:tc>
          <w:tcPr>
            <w:tcW w:w="2160" w:type="dxa"/>
            <w:vAlign w:val="bottom"/>
          </w:tcPr>
          <w:p>
            <w:pPr>
              <w:jc w:val="center"/>
              <w:ind w:right="99"/>
              <w:spacing w:after="0"/>
              <w:rPr>
                <w:sz w:val="20"/>
                <w:szCs w:val="20"/>
                <w:color w:val="auto"/>
              </w:rPr>
            </w:pPr>
            <w:r>
              <w:rPr>
                <w:rFonts w:ascii="Arial" w:cs="Arial" w:eastAsia="Arial" w:hAnsi="Arial"/>
                <w:sz w:val="16"/>
                <w:szCs w:val="16"/>
                <w:color w:val="auto"/>
              </w:rPr>
              <w:t>Short-term borrowings at</w:t>
            </w:r>
          </w:p>
        </w:tc>
        <w:tc>
          <w:tcPr>
            <w:tcW w:w="200" w:type="dxa"/>
            <w:vAlign w:val="bottom"/>
          </w:tcPr>
          <w:p>
            <w:pPr>
              <w:spacing w:after="0"/>
              <w:rPr>
                <w:sz w:val="21"/>
                <w:szCs w:val="21"/>
                <w:color w:val="auto"/>
              </w:rPr>
            </w:pP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r>
              <w:rPr>
                <w:rFonts w:ascii="Arial" w:cs="Arial" w:eastAsia="Arial" w:hAnsi="Arial"/>
                <w:sz w:val="16"/>
                <w:szCs w:val="16"/>
                <w:color w:val="auto"/>
                <w:w w:val="97"/>
              </w:rPr>
              <w:t xml:space="preserve"> at</w:t>
            </w:r>
          </w:p>
        </w:tc>
        <w:tc>
          <w:tcPr>
            <w:tcW w:w="240" w:type="dxa"/>
            <w:vAlign w:val="bottom"/>
          </w:tcPr>
          <w:p>
            <w:pPr>
              <w:spacing w:after="0"/>
              <w:rPr>
                <w:sz w:val="21"/>
                <w:szCs w:val="21"/>
                <w:color w:val="auto"/>
              </w:rPr>
            </w:pPr>
          </w:p>
        </w:tc>
        <w:tc>
          <w:tcPr>
            <w:tcW w:w="1940" w:type="dxa"/>
            <w:vAlign w:val="bottom"/>
          </w:tcPr>
          <w:p>
            <w:pPr>
              <w:jc w:val="center"/>
              <w:ind w:right="119"/>
              <w:spacing w:after="0"/>
              <w:rPr>
                <w:sz w:val="20"/>
                <w:szCs w:val="20"/>
                <w:color w:val="auto"/>
              </w:rPr>
            </w:pPr>
            <w:r>
              <w:rPr>
                <w:rFonts w:ascii="Arial" w:cs="Arial" w:eastAsia="Arial" w:hAnsi="Arial"/>
                <w:sz w:val="16"/>
                <w:szCs w:val="16"/>
                <w:color w:val="auto"/>
              </w:rPr>
              <w:t>Available Capacity at</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Capacity</w:t>
            </w: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June 30, 2022</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June 30, 2022</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June 30, 2022</w:t>
            </w:r>
          </w:p>
        </w:tc>
        <w:tc>
          <w:tcPr>
            <w:tcW w:w="0" w:type="dxa"/>
            <w:vAlign w:val="bottom"/>
          </w:tcPr>
          <w:p>
            <w:pPr>
              <w:spacing w:after="0"/>
              <w:rPr>
                <w:sz w:val="1"/>
                <w:szCs w:val="1"/>
                <w:color w:val="auto"/>
              </w:rPr>
            </w:pPr>
          </w:p>
        </w:tc>
      </w:tr>
      <w:tr>
        <w:trPr>
          <w:trHeight w:val="157"/>
        </w:trPr>
        <w:tc>
          <w:tcPr>
            <w:tcW w:w="2240" w:type="dxa"/>
            <w:vAlign w:val="bottom"/>
            <w:shd w:val="clear" w:color="auto" w:fill="CEFFE7"/>
          </w:tcPr>
          <w:p>
            <w:pPr>
              <w:ind w:left="20"/>
              <w:spacing w:after="0" w:line="157" w:lineRule="exact"/>
              <w:rPr>
                <w:sz w:val="20"/>
                <w:szCs w:val="20"/>
                <w:color w:val="auto"/>
              </w:rPr>
            </w:pPr>
            <w:r>
              <w:rPr>
                <w:rFonts w:ascii="Arial" w:cs="Arial" w:eastAsia="Arial" w:hAnsi="Arial"/>
                <w:sz w:val="16"/>
                <w:szCs w:val="16"/>
                <w:color w:val="auto"/>
              </w:rPr>
              <w:t>Revolving Credit Facility and</w:t>
            </w:r>
          </w:p>
        </w:tc>
        <w:tc>
          <w:tcPr>
            <w:tcW w:w="1240" w:type="dxa"/>
            <w:vAlign w:val="bottom"/>
            <w:vMerge w:val="restart"/>
            <w:shd w:val="clear" w:color="auto" w:fill="CEFFE7"/>
          </w:tcPr>
          <w:p>
            <w:pPr>
              <w:jc w:val="center"/>
              <w:spacing w:after="0"/>
              <w:rPr>
                <w:sz w:val="20"/>
                <w:szCs w:val="20"/>
                <w:color w:val="auto"/>
              </w:rPr>
            </w:pPr>
            <w:r>
              <w:rPr>
                <w:rFonts w:ascii="Arial" w:cs="Arial" w:eastAsia="Arial" w:hAnsi="Arial"/>
                <w:sz w:val="16"/>
                <w:szCs w:val="16"/>
                <w:color w:val="auto"/>
              </w:rPr>
              <w:t>July 19, 2026</w:t>
            </w:r>
          </w:p>
        </w:tc>
        <w:tc>
          <w:tcPr>
            <w:tcW w:w="2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1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335</w:t>
            </w:r>
          </w:p>
        </w:tc>
        <w:tc>
          <w:tcPr>
            <w:tcW w:w="2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2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6"/>
        </w:trPr>
        <w:tc>
          <w:tcPr>
            <w:tcW w:w="2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1240" w:type="dxa"/>
            <w:vAlign w:val="bottom"/>
            <w:vMerge w:val="continue"/>
            <w:shd w:val="clear" w:color="auto" w:fill="CEFFE7"/>
          </w:tcPr>
          <w:p>
            <w:pPr>
              <w:spacing w:after="0"/>
              <w:rPr>
                <w:sz w:val="18"/>
                <w:szCs w:val="18"/>
                <w:color w:val="auto"/>
              </w:rPr>
            </w:pPr>
          </w:p>
        </w:tc>
        <w:tc>
          <w:tcPr>
            <w:tcW w:w="260" w:type="dxa"/>
            <w:vAlign w:val="bottom"/>
            <w:vMerge w:val="continue"/>
            <w:shd w:val="clear" w:color="auto" w:fill="CEFFE7"/>
          </w:tcPr>
          <w:p>
            <w:pPr>
              <w:spacing w:after="0"/>
              <w:rPr>
                <w:sz w:val="18"/>
                <w:szCs w:val="18"/>
                <w:color w:val="auto"/>
              </w:rPr>
            </w:pPr>
          </w:p>
        </w:tc>
        <w:tc>
          <w:tcPr>
            <w:tcW w:w="980" w:type="dxa"/>
            <w:vAlign w:val="bottom"/>
            <w:vMerge w:val="continue"/>
            <w:shd w:val="clear" w:color="auto" w:fill="CEFFE7"/>
          </w:tcPr>
          <w:p>
            <w:pPr>
              <w:spacing w:after="0"/>
              <w:rPr>
                <w:sz w:val="18"/>
                <w:szCs w:val="18"/>
                <w:color w:val="auto"/>
              </w:rPr>
            </w:pPr>
          </w:p>
        </w:tc>
        <w:tc>
          <w:tcPr>
            <w:tcW w:w="220" w:type="dxa"/>
            <w:vAlign w:val="bottom"/>
            <w:vMerge w:val="continue"/>
            <w:shd w:val="clear" w:color="auto" w:fill="CEFFE7"/>
          </w:tcPr>
          <w:p>
            <w:pPr>
              <w:spacing w:after="0"/>
              <w:rPr>
                <w:sz w:val="18"/>
                <w:szCs w:val="18"/>
                <w:color w:val="auto"/>
              </w:rPr>
            </w:pPr>
          </w:p>
        </w:tc>
        <w:tc>
          <w:tcPr>
            <w:tcW w:w="2160" w:type="dxa"/>
            <w:vAlign w:val="bottom"/>
            <w:vMerge w:val="continue"/>
            <w:shd w:val="clear" w:color="auto" w:fill="CEFFE7"/>
          </w:tcPr>
          <w:p>
            <w:pPr>
              <w:spacing w:after="0"/>
              <w:rPr>
                <w:sz w:val="18"/>
                <w:szCs w:val="18"/>
                <w:color w:val="auto"/>
              </w:rPr>
            </w:pPr>
          </w:p>
        </w:tc>
        <w:tc>
          <w:tcPr>
            <w:tcW w:w="200" w:type="dxa"/>
            <w:vAlign w:val="bottom"/>
            <w:vMerge w:val="continue"/>
            <w:shd w:val="clear" w:color="auto" w:fill="CEFFE7"/>
          </w:tcPr>
          <w:p>
            <w:pPr>
              <w:spacing w:after="0"/>
              <w:rPr>
                <w:sz w:val="18"/>
                <w:szCs w:val="18"/>
                <w:color w:val="auto"/>
              </w:rPr>
            </w:pPr>
          </w:p>
        </w:tc>
        <w:tc>
          <w:tcPr>
            <w:tcW w:w="1760" w:type="dxa"/>
            <w:vAlign w:val="bottom"/>
            <w:vMerge w:val="continue"/>
            <w:shd w:val="clear" w:color="auto" w:fill="CEFFE7"/>
          </w:tcPr>
          <w:p>
            <w:pPr>
              <w:spacing w:after="0"/>
              <w:rPr>
                <w:sz w:val="18"/>
                <w:szCs w:val="18"/>
                <w:color w:val="auto"/>
              </w:rPr>
            </w:pPr>
          </w:p>
        </w:tc>
        <w:tc>
          <w:tcPr>
            <w:tcW w:w="240" w:type="dxa"/>
            <w:vAlign w:val="bottom"/>
            <w:vMerge w:val="continue"/>
            <w:shd w:val="clear" w:color="auto" w:fill="CEFFE7"/>
          </w:tcPr>
          <w:p>
            <w:pPr>
              <w:spacing w:after="0"/>
              <w:rPr>
                <w:sz w:val="18"/>
                <w:szCs w:val="18"/>
                <w:color w:val="auto"/>
              </w:rPr>
            </w:pPr>
          </w:p>
        </w:tc>
        <w:tc>
          <w:tcPr>
            <w:tcW w:w="194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240" w:type="dxa"/>
            <w:vAlign w:val="bottom"/>
          </w:tcPr>
          <w:p>
            <w:pPr>
              <w:spacing w:after="0"/>
              <w:rPr>
                <w:sz w:val="20"/>
                <w:szCs w:val="20"/>
                <w:color w:val="auto"/>
              </w:rPr>
            </w:pPr>
            <w:r>
              <w:rPr>
                <w:rFonts w:ascii="Arial" w:cs="Arial" w:eastAsia="Arial" w:hAnsi="Arial"/>
                <w:sz w:val="16"/>
                <w:szCs w:val="16"/>
                <w:color w:val="auto"/>
              </w:rPr>
              <w:t>__________</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100" w:firstLine="8"/>
        <w:spacing w:after="0" w:line="274" w:lineRule="auto"/>
        <w:tabs>
          <w:tab w:leader="none" w:pos="336"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Letters of credit are off-balance sheet commitments that reduce the borrowing capacity available on our corporate Revolving Credit Facility. For more information on these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Condensed Consolidated Financial Statements.</w:t>
      </w:r>
    </w:p>
    <w:p>
      <w:pPr>
        <w:spacing w:after="0" w:line="20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weighted average interest rate on short-term borrowings at June 30, 2022 was 1.74%. Short-term borrowing activity for the six months ended June 30, 2022 was: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(dollars in millions)</w:t>
            </w:r>
          </w:p>
        </w:tc>
      </w:tr>
      <w:tr>
        <w:trPr>
          <w:trHeight w:val="210"/>
        </w:trPr>
        <w:tc>
          <w:tcPr>
            <w:tcW w:w="69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429</w:t>
            </w: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19"/>
              <w:spacing w:after="0"/>
              <w:rPr>
                <w:sz w:val="20"/>
                <w:szCs w:val="20"/>
                <w:color w:val="auto"/>
              </w:rPr>
            </w:pPr>
            <w:r>
              <w:rPr>
                <w:rFonts w:ascii="Arial" w:cs="Arial" w:eastAsia="Arial" w:hAnsi="Arial"/>
                <w:sz w:val="16"/>
                <w:szCs w:val="16"/>
                <w:color w:val="auto"/>
              </w:rPr>
              <w:t>326</w:t>
            </w:r>
          </w:p>
        </w:tc>
      </w:tr>
      <w:tr>
        <w:trPr>
          <w:trHeight w:val="217"/>
        </w:trPr>
        <w:tc>
          <w:tcPr>
            <w:tcW w:w="69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interest rates</w:t>
            </w:r>
          </w:p>
        </w:tc>
        <w:tc>
          <w:tcPr>
            <w:tcW w:w="2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0.82 %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June 30, 2022.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information related to common stock issuances under the ATM.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4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our Revolving Credit Facility and CP Program and issuing common stock under the ATM.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6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The following table represents the credit ratings, outlook and risk profile of BHC at June 30, 2022:</w:t>
            </w:r>
          </w:p>
        </w:tc>
        <w:tc>
          <w:tcPr>
            <w:tcW w:w="26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88"/>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262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Senior Unsecured Rating</w:t>
            </w:r>
          </w:p>
        </w:tc>
        <w:tc>
          <w:tcPr>
            <w:tcW w:w="15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Outlook</w:t>
            </w:r>
          </w:p>
        </w:tc>
      </w:tr>
      <w:tr>
        <w:trPr>
          <w:trHeight w:val="210"/>
        </w:trPr>
        <w:tc>
          <w:tcPr>
            <w:tcW w:w="710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2620" w:type="dxa"/>
            <w:vAlign w:val="bottom"/>
            <w:shd w:val="clear" w:color="auto" w:fill="CEFFE7"/>
          </w:tcPr>
          <w:p>
            <w:pPr>
              <w:jc w:val="center"/>
              <w:ind w:right="39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71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2620" w:type="dxa"/>
            <w:vAlign w:val="bottom"/>
          </w:tcPr>
          <w:p>
            <w:pPr>
              <w:jc w:val="center"/>
              <w:ind w:right="399"/>
              <w:spacing w:after="0"/>
              <w:rPr>
                <w:sz w:val="20"/>
                <w:szCs w:val="20"/>
                <w:color w:val="auto"/>
              </w:rPr>
            </w:pPr>
            <w:r>
              <w:rPr>
                <w:rFonts w:ascii="Arial" w:cs="Arial" w:eastAsia="Arial" w:hAnsi="Arial"/>
                <w:sz w:val="16"/>
                <w:szCs w:val="16"/>
                <w:color w:val="auto"/>
              </w:rPr>
              <w:t>Baa2</w:t>
            </w:r>
          </w:p>
        </w:tc>
        <w:tc>
          <w:tcPr>
            <w:tcW w:w="1520" w:type="dxa"/>
            <w:vAlign w:val="bottom"/>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71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2620" w:type="dxa"/>
            <w:vAlign w:val="bottom"/>
            <w:shd w:val="clear" w:color="auto" w:fill="CEFFE7"/>
          </w:tcPr>
          <w:p>
            <w:pPr>
              <w:jc w:val="center"/>
              <w:ind w:right="39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82"/>
        </w:trPr>
        <w:tc>
          <w:tcPr>
            <w:tcW w:w="7100" w:type="dxa"/>
            <w:vAlign w:val="bottom"/>
          </w:tcPr>
          <w:p>
            <w:pPr>
              <w:spacing w:after="0"/>
              <w:rPr>
                <w:sz w:val="20"/>
                <w:szCs w:val="20"/>
                <w:color w:val="auto"/>
              </w:rPr>
            </w:pPr>
            <w:r>
              <w:rPr>
                <w:rFonts w:ascii="Arial" w:cs="Arial" w:eastAsia="Arial" w:hAnsi="Arial"/>
                <w:sz w:val="16"/>
                <w:szCs w:val="16"/>
                <w:color w:val="auto"/>
              </w:rPr>
              <w:t>__________</w:t>
            </w:r>
          </w:p>
        </w:tc>
        <w:tc>
          <w:tcPr>
            <w:tcW w:w="26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October 20, 2021, S&amp;P reported BBB+ rating and maintained a Stable outlook.</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December 20, 2021, Moody’s reported Baa2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September 17, 2021, Fitch reported BBB+ rating and maintained a Stable outlook.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76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64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788"/>
        </w:trPr>
        <w:tc>
          <w:tcPr>
            <w:tcW w:w="7600" w:type="dxa"/>
            <w:vAlign w:val="bottom"/>
            <w:gridSpan w:val="2"/>
          </w:tcPr>
          <w:p>
            <w:pPr>
              <w:spacing w:after="0"/>
              <w:rPr>
                <w:sz w:val="20"/>
                <w:szCs w:val="20"/>
                <w:color w:val="auto"/>
              </w:rPr>
            </w:pPr>
            <w:r>
              <w:rPr>
                <w:rFonts w:ascii="Arial" w:cs="Arial" w:eastAsia="Arial" w:hAnsi="Arial"/>
                <w:sz w:val="16"/>
                <w:szCs w:val="16"/>
                <w:color w:val="auto"/>
              </w:rPr>
              <w:t>The following table represents the credit ratings of South Dakota Electric at June 30, 2022:</w:t>
            </w:r>
          </w:p>
        </w:tc>
        <w:tc>
          <w:tcPr>
            <w:tcW w:w="3640" w:type="dxa"/>
            <w:vAlign w:val="bottom"/>
          </w:tcPr>
          <w:p>
            <w:pPr>
              <w:spacing w:after="0"/>
              <w:rPr>
                <w:sz w:val="24"/>
                <w:szCs w:val="24"/>
                <w:color w:val="auto"/>
              </w:rPr>
            </w:pPr>
          </w:p>
        </w:tc>
      </w:tr>
      <w:tr>
        <w:trPr>
          <w:trHeight w:val="475"/>
        </w:trPr>
        <w:tc>
          <w:tcPr>
            <w:tcW w:w="7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Rating Agency</w:t>
            </w:r>
          </w:p>
        </w:tc>
        <w:tc>
          <w:tcPr>
            <w:tcW w:w="36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Senior Secured Rating</w:t>
            </w:r>
          </w:p>
        </w:tc>
      </w:tr>
      <w:tr>
        <w:trPr>
          <w:trHeight w:val="209"/>
        </w:trPr>
        <w:tc>
          <w:tcPr>
            <w:tcW w:w="7600" w:type="dxa"/>
            <w:vAlign w:val="bottom"/>
            <w:gridSpan w:val="2"/>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3640" w:type="dxa"/>
            <w:vAlign w:val="bottom"/>
            <w:shd w:val="clear" w:color="auto" w:fill="CEFFE7"/>
          </w:tcPr>
          <w:p>
            <w:pPr>
              <w:jc w:val="center"/>
              <w:ind w:left="259"/>
              <w:spacing w:after="0"/>
              <w:rPr>
                <w:sz w:val="20"/>
                <w:szCs w:val="20"/>
                <w:color w:val="auto"/>
              </w:rPr>
            </w:pPr>
            <w:r>
              <w:rPr>
                <w:rFonts w:ascii="Arial" w:cs="Arial" w:eastAsia="Arial" w:hAnsi="Arial"/>
                <w:sz w:val="16"/>
                <w:szCs w:val="16"/>
                <w:color w:val="auto"/>
                <w:w w:val="93"/>
              </w:rPr>
              <w:t>A</w:t>
            </w:r>
          </w:p>
        </w:tc>
      </w:tr>
      <w:tr>
        <w:trPr>
          <w:trHeight w:val="285"/>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640" w:type="dxa"/>
            <w:vAlign w:val="bottom"/>
          </w:tcPr>
          <w:p>
            <w:pPr>
              <w:jc w:val="center"/>
              <w:ind w:left="259"/>
              <w:spacing w:after="0"/>
              <w:rPr>
                <w:sz w:val="20"/>
                <w:szCs w:val="20"/>
                <w:color w:val="auto"/>
              </w:rPr>
            </w:pPr>
            <w:r>
              <w:rPr>
                <w:rFonts w:ascii="Arial" w:cs="Arial" w:eastAsia="Arial" w:hAnsi="Arial"/>
                <w:sz w:val="16"/>
                <w:szCs w:val="16"/>
                <w:color w:val="auto"/>
                <w:w w:val="93"/>
              </w:rPr>
              <w:t>A</w:t>
            </w:r>
          </w:p>
        </w:tc>
      </w:tr>
      <w:tr>
        <w:trPr>
          <w:trHeight w:val="219"/>
        </w:trPr>
        <w:tc>
          <w:tcPr>
            <w:tcW w:w="1360" w:type="dxa"/>
            <w:vAlign w:val="bottom"/>
          </w:tcPr>
          <w:p>
            <w:pPr>
              <w:spacing w:after="0"/>
              <w:rPr>
                <w:sz w:val="20"/>
                <w:szCs w:val="20"/>
                <w:color w:val="auto"/>
              </w:rPr>
            </w:pPr>
            <w:r>
              <w:rPr>
                <w:rFonts w:ascii="Arial" w:cs="Arial" w:eastAsia="Arial" w:hAnsi="Arial"/>
                <w:sz w:val="16"/>
                <w:szCs w:val="16"/>
                <w:color w:val="auto"/>
              </w:rPr>
              <w:t>__________</w:t>
            </w:r>
          </w:p>
        </w:tc>
        <w:tc>
          <w:tcPr>
            <w:tcW w:w="624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March 31, 2022, S&amp;P reported A rating.</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September 17, 2021, Fitch reported A rating.</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rPr>
              <w:t>Actual</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Forecasted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Capital Expenditures by Segment</w:t>
            </w:r>
          </w:p>
        </w:tc>
        <w:tc>
          <w:tcPr>
            <w:tcW w:w="21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rPr>
              <w:t>Six Months Ended June 30,</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 xml:space="preserve">2022 </w:t>
            </w:r>
            <w:r>
              <w:rPr>
                <w:rFonts w:ascii="Arial" w:cs="Arial" w:eastAsia="Arial" w:hAnsi="Arial"/>
                <w:sz w:val="21"/>
                <w:szCs w:val="21"/>
                <w:color w:val="auto"/>
                <w:vertAlign w:val="superscript"/>
              </w:rPr>
              <w:t>(b)</w:t>
            </w: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2023</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color w:val="auto"/>
              </w:rPr>
              <w:t>2024</w:t>
            </w: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2025</w:t>
            </w: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center"/>
              <w:ind w:right="540"/>
              <w:spacing w:after="0" w:line="216" w:lineRule="exact"/>
              <w:rPr>
                <w:sz w:val="20"/>
                <w:szCs w:val="20"/>
                <w:color w:val="auto"/>
              </w:rPr>
            </w:pPr>
            <w:r>
              <w:rPr>
                <w:rFonts w:ascii="Arial" w:cs="Arial" w:eastAsia="Arial" w:hAnsi="Arial"/>
                <w:sz w:val="16"/>
                <w:szCs w:val="16"/>
                <w:color w:val="auto"/>
                <w:w w:val="94"/>
              </w:rPr>
              <w:t xml:space="preserve">2022 </w:t>
            </w:r>
            <w:r>
              <w:rPr>
                <w:rFonts w:ascii="Arial" w:cs="Arial" w:eastAsia="Arial" w:hAnsi="Arial"/>
                <w:sz w:val="21"/>
                <w:szCs w:val="21"/>
                <w:color w:val="auto"/>
                <w:w w:val="94"/>
                <w:vertAlign w:val="superscript"/>
              </w:rPr>
              <w:t>(a)</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440" w:type="dxa"/>
            <w:vAlign w:val="bottom"/>
            <w:tcBorders>
              <w:top w:val="single" w:sz="8" w:color="auto"/>
            </w:tcBorders>
            <w:shd w:val="clear" w:color="auto" w:fill="CEFFE7"/>
          </w:tcPr>
          <w:p>
            <w:pPr>
              <w:spacing w:after="0"/>
              <w:rPr>
                <w:sz w:val="17"/>
                <w:szCs w:val="17"/>
                <w:color w:val="auto"/>
              </w:rPr>
            </w:pPr>
          </w:p>
        </w:tc>
        <w:tc>
          <w:tcPr>
            <w:tcW w:w="1700" w:type="dxa"/>
            <w:vAlign w:val="bottom"/>
            <w:tcBorders>
              <w:top w:val="single" w:sz="8" w:color="auto"/>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04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200" w:type="dxa"/>
            <w:vAlign w:val="bottom"/>
            <w:tcBorders>
              <w:top w:val="single" w:sz="8" w:color="auto"/>
            </w:tcBorders>
            <w:shd w:val="clear" w:color="auto" w:fill="CEFFE7"/>
          </w:tcPr>
          <w:p>
            <w:pPr>
              <w:spacing w:after="0"/>
              <w:rPr>
                <w:sz w:val="17"/>
                <w:szCs w:val="17"/>
                <w:color w:val="auto"/>
              </w:rPr>
            </w:pPr>
          </w:p>
        </w:tc>
        <w:tc>
          <w:tcPr>
            <w:tcW w:w="112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1020" w:type="dxa"/>
            <w:vAlign w:val="bottom"/>
            <w:tcBorders>
              <w:top w:val="single" w:sz="8" w:color="auto"/>
            </w:tcBorders>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7"/>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440" w:type="dxa"/>
            <w:vAlign w:val="bottom"/>
            <w:shd w:val="clear" w:color="auto" w:fill="CEFFE7"/>
          </w:tcPr>
          <w:p>
            <w:pPr>
              <w:spacing w:after="0"/>
              <w:rPr>
                <w:sz w:val="18"/>
                <w:szCs w:val="18"/>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363</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349</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4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2460" w:type="dxa"/>
            <w:vAlign w:val="bottom"/>
            <w:shd w:val="clear" w:color="auto" w:fill="CEFFE7"/>
          </w:tcPr>
          <w:p>
            <w:pPr>
              <w:ind w:left="20"/>
              <w:spacing w:after="0" w:line="217"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440" w:type="dxa"/>
            <w:vAlign w:val="bottom"/>
            <w:shd w:val="clear" w:color="auto" w:fill="CEFFE7"/>
          </w:tcPr>
          <w:p>
            <w:pPr>
              <w:spacing w:after="0"/>
              <w:rPr>
                <w:sz w:val="18"/>
                <w:szCs w:val="18"/>
                <w:color w:val="auto"/>
              </w:rPr>
            </w:pPr>
          </w:p>
        </w:tc>
        <w:tc>
          <w:tcPr>
            <w:tcW w:w="180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200" w:hanging="332"/>
        <w:spacing w:after="0" w:line="256" w:lineRule="auto"/>
        <w:tabs>
          <w:tab w:leader="none" w:pos="352"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Condensed Consolidated Statements of Cash Flows</w:t>
      </w:r>
      <w:r>
        <w:rPr>
          <w:rFonts w:ascii="Arial" w:cs="Arial" w:eastAsia="Arial" w:hAnsi="Arial"/>
          <w:sz w:val="14"/>
          <w:szCs w:val="14"/>
          <w:color w:val="auto"/>
        </w:rPr>
        <w:t xml:space="preserve"> in the Condensed Consolidated Financial Statements.</w:t>
      </w: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actual capital expenditures for the six months ended June 30, 2022.</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Dividends paid on our common stock totaled $77 million for the six months ended June 30, 2022, or $0.595 per share per quarter. On July 25, 2022, our board of directors declared a quarterly dividend of $0.595 per share payable September 1, 2022, equivalent to an annual dividend of $2.38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 for recent updates to our purchase obligations.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There have been no material changes in our critical accounting estimates from those reported in our 2021 Annual Report on Form 10-K. We are closely monitoring the impacts of recent macroeconomic trends and Winter Storm Uri on our critical accounting estimates including, but not limited to, collectibility of customer receivables, cost recoverability through regulatory assets, impairment risk of goodwill and long-lived assets, valuation of pension assets and liabilities and contingent liabilities. For more information on our critical accounting estimates, see Part II, Item 7 of our 2021 Annual Report on Form 10-K.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2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Other than the pronouncements reported in our 2021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Condensed Consolidated Financial Statements,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7"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Annual Report on Form 10-K.</w:t>
      </w:r>
    </w:p>
    <w:p>
      <w:pPr>
        <w:sectPr>
          <w:pgSz w:w="11900" w:h="16838" w:orient="portrait"/>
          <w:cols w:equalWidth="0" w:num="1">
            <w:col w:w="11240"/>
          </w:cols>
          <w:pgMar w:left="320" w:top="118" w:right="339" w:bottom="144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June 30, 2022. Based on their evaluation, they have concluded that our disclosure controls and procedures were effective at June 30, 2022.</w:t>
      </w:r>
    </w:p>
    <w:p>
      <w:pPr>
        <w:spacing w:after="0" w:line="19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During the quarter ended June 30, 2022, there have been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 xml:space="preserve">For information regarding legal proceedings, see Note 3 in Item 8 of our 2021 Annual Report on Form 10-K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2021 Annual Report on Form 10-K.</w:t>
      </w: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June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vMerge w:val="restart"/>
          </w:tcPr>
          <w:p>
            <w:pPr>
              <w:jc w:val="right"/>
              <w:ind w:right="79"/>
              <w:spacing w:after="0"/>
              <w:rPr>
                <w:sz w:val="20"/>
                <w:szCs w:val="20"/>
                <w:color w:val="auto"/>
              </w:rPr>
            </w:pPr>
            <w:r>
              <w:rPr>
                <w:rFonts w:ascii="Arial" w:cs="Arial" w:eastAsia="Arial" w:hAnsi="Arial"/>
                <w:sz w:val="16"/>
                <w:szCs w:val="16"/>
                <w:color w:val="auto"/>
              </w:rPr>
              <w:t>Total Number of Shares</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c>
          <w:tcPr>
            <w:tcW w:w="0" w:type="dxa"/>
            <w:vAlign w:val="bottom"/>
          </w:tcPr>
          <w:p>
            <w:pPr>
              <w:spacing w:after="0"/>
              <w:rPr>
                <w:sz w:val="1"/>
                <w:szCs w:val="1"/>
                <w:color w:val="auto"/>
              </w:rPr>
            </w:pPr>
          </w:p>
        </w:tc>
      </w:tr>
      <w:tr>
        <w:trPr>
          <w:trHeight w:val="162"/>
        </w:trPr>
        <w:tc>
          <w:tcPr>
            <w:tcW w:w="376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Be Purchased Under the</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jc w:val="right"/>
              <w:ind w:right="459"/>
              <w:spacing w:after="0" w:line="216"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c>
          <w:tcPr>
            <w:tcW w:w="0" w:type="dxa"/>
            <w:vAlign w:val="bottom"/>
          </w:tcPr>
          <w:p>
            <w:pPr>
              <w:spacing w:after="0"/>
              <w:rPr>
                <w:sz w:val="1"/>
                <w:szCs w:val="1"/>
                <w:color w:val="auto"/>
              </w:rPr>
            </w:pPr>
          </w:p>
        </w:tc>
      </w:tr>
      <w:tr>
        <w:trPr>
          <w:trHeight w:val="209"/>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April 1, 2022 - April 30, 2022</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78.44</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May 1, 2022 - May 31, 2022</w:t>
            </w:r>
          </w:p>
        </w:tc>
        <w:tc>
          <w:tcPr>
            <w:tcW w:w="2020" w:type="dxa"/>
            <w:vAlign w:val="bottom"/>
          </w:tcPr>
          <w:p>
            <w:pPr>
              <w:jc w:val="right"/>
              <w:spacing w:after="0"/>
              <w:rPr>
                <w:sz w:val="20"/>
                <w:szCs w:val="20"/>
                <w:color w:val="auto"/>
              </w:rPr>
            </w:pPr>
            <w:r>
              <w:rPr>
                <w:rFonts w:ascii="Arial" w:cs="Arial" w:eastAsia="Arial" w:hAnsi="Arial"/>
                <w:sz w:val="16"/>
                <w:szCs w:val="16"/>
                <w:color w:val="auto"/>
              </w:rPr>
              <w:t>741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75.60</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June 1, 2022 - June 30, 2022</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76.38</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60" w:type="dxa"/>
            <w:vAlign w:val="bottom"/>
          </w:tcPr>
          <w:p>
            <w:pPr>
              <w:ind w:left="17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75.61</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860" w:hanging="332"/>
        <w:spacing w:after="0" w:line="284" w:lineRule="auto"/>
        <w:tabs>
          <w:tab w:leader="none" w:pos="3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8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7"/>
          </w:tcPr>
          <w:p>
            <w:pPr>
              <w:ind w:left="820"/>
              <w:spacing w:after="0"/>
              <w:rPr>
                <w:sz w:val="20"/>
                <w:szCs w:val="20"/>
                <w:color w:val="auto"/>
              </w:rPr>
            </w:pPr>
            <w:r>
              <w:rPr>
                <w:rFonts w:ascii="Arial" w:cs="Arial" w:eastAsia="Arial" w:hAnsi="Arial"/>
                <w:sz w:val="16"/>
                <w:szCs w:val="16"/>
                <w:b w:val="1"/>
                <w:bCs w:val="1"/>
                <w:color w:val="auto"/>
              </w:rPr>
              <w:t>Description</w:t>
            </w:r>
          </w:p>
        </w:tc>
      </w:tr>
      <w:tr>
        <w:trPr>
          <w:trHeight w:val="142"/>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10.1</w:t>
            </w:r>
          </w:p>
        </w:tc>
        <w:tc>
          <w:tcPr>
            <w:tcW w:w="9900" w:type="dxa"/>
            <w:vAlign w:val="bottom"/>
            <w:gridSpan w:val="10"/>
            <w:shd w:val="clear" w:color="auto" w:fill="CEFFE7"/>
          </w:tcPr>
          <w:p>
            <w:pPr>
              <w:spacing w:after="0" w:line="175" w:lineRule="exact"/>
              <w:rPr>
                <w:rFonts w:ascii="Arial" w:cs="Arial" w:eastAsia="Arial" w:hAnsi="Arial"/>
                <w:sz w:val="16"/>
                <w:szCs w:val="16"/>
                <w:color w:val="0000FF"/>
              </w:rPr>
            </w:pPr>
            <w:hyperlink r:id="rId97">
              <w:r>
                <w:rPr>
                  <w:rFonts w:ascii="Arial" w:cs="Arial" w:eastAsia="Arial" w:hAnsi="Arial"/>
                  <w:sz w:val="16"/>
                  <w:szCs w:val="16"/>
                  <w:color w:val="0000FF"/>
                </w:rPr>
                <w:t>Black Hills Corporation Amended and Restated 2015 Omnibus Incentive Plan (filed as Appendix A to the Registrant’s definitive proxy</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5820" w:type="dxa"/>
            <w:vAlign w:val="bottom"/>
            <w:tcBorders>
              <w:top w:val="single" w:sz="8" w:color="0000FF"/>
              <w:bottom w:val="single" w:sz="8" w:color="0000FF"/>
            </w:tcBorders>
            <w:gridSpan w:val="4"/>
            <w:shd w:val="clear" w:color="auto" w:fill="CEFFE7"/>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statement for the 2022 Annual Meeting of Shareholders filed on March 17, 2022).</w:t>
              </w:r>
            </w:hyperlink>
          </w:p>
        </w:tc>
        <w:tc>
          <w:tcPr>
            <w:tcW w:w="3680" w:type="dxa"/>
            <w:vAlign w:val="bottom"/>
            <w:tcBorders>
              <w:top w:val="single" w:sz="8" w:color="0000FF"/>
              <w:bottom w:val="single" w:sz="8" w:color="CEFFE7"/>
            </w:tcBorders>
            <w:gridSpan w:val="3"/>
            <w:shd w:val="clear" w:color="auto" w:fill="CEFFE7"/>
          </w:tcPr>
          <w:p>
            <w:pPr>
              <w:spacing w:after="0"/>
              <w:rPr>
                <w:sz w:val="14"/>
                <w:szCs w:val="14"/>
                <w:color w:val="auto"/>
              </w:rPr>
            </w:pPr>
          </w:p>
        </w:tc>
        <w:tc>
          <w:tcPr>
            <w:tcW w:w="16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2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31.1*</w:t>
            </w:r>
          </w:p>
        </w:tc>
        <w:tc>
          <w:tcPr>
            <w:tcW w:w="990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142"/>
        </w:trPr>
        <w:tc>
          <w:tcPr>
            <w:tcW w:w="1340" w:type="dxa"/>
            <w:vAlign w:val="bottom"/>
          </w:tcPr>
          <w:p>
            <w:pPr>
              <w:spacing w:after="0"/>
              <w:rPr>
                <w:sz w:val="12"/>
                <w:szCs w:val="12"/>
                <w:color w:val="auto"/>
              </w:rPr>
            </w:pPr>
          </w:p>
        </w:tc>
        <w:tc>
          <w:tcPr>
            <w:tcW w:w="938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31.2*</w:t>
            </w:r>
          </w:p>
        </w:tc>
        <w:tc>
          <w:tcPr>
            <w:tcW w:w="9900" w:type="dxa"/>
            <w:vAlign w:val="bottom"/>
            <w:gridSpan w:val="10"/>
            <w:shd w:val="clear" w:color="auto" w:fill="CEFFE7"/>
          </w:tcPr>
          <w:p>
            <w:pPr>
              <w:spacing w:after="0" w:line="175" w:lineRule="exact"/>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20" w:type="dxa"/>
            <w:vAlign w:val="bottom"/>
            <w:tcBorders>
              <w:top w:val="single" w:sz="8" w:color="0000FF"/>
            </w:tcBorders>
            <w:gridSpan w:val="5"/>
            <w:shd w:val="clear" w:color="auto" w:fill="CEFFE7"/>
          </w:tcPr>
          <w:p>
            <w:pPr>
              <w:spacing w:after="0" w:line="142"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tcBorders>
              <w:top w:val="single" w:sz="8" w:color="CEFFE7"/>
            </w:tcBorders>
            <w:gridSpan w:val="3"/>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2140" w:type="dxa"/>
            <w:vAlign w:val="bottom"/>
            <w:tcBorders>
              <w:top w:val="single" w:sz="8" w:color="CEFFE7"/>
            </w:tcBorders>
            <w:shd w:val="clear" w:color="auto" w:fill="CEFFE7"/>
          </w:tcPr>
          <w:p>
            <w:pPr>
              <w:spacing w:after="0" w:line="20" w:lineRule="exact"/>
              <w:rPr>
                <w:sz w:val="1"/>
                <w:szCs w:val="1"/>
                <w:color w:val="auto"/>
              </w:rPr>
            </w:pPr>
          </w:p>
        </w:tc>
        <w:tc>
          <w:tcPr>
            <w:tcW w:w="35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32.1*</w:t>
            </w:r>
          </w:p>
        </w:tc>
        <w:tc>
          <w:tcPr>
            <w:tcW w:w="9900" w:type="dxa"/>
            <w:vAlign w:val="bottom"/>
            <w:gridSpan w:val="10"/>
          </w:tcPr>
          <w:p>
            <w:pPr>
              <w:spacing w:after="0" w:line="175"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 Oxley</w:t>
            </w:r>
          </w:p>
        </w:tc>
      </w:tr>
      <w:tr>
        <w:trPr>
          <w:trHeight w:val="142"/>
        </w:trPr>
        <w:tc>
          <w:tcPr>
            <w:tcW w:w="1340" w:type="dxa"/>
            <w:vAlign w:val="bottom"/>
          </w:tcPr>
          <w:p>
            <w:pPr>
              <w:spacing w:after="0"/>
              <w:rPr>
                <w:sz w:val="12"/>
                <w:szCs w:val="12"/>
                <w:color w:val="auto"/>
              </w:rPr>
            </w:pPr>
          </w:p>
        </w:tc>
        <w:tc>
          <w:tcPr>
            <w:tcW w:w="970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Act of 2002.</w:t>
            </w:r>
          </w:p>
        </w:tc>
        <w:tc>
          <w:tcPr>
            <w:tcW w:w="20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32.2*</w:t>
            </w:r>
          </w:p>
        </w:tc>
        <w:tc>
          <w:tcPr>
            <w:tcW w:w="9900" w:type="dxa"/>
            <w:vAlign w:val="bottom"/>
            <w:gridSpan w:val="10"/>
            <w:shd w:val="clear" w:color="auto" w:fill="CEFFE7"/>
          </w:tcPr>
          <w:p>
            <w:pPr>
              <w:spacing w:after="0" w:line="175"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860" w:type="dxa"/>
            <w:vAlign w:val="bottom"/>
            <w:tcBorders>
              <w:top w:val="single" w:sz="8" w:color="0000FF"/>
              <w:bottom w:val="single" w:sz="8" w:color="0000FF"/>
            </w:tcBorders>
            <w:shd w:val="clear" w:color="auto" w:fill="CEFFE7"/>
          </w:tcPr>
          <w:p>
            <w:pPr>
              <w:spacing w:after="0" w:line="142" w:lineRule="exact"/>
              <w:rPr>
                <w:sz w:val="20"/>
                <w:szCs w:val="20"/>
                <w:color w:val="auto"/>
              </w:rPr>
            </w:pPr>
            <w:r>
              <w:rPr>
                <w:rFonts w:ascii="Arial" w:cs="Arial" w:eastAsia="Arial" w:hAnsi="Arial"/>
                <w:sz w:val="16"/>
                <w:szCs w:val="16"/>
                <w:color w:val="0000FF"/>
                <w:w w:val="98"/>
              </w:rPr>
              <w:t>Act of 2002.</w:t>
            </w:r>
          </w:p>
        </w:tc>
        <w:tc>
          <w:tcPr>
            <w:tcW w:w="8800" w:type="dxa"/>
            <w:vAlign w:val="bottom"/>
            <w:tcBorders>
              <w:top w:val="single" w:sz="8" w:color="0000FF"/>
              <w:bottom w:val="single" w:sz="8" w:color="CEFFE7"/>
            </w:tcBorders>
            <w:gridSpan w:val="7"/>
            <w:shd w:val="clear" w:color="auto" w:fill="CEFFE7"/>
          </w:tcPr>
          <w:p>
            <w:pPr>
              <w:spacing w:after="0"/>
              <w:rPr>
                <w:sz w:val="14"/>
                <w:szCs w:val="14"/>
                <w:color w:val="auto"/>
              </w:rPr>
            </w:pPr>
          </w:p>
        </w:tc>
        <w:tc>
          <w:tcPr>
            <w:tcW w:w="240" w:type="dxa"/>
            <w:vAlign w:val="bottom"/>
            <w:tcBorders>
              <w:top w:val="single" w:sz="8" w:color="CEFFE7"/>
              <w:bottom w:val="single" w:sz="8" w:color="CEFFE7"/>
            </w:tcBorders>
            <w:gridSpan w:val="2"/>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95*</w:t>
            </w:r>
          </w:p>
        </w:tc>
        <w:tc>
          <w:tcPr>
            <w:tcW w:w="9900" w:type="dxa"/>
            <w:vAlign w:val="bottom"/>
            <w:gridSpan w:val="10"/>
          </w:tcPr>
          <w:p>
            <w:pPr>
              <w:spacing w:after="0" w:line="175" w:lineRule="exact"/>
              <w:rPr>
                <w:sz w:val="20"/>
                <w:szCs w:val="20"/>
                <w:color w:val="auto"/>
              </w:rPr>
            </w:pPr>
            <w:r>
              <w:rPr>
                <w:rFonts w:ascii="Arial" w:cs="Arial" w:eastAsia="Arial" w:hAnsi="Arial"/>
                <w:sz w:val="16"/>
                <w:szCs w:val="16"/>
                <w:color w:val="0000FF"/>
              </w:rPr>
              <w:t>Mine Safety and Health Administration Safety Data.</w:t>
            </w: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2"/>
        </w:trPr>
        <w:tc>
          <w:tcPr>
            <w:tcW w:w="1340" w:type="dxa"/>
            <w:vAlign w:val="bottom"/>
            <w:shd w:val="clear" w:color="auto" w:fill="CEFFE7"/>
          </w:tcPr>
          <w:p>
            <w:pPr>
              <w:ind w:left="20"/>
              <w:spacing w:after="0" w:line="162" w:lineRule="exact"/>
              <w:rPr>
                <w:sz w:val="20"/>
                <w:szCs w:val="20"/>
                <w:color w:val="auto"/>
              </w:rPr>
            </w:pPr>
            <w:r>
              <w:rPr>
                <w:rFonts w:ascii="Arial" w:cs="Arial" w:eastAsia="Arial" w:hAnsi="Arial"/>
                <w:sz w:val="16"/>
                <w:szCs w:val="16"/>
                <w:color w:val="auto"/>
              </w:rPr>
              <w:t>101.INS*</w:t>
            </w:r>
          </w:p>
        </w:tc>
        <w:tc>
          <w:tcPr>
            <w:tcW w:w="9900" w:type="dxa"/>
            <w:vAlign w:val="bottom"/>
            <w:gridSpan w:val="10"/>
            <w:shd w:val="clear" w:color="auto" w:fill="CEFFE7"/>
          </w:tcPr>
          <w:p>
            <w:pPr>
              <w:spacing w:after="0" w:line="162"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6"/>
        </w:trPr>
        <w:tc>
          <w:tcPr>
            <w:tcW w:w="1340" w:type="dxa"/>
            <w:vAlign w:val="bottom"/>
            <w:shd w:val="clear" w:color="auto" w:fill="CEFFE7"/>
          </w:tcPr>
          <w:p>
            <w:pPr>
              <w:spacing w:after="0"/>
              <w:rPr>
                <w:sz w:val="18"/>
                <w:szCs w:val="18"/>
                <w:color w:val="auto"/>
              </w:rPr>
            </w:pPr>
          </w:p>
        </w:tc>
        <w:tc>
          <w:tcPr>
            <w:tcW w:w="9900" w:type="dxa"/>
            <w:vAlign w:val="bottom"/>
            <w:gridSpan w:val="10"/>
            <w:shd w:val="clear" w:color="auto" w:fill="CEFFE7"/>
          </w:tcPr>
          <w:p>
            <w:pPr>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101.SCH*</w:t>
            </w:r>
          </w:p>
        </w:tc>
        <w:tc>
          <w:tcPr>
            <w:tcW w:w="9900" w:type="dxa"/>
            <w:vAlign w:val="bottom"/>
            <w:gridSpan w:val="10"/>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101.CAL*</w:t>
            </w:r>
          </w:p>
        </w:tc>
        <w:tc>
          <w:tcPr>
            <w:tcW w:w="9900" w:type="dxa"/>
            <w:vAlign w:val="bottom"/>
            <w:gridSpan w:val="10"/>
            <w:shd w:val="clear" w:color="auto" w:fill="CEFFE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101.DEF*</w:t>
            </w:r>
          </w:p>
        </w:tc>
        <w:tc>
          <w:tcPr>
            <w:tcW w:w="9900" w:type="dxa"/>
            <w:vAlign w:val="bottom"/>
            <w:gridSpan w:val="10"/>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101.LAB*</w:t>
            </w:r>
          </w:p>
        </w:tc>
        <w:tc>
          <w:tcPr>
            <w:tcW w:w="9900" w:type="dxa"/>
            <w:vAlign w:val="bottom"/>
            <w:gridSpan w:val="10"/>
            <w:shd w:val="clear" w:color="auto" w:fill="CEFFE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101.PRE*</w:t>
            </w:r>
          </w:p>
        </w:tc>
        <w:tc>
          <w:tcPr>
            <w:tcW w:w="9900" w:type="dxa"/>
            <w:vAlign w:val="bottom"/>
            <w:gridSpan w:val="10"/>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104*</w:t>
            </w:r>
          </w:p>
        </w:tc>
        <w:tc>
          <w:tcPr>
            <w:tcW w:w="9900" w:type="dxa"/>
            <w:vAlign w:val="bottom"/>
            <w:gridSpan w:val="10"/>
            <w:shd w:val="clear" w:color="auto" w:fill="CEFFE7"/>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632"/>
        </w:trPr>
        <w:tc>
          <w:tcPr>
            <w:tcW w:w="1340" w:type="dxa"/>
            <w:vAlign w:val="bottom"/>
          </w:tcPr>
          <w:p>
            <w:pPr>
              <w:spacing w:after="0"/>
              <w:rPr>
                <w:sz w:val="24"/>
                <w:szCs w:val="24"/>
                <w:color w:val="auto"/>
              </w:rPr>
            </w:pPr>
          </w:p>
        </w:tc>
        <w:tc>
          <w:tcPr>
            <w:tcW w:w="5820" w:type="dxa"/>
            <w:vAlign w:val="bottom"/>
            <w:gridSpan w:val="4"/>
          </w:tcPr>
          <w:p>
            <w:pPr>
              <w:ind w:left="4200"/>
              <w:spacing w:after="0"/>
              <w:rPr>
                <w:sz w:val="20"/>
                <w:szCs w:val="20"/>
                <w:color w:val="auto"/>
              </w:rPr>
            </w:pPr>
            <w:r>
              <w:rPr>
                <w:rFonts w:ascii="Arial" w:cs="Arial" w:eastAsia="Arial" w:hAnsi="Arial"/>
                <w:sz w:val="16"/>
                <w:szCs w:val="16"/>
                <w:color w:val="auto"/>
              </w:rPr>
              <w:t>48</w:t>
            </w: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7"/>
        </w:trPr>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91"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BLACK HILLS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20955</wp:posOffset>
            </wp:positionV>
            <wp:extent cx="3703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20955</wp:posOffset>
            </wp:positionV>
            <wp:extent cx="3703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Richard W. Kinzley, Senior Vice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August 4, 2022</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00"/>
          </w:cols>
          <w:pgMar w:left="320" w:top="125" w:right="57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383" w:lineRule="exact"/>
        <w:rPr>
          <w:sz w:val="20"/>
          <w:szCs w:val="20"/>
          <w:color w:val="auto"/>
        </w:rPr>
      </w:pPr>
    </w:p>
    <w:p>
      <w:pPr>
        <w:ind w:left="800" w:hanging="774"/>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34"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800" w:right="80" w:hanging="774"/>
        <w:spacing w:after="0" w:line="251"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left="800" w:right="80" w:hanging="774"/>
        <w:spacing w:after="0" w:line="234"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6"/>
          <w:szCs w:val="16"/>
          <w:color w:val="auto"/>
        </w:rPr>
      </w:pPr>
    </w:p>
    <w:p>
      <w:pPr>
        <w:ind w:left="1600" w:right="16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600" w:right="22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6"/>
          <w:szCs w:val="16"/>
          <w:color w:val="auto"/>
        </w:rPr>
      </w:pPr>
    </w:p>
    <w:p>
      <w:pPr>
        <w:ind w:left="1600" w:right="18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600" w:right="6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3" w:lineRule="exact"/>
        <w:rPr>
          <w:rFonts w:ascii="Arial" w:cs="Arial" w:eastAsia="Arial" w:hAnsi="Arial"/>
          <w:sz w:val="16"/>
          <w:szCs w:val="16"/>
          <w:color w:val="auto"/>
        </w:rPr>
      </w:pPr>
    </w:p>
    <w:p>
      <w:pPr>
        <w:ind w:left="800" w:right="100" w:hanging="774"/>
        <w:spacing w:after="0" w:line="251"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6"/>
          <w:szCs w:val="16"/>
          <w:color w:val="auto"/>
        </w:rPr>
      </w:pPr>
    </w:p>
    <w:p>
      <w:pPr>
        <w:ind w:left="1600" w:right="340" w:hanging="791"/>
        <w:spacing w:after="0" w:line="251"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600" w:right="560" w:hanging="791"/>
        <w:spacing w:after="0" w:line="251"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2022</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20955</wp:posOffset>
            </wp:positionV>
            <wp:extent cx="29317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383" w:lineRule="exact"/>
        <w:rPr>
          <w:sz w:val="20"/>
          <w:szCs w:val="20"/>
          <w:color w:val="auto"/>
        </w:rPr>
      </w:pPr>
    </w:p>
    <w:p>
      <w:pPr>
        <w:ind w:left="800" w:hanging="774"/>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34"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800" w:right="80" w:hanging="774"/>
        <w:spacing w:after="0" w:line="251"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left="800" w:right="80" w:hanging="774"/>
        <w:spacing w:after="0" w:line="234"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6"/>
          <w:szCs w:val="16"/>
          <w:color w:val="auto"/>
        </w:rPr>
      </w:pPr>
    </w:p>
    <w:p>
      <w:pPr>
        <w:ind w:left="1600" w:right="160" w:hanging="791"/>
        <w:spacing w:after="0" w:line="234"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600" w:right="220" w:hanging="791"/>
        <w:spacing w:after="0" w:line="234"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6"/>
          <w:szCs w:val="16"/>
          <w:color w:val="auto"/>
        </w:rPr>
      </w:pPr>
    </w:p>
    <w:p>
      <w:pPr>
        <w:ind w:left="1600" w:right="180" w:hanging="791"/>
        <w:spacing w:after="0" w:line="234"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600" w:right="60" w:hanging="791"/>
        <w:spacing w:after="0" w:line="234"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3" w:lineRule="exact"/>
        <w:rPr>
          <w:rFonts w:ascii="Arial" w:cs="Arial" w:eastAsia="Arial" w:hAnsi="Arial"/>
          <w:sz w:val="16"/>
          <w:szCs w:val="16"/>
          <w:color w:val="auto"/>
        </w:rPr>
      </w:pPr>
    </w:p>
    <w:p>
      <w:pPr>
        <w:ind w:left="800" w:right="100" w:hanging="774"/>
        <w:spacing w:after="0" w:line="251"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6"/>
          <w:szCs w:val="16"/>
          <w:color w:val="auto"/>
        </w:rPr>
      </w:pPr>
    </w:p>
    <w:p>
      <w:pPr>
        <w:ind w:left="1600" w:right="340" w:hanging="791"/>
        <w:spacing w:after="0" w:line="251"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600" w:right="560" w:hanging="791"/>
        <w:spacing w:after="0" w:line="251"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2022</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20955</wp:posOffset>
            </wp:positionV>
            <wp:extent cx="29317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2022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78" w:lineRule="exact"/>
        <w:rPr>
          <w:sz w:val="20"/>
          <w:szCs w:val="20"/>
          <w:color w:val="auto"/>
        </w:rPr>
      </w:pPr>
    </w:p>
    <w:p>
      <w:pPr>
        <w:ind w:left="1600" w:hanging="791"/>
        <w:spacing w:after="0"/>
        <w:tabs>
          <w:tab w:leader="none" w:pos="1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51" w:lineRule="auto"/>
        <w:tabs>
          <w:tab w:leader="none" w:pos="1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2022</w:t>
      </w:r>
    </w:p>
    <w:p>
      <w:pPr>
        <w:spacing w:after="0" w:line="30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20955</wp:posOffset>
            </wp:positionV>
            <wp:extent cx="29317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32.2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jc w:val="both"/>
        <w:ind w:right="500"/>
        <w:spacing w:after="0" w:line="275"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2022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178" w:lineRule="exact"/>
        <w:rPr>
          <w:sz w:val="20"/>
          <w:szCs w:val="20"/>
          <w:color w:val="auto"/>
        </w:rPr>
      </w:pPr>
    </w:p>
    <w:p>
      <w:pPr>
        <w:ind w:left="1600" w:hanging="791"/>
        <w:spacing w:after="0"/>
        <w:tabs>
          <w:tab w:leader="none" w:pos="1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51" w:lineRule="auto"/>
        <w:tabs>
          <w:tab w:leader="none" w:pos="1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2022</w:t>
      </w: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20955</wp:posOffset>
            </wp:positionV>
            <wp:extent cx="29317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1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2022. In evaluating this information, consideration should be given to factors such as: (i) the number of citations and orders will vary depending on the size of the coal mine, (ii) the number of citations issued will vary from inspector to inspector and mine to mine, and</w:t>
      </w:r>
    </w:p>
    <w:p>
      <w:pPr>
        <w:spacing w:after="0" w:line="3" w:lineRule="exact"/>
        <w:rPr>
          <w:sz w:val="20"/>
          <w:szCs w:val="20"/>
          <w:color w:val="auto"/>
        </w:rPr>
      </w:pPr>
    </w:p>
    <w:p>
      <w:pPr>
        <w:ind w:right="160" w:firstLine="8"/>
        <w:spacing w:after="0" w:line="270" w:lineRule="auto"/>
        <w:tabs>
          <w:tab w:leader="none" w:pos="261" w:val="left"/>
        </w:tabs>
        <w:numPr>
          <w:ilvl w:val="0"/>
          <w:numId w:val="47"/>
        </w:numPr>
        <w:rPr>
          <w:rFonts w:ascii="Arial" w:cs="Arial" w:eastAsia="Arial" w:hAnsi="Arial"/>
          <w:sz w:val="16"/>
          <w:szCs w:val="16"/>
          <w:color w:val="auto"/>
        </w:rPr>
      </w:pPr>
      <w:r>
        <w:rPr>
          <w:rFonts w:ascii="Arial" w:cs="Arial" w:eastAsia="Arial" w:hAnsi="Arial"/>
          <w:sz w:val="16"/>
          <w:szCs w:val="16"/>
          <w:color w:val="auto"/>
        </w:rPr>
        <w:t>citations and orders can be contested and appealed, and in that process, are often reduced in severity and amount, and are sometimes dismissed. The information presented includes:</w:t>
      </w:r>
    </w:p>
    <w:p>
      <w:pPr>
        <w:spacing w:after="0" w:line="208" w:lineRule="exact"/>
        <w:rPr>
          <w:rFonts w:ascii="Arial" w:cs="Arial" w:eastAsia="Arial" w:hAnsi="Arial"/>
          <w:sz w:val="16"/>
          <w:szCs w:val="16"/>
          <w:color w:val="auto"/>
        </w:rPr>
      </w:pPr>
    </w:p>
    <w:p>
      <w:pPr>
        <w:ind w:left="660" w:right="100" w:hanging="328"/>
        <w:spacing w:after="0" w:line="286" w:lineRule="auto"/>
        <w:tabs>
          <w:tab w:leader="none" w:pos="649"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61" w:lineRule="exact"/>
        <w:rPr>
          <w:rFonts w:ascii="Arial" w:cs="Arial" w:eastAsia="Arial" w:hAnsi="Arial"/>
          <w:sz w:val="16"/>
          <w:szCs w:val="16"/>
          <w:color w:val="auto"/>
        </w:rPr>
      </w:pPr>
    </w:p>
    <w:p>
      <w:pPr>
        <w:ind w:left="660" w:right="360" w:hanging="328"/>
        <w:spacing w:after="0" w:line="286" w:lineRule="auto"/>
        <w:tabs>
          <w:tab w:leader="none" w:pos="649"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three months ended June 30, 2022 and legal actions pending before the Federal Mine Safety and Health Review Commission, together with the Administrative Law Judges thereof, for WRDC, our only mining complex. All citations were abated within 24 hours of issue.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Legal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104 S&amp;S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Mine Act</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Section</w:t>
            </w: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8"/>
              </w:rPr>
              <w:t>Total Dollar Value Total Number Received Notice of</w:t>
            </w: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Actions</w:t>
            </w: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issued</w:t>
            </w:r>
          </w:p>
        </w:tc>
        <w:tc>
          <w:tcPr>
            <w:tcW w:w="66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960" w:type="dxa"/>
            <w:vAlign w:val="bottom"/>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107(a)</w:t>
            </w:r>
          </w:p>
        </w:tc>
        <w:tc>
          <w:tcPr>
            <w:tcW w:w="3220" w:type="dxa"/>
            <w:vAlign w:val="bottom"/>
            <w:gridSpan w:val="4"/>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Pending as</w:t>
            </w: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Actions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MSHA</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during three</w:t>
            </w:r>
          </w:p>
        </w:tc>
        <w:tc>
          <w:tcPr>
            <w:tcW w:w="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104(d)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18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Mining</w:t>
            </w: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Potential to Have</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Initiated</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Danger</w:t>
            </w:r>
          </w:p>
        </w:tc>
        <w:tc>
          <w:tcPr>
            <w:tcW w:w="18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MSHA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Pattern 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During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35"/>
        </w:trPr>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June 30, 2022</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Assessments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 104(e)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Period (#) (a)</w:t>
            </w:r>
          </w:p>
        </w:tc>
        <w:tc>
          <w:tcPr>
            <w:tcW w:w="7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6"/>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40" w:type="dxa"/>
            <w:vAlign w:val="bottom"/>
          </w:tcPr>
          <w:p>
            <w:pPr>
              <w:ind w:left="20"/>
              <w:spacing w:after="0" w:line="128" w:lineRule="exact"/>
              <w:rPr>
                <w:sz w:val="20"/>
                <w:szCs w:val="20"/>
                <w:color w:val="auto"/>
              </w:rPr>
            </w:pPr>
            <w:r>
              <w:rPr>
                <w:rFonts w:ascii="Arial" w:cs="Arial" w:eastAsia="Arial" w:hAnsi="Arial"/>
                <w:sz w:val="13"/>
                <w:szCs w:val="13"/>
                <w:color w:val="auto"/>
              </w:rPr>
              <w:t>Wyodak Coal Mine</w:t>
            </w: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40" w:type="dxa"/>
            <w:vAlign w:val="bottom"/>
          </w:tcPr>
          <w:p>
            <w:pPr>
              <w:ind w:left="20"/>
              <w:spacing w:after="0"/>
              <w:rPr>
                <w:sz w:val="20"/>
                <w:szCs w:val="20"/>
                <w:color w:val="auto"/>
              </w:rPr>
            </w:pPr>
            <w:r>
              <w:rPr>
                <w:rFonts w:ascii="Arial" w:cs="Arial" w:eastAsia="Arial" w:hAnsi="Arial"/>
                <w:sz w:val="13"/>
                <w:szCs w:val="13"/>
                <w:color w:val="auto"/>
              </w:rPr>
              <w:t>- 4800083</w:t>
            </w:r>
          </w:p>
        </w:tc>
        <w:tc>
          <w:tcPr>
            <w:tcW w:w="1120" w:type="dxa"/>
            <w:vAlign w:val="bottom"/>
          </w:tcPr>
          <w:p>
            <w:pPr>
              <w:jc w:val="center"/>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ind w:left="800"/>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880" w:type="dxa"/>
            <w:vAlign w:val="bottom"/>
          </w:tcPr>
          <w:p>
            <w:pPr>
              <w:ind w:left="640"/>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2" w:lineRule="exact"/>
        <w:rPr>
          <w:sz w:val="20"/>
          <w:szCs w:val="20"/>
          <w:color w:val="auto"/>
        </w:rPr>
      </w:pPr>
    </w:p>
    <w:p>
      <w:pPr>
        <w:ind w:left="340" w:right="340" w:hanging="332"/>
        <w:spacing w:after="0" w:line="273" w:lineRule="auto"/>
        <w:tabs>
          <w:tab w:leader="none" w:pos="349"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4"/>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6"/>
    </w:lvl>
  </w:abstractNum>
  <w:abstractNum w:abstractNumId="9">
    <w:nsid w:val="2901D82"/>
    <w:multiLevelType w:val="hybridMultilevel"/>
    <w:lvl w:ilvl="0">
      <w:lvlJc w:val="left"/>
      <w:lvlText w:val="(%1)"/>
      <w:numFmt w:val="decimal"/>
      <w:start w:val="7"/>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decimal"/>
      <w:start w:val="9"/>
    </w:lvl>
  </w:abstractNum>
  <w:abstractNum w:abstractNumId="17">
    <w:nsid w:val="4516DDE9"/>
    <w:multiLevelType w:val="hybridMultilevel"/>
    <w:lvl w:ilvl="0">
      <w:lvlJc w:val="left"/>
      <w:lvlText w:val="(%1)"/>
      <w:numFmt w:val="decimal"/>
      <w:start w:val="10"/>
    </w:lvl>
  </w:abstractNum>
  <w:abstractNum w:abstractNumId="18">
    <w:nsid w:val="3006C83E"/>
    <w:multiLevelType w:val="hybridMultilevel"/>
    <w:lvl w:ilvl="0">
      <w:lvlJc w:val="left"/>
      <w:lvlText w:val="(%1)"/>
      <w:numFmt w:val="decimal"/>
      <w:start w:val="11"/>
    </w:lvl>
  </w:abstractNum>
  <w:abstractNum w:abstractNumId="19">
    <w:nsid w:val="614FD4A1"/>
    <w:multiLevelType w:val="hybridMultilevel"/>
    <w:lvl w:ilvl="0">
      <w:lvlJc w:val="left"/>
      <w:lvlText w:val="(%1)"/>
      <w:numFmt w:val="decimal"/>
      <w:start w:val="12"/>
    </w:lvl>
  </w:abstractNum>
  <w:abstractNum w:abstractNumId="20">
    <w:nsid w:val="419AC241"/>
    <w:multiLevelType w:val="hybridMultilevel"/>
    <w:lvl w:ilvl="0">
      <w:lvlJc w:val="left"/>
      <w:lvlText w:val="(%1)"/>
      <w:numFmt w:val="decimal"/>
      <w:start w:val="13"/>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lowerRoman"/>
      <w:start w:val="3"/>
    </w:lvl>
    <w:lvl w:ilvl="1">
      <w:lvlJc w:val="left"/>
      <w:lvlText w:val="•"/>
      <w:numFmt w:val="bullet"/>
      <w:start w:val="1"/>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97" Type="http://schemas.openxmlformats.org/officeDocument/2006/relationships/hyperlink" Target="https://www.sec.gov/Archives/edgar/data/0001130464/000113046422000006/bhc2022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2022-08-04T11:09:46Z</dcterms:created>
  <dcterms:modified xsi:type="dcterms:W3CDTF">2022-08-04T11:09:46Z</dcterms:modified>
</cp:coreProperties>
</file>