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4000" w:right="1400" w:hanging="2599"/>
        <w:spacing w:after="0" w:line="286" w:lineRule="auto"/>
        <w:tabs>
          <w:tab w:leader="none" w:pos="159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2024</w:t>
      </w:r>
    </w:p>
    <w:p>
      <w:pPr>
        <w:spacing w:after="0" w:line="129" w:lineRule="exact"/>
        <w:rPr>
          <w:sz w:val="24"/>
          <w:szCs w:val="24"/>
          <w:color w:val="auto"/>
        </w:rPr>
      </w:pPr>
    </w:p>
    <w:p>
      <w:pPr>
        <w:ind w:left="3540" w:right="1360" w:hanging="2164"/>
        <w:spacing w:after="0" w:line="286" w:lineRule="auto"/>
        <w:tabs>
          <w:tab w:leader="none" w:pos="160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881" w:right="339" w:bottom="1440" w:gutter="0" w:footer="0" w:header="0"/>
        </w:sectPr>
      </w:pP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Name of each exchange on which registered</w:t>
      </w:r>
    </w:p>
    <w:p>
      <w:pPr>
        <w:spacing w:after="0" w:line="113" w:lineRule="exact"/>
        <w:rPr>
          <w:sz w:val="24"/>
          <w:szCs w:val="24"/>
          <w:color w:val="auto"/>
        </w:rPr>
      </w:pPr>
    </w:p>
    <w:p>
      <w:pPr>
        <w:sectPr>
          <w:pgSz w:w="11900" w:h="16838" w:orient="portrait"/>
          <w:cols w:equalWidth="0" w:num="3">
            <w:col w:w="4360" w:space="720"/>
            <w:col w:w="1420" w:space="720"/>
            <w:col w:w="4020"/>
          </w:cols>
          <w:pgMar w:left="320" w:top="881" w:right="3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40" w:space="720"/>
            <w:col w:w="1600" w:space="720"/>
            <w:col w:w="3360"/>
          </w:cols>
          <w:pgMar w:left="320" w:top="881" w:right="3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jc w:val="center"/>
              <w:ind w:left="2399"/>
              <w:spacing w:after="0"/>
              <w:rPr>
                <w:sz w:val="20"/>
                <w:szCs w:val="20"/>
                <w:color w:val="auto"/>
              </w:rPr>
            </w:pPr>
            <w:r>
              <w:rPr>
                <w:rFonts w:ascii="Arial" w:cs="Arial" w:eastAsia="Arial" w:hAnsi="Arial"/>
                <w:sz w:val="16"/>
                <w:szCs w:val="16"/>
                <w:color w:val="auto"/>
                <w:w w:val="99"/>
              </w:rPr>
              <w:t>Class</w:t>
            </w:r>
          </w:p>
        </w:tc>
        <w:tc>
          <w:tcPr>
            <w:tcW w:w="5480" w:type="dxa"/>
            <w:vAlign w:val="bottom"/>
          </w:tcPr>
          <w:p>
            <w:pPr>
              <w:ind w:left="520"/>
              <w:spacing w:after="0"/>
              <w:rPr>
                <w:sz w:val="20"/>
                <w:szCs w:val="20"/>
                <w:color w:val="auto"/>
              </w:rPr>
            </w:pPr>
            <w:r>
              <w:rPr>
                <w:rFonts w:ascii="Arial" w:cs="Arial" w:eastAsia="Arial" w:hAnsi="Arial"/>
                <w:sz w:val="16"/>
                <w:szCs w:val="16"/>
                <w:color w:val="auto"/>
              </w:rPr>
              <w:t>Outstanding at July 31, 2024</w:t>
            </w:r>
          </w:p>
        </w:tc>
      </w:tr>
      <w:tr>
        <w:trPr>
          <w:trHeight w:val="297"/>
        </w:trPr>
        <w:tc>
          <w:tcPr>
            <w:tcW w:w="5760" w:type="dxa"/>
            <w:vAlign w:val="bottom"/>
          </w:tcPr>
          <w:p>
            <w:pPr>
              <w:jc w:val="center"/>
              <w:ind w:left="2379"/>
              <w:spacing w:after="0"/>
              <w:rPr>
                <w:sz w:val="20"/>
                <w:szCs w:val="20"/>
                <w:color w:val="auto"/>
              </w:rPr>
            </w:pPr>
            <w:r>
              <w:rPr>
                <w:rFonts w:ascii="Arial" w:cs="Arial" w:eastAsia="Arial" w:hAnsi="Arial"/>
                <w:sz w:val="16"/>
                <w:szCs w:val="16"/>
                <w:color w:val="auto"/>
              </w:rPr>
              <w:t>Common stock, $1.00 par value</w:t>
            </w:r>
          </w:p>
        </w:tc>
        <w:tc>
          <w:tcPr>
            <w:tcW w:w="5480" w:type="dxa"/>
            <w:vAlign w:val="bottom"/>
          </w:tcPr>
          <w:p>
            <w:pPr>
              <w:ind w:left="720"/>
              <w:spacing w:after="0"/>
              <w:rPr>
                <w:sz w:val="20"/>
                <w:szCs w:val="20"/>
                <w:color w:val="auto"/>
              </w:rPr>
            </w:pPr>
            <w:r>
              <w:rPr>
                <w:rFonts w:ascii="Arial" w:cs="Arial" w:eastAsia="Arial" w:hAnsi="Arial"/>
                <w:sz w:val="16"/>
                <w:szCs w:val="16"/>
                <w:color w:val="auto"/>
              </w:rPr>
              <w:t>69,748,458 shares</w:t>
            </w:r>
          </w:p>
        </w:tc>
      </w:tr>
      <w:tr>
        <w:trPr>
          <w:trHeight w:val="1224"/>
        </w:trPr>
        <w:tc>
          <w:tcPr>
            <w:tcW w:w="57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12"/>
          </w:tcPr>
          <w:p>
            <w:pPr>
              <w:jc w:val="center"/>
              <w:ind w:right="3140"/>
              <w:spacing w:after="0"/>
              <w:rPr>
                <w:sz w:val="20"/>
                <w:szCs w:val="20"/>
                <w:color w:val="auto"/>
              </w:rPr>
            </w:pPr>
            <w:r>
              <w:rPr>
                <w:rFonts w:ascii="Arial" w:cs="Arial" w:eastAsia="Arial" w:hAnsi="Arial"/>
                <w:sz w:val="16"/>
                <w:szCs w:val="16"/>
                <w:b w:val="1"/>
                <w:bCs w:val="1"/>
                <w:color w:val="auto"/>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7"/>
          </w:tcPr>
          <w:p>
            <w:pPr>
              <w:ind w:left="580"/>
              <w:spacing w:after="0"/>
              <w:rPr>
                <w:sz w:val="20"/>
                <w:szCs w:val="20"/>
                <w:color w:val="auto"/>
              </w:rPr>
            </w:pPr>
            <w:r>
              <w:rPr>
                <w:rFonts w:ascii="Arial" w:cs="Arial" w:eastAsia="Arial" w:hAnsi="Arial"/>
                <w:sz w:val="16"/>
                <w:szCs w:val="16"/>
                <w:color w:val="auto"/>
              </w:rPr>
              <w:t>Page</w:t>
            </w:r>
          </w:p>
        </w:tc>
      </w:tr>
      <w:tr>
        <w:trPr>
          <w:trHeight w:val="162"/>
        </w:trPr>
        <w:tc>
          <w:tcPr>
            <w:tcW w:w="20" w:type="dxa"/>
            <w:vAlign w:val="bottom"/>
            <w:shd w:val="clear" w:color="auto" w:fill="CFF0FC"/>
          </w:tcPr>
          <w:p>
            <w:pPr>
              <w:spacing w:after="0"/>
              <w:rPr>
                <w:sz w:val="14"/>
                <w:szCs w:val="14"/>
                <w:color w:val="auto"/>
              </w:rPr>
            </w:pPr>
          </w:p>
        </w:tc>
        <w:tc>
          <w:tcPr>
            <w:tcW w:w="9660" w:type="dxa"/>
            <w:vAlign w:val="bottom"/>
            <w:gridSpan w:val="53"/>
            <w:shd w:val="clear" w:color="auto" w:fill="CFF0FC"/>
          </w:tcPr>
          <w:p>
            <w:pPr>
              <w:spacing w:after="0" w:line="162" w:lineRule="exact"/>
              <w:rPr>
                <w:sz w:val="20"/>
                <w:szCs w:val="20"/>
                <w:color w:val="auto"/>
              </w:rPr>
            </w:pPr>
            <w:r>
              <w:rPr>
                <w:rFonts w:ascii="Arial" w:cs="Arial" w:eastAsia="Arial" w:hAnsi="Arial"/>
                <w:sz w:val="16"/>
                <w:szCs w:val="16"/>
                <w:color w:val="0000FF"/>
              </w:rPr>
              <w:t>Glossary of Terms and Abbreviations</w:t>
            </w:r>
          </w:p>
        </w:tc>
        <w:tc>
          <w:tcPr>
            <w:tcW w:w="860" w:type="dxa"/>
            <w:vAlign w:val="bottom"/>
            <w:tcBorders>
              <w:top w:val="single" w:sz="8" w:color="auto"/>
            </w:tcBorders>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3</w:t>
            </w:r>
          </w:p>
        </w:tc>
        <w:tc>
          <w:tcPr>
            <w:tcW w:w="68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0000FF"/>
            </w:tcBorders>
            <w:gridSpan w:val="12"/>
            <w:shd w:val="clear" w:color="auto" w:fill="CFF0FC"/>
          </w:tcPr>
          <w:p>
            <w:pPr>
              <w:spacing w:after="0" w:line="20" w:lineRule="exact"/>
              <w:rPr>
                <w:sz w:val="1"/>
                <w:szCs w:val="1"/>
                <w:color w:val="auto"/>
              </w:rPr>
            </w:pPr>
          </w:p>
        </w:tc>
        <w:tc>
          <w:tcPr>
            <w:tcW w:w="7760" w:type="dxa"/>
            <w:vAlign w:val="bottom"/>
            <w:tcBorders>
              <w:top w:val="single" w:sz="8" w:color="CFF0FC"/>
            </w:tcBorders>
            <w:gridSpan w:val="44"/>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8"/>
          </w:tcPr>
          <w:p>
            <w:pPr>
              <w:spacing w:after="0" w:line="162" w:lineRule="exact"/>
              <w:rPr>
                <w:sz w:val="20"/>
                <w:szCs w:val="20"/>
                <w:color w:val="auto"/>
              </w:rPr>
            </w:pPr>
            <w:r>
              <w:rPr>
                <w:rFonts w:ascii="Arial" w:cs="Arial" w:eastAsia="Arial" w:hAnsi="Arial"/>
                <w:sz w:val="16"/>
                <w:szCs w:val="16"/>
                <w:color w:val="0000FF"/>
              </w:rPr>
              <w:t>Forward-Looking Information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gridSpan w:val="2"/>
          </w:tcPr>
          <w:p>
            <w:pPr>
              <w:spacing w:after="0"/>
              <w:rPr>
                <w:sz w:val="19"/>
                <w:szCs w:val="19"/>
                <w:color w:val="auto"/>
              </w:rPr>
            </w:pPr>
          </w:p>
        </w:tc>
        <w:tc>
          <w:tcPr>
            <w:tcW w:w="2060" w:type="dxa"/>
            <w:vAlign w:val="bottom"/>
            <w:tcBorders>
              <w:top w:val="single" w:sz="8" w:color="0000FF"/>
            </w:tcBorders>
            <w:gridSpan w:val="6"/>
          </w:tcPr>
          <w:p>
            <w:pPr>
              <w:spacing w:after="0"/>
              <w:rPr>
                <w:sz w:val="19"/>
                <w:szCs w:val="19"/>
                <w:color w:val="auto"/>
              </w:rPr>
            </w:pPr>
          </w:p>
        </w:tc>
        <w:tc>
          <w:tcPr>
            <w:tcW w:w="8320" w:type="dxa"/>
            <w:vAlign w:val="bottom"/>
            <w:gridSpan w:val="49"/>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40" w:type="dxa"/>
            <w:vAlign w:val="bottom"/>
            <w:gridSpan w:val="3"/>
          </w:tcPr>
          <w:p>
            <w:pPr>
              <w:spacing w:after="0"/>
              <w:rPr>
                <w:sz w:val="19"/>
                <w:szCs w:val="19"/>
                <w:color w:val="auto"/>
              </w:rPr>
            </w:pPr>
          </w:p>
        </w:tc>
      </w:tr>
      <w:tr>
        <w:trPr>
          <w:trHeight w:val="183"/>
        </w:trPr>
        <w:tc>
          <w:tcPr>
            <w:tcW w:w="9680" w:type="dxa"/>
            <w:vAlign w:val="bottom"/>
            <w:gridSpan w:val="54"/>
            <w:shd w:val="clear" w:color="auto" w:fill="CFF0FC"/>
          </w:tcPr>
          <w:p>
            <w:pPr>
              <w:ind w:left="20"/>
              <w:spacing w:after="0" w:line="162" w:lineRule="exact"/>
              <w:rPr>
                <w:sz w:val="20"/>
                <w:szCs w:val="20"/>
                <w:color w:val="auto"/>
              </w:rPr>
            </w:pPr>
            <w:r>
              <w:rPr>
                <w:rFonts w:ascii="Arial" w:cs="Arial" w:eastAsia="Arial" w:hAnsi="Arial"/>
                <w:sz w:val="16"/>
                <w:szCs w:val="16"/>
                <w:color w:val="0000FF"/>
              </w:rPr>
              <w:t>PART I. FINANCIAL INFORMATION</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620" w:type="dxa"/>
            <w:vAlign w:val="bottom"/>
            <w:tcBorders>
              <w:top w:val="single" w:sz="8" w:color="0000FF"/>
            </w:tcBorders>
            <w:gridSpan w:val="11"/>
          </w:tcPr>
          <w:p>
            <w:pPr>
              <w:spacing w:after="0"/>
              <w:rPr>
                <w:sz w:val="17"/>
                <w:szCs w:val="17"/>
                <w:color w:val="auto"/>
              </w:rPr>
            </w:pPr>
          </w:p>
        </w:tc>
        <w:tc>
          <w:tcPr>
            <w:tcW w:w="7780" w:type="dxa"/>
            <w:vAlign w:val="bottom"/>
            <w:tcBorders>
              <w:top w:val="single" w:sz="8" w:color="CFF0FC"/>
            </w:tcBorders>
            <w:gridSpan w:val="45"/>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Borders>
              <w:top w:val="single" w:sz="8" w:color="CFF0FC"/>
            </w:tcBorders>
            <w:gridSpan w:val="3"/>
          </w:tcPr>
          <w:p>
            <w:pPr>
              <w:spacing w:after="0"/>
              <w:rPr>
                <w:sz w:val="17"/>
                <w:szCs w:val="17"/>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2380" w:type="dxa"/>
            <w:vAlign w:val="bottom"/>
            <w:gridSpan w:val="29"/>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 unaudited</w:t>
            </w:r>
          </w:p>
        </w:tc>
        <w:tc>
          <w:tcPr>
            <w:tcW w:w="5600" w:type="dxa"/>
            <w:vAlign w:val="bottom"/>
            <w:gridSpan w:val="21"/>
            <w:shd w:val="clear" w:color="auto" w:fill="CFF0FC"/>
          </w:tcPr>
          <w:p>
            <w:pPr>
              <w:spacing w:after="0"/>
              <w:rPr>
                <w:sz w:val="14"/>
                <w:szCs w:val="14"/>
                <w:color w:val="auto"/>
              </w:rPr>
            </w:pP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2380" w:type="dxa"/>
            <w:vAlign w:val="bottom"/>
            <w:tcBorders>
              <w:top w:val="single" w:sz="8" w:color="0000FF"/>
            </w:tcBorders>
            <w:gridSpan w:val="29"/>
            <w:shd w:val="clear" w:color="auto" w:fill="CFF0FC"/>
          </w:tcPr>
          <w:p>
            <w:pPr>
              <w:spacing w:after="0" w:line="20" w:lineRule="exact"/>
              <w:rPr>
                <w:sz w:val="1"/>
                <w:szCs w:val="1"/>
                <w:color w:val="auto"/>
              </w:rPr>
            </w:pPr>
          </w:p>
        </w:tc>
        <w:tc>
          <w:tcPr>
            <w:tcW w:w="6340" w:type="dxa"/>
            <w:vAlign w:val="bottom"/>
            <w:tcBorders>
              <w:top w:val="single" w:sz="8" w:color="CFF0FC"/>
            </w:tcBorders>
            <w:gridSpan w:val="24"/>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0"/>
          </w:tcPr>
          <w:p>
            <w:pPr>
              <w:ind w:left="140"/>
              <w:spacing w:after="0" w:line="162" w:lineRule="exact"/>
              <w:rPr>
                <w:sz w:val="20"/>
                <w:szCs w:val="20"/>
                <w:color w:val="auto"/>
              </w:rPr>
            </w:pPr>
            <w:r>
              <w:rPr>
                <w:rFonts w:ascii="Arial" w:cs="Arial" w:eastAsia="Arial" w:hAnsi="Arial"/>
                <w:sz w:val="16"/>
                <w:szCs w:val="16"/>
                <w:color w:val="0000FF"/>
              </w:rPr>
              <w:t>Consolidated Statements of Income</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560" w:type="dxa"/>
            <w:vAlign w:val="bottom"/>
            <w:tcBorders>
              <w:top w:val="single" w:sz="8" w:color="0000FF"/>
            </w:tcBorders>
            <w:gridSpan w:val="35"/>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3740" w:type="dxa"/>
            <w:vAlign w:val="bottom"/>
            <w:tcBorders>
              <w:top w:val="single" w:sz="8" w:color="0000FF"/>
            </w:tcBorders>
            <w:gridSpan w:val="42"/>
            <w:shd w:val="clear" w:color="auto" w:fill="CFF0FC"/>
          </w:tcPr>
          <w:p>
            <w:pPr>
              <w:spacing w:after="0" w:line="20" w:lineRule="exact"/>
              <w:rPr>
                <w:sz w:val="1"/>
                <w:szCs w:val="1"/>
                <w:color w:val="auto"/>
              </w:rPr>
            </w:pPr>
          </w:p>
        </w:tc>
        <w:tc>
          <w:tcPr>
            <w:tcW w:w="4840" w:type="dxa"/>
            <w:vAlign w:val="bottom"/>
            <w:tcBorders>
              <w:top w:val="single" w:sz="8" w:color="CFF0FC"/>
            </w:tcBorders>
            <w:gridSpan w:val="10"/>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0"/>
          </w:tcPr>
          <w:p>
            <w:pPr>
              <w:ind w:left="140"/>
              <w:spacing w:after="0" w:line="162" w:lineRule="exact"/>
              <w:rPr>
                <w:sz w:val="20"/>
                <w:szCs w:val="20"/>
                <w:color w:val="auto"/>
              </w:rPr>
            </w:pPr>
            <w:r>
              <w:rPr>
                <w:rFonts w:ascii="Arial" w:cs="Arial" w:eastAsia="Arial" w:hAnsi="Arial"/>
                <w:sz w:val="16"/>
                <w:szCs w:val="16"/>
                <w:color w:val="0000FF"/>
              </w:rPr>
              <w:t>Consolidated Balance Sheets</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120" w:type="dxa"/>
            <w:vAlign w:val="bottom"/>
            <w:tcBorders>
              <w:top w:val="single" w:sz="8" w:color="0000FF"/>
            </w:tcBorders>
            <w:gridSpan w:val="27"/>
          </w:tcPr>
          <w:p>
            <w:pPr>
              <w:spacing w:after="0" w:line="20" w:lineRule="exact"/>
              <w:rPr>
                <w:sz w:val="1"/>
                <w:szCs w:val="1"/>
                <w:color w:val="auto"/>
              </w:rPr>
            </w:pPr>
          </w:p>
        </w:tc>
        <w:tc>
          <w:tcPr>
            <w:tcW w:w="6460" w:type="dxa"/>
            <w:vAlign w:val="bottom"/>
            <w:gridSpan w:val="25"/>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Cash Flows</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11</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2880" w:type="dxa"/>
            <w:vAlign w:val="bottom"/>
            <w:tcBorders>
              <w:top w:val="single" w:sz="8" w:color="0000FF"/>
            </w:tcBorders>
            <w:gridSpan w:val="37"/>
            <w:shd w:val="clear" w:color="auto" w:fill="CFF0FC"/>
          </w:tcPr>
          <w:p>
            <w:pPr>
              <w:spacing w:after="0" w:line="20" w:lineRule="exact"/>
              <w:rPr>
                <w:sz w:val="1"/>
                <w:szCs w:val="1"/>
                <w:color w:val="auto"/>
              </w:rPr>
            </w:pPr>
          </w:p>
        </w:tc>
        <w:tc>
          <w:tcPr>
            <w:tcW w:w="5660" w:type="dxa"/>
            <w:vAlign w:val="bottom"/>
            <w:tcBorders>
              <w:top w:val="single" w:sz="8" w:color="CFF0FC"/>
            </w:tcBorders>
            <w:gridSpan w:val="14"/>
            <w:shd w:val="clear" w:color="auto" w:fill="CFF0FC"/>
          </w:tcPr>
          <w:p>
            <w:pPr>
              <w:spacing w:after="0" w:line="20" w:lineRule="exact"/>
              <w:rPr>
                <w:sz w:val="1"/>
                <w:szCs w:val="1"/>
                <w:color w:val="auto"/>
              </w:rPr>
            </w:pPr>
          </w:p>
        </w:tc>
        <w:tc>
          <w:tcPr>
            <w:tcW w:w="160" w:type="dxa"/>
            <w:vAlign w:val="bottom"/>
            <w:tcBorders>
              <w:top w:val="single" w:sz="8" w:color="0000FF"/>
            </w:tcBorders>
            <w:gridSpan w:val="3"/>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0"/>
          </w:tcPr>
          <w:p>
            <w:pPr>
              <w:ind w:left="140"/>
              <w:spacing w:after="0" w:line="162" w:lineRule="exact"/>
              <w:rPr>
                <w:sz w:val="20"/>
                <w:szCs w:val="20"/>
                <w:color w:val="auto"/>
              </w:rPr>
            </w:pPr>
            <w:r>
              <w:rPr>
                <w:rFonts w:ascii="Arial" w:cs="Arial" w:eastAsia="Arial" w:hAnsi="Arial"/>
                <w:sz w:val="16"/>
                <w:szCs w:val="16"/>
                <w:color w:val="0000FF"/>
              </w:rPr>
              <w:t>Consolidated Statements of Equity</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480" w:type="dxa"/>
            <w:vAlign w:val="bottom"/>
            <w:tcBorders>
              <w:top w:val="single" w:sz="8" w:color="0000FF"/>
            </w:tcBorders>
            <w:gridSpan w:val="32"/>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13</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20" w:type="dxa"/>
            <w:vAlign w:val="bottom"/>
            <w:tcBorders>
              <w:top w:val="single" w:sz="8" w:color="0000FF"/>
            </w:tcBorders>
            <w:gridSpan w:val="44"/>
          </w:tcPr>
          <w:p>
            <w:pPr>
              <w:ind w:left="80"/>
              <w:spacing w:after="0" w:line="162" w:lineRule="exact"/>
              <w:rPr>
                <w:sz w:val="20"/>
                <w:szCs w:val="20"/>
                <w:color w:val="auto"/>
              </w:rPr>
            </w:pPr>
            <w:r>
              <w:rPr>
                <w:rFonts w:ascii="Arial" w:cs="Arial" w:eastAsia="Arial" w:hAnsi="Arial"/>
                <w:sz w:val="16"/>
                <w:szCs w:val="16"/>
                <w:color w:val="0000FF"/>
              </w:rPr>
              <w:t>Note 1. Management’s Statement</w:t>
            </w:r>
          </w:p>
        </w:tc>
        <w:tc>
          <w:tcPr>
            <w:tcW w:w="3820" w:type="dxa"/>
            <w:vAlign w:val="bottom"/>
            <w:tcBorders>
              <w:top w:val="single" w:sz="8" w:color="CFF0FC"/>
            </w:tcBorders>
            <w:gridSpan w:val="5"/>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13</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440" w:type="dxa"/>
            <w:vAlign w:val="bottom"/>
            <w:tcBorders>
              <w:top w:val="single" w:sz="8" w:color="0000FF"/>
            </w:tcBorders>
            <w:gridSpan w:val="33"/>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2.</w:t>
            </w:r>
          </w:p>
        </w:tc>
        <w:tc>
          <w:tcPr>
            <w:tcW w:w="7160" w:type="dxa"/>
            <w:vAlign w:val="bottom"/>
            <w:gridSpan w:val="44"/>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14</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980" w:type="dxa"/>
            <w:vAlign w:val="bottom"/>
            <w:tcBorders>
              <w:top w:val="single" w:sz="8" w:color="0000FF"/>
            </w:tcBorders>
            <w:gridSpan w:val="23"/>
            <w:shd w:val="clear" w:color="auto" w:fill="CFF0FC"/>
          </w:tcPr>
          <w:p>
            <w:pPr>
              <w:spacing w:after="0" w:line="20" w:lineRule="exact"/>
              <w:rPr>
                <w:sz w:val="1"/>
                <w:szCs w:val="1"/>
                <w:color w:val="auto"/>
              </w:rPr>
            </w:pPr>
          </w:p>
        </w:tc>
        <w:tc>
          <w:tcPr>
            <w:tcW w:w="6460" w:type="dxa"/>
            <w:vAlign w:val="bottom"/>
            <w:tcBorders>
              <w:top w:val="single" w:sz="8" w:color="CFF0FC"/>
            </w:tcBorders>
            <w:gridSpan w:val="26"/>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49"/>
          </w:tcPr>
          <w:p>
            <w:pPr>
              <w:ind w:left="80"/>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920" w:type="dxa"/>
            <w:vAlign w:val="bottom"/>
            <w:tcBorders>
              <w:top w:val="single" w:sz="8" w:color="0000FF"/>
            </w:tcBorders>
            <w:gridSpan w:val="42"/>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49"/>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4. Revenue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260" w:type="dxa"/>
            <w:vAlign w:val="bottom"/>
            <w:tcBorders>
              <w:top w:val="single" w:sz="8" w:color="0000FF"/>
            </w:tcBorders>
            <w:gridSpan w:val="12"/>
            <w:shd w:val="clear" w:color="auto" w:fill="CFF0FC"/>
          </w:tcPr>
          <w:p>
            <w:pPr>
              <w:spacing w:after="0" w:line="20" w:lineRule="exact"/>
              <w:rPr>
                <w:sz w:val="1"/>
                <w:szCs w:val="1"/>
                <w:color w:val="auto"/>
              </w:rPr>
            </w:pPr>
          </w:p>
        </w:tc>
        <w:tc>
          <w:tcPr>
            <w:tcW w:w="7180" w:type="dxa"/>
            <w:vAlign w:val="bottom"/>
            <w:tcBorders>
              <w:top w:val="single" w:sz="8" w:color="CFF0FC"/>
            </w:tcBorders>
            <w:gridSpan w:val="3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rPr>
              <w:t>Note 5.</w:t>
            </w:r>
          </w:p>
        </w:tc>
        <w:tc>
          <w:tcPr>
            <w:tcW w:w="7160" w:type="dxa"/>
            <w:vAlign w:val="bottom"/>
            <w:gridSpan w:val="44"/>
          </w:tcPr>
          <w:p>
            <w:pPr>
              <w:spacing w:after="0" w:line="162" w:lineRule="exact"/>
              <w:rPr>
                <w:sz w:val="20"/>
                <w:szCs w:val="20"/>
                <w:color w:val="auto"/>
              </w:rPr>
            </w:pPr>
            <w:r>
              <w:rPr>
                <w:rFonts w:ascii="Arial" w:cs="Arial" w:eastAsia="Arial" w:hAnsi="Arial"/>
                <w:sz w:val="16"/>
                <w:szCs w:val="16"/>
                <w:color w:val="0000FF"/>
              </w:rPr>
              <w:t>Financing</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300" w:type="dxa"/>
            <w:vAlign w:val="bottom"/>
            <w:tcBorders>
              <w:top w:val="single" w:sz="8" w:color="0000FF"/>
            </w:tcBorders>
            <w:gridSpan w:val="13"/>
          </w:tcPr>
          <w:p>
            <w:pPr>
              <w:spacing w:after="0" w:line="20" w:lineRule="exact"/>
              <w:rPr>
                <w:sz w:val="1"/>
                <w:szCs w:val="1"/>
                <w:color w:val="auto"/>
              </w:rPr>
            </w:pPr>
          </w:p>
        </w:tc>
        <w:tc>
          <w:tcPr>
            <w:tcW w:w="7140" w:type="dxa"/>
            <w:vAlign w:val="bottom"/>
            <w:gridSpan w:val="3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49"/>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6. Earnings Per Share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020" w:type="dxa"/>
            <w:vAlign w:val="bottom"/>
            <w:tcBorders>
              <w:top w:val="single" w:sz="8" w:color="0000FF"/>
            </w:tcBorders>
            <w:gridSpan w:val="25"/>
            <w:shd w:val="clear" w:color="auto" w:fill="CFF0FC"/>
          </w:tcPr>
          <w:p>
            <w:pPr>
              <w:spacing w:after="0" w:line="20" w:lineRule="exact"/>
              <w:rPr>
                <w:sz w:val="1"/>
                <w:szCs w:val="1"/>
                <w:color w:val="auto"/>
              </w:rPr>
            </w:pPr>
          </w:p>
        </w:tc>
        <w:tc>
          <w:tcPr>
            <w:tcW w:w="6420" w:type="dxa"/>
            <w:vAlign w:val="bottom"/>
            <w:tcBorders>
              <w:top w:val="single" w:sz="8" w:color="CFF0FC"/>
            </w:tcBorders>
            <w:gridSpan w:val="24"/>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49"/>
          </w:tcPr>
          <w:p>
            <w:pPr>
              <w:ind w:left="80"/>
              <w:spacing w:after="0" w:line="162" w:lineRule="exact"/>
              <w:rPr>
                <w:sz w:val="20"/>
                <w:szCs w:val="20"/>
                <w:color w:val="auto"/>
              </w:rPr>
            </w:pPr>
            <w:r>
              <w:rPr>
                <w:rFonts w:ascii="Arial" w:cs="Arial" w:eastAsia="Arial" w:hAnsi="Arial"/>
                <w:sz w:val="16"/>
                <w:szCs w:val="16"/>
                <w:color w:val="0000FF"/>
              </w:rPr>
              <w:t>Note 7. Risk Management and Derivatives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080" w:type="dxa"/>
            <w:vAlign w:val="bottom"/>
            <w:tcBorders>
              <w:top w:val="single" w:sz="8" w:color="0000FF"/>
            </w:tcBorders>
            <w:gridSpan w:val="39"/>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49"/>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8. Fair Value Measurements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21</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40" w:type="dxa"/>
            <w:vAlign w:val="bottom"/>
            <w:tcBorders>
              <w:top w:val="single" w:sz="8" w:color="0000FF"/>
            </w:tcBorders>
            <w:gridSpan w:val="33"/>
            <w:shd w:val="clear" w:color="auto" w:fill="CFF0FC"/>
          </w:tcPr>
          <w:p>
            <w:pPr>
              <w:spacing w:after="0" w:line="20" w:lineRule="exact"/>
              <w:rPr>
                <w:sz w:val="1"/>
                <w:szCs w:val="1"/>
                <w:color w:val="auto"/>
              </w:rPr>
            </w:pPr>
          </w:p>
        </w:tc>
        <w:tc>
          <w:tcPr>
            <w:tcW w:w="6000" w:type="dxa"/>
            <w:vAlign w:val="bottom"/>
            <w:tcBorders>
              <w:top w:val="single" w:sz="8" w:color="CFF0FC"/>
            </w:tcBorders>
            <w:gridSpan w:val="16"/>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49"/>
          </w:tcPr>
          <w:p>
            <w:pPr>
              <w:ind w:left="80"/>
              <w:spacing w:after="0" w:line="162" w:lineRule="exact"/>
              <w:rPr>
                <w:sz w:val="20"/>
                <w:szCs w:val="20"/>
                <w:color w:val="auto"/>
              </w:rPr>
            </w:pPr>
            <w:r>
              <w:rPr>
                <w:rFonts w:ascii="Arial" w:cs="Arial" w:eastAsia="Arial" w:hAnsi="Arial"/>
                <w:sz w:val="16"/>
                <w:szCs w:val="16"/>
                <w:color w:val="0000FF"/>
              </w:rPr>
              <w:t>Note 9. Other Comprehensive Income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23</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760" w:type="dxa"/>
            <w:vAlign w:val="bottom"/>
            <w:tcBorders>
              <w:top w:val="single" w:sz="8" w:color="0000FF"/>
            </w:tcBorders>
            <w:gridSpan w:val="35"/>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10.</w:t>
            </w:r>
          </w:p>
        </w:tc>
        <w:tc>
          <w:tcPr>
            <w:tcW w:w="80" w:type="dxa"/>
            <w:vAlign w:val="bottom"/>
            <w:shd w:val="clear" w:color="auto" w:fill="CFF0FC"/>
          </w:tcPr>
          <w:p>
            <w:pPr>
              <w:spacing w:after="0"/>
              <w:rPr>
                <w:sz w:val="14"/>
                <w:szCs w:val="14"/>
                <w:color w:val="auto"/>
              </w:rPr>
            </w:pPr>
          </w:p>
        </w:tc>
        <w:tc>
          <w:tcPr>
            <w:tcW w:w="7080" w:type="dxa"/>
            <w:vAlign w:val="bottom"/>
            <w:gridSpan w:val="43"/>
            <w:shd w:val="clear" w:color="auto" w:fill="CFF0FC"/>
          </w:tcPr>
          <w:p>
            <w:pPr>
              <w:ind w:left="20"/>
              <w:spacing w:after="0" w:line="162" w:lineRule="exact"/>
              <w:rPr>
                <w:sz w:val="20"/>
                <w:szCs w:val="20"/>
                <w:color w:val="auto"/>
              </w:rPr>
            </w:pPr>
            <w:r>
              <w:rPr>
                <w:rFonts w:ascii="Arial" w:cs="Arial" w:eastAsia="Arial" w:hAnsi="Arial"/>
                <w:sz w:val="16"/>
                <w:szCs w:val="16"/>
                <w:color w:val="0000FF"/>
              </w:rPr>
              <w:t>Employee Benefit Plans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24</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20" w:type="dxa"/>
            <w:vAlign w:val="bottom"/>
            <w:tcBorders>
              <w:top w:val="single" w:sz="8" w:color="0000FF"/>
            </w:tcBorders>
            <w:gridSpan w:val="32"/>
            <w:shd w:val="clear" w:color="auto" w:fill="CFF0FC"/>
          </w:tcPr>
          <w:p>
            <w:pPr>
              <w:spacing w:after="0" w:line="20" w:lineRule="exact"/>
              <w:rPr>
                <w:sz w:val="1"/>
                <w:szCs w:val="1"/>
                <w:color w:val="auto"/>
              </w:rPr>
            </w:pPr>
          </w:p>
        </w:tc>
        <w:tc>
          <w:tcPr>
            <w:tcW w:w="6020" w:type="dxa"/>
            <w:vAlign w:val="bottom"/>
            <w:tcBorders>
              <w:top w:val="single" w:sz="8" w:color="CFF0FC"/>
            </w:tcBorders>
            <w:gridSpan w:val="1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49"/>
          </w:tcPr>
          <w:p>
            <w:pPr>
              <w:ind w:left="80"/>
              <w:spacing w:after="0" w:line="162" w:lineRule="exact"/>
              <w:rPr>
                <w:sz w:val="20"/>
                <w:szCs w:val="20"/>
                <w:color w:val="auto"/>
              </w:rPr>
            </w:pPr>
            <w:r>
              <w:rPr>
                <w:rFonts w:ascii="Arial" w:cs="Arial" w:eastAsia="Arial" w:hAnsi="Arial"/>
                <w:sz w:val="16"/>
                <w:szCs w:val="16"/>
                <w:color w:val="0000FF"/>
              </w:rPr>
              <w:t>Note 11. Income Taxes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680" w:type="dxa"/>
            <w:vAlign w:val="bottom"/>
            <w:tcBorders>
              <w:top w:val="single" w:sz="8" w:color="0000FF"/>
            </w:tcBorders>
            <w:gridSpan w:val="22"/>
          </w:tcPr>
          <w:p>
            <w:pPr>
              <w:spacing w:after="0" w:line="20" w:lineRule="exact"/>
              <w:rPr>
                <w:sz w:val="1"/>
                <w:szCs w:val="1"/>
                <w:color w:val="auto"/>
              </w:rPr>
            </w:pPr>
          </w:p>
        </w:tc>
        <w:tc>
          <w:tcPr>
            <w:tcW w:w="6760" w:type="dxa"/>
            <w:vAlign w:val="bottom"/>
            <w:gridSpan w:val="2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12.</w:t>
            </w:r>
          </w:p>
        </w:tc>
        <w:tc>
          <w:tcPr>
            <w:tcW w:w="80" w:type="dxa"/>
            <w:vAlign w:val="bottom"/>
            <w:shd w:val="clear" w:color="auto" w:fill="CFF0FC"/>
          </w:tcPr>
          <w:p>
            <w:pPr>
              <w:spacing w:after="0"/>
              <w:rPr>
                <w:sz w:val="14"/>
                <w:szCs w:val="14"/>
                <w:color w:val="auto"/>
              </w:rPr>
            </w:pPr>
          </w:p>
        </w:tc>
        <w:tc>
          <w:tcPr>
            <w:tcW w:w="7080" w:type="dxa"/>
            <w:vAlign w:val="bottom"/>
            <w:gridSpan w:val="43"/>
            <w:shd w:val="clear" w:color="auto" w:fill="CFF0FC"/>
          </w:tcPr>
          <w:p>
            <w:pPr>
              <w:ind w:left="20"/>
              <w:spacing w:after="0" w:line="162" w:lineRule="exact"/>
              <w:rPr>
                <w:sz w:val="20"/>
                <w:szCs w:val="20"/>
                <w:color w:val="auto"/>
              </w:rPr>
            </w:pPr>
            <w:r>
              <w:rPr>
                <w:rFonts w:ascii="Arial" w:cs="Arial" w:eastAsia="Arial" w:hAnsi="Arial"/>
                <w:sz w:val="16"/>
                <w:szCs w:val="16"/>
                <w:color w:val="0000FF"/>
              </w:rPr>
              <w:t>Business Segment Information</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900" w:type="dxa"/>
            <w:vAlign w:val="bottom"/>
            <w:tcBorders>
              <w:top w:val="single" w:sz="8" w:color="0000FF"/>
            </w:tcBorders>
            <w:gridSpan w:val="38"/>
            <w:shd w:val="clear" w:color="auto" w:fill="CFF0FC"/>
          </w:tcPr>
          <w:p>
            <w:pPr>
              <w:spacing w:after="0" w:line="20" w:lineRule="exact"/>
              <w:rPr>
                <w:sz w:val="1"/>
                <w:szCs w:val="1"/>
                <w:color w:val="auto"/>
              </w:rPr>
            </w:pPr>
          </w:p>
        </w:tc>
        <w:tc>
          <w:tcPr>
            <w:tcW w:w="5540" w:type="dxa"/>
            <w:vAlign w:val="bottom"/>
            <w:tcBorders>
              <w:top w:val="single" w:sz="8" w:color="CFF0FC"/>
            </w:tcBorders>
            <w:gridSpan w:val="11"/>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w w:val="95"/>
              </w:rPr>
              <w:t>Note 13.</w:t>
            </w:r>
          </w:p>
        </w:tc>
        <w:tc>
          <w:tcPr>
            <w:tcW w:w="80" w:type="dxa"/>
            <w:vAlign w:val="bottom"/>
          </w:tcPr>
          <w:p>
            <w:pPr>
              <w:spacing w:after="0"/>
              <w:rPr>
                <w:sz w:val="14"/>
                <w:szCs w:val="14"/>
                <w:color w:val="auto"/>
              </w:rPr>
            </w:pPr>
          </w:p>
        </w:tc>
        <w:tc>
          <w:tcPr>
            <w:tcW w:w="7080" w:type="dxa"/>
            <w:vAlign w:val="bottom"/>
            <w:gridSpan w:val="43"/>
          </w:tcPr>
          <w:p>
            <w:pPr>
              <w:ind w:left="20"/>
              <w:spacing w:after="0" w:line="162" w:lineRule="exact"/>
              <w:rPr>
                <w:sz w:val="20"/>
                <w:szCs w:val="20"/>
                <w:color w:val="auto"/>
              </w:rPr>
            </w:pPr>
            <w:r>
              <w:rPr>
                <w:rFonts w:ascii="Arial" w:cs="Arial" w:eastAsia="Arial" w:hAnsi="Arial"/>
                <w:sz w:val="16"/>
                <w:szCs w:val="16"/>
                <w:color w:val="0000FF"/>
              </w:rPr>
              <w:t>Selected Balance Sheet Information</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280" w:type="dxa"/>
            <w:vAlign w:val="bottom"/>
            <w:tcBorders>
              <w:top w:val="single" w:sz="8" w:color="0000FF"/>
            </w:tcBorders>
            <w:gridSpan w:val="40"/>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03"/>
        </w:trPr>
        <w:tc>
          <w:tcPr>
            <w:tcW w:w="11240" w:type="dxa"/>
            <w:vAlign w:val="bottom"/>
            <w:gridSpan w:val="61"/>
            <w:shd w:val="clear" w:color="auto" w:fill="CFF0FC"/>
          </w:tcPr>
          <w:p>
            <w:pPr>
              <w:spacing w:after="0"/>
              <w:rPr>
                <w:sz w:val="17"/>
                <w:szCs w:val="17"/>
                <w:color w:val="auto"/>
              </w:rPr>
            </w:pPr>
          </w:p>
        </w:tc>
      </w:tr>
      <w:tr>
        <w:trPr>
          <w:trHeight w:val="202"/>
        </w:trPr>
        <w:tc>
          <w:tcPr>
            <w:tcW w:w="11240" w:type="dxa"/>
            <w:vAlign w:val="bottom"/>
            <w:gridSpan w:val="61"/>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0"/>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28</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6380" w:type="dxa"/>
            <w:vAlign w:val="bottom"/>
            <w:tcBorders>
              <w:top w:val="single" w:sz="8" w:color="0000FF"/>
            </w:tcBorders>
            <w:gridSpan w:val="49"/>
          </w:tcPr>
          <w:p>
            <w:pPr>
              <w:ind w:left="14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28</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440" w:type="dxa"/>
            <w:vAlign w:val="bottom"/>
            <w:tcBorders>
              <w:top w:val="single" w:sz="8" w:color="0000FF"/>
            </w:tcBorders>
            <w:gridSpan w:val="15"/>
          </w:tcPr>
          <w:p>
            <w:pPr>
              <w:spacing w:after="0" w:line="20" w:lineRule="exact"/>
              <w:rPr>
                <w:sz w:val="1"/>
                <w:szCs w:val="1"/>
                <w:color w:val="auto"/>
              </w:rPr>
            </w:pPr>
          </w:p>
        </w:tc>
        <w:tc>
          <w:tcPr>
            <w:tcW w:w="7080" w:type="dxa"/>
            <w:vAlign w:val="bottom"/>
            <w:gridSpan w:val="35"/>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Recent Developments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1580" w:type="dxa"/>
            <w:vAlign w:val="bottom"/>
            <w:tcBorders>
              <w:top w:val="single" w:sz="8" w:color="0000FF"/>
            </w:tcBorders>
            <w:gridSpan w:val="18"/>
            <w:shd w:val="clear" w:color="auto" w:fill="CFF0FC"/>
          </w:tcPr>
          <w:p>
            <w:pPr>
              <w:spacing w:after="0" w:line="20" w:lineRule="exact"/>
              <w:rPr>
                <w:sz w:val="1"/>
                <w:szCs w:val="1"/>
                <w:color w:val="auto"/>
              </w:rPr>
            </w:pPr>
          </w:p>
        </w:tc>
        <w:tc>
          <w:tcPr>
            <w:tcW w:w="6940" w:type="dxa"/>
            <w:vAlign w:val="bottom"/>
            <w:tcBorders>
              <w:top w:val="single" w:sz="8" w:color="CFF0FC"/>
            </w:tcBorders>
            <w:gridSpan w:val="32"/>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0"/>
          </w:tcPr>
          <w:p>
            <w:pPr>
              <w:ind w:left="140"/>
              <w:spacing w:after="0" w:line="162" w:lineRule="exact"/>
              <w:rPr>
                <w:sz w:val="20"/>
                <w:szCs w:val="20"/>
                <w:color w:val="auto"/>
              </w:rPr>
            </w:pPr>
            <w:r>
              <w:rPr>
                <w:rFonts w:ascii="Arial" w:cs="Arial" w:eastAsia="Arial" w:hAnsi="Arial"/>
                <w:sz w:val="16"/>
                <w:szCs w:val="16"/>
                <w:color w:val="0000FF"/>
              </w:rPr>
              <w:t>Results of Operations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540" w:type="dxa"/>
            <w:vAlign w:val="bottom"/>
            <w:tcBorders>
              <w:top w:val="single" w:sz="8" w:color="0000FF"/>
            </w:tcBorders>
            <w:gridSpan w:val="17"/>
          </w:tcPr>
          <w:p>
            <w:pPr>
              <w:spacing w:after="0" w:line="20" w:lineRule="exact"/>
              <w:rPr>
                <w:sz w:val="1"/>
                <w:szCs w:val="1"/>
                <w:color w:val="auto"/>
              </w:rPr>
            </w:pPr>
          </w:p>
        </w:tc>
        <w:tc>
          <w:tcPr>
            <w:tcW w:w="6980" w:type="dxa"/>
            <w:vAlign w:val="bottom"/>
            <w:gridSpan w:val="33"/>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40" w:type="dxa"/>
            <w:vAlign w:val="bottom"/>
            <w:gridSpan w:val="47"/>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29</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720" w:type="dxa"/>
            <w:vAlign w:val="bottom"/>
            <w:tcBorders>
              <w:top w:val="single" w:sz="8" w:color="0000FF"/>
            </w:tcBorders>
            <w:gridSpan w:val="36"/>
          </w:tcPr>
          <w:p>
            <w:pPr>
              <w:spacing w:after="0" w:line="162" w:lineRule="exact"/>
              <w:rPr>
                <w:sz w:val="20"/>
                <w:szCs w:val="20"/>
                <w:color w:val="auto"/>
              </w:rPr>
            </w:pPr>
            <w:r>
              <w:rPr>
                <w:rFonts w:ascii="Arial" w:cs="Arial" w:eastAsia="Arial" w:hAnsi="Arial"/>
                <w:sz w:val="16"/>
                <w:szCs w:val="16"/>
                <w:color w:val="0000FF"/>
              </w:rPr>
              <w:t>Non-GAAP Financial Measure</w:t>
            </w:r>
          </w:p>
        </w:tc>
        <w:tc>
          <w:tcPr>
            <w:tcW w:w="4920" w:type="dxa"/>
            <w:vAlign w:val="bottom"/>
            <w:tcBorders>
              <w:top w:val="single" w:sz="8" w:color="CFF0FC"/>
            </w:tcBorders>
            <w:gridSpan w:val="1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30</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2180" w:type="dxa"/>
            <w:vAlign w:val="bottom"/>
            <w:tcBorders>
              <w:top w:val="single" w:sz="8" w:color="0000FF"/>
            </w:tcBorders>
            <w:gridSpan w:val="28"/>
          </w:tcPr>
          <w:p>
            <w:pPr>
              <w:spacing w:after="0" w:line="20" w:lineRule="exact"/>
              <w:rPr>
                <w:sz w:val="1"/>
                <w:szCs w:val="1"/>
                <w:color w:val="auto"/>
              </w:rPr>
            </w:pPr>
          </w:p>
        </w:tc>
        <w:tc>
          <w:tcPr>
            <w:tcW w:w="6140" w:type="dxa"/>
            <w:vAlign w:val="bottom"/>
            <w:gridSpan w:val="2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9"/>
              </w:rPr>
              <w:t>Electric Utilities</w:t>
            </w:r>
          </w:p>
        </w:tc>
        <w:tc>
          <w:tcPr>
            <w:tcW w:w="6540" w:type="dxa"/>
            <w:vAlign w:val="bottom"/>
            <w:tcBorders>
              <w:bottom w:val="single" w:sz="8" w:color="CFF0FC"/>
            </w:tcBorders>
            <w:gridSpan w:val="3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31</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7"/>
          </w:tcPr>
          <w:p>
            <w:pPr>
              <w:spacing w:after="0" w:line="162" w:lineRule="exact"/>
              <w:rPr>
                <w:sz w:val="20"/>
                <w:szCs w:val="20"/>
                <w:color w:val="auto"/>
              </w:rPr>
            </w:pPr>
            <w:r>
              <w:rPr>
                <w:rFonts w:ascii="Arial" w:cs="Arial" w:eastAsia="Arial" w:hAnsi="Arial"/>
                <w:sz w:val="16"/>
                <w:szCs w:val="16"/>
                <w:color w:val="0000FF"/>
              </w:rPr>
              <w:t>Gas Utilities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34</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860" w:type="dxa"/>
            <w:vAlign w:val="bottom"/>
            <w:tcBorders>
              <w:top w:val="single" w:sz="8" w:color="0000FF"/>
            </w:tcBorders>
            <w:gridSpan w:val="7"/>
          </w:tcPr>
          <w:p>
            <w:pPr>
              <w:spacing w:after="0" w:line="20" w:lineRule="exact"/>
              <w:rPr>
                <w:sz w:val="1"/>
                <w:szCs w:val="1"/>
                <w:color w:val="auto"/>
              </w:rPr>
            </w:pPr>
          </w:p>
        </w:tc>
        <w:tc>
          <w:tcPr>
            <w:tcW w:w="7460" w:type="dxa"/>
            <w:vAlign w:val="bottom"/>
            <w:gridSpan w:val="4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0000FF"/>
            </w:tcBorders>
            <w:gridSpan w:val="20"/>
            <w:shd w:val="clear" w:color="auto" w:fill="CFF0FC"/>
          </w:tcPr>
          <w:p>
            <w:pPr>
              <w:spacing w:after="0" w:line="162" w:lineRule="exact"/>
              <w:rPr>
                <w:sz w:val="20"/>
                <w:szCs w:val="20"/>
                <w:color w:val="auto"/>
              </w:rPr>
            </w:pPr>
            <w:r>
              <w:rPr>
                <w:rFonts w:ascii="Arial" w:cs="Arial" w:eastAsia="Arial" w:hAnsi="Arial"/>
                <w:sz w:val="16"/>
                <w:szCs w:val="16"/>
                <w:color w:val="0000FF"/>
                <w:w w:val="99"/>
              </w:rPr>
              <w:t>Corporate and Other</w:t>
            </w:r>
          </w:p>
        </w:tc>
        <w:tc>
          <w:tcPr>
            <w:tcW w:w="6160" w:type="dxa"/>
            <w:vAlign w:val="bottom"/>
            <w:tcBorders>
              <w:bottom w:val="single" w:sz="8" w:color="CFF0FC"/>
            </w:tcBorders>
            <w:gridSpan w:val="2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36</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7"/>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5140" w:type="dxa"/>
            <w:vAlign w:val="bottom"/>
            <w:tcBorders>
              <w:top w:val="single" w:sz="8" w:color="0000FF"/>
            </w:tcBorders>
            <w:gridSpan w:val="45"/>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Liquidity and Capital Resources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gridSpan w:val="27"/>
          </w:tcPr>
          <w:p>
            <w:pPr>
              <w:spacing w:after="0" w:line="162" w:lineRule="exact"/>
              <w:rPr>
                <w:sz w:val="20"/>
                <w:szCs w:val="20"/>
                <w:color w:val="auto"/>
              </w:rPr>
            </w:pPr>
            <w:r>
              <w:rPr>
                <w:rFonts w:ascii="Arial" w:cs="Arial" w:eastAsia="Arial" w:hAnsi="Arial"/>
                <w:sz w:val="16"/>
                <w:szCs w:val="16"/>
                <w:color w:val="0000FF"/>
              </w:rPr>
              <w:t>Cash Flow Activities</w:t>
            </w:r>
          </w:p>
        </w:tc>
        <w:tc>
          <w:tcPr>
            <w:tcW w:w="5580" w:type="dxa"/>
            <w:vAlign w:val="bottom"/>
            <w:tcBorders>
              <w:top w:val="single" w:sz="8" w:color="CFF0FC"/>
            </w:tcBorders>
            <w:gridSpan w:val="20"/>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37</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440" w:type="dxa"/>
            <w:vAlign w:val="bottom"/>
            <w:tcBorders>
              <w:top w:val="single" w:sz="8" w:color="0000FF"/>
            </w:tcBorders>
            <w:gridSpan w:val="18"/>
          </w:tcPr>
          <w:p>
            <w:pPr>
              <w:spacing w:after="0" w:line="20" w:lineRule="exact"/>
              <w:rPr>
                <w:sz w:val="1"/>
                <w:szCs w:val="1"/>
                <w:color w:val="auto"/>
              </w:rPr>
            </w:pPr>
          </w:p>
        </w:tc>
        <w:tc>
          <w:tcPr>
            <w:tcW w:w="6880" w:type="dxa"/>
            <w:vAlign w:val="bottom"/>
            <w:gridSpan w:val="3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0000FF"/>
            </w:tcBorders>
            <w:gridSpan w:val="14"/>
            <w:shd w:val="clear" w:color="auto" w:fill="CFF0FC"/>
          </w:tcPr>
          <w:p>
            <w:pPr>
              <w:spacing w:after="0" w:line="162" w:lineRule="exact"/>
              <w:rPr>
                <w:sz w:val="20"/>
                <w:szCs w:val="20"/>
                <w:color w:val="auto"/>
              </w:rPr>
            </w:pPr>
            <w:r>
              <w:rPr>
                <w:rFonts w:ascii="Arial" w:cs="Arial" w:eastAsia="Arial" w:hAnsi="Arial"/>
                <w:sz w:val="16"/>
                <w:szCs w:val="16"/>
                <w:color w:val="0000FF"/>
                <w:w w:val="99"/>
              </w:rPr>
              <w:t>Capital Resources</w:t>
            </w:r>
          </w:p>
        </w:tc>
        <w:tc>
          <w:tcPr>
            <w:tcW w:w="6320" w:type="dxa"/>
            <w:vAlign w:val="bottom"/>
            <w:tcBorders>
              <w:bottom w:val="single" w:sz="8" w:color="CFF0FC"/>
            </w:tcBorders>
            <w:gridSpan w:val="33"/>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39</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7"/>
          </w:tcPr>
          <w:p>
            <w:pPr>
              <w:spacing w:after="0" w:line="162" w:lineRule="exact"/>
              <w:rPr>
                <w:sz w:val="20"/>
                <w:szCs w:val="20"/>
                <w:color w:val="auto"/>
              </w:rPr>
            </w:pPr>
            <w:r>
              <w:rPr>
                <w:rFonts w:ascii="Arial" w:cs="Arial" w:eastAsia="Arial" w:hAnsi="Arial"/>
                <w:sz w:val="16"/>
                <w:szCs w:val="16"/>
                <w:color w:val="0000FF"/>
              </w:rPr>
              <w:t>Credit Ratings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020" w:type="dxa"/>
            <w:vAlign w:val="bottom"/>
            <w:tcBorders>
              <w:top w:val="single" w:sz="8" w:color="0000FF"/>
            </w:tcBorders>
            <w:gridSpan w:val="9"/>
          </w:tcPr>
          <w:p>
            <w:pPr>
              <w:spacing w:after="0" w:line="20" w:lineRule="exact"/>
              <w:rPr>
                <w:sz w:val="1"/>
                <w:szCs w:val="1"/>
                <w:color w:val="auto"/>
              </w:rPr>
            </w:pPr>
          </w:p>
        </w:tc>
        <w:tc>
          <w:tcPr>
            <w:tcW w:w="7300" w:type="dxa"/>
            <w:vAlign w:val="bottom"/>
            <w:gridSpan w:val="3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0000FF"/>
            </w:tcBorders>
            <w:gridSpan w:val="2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080" w:type="dxa"/>
            <w:vAlign w:val="bottom"/>
            <w:tcBorders>
              <w:bottom w:val="single" w:sz="8" w:color="CFF0FC"/>
            </w:tcBorders>
            <w:gridSpan w:val="26"/>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39</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0"/>
          </w:tcPr>
          <w:p>
            <w:pPr>
              <w:ind w:left="140"/>
              <w:spacing w:after="0" w:line="162" w:lineRule="exact"/>
              <w:rPr>
                <w:sz w:val="20"/>
                <w:szCs w:val="20"/>
                <w:color w:val="auto"/>
              </w:rPr>
            </w:pPr>
            <w:r>
              <w:rPr>
                <w:rFonts w:ascii="Arial" w:cs="Arial" w:eastAsia="Arial" w:hAnsi="Arial"/>
                <w:sz w:val="16"/>
                <w:szCs w:val="16"/>
                <w:color w:val="0000FF"/>
              </w:rPr>
              <w:t>Critical Accounting Estimates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5"/>
          </w:tcPr>
          <w:p>
            <w:pPr>
              <w:spacing w:after="0" w:line="20" w:lineRule="exact"/>
              <w:rPr>
                <w:sz w:val="1"/>
                <w:szCs w:val="1"/>
                <w:color w:val="auto"/>
              </w:rPr>
            </w:pPr>
          </w:p>
        </w:tc>
        <w:tc>
          <w:tcPr>
            <w:tcW w:w="6440" w:type="dxa"/>
            <w:vAlign w:val="bottom"/>
            <w:gridSpan w:val="25"/>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0"/>
            <w:shd w:val="clear" w:color="auto" w:fill="CFF0FC"/>
          </w:tcPr>
          <w:p>
            <w:pPr>
              <w:ind w:left="140"/>
              <w:spacing w:after="0" w:line="162" w:lineRule="exact"/>
              <w:rPr>
                <w:sz w:val="20"/>
                <w:szCs w:val="20"/>
                <w:color w:val="auto"/>
              </w:rPr>
            </w:pPr>
            <w:r>
              <w:rPr>
                <w:rFonts w:ascii="Arial" w:cs="Arial" w:eastAsia="Arial" w:hAnsi="Arial"/>
                <w:sz w:val="16"/>
                <w:szCs w:val="16"/>
                <w:color w:val="0000FF"/>
              </w:rPr>
              <w:t>New Accounting Pronouncements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840" w:type="dxa"/>
            <w:vAlign w:val="bottom"/>
            <w:tcBorders>
              <w:top w:val="single" w:sz="8" w:color="CFF0FC"/>
            </w:tcBorders>
            <w:gridSpan w:val="5"/>
          </w:tcPr>
          <w:p>
            <w:pPr>
              <w:spacing w:after="0"/>
              <w:rPr>
                <w:sz w:val="17"/>
                <w:szCs w:val="17"/>
                <w:color w:val="auto"/>
              </w:rPr>
            </w:pPr>
          </w:p>
        </w:tc>
        <w:tc>
          <w:tcPr>
            <w:tcW w:w="2440" w:type="dxa"/>
            <w:vAlign w:val="bottom"/>
            <w:tcBorders>
              <w:top w:val="single" w:sz="8" w:color="0000FF"/>
            </w:tcBorders>
            <w:gridSpan w:val="31"/>
          </w:tcPr>
          <w:p>
            <w:pPr>
              <w:spacing w:after="0"/>
              <w:rPr>
                <w:sz w:val="17"/>
                <w:szCs w:val="17"/>
                <w:color w:val="auto"/>
              </w:rPr>
            </w:pPr>
          </w:p>
        </w:tc>
        <w:tc>
          <w:tcPr>
            <w:tcW w:w="6080" w:type="dxa"/>
            <w:vAlign w:val="bottom"/>
            <w:tcBorders>
              <w:top w:val="single" w:sz="8" w:color="CFF0FC"/>
            </w:tcBorders>
            <w:gridSpan w:val="19"/>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7980" w:type="dxa"/>
            <w:vAlign w:val="bottom"/>
            <w:gridSpan w:val="50"/>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46"/>
          </w:tcPr>
          <w:p>
            <w:pPr>
              <w:spacing w:after="0" w:line="162" w:lineRule="exact"/>
              <w:rPr>
                <w:sz w:val="20"/>
                <w:szCs w:val="20"/>
                <w:color w:val="auto"/>
              </w:rPr>
            </w:pPr>
            <w:r>
              <w:rPr>
                <w:rFonts w:ascii="Arial" w:cs="Arial" w:eastAsia="Arial" w:hAnsi="Arial"/>
                <w:sz w:val="16"/>
                <w:szCs w:val="16"/>
                <w:color w:val="0000FF"/>
              </w:rPr>
              <w:t>Controls and Procedures</w:t>
            </w:r>
          </w:p>
        </w:tc>
        <w:tc>
          <w:tcPr>
            <w:tcW w:w="3740" w:type="dxa"/>
            <w:vAlign w:val="bottom"/>
            <w:tcBorders>
              <w:top w:val="single" w:sz="8" w:color="CFF0FC"/>
            </w:tcBorders>
            <w:gridSpan w:val="4"/>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40</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23"/>
        </w:trPr>
        <w:tc>
          <w:tcPr>
            <w:tcW w:w="1700" w:type="dxa"/>
            <w:vAlign w:val="bottom"/>
            <w:gridSpan w:val="4"/>
          </w:tcPr>
          <w:p>
            <w:pPr>
              <w:spacing w:after="0"/>
              <w:rPr>
                <w:sz w:val="19"/>
                <w:szCs w:val="19"/>
                <w:color w:val="auto"/>
              </w:rPr>
            </w:pPr>
          </w:p>
        </w:tc>
        <w:tc>
          <w:tcPr>
            <w:tcW w:w="1800" w:type="dxa"/>
            <w:vAlign w:val="bottom"/>
            <w:tcBorders>
              <w:top w:val="single" w:sz="8" w:color="0000FF"/>
            </w:tcBorders>
            <w:gridSpan w:val="22"/>
          </w:tcPr>
          <w:p>
            <w:pPr>
              <w:spacing w:after="0"/>
              <w:rPr>
                <w:sz w:val="19"/>
                <w:szCs w:val="19"/>
                <w:color w:val="auto"/>
              </w:rPr>
            </w:pPr>
          </w:p>
        </w:tc>
        <w:tc>
          <w:tcPr>
            <w:tcW w:w="6860" w:type="dxa"/>
            <w:vAlign w:val="bottom"/>
            <w:gridSpan w:val="29"/>
          </w:tcPr>
          <w:p>
            <w:pPr>
              <w:spacing w:after="0"/>
              <w:rPr>
                <w:sz w:val="19"/>
                <w:szCs w:val="19"/>
                <w:color w:val="auto"/>
              </w:rPr>
            </w:pPr>
          </w:p>
        </w:tc>
        <w:tc>
          <w:tcPr>
            <w:tcW w:w="180" w:type="dxa"/>
            <w:vAlign w:val="bottom"/>
            <w:tcBorders>
              <w:top w:val="single" w:sz="8" w:color="0000FF"/>
            </w:tcBorders>
            <w:gridSpan w:val="4"/>
          </w:tcPr>
          <w:p>
            <w:pPr>
              <w:spacing w:after="0"/>
              <w:rPr>
                <w:sz w:val="19"/>
                <w:szCs w:val="19"/>
                <w:color w:val="auto"/>
              </w:rPr>
            </w:pPr>
          </w:p>
        </w:tc>
        <w:tc>
          <w:tcPr>
            <w:tcW w:w="700" w:type="dxa"/>
            <w:vAlign w:val="bottom"/>
            <w:gridSpan w:val="2"/>
          </w:tcPr>
          <w:p>
            <w:pPr>
              <w:spacing w:after="0"/>
              <w:rPr>
                <w:sz w:val="19"/>
                <w:szCs w:val="19"/>
                <w:color w:val="auto"/>
              </w:rPr>
            </w:pPr>
          </w:p>
        </w:tc>
      </w:tr>
      <w:tr>
        <w:trPr>
          <w:trHeight w:val="203"/>
        </w:trPr>
        <w:tc>
          <w:tcPr>
            <w:tcW w:w="2520" w:type="dxa"/>
            <w:vAlign w:val="bottom"/>
            <w:gridSpan w:val="10"/>
            <w:shd w:val="clear" w:color="auto" w:fill="CFF0FC"/>
          </w:tcPr>
          <w:p>
            <w:pPr>
              <w:ind w:left="20"/>
              <w:spacing w:after="0"/>
              <w:rPr>
                <w:sz w:val="20"/>
                <w:szCs w:val="20"/>
                <w:color w:val="auto"/>
              </w:rPr>
            </w:pPr>
            <w:r>
              <w:rPr>
                <w:rFonts w:ascii="Arial" w:cs="Arial" w:eastAsia="Arial" w:hAnsi="Arial"/>
                <w:sz w:val="16"/>
                <w:szCs w:val="16"/>
                <w:color w:val="auto"/>
              </w:rPr>
              <w:t>PART II. OTHER INFORMATION</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1.</w:t>
            </w:r>
          </w:p>
        </w:tc>
        <w:tc>
          <w:tcPr>
            <w:tcW w:w="7980" w:type="dxa"/>
            <w:vAlign w:val="bottom"/>
            <w:gridSpan w:val="50"/>
          </w:tcPr>
          <w:p>
            <w:pPr>
              <w:spacing w:after="0" w:line="162" w:lineRule="exact"/>
              <w:rPr>
                <w:sz w:val="20"/>
                <w:szCs w:val="20"/>
                <w:color w:val="auto"/>
              </w:rPr>
            </w:pPr>
            <w:r>
              <w:rPr>
                <w:rFonts w:ascii="Arial" w:cs="Arial" w:eastAsia="Arial" w:hAnsi="Arial"/>
                <w:sz w:val="16"/>
                <w:szCs w:val="16"/>
                <w:color w:val="0000FF"/>
              </w:rPr>
              <w:t>Legal Proceedings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360" w:type="dxa"/>
            <w:vAlign w:val="bottom"/>
            <w:tcBorders>
              <w:top w:val="single" w:sz="8" w:color="0000FF"/>
            </w:tcBorders>
            <w:gridSpan w:val="12"/>
          </w:tcPr>
          <w:p>
            <w:pPr>
              <w:spacing w:after="0" w:line="20" w:lineRule="exact"/>
              <w:rPr>
                <w:sz w:val="1"/>
                <w:szCs w:val="1"/>
                <w:color w:val="auto"/>
              </w:rPr>
            </w:pPr>
          </w:p>
        </w:tc>
        <w:tc>
          <w:tcPr>
            <w:tcW w:w="7300" w:type="dxa"/>
            <w:vAlign w:val="bottom"/>
            <w:gridSpan w:val="3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7980" w:type="dxa"/>
            <w:vAlign w:val="bottom"/>
            <w:gridSpan w:val="50"/>
            <w:shd w:val="clear" w:color="auto" w:fill="CFF0FC"/>
          </w:tcPr>
          <w:p>
            <w:pPr>
              <w:spacing w:after="0" w:line="162" w:lineRule="exact"/>
              <w:rPr>
                <w:sz w:val="20"/>
                <w:szCs w:val="20"/>
                <w:color w:val="auto"/>
              </w:rPr>
            </w:pPr>
            <w:r>
              <w:rPr>
                <w:rFonts w:ascii="Arial" w:cs="Arial" w:eastAsia="Arial" w:hAnsi="Arial"/>
                <w:sz w:val="16"/>
                <w:szCs w:val="16"/>
                <w:color w:val="0000FF"/>
              </w:rPr>
              <w:t>Risk Factors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40</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900" w:type="dxa"/>
            <w:vAlign w:val="bottom"/>
            <w:tcBorders>
              <w:top w:val="single" w:sz="8" w:color="0000FF"/>
            </w:tcBorders>
            <w:gridSpan w:val="7"/>
            <w:shd w:val="clear" w:color="auto" w:fill="CFF0FC"/>
          </w:tcPr>
          <w:p>
            <w:pPr>
              <w:spacing w:after="0" w:line="20" w:lineRule="exact"/>
              <w:rPr>
                <w:sz w:val="1"/>
                <w:szCs w:val="1"/>
                <w:color w:val="auto"/>
              </w:rPr>
            </w:pPr>
          </w:p>
        </w:tc>
        <w:tc>
          <w:tcPr>
            <w:tcW w:w="7760" w:type="dxa"/>
            <w:vAlign w:val="bottom"/>
            <w:tcBorders>
              <w:top w:val="single" w:sz="8" w:color="CFF0FC"/>
            </w:tcBorders>
            <w:gridSpan w:val="44"/>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0"/>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4380" w:type="dxa"/>
            <w:vAlign w:val="bottom"/>
            <w:tcBorders>
              <w:top w:val="single" w:sz="8" w:color="0000FF"/>
            </w:tcBorders>
            <w:gridSpan w:val="47"/>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7980" w:type="dxa"/>
            <w:vAlign w:val="bottom"/>
            <w:gridSpan w:val="50"/>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20"/>
          </w:tcPr>
          <w:p>
            <w:pPr>
              <w:spacing w:after="0" w:line="162" w:lineRule="exact"/>
              <w:rPr>
                <w:sz w:val="20"/>
                <w:szCs w:val="20"/>
                <w:color w:val="auto"/>
              </w:rPr>
            </w:pPr>
            <w:r>
              <w:rPr>
                <w:rFonts w:ascii="Arial" w:cs="Arial" w:eastAsia="Arial" w:hAnsi="Arial"/>
                <w:sz w:val="16"/>
                <w:szCs w:val="16"/>
                <w:color w:val="0000FF"/>
              </w:rPr>
              <w:t>Other Information</w:t>
            </w:r>
          </w:p>
        </w:tc>
        <w:tc>
          <w:tcPr>
            <w:tcW w:w="6240" w:type="dxa"/>
            <w:vAlign w:val="bottom"/>
            <w:tcBorders>
              <w:top w:val="single" w:sz="8" w:color="CFF0FC"/>
            </w:tcBorders>
            <w:gridSpan w:val="30"/>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41</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260" w:type="dxa"/>
            <w:vAlign w:val="bottom"/>
            <w:tcBorders>
              <w:top w:val="single" w:sz="8" w:color="0000FF"/>
            </w:tcBorders>
            <w:gridSpan w:val="11"/>
          </w:tcPr>
          <w:p>
            <w:pPr>
              <w:spacing w:after="0" w:line="20" w:lineRule="exact"/>
              <w:rPr>
                <w:sz w:val="1"/>
                <w:szCs w:val="1"/>
                <w:color w:val="auto"/>
              </w:rPr>
            </w:pPr>
          </w:p>
        </w:tc>
        <w:tc>
          <w:tcPr>
            <w:tcW w:w="74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820" w:type="dxa"/>
            <w:vAlign w:val="bottom"/>
            <w:gridSpan w:val="6"/>
            <w:shd w:val="clear" w:color="auto" w:fill="CFF0FC"/>
          </w:tcPr>
          <w:p>
            <w:pPr>
              <w:spacing w:after="0" w:line="162" w:lineRule="exact"/>
              <w:rPr>
                <w:sz w:val="20"/>
                <w:szCs w:val="20"/>
                <w:color w:val="auto"/>
              </w:rPr>
            </w:pPr>
            <w:r>
              <w:rPr>
                <w:rFonts w:ascii="Arial" w:cs="Arial" w:eastAsia="Arial" w:hAnsi="Arial"/>
                <w:sz w:val="16"/>
                <w:szCs w:val="16"/>
                <w:color w:val="0000FF"/>
              </w:rPr>
              <w:t>Exhibits</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41</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700" w:type="dxa"/>
            <w:vAlign w:val="bottom"/>
            <w:tcBorders>
              <w:top w:val="single" w:sz="8" w:color="CFF0FC"/>
            </w:tcBorders>
            <w:gridSpan w:val="4"/>
          </w:tcPr>
          <w:p>
            <w:pPr>
              <w:spacing w:after="0"/>
              <w:rPr>
                <w:sz w:val="17"/>
                <w:szCs w:val="17"/>
                <w:color w:val="auto"/>
              </w:rPr>
            </w:pPr>
          </w:p>
        </w:tc>
        <w:tc>
          <w:tcPr>
            <w:tcW w:w="580" w:type="dxa"/>
            <w:vAlign w:val="bottom"/>
            <w:tcBorders>
              <w:top w:val="single" w:sz="8" w:color="0000FF"/>
            </w:tcBorders>
            <w:gridSpan w:val="5"/>
          </w:tcPr>
          <w:p>
            <w:pPr>
              <w:spacing w:after="0"/>
              <w:rPr>
                <w:sz w:val="17"/>
                <w:szCs w:val="17"/>
                <w:color w:val="auto"/>
              </w:rPr>
            </w:pPr>
          </w:p>
        </w:tc>
        <w:tc>
          <w:tcPr>
            <w:tcW w:w="8080" w:type="dxa"/>
            <w:vAlign w:val="bottom"/>
            <w:tcBorders>
              <w:top w:val="single" w:sz="8" w:color="CFF0FC"/>
            </w:tcBorders>
            <w:gridSpan w:val="46"/>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0000FF"/>
              </w:rPr>
              <w:t>Signatures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42</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605"/>
        </w:trPr>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38"/>
          </w:tcPr>
          <w:p>
            <w:pPr>
              <w:jc w:val="right"/>
              <w:ind w:right="180"/>
              <w:spacing w:after="0"/>
              <w:rPr>
                <w:sz w:val="20"/>
                <w:szCs w:val="20"/>
                <w:color w:val="auto"/>
              </w:rPr>
            </w:pPr>
            <w:r>
              <w:rPr>
                <w:rFonts w:ascii="Arial" w:cs="Arial" w:eastAsia="Arial" w:hAnsi="Arial"/>
                <w:sz w:val="16"/>
                <w:szCs w:val="16"/>
                <w:color w:val="auto"/>
              </w:rPr>
              <w:t>2</w:t>
            </w: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11240" w:type="dxa"/>
            <w:vAlign w:val="bottom"/>
            <w:tcBorders>
              <w:bottom w:val="single" w:sz="8" w:color="9A9A9A"/>
            </w:tcBorders>
            <w:gridSpan w:val="6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780" w:type="dxa"/>
            <w:vAlign w:val="bottom"/>
          </w:tcPr>
          <w:p>
            <w:pPr>
              <w:spacing w:after="0"/>
              <w:rPr>
                <w:sz w:val="15"/>
                <w:szCs w:val="15"/>
                <w:color w:val="auto"/>
              </w:rPr>
            </w:pPr>
          </w:p>
        </w:tc>
        <w:tc>
          <w:tcPr>
            <w:tcW w:w="7460" w:type="dxa"/>
            <w:vAlign w:val="bottom"/>
          </w:tcPr>
          <w:p>
            <w:pPr>
              <w:spacing w:after="0"/>
              <w:rPr>
                <w:sz w:val="15"/>
                <w:szCs w:val="15"/>
                <w:color w:val="auto"/>
              </w:rPr>
            </w:pP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Allowance for Funds Used During Construction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AI</w:t>
            </w:r>
          </w:p>
        </w:tc>
        <w:tc>
          <w:tcPr>
            <w:tcW w:w="7460" w:type="dxa"/>
            <w:vAlign w:val="bottom"/>
          </w:tcPr>
          <w:p>
            <w:pPr>
              <w:ind w:left="60"/>
              <w:spacing w:after="0"/>
              <w:rPr>
                <w:sz w:val="20"/>
                <w:szCs w:val="20"/>
                <w:color w:val="auto"/>
              </w:rPr>
            </w:pPr>
            <w:r>
              <w:rPr>
                <w:rFonts w:ascii="Arial" w:cs="Arial" w:eastAsia="Arial" w:hAnsi="Arial"/>
                <w:sz w:val="16"/>
                <w:szCs w:val="16"/>
                <w:color w:val="auto"/>
              </w:rPr>
              <w:t>Artificial Intelligence</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AOCI</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Accumulated Other Comprehensive Income (Loss)</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APSC</w:t>
            </w:r>
          </w:p>
        </w:tc>
        <w:tc>
          <w:tcPr>
            <w:tcW w:w="7460" w:type="dxa"/>
            <w:vAlign w:val="bottom"/>
          </w:tcPr>
          <w:p>
            <w:pPr>
              <w:ind w:left="60"/>
              <w:spacing w:after="0"/>
              <w:rPr>
                <w:sz w:val="20"/>
                <w:szCs w:val="20"/>
                <w:color w:val="auto"/>
              </w:rPr>
            </w:pPr>
            <w:r>
              <w:rPr>
                <w:rFonts w:ascii="Arial" w:cs="Arial" w:eastAsia="Arial" w:hAnsi="Arial"/>
                <w:sz w:val="16"/>
                <w:szCs w:val="16"/>
                <w:color w:val="auto"/>
              </w:rPr>
              <w:t>Arkansas Public Service Commission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Arkansas Gas</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ASU</w:t>
            </w:r>
          </w:p>
        </w:tc>
        <w:tc>
          <w:tcPr>
            <w:tcW w:w="7460" w:type="dxa"/>
            <w:vAlign w:val="bottom"/>
          </w:tcPr>
          <w:p>
            <w:pPr>
              <w:ind w:left="60"/>
              <w:spacing w:after="0"/>
              <w:rPr>
                <w:sz w:val="20"/>
                <w:szCs w:val="20"/>
                <w:color w:val="auto"/>
              </w:rPr>
            </w:pPr>
            <w:r>
              <w:rPr>
                <w:rFonts w:ascii="Arial" w:cs="Arial" w:eastAsia="Arial" w:hAnsi="Arial"/>
                <w:sz w:val="16"/>
                <w:szCs w:val="16"/>
                <w:color w:val="auto"/>
              </w:rPr>
              <w:t>Accounting Standards Update as issued by the FASB</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ATM</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At-the-market equity offering program</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Availability</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The availability factor of a power plant is the percentage of the time that it is available to provide</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energy.</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BHC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Corporation; the Company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Black Hills Electric Generation</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wholesale electric capacity and energy primarily to our Electric Utilities.</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Electric Parent Holdings</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Energy</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Black Hills Energy Renewable Resources (BHERR)</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regulated Holdings</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Black Hills Energy Services</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Black Hills Utility Holdings</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business as Black Hills 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Choice Gas Program</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distribution delivery service.</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Chief Operating Decision Maker (CODM)</w:t>
            </w:r>
          </w:p>
        </w:tc>
        <w:tc>
          <w:tcPr>
            <w:tcW w:w="7460" w:type="dxa"/>
            <w:vAlign w:val="bottom"/>
          </w:tcPr>
          <w:p>
            <w:pPr>
              <w:ind w:left="60"/>
              <w:spacing w:after="0"/>
              <w:rPr>
                <w:sz w:val="20"/>
                <w:szCs w:val="20"/>
                <w:color w:val="auto"/>
              </w:rPr>
            </w:pPr>
            <w:r>
              <w:rPr>
                <w:rFonts w:ascii="Arial" w:cs="Arial" w:eastAsia="Arial" w:hAnsi="Arial"/>
                <w:sz w:val="16"/>
                <w:szCs w:val="16"/>
                <w:color w:val="auto"/>
              </w:rPr>
              <w:t>Chief Executive Officer</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Clean Energy Plan</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emissions by a minimum of 80% from 2005 levels by 2030. The recommended resource portfolio</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proposes the addition of 400 MW of clean energy resources to Colorado Electric's system. Colorado</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comply with the Clean Energy Plan.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7460" w:type="dxa"/>
            <w:vAlign w:val="bottom"/>
          </w:tcPr>
          <w:p>
            <w:pPr>
              <w:ind w:left="60"/>
              <w:spacing w:after="0"/>
              <w:rPr>
                <w:sz w:val="20"/>
                <w:szCs w:val="20"/>
                <w:color w:val="auto"/>
              </w:rPr>
            </w:pPr>
            <w:r>
              <w:rPr>
                <w:rFonts w:ascii="Arial" w:cs="Arial" w:eastAsia="Arial" w:hAnsi="Arial"/>
                <w:sz w:val="16"/>
                <w:szCs w:val="16"/>
                <w:color w:val="auto"/>
              </w:rPr>
              <w:t>Carbon dioxide</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Colorado Electric</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Colorado Gas</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Common Use System</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The Common Use System is a jointly operated transmission system we participate in with Basin</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Electric Power Cooperative and Powder River Energy Corporation. The Common Use System provides</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Consolidated Indebtedness to Capitalization Ratio</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03"/>
        </w:trPr>
        <w:tc>
          <w:tcPr>
            <w:tcW w:w="3780" w:type="dxa"/>
            <w:vAlign w:val="bottom"/>
          </w:tcPr>
          <w:p>
            <w:pPr>
              <w:spacing w:after="0"/>
              <w:rPr>
                <w:sz w:val="17"/>
                <w:szCs w:val="17"/>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215"/>
        </w:trPr>
        <w:tc>
          <w:tcPr>
            <w:tcW w:w="3780" w:type="dxa"/>
            <w:vAlign w:val="bottom"/>
          </w:tcPr>
          <w:p>
            <w:pPr>
              <w:spacing w:after="0"/>
              <w:rPr>
                <w:sz w:val="18"/>
                <w:szCs w:val="18"/>
                <w:color w:val="auto"/>
              </w:rPr>
            </w:pPr>
          </w:p>
        </w:tc>
        <w:tc>
          <w:tcPr>
            <w:tcW w:w="7460" w:type="dxa"/>
            <w:vAlign w:val="bottom"/>
          </w:tcPr>
          <w:p>
            <w:pPr>
              <w:ind w:left="1800"/>
              <w:spacing w:after="0"/>
              <w:rPr>
                <w:sz w:val="20"/>
                <w:szCs w:val="20"/>
                <w:color w:val="auto"/>
              </w:rPr>
            </w:pPr>
            <w:r>
              <w:rPr>
                <w:rFonts w:ascii="Arial" w:cs="Arial" w:eastAsia="Arial" w:hAnsi="Arial"/>
                <w:sz w:val="16"/>
                <w:szCs w:val="16"/>
                <w:color w:val="auto"/>
              </w:rPr>
              <w:t>3</w:t>
            </w:r>
          </w:p>
        </w:tc>
      </w:tr>
      <w:tr>
        <w:trPr>
          <w:trHeight w:val="751"/>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A cooling degree day is equivalent to each degree that the average of the high and the low</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temperatures for a day is above 65 degrees. The warmer the climate, the greater the number of</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cooling degree days. Cooling degree days are used in the utility industry to measure the relative</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warmth of weather and to compare relative temperatures between one geographic area and another.</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Normal degree days are based on the National Weather Service data for selected locations.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8380" w:type="dxa"/>
            <w:vAlign w:val="bottom"/>
          </w:tcPr>
          <w:p>
            <w:pPr>
              <w:ind w:left="980"/>
              <w:spacing w:after="0"/>
              <w:rPr>
                <w:sz w:val="20"/>
                <w:szCs w:val="20"/>
                <w:color w:val="auto"/>
              </w:rPr>
            </w:pPr>
            <w:r>
              <w:rPr>
                <w:rFonts w:ascii="Arial" w:cs="Arial" w:eastAsia="Arial" w:hAnsi="Arial"/>
                <w:sz w:val="16"/>
                <w:szCs w:val="16"/>
                <w:color w:val="auto"/>
              </w:rPr>
              <w:t>Commercial Paper Program</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CPCN</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Certificate of Public Convenience and Necessity</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CPUC</w:t>
            </w:r>
          </w:p>
        </w:tc>
        <w:tc>
          <w:tcPr>
            <w:tcW w:w="8380" w:type="dxa"/>
            <w:vAlign w:val="bottom"/>
          </w:tcPr>
          <w:p>
            <w:pPr>
              <w:ind w:left="980"/>
              <w:spacing w:after="0"/>
              <w:rPr>
                <w:sz w:val="20"/>
                <w:szCs w:val="20"/>
                <w:color w:val="auto"/>
              </w:rPr>
            </w:pPr>
            <w:r>
              <w:rPr>
                <w:rFonts w:ascii="Arial" w:cs="Arial" w:eastAsia="Arial" w:hAnsi="Arial"/>
                <w:sz w:val="16"/>
                <w:szCs w:val="16"/>
                <w:color w:val="auto"/>
              </w:rPr>
              <w:t>Colorado Public Utilities Commission</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CT</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Combustion Turbine</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Dth</w:t>
            </w:r>
          </w:p>
        </w:tc>
        <w:tc>
          <w:tcPr>
            <w:tcW w:w="8380" w:type="dxa"/>
            <w:vAlign w:val="bottom"/>
          </w:tcPr>
          <w:p>
            <w:pPr>
              <w:ind w:left="9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EPA</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Environmental Protection Agency</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FASB</w:t>
            </w:r>
          </w:p>
        </w:tc>
        <w:tc>
          <w:tcPr>
            <w:tcW w:w="8380" w:type="dxa"/>
            <w:vAlign w:val="bottom"/>
          </w:tcPr>
          <w:p>
            <w:pPr>
              <w:ind w:left="980"/>
              <w:spacing w:after="0"/>
              <w:rPr>
                <w:sz w:val="20"/>
                <w:szCs w:val="20"/>
                <w:color w:val="auto"/>
              </w:rPr>
            </w:pPr>
            <w:r>
              <w:rPr>
                <w:rFonts w:ascii="Arial" w:cs="Arial" w:eastAsia="Arial" w:hAnsi="Arial"/>
                <w:sz w:val="16"/>
                <w:szCs w:val="16"/>
                <w:color w:val="auto"/>
              </w:rPr>
              <w:t>Financial Accounting Standards Board</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Fitch</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Fitch Ratings Inc.</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GAAP</w:t>
            </w:r>
          </w:p>
        </w:tc>
        <w:tc>
          <w:tcPr>
            <w:tcW w:w="8380" w:type="dxa"/>
            <w:vAlign w:val="bottom"/>
          </w:tcPr>
          <w:p>
            <w:pPr>
              <w:ind w:left="9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28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Heating Degree Day</w:t>
            </w:r>
          </w:p>
        </w:tc>
        <w:tc>
          <w:tcPr>
            <w:tcW w:w="8380" w:type="dxa"/>
            <w:vAlign w:val="bottom"/>
            <w:shd w:val="clear" w:color="auto" w:fill="CFF0FC"/>
          </w:tcPr>
          <w:p>
            <w:pPr>
              <w:ind w:left="98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temperatures for a day is below 65 degrees. The colder the climate, the greater the number of heating</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degree days. Heating degree days are used in the utility industry to measure the relative coldness of</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weather and to compare relative temperatures between one geographic area and another. Normal</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degree days are based on the National Weather Service data for selected locations.</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HomeServe</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additional home repair service plans.</w:t>
            </w:r>
          </w:p>
        </w:tc>
      </w:tr>
      <w:tr>
        <w:trPr>
          <w:trHeight w:val="176"/>
        </w:trPr>
        <w:tc>
          <w:tcPr>
            <w:tcW w:w="286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Integrated Generation</w:t>
            </w:r>
          </w:p>
        </w:tc>
        <w:tc>
          <w:tcPr>
            <w:tcW w:w="8380" w:type="dxa"/>
            <w:vAlign w:val="bottom"/>
            <w:shd w:val="clear" w:color="auto" w:fill="CFF0FC"/>
          </w:tcPr>
          <w:p>
            <w:pPr>
              <w:ind w:left="980"/>
              <w:spacing w:after="0" w:line="176"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Iowa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04"/>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IPP</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Independent Power Producer</w:t>
            </w:r>
          </w:p>
        </w:tc>
      </w:tr>
      <w:tr>
        <w:trPr>
          <w:trHeight w:val="202"/>
        </w:trPr>
        <w:tc>
          <w:tcPr>
            <w:tcW w:w="2860" w:type="dxa"/>
            <w:vAlign w:val="bottom"/>
          </w:tcPr>
          <w:p>
            <w:pPr>
              <w:ind w:left="20"/>
              <w:spacing w:after="0"/>
              <w:rPr>
                <w:sz w:val="20"/>
                <w:szCs w:val="20"/>
                <w:color w:val="auto"/>
              </w:rPr>
            </w:pPr>
            <w:r>
              <w:rPr>
                <w:rFonts w:ascii="Arial" w:cs="Arial" w:eastAsia="Arial" w:hAnsi="Arial"/>
                <w:sz w:val="16"/>
                <w:szCs w:val="16"/>
                <w:color w:val="auto"/>
              </w:rPr>
              <w:t>IRS</w:t>
            </w:r>
          </w:p>
        </w:tc>
        <w:tc>
          <w:tcPr>
            <w:tcW w:w="8380" w:type="dxa"/>
            <w:vAlign w:val="bottom"/>
          </w:tcPr>
          <w:p>
            <w:pPr>
              <w:ind w:left="980"/>
              <w:spacing w:after="0"/>
              <w:rPr>
                <w:sz w:val="20"/>
                <w:szCs w:val="20"/>
                <w:color w:val="auto"/>
              </w:rPr>
            </w:pPr>
            <w:r>
              <w:rPr>
                <w:rFonts w:ascii="Arial" w:cs="Arial" w:eastAsia="Arial" w:hAnsi="Arial"/>
                <w:sz w:val="16"/>
                <w:szCs w:val="16"/>
                <w:color w:val="auto"/>
              </w:rPr>
              <w:t>United States Internal Revenue Service</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IUC</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Iowa Utilities Commission</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Kansas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Holdings, providing natural gas services to customers in Kansas (doing business as Black Hills</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Energy).</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MMBtu</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Million British thermal units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Moody's</w:t>
            </w:r>
          </w:p>
        </w:tc>
        <w:tc>
          <w:tcPr>
            <w:tcW w:w="8380" w:type="dxa"/>
            <w:vAlign w:val="bottom"/>
          </w:tcPr>
          <w:p>
            <w:pPr>
              <w:ind w:left="980"/>
              <w:spacing w:after="0"/>
              <w:rPr>
                <w:sz w:val="20"/>
                <w:szCs w:val="20"/>
                <w:color w:val="auto"/>
              </w:rPr>
            </w:pPr>
            <w:r>
              <w:rPr>
                <w:rFonts w:ascii="Arial" w:cs="Arial" w:eastAsia="Arial" w:hAnsi="Arial"/>
                <w:sz w:val="16"/>
                <w:szCs w:val="16"/>
                <w:color w:val="auto"/>
              </w:rPr>
              <w:t>Moody's Investors Service, Inc.</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MW</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Megawatts</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MWh</w:t>
            </w:r>
          </w:p>
        </w:tc>
        <w:tc>
          <w:tcPr>
            <w:tcW w:w="8380" w:type="dxa"/>
            <w:vAlign w:val="bottom"/>
          </w:tcPr>
          <w:p>
            <w:pPr>
              <w:ind w:left="980"/>
              <w:spacing w:after="0"/>
              <w:rPr>
                <w:sz w:val="20"/>
                <w:szCs w:val="20"/>
                <w:color w:val="auto"/>
              </w:rPr>
            </w:pPr>
            <w:r>
              <w:rPr>
                <w:rFonts w:ascii="Arial" w:cs="Arial" w:eastAsia="Arial" w:hAnsi="Arial"/>
                <w:sz w:val="16"/>
                <w:szCs w:val="16"/>
                <w:color w:val="auto"/>
              </w:rPr>
              <w:t>Megawatt-hours</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Not applicable</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Nebraska Gas</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76"/>
        </w:trPr>
        <w:tc>
          <w:tcPr>
            <w:tcW w:w="286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Neil Simpson II</w:t>
            </w:r>
          </w:p>
        </w:tc>
        <w:tc>
          <w:tcPr>
            <w:tcW w:w="8380" w:type="dxa"/>
            <w:vAlign w:val="bottom"/>
            <w:shd w:val="clear" w:color="auto" w:fill="CFF0FC"/>
          </w:tcPr>
          <w:p>
            <w:pPr>
              <w:ind w:left="980"/>
              <w:spacing w:after="0" w:line="176" w:lineRule="exact"/>
              <w:rPr>
                <w:sz w:val="20"/>
                <w:szCs w:val="20"/>
                <w:color w:val="auto"/>
              </w:rPr>
            </w:pPr>
            <w:r>
              <w:rPr>
                <w:rFonts w:ascii="Arial" w:cs="Arial" w:eastAsia="Arial" w:hAnsi="Arial"/>
                <w:sz w:val="16"/>
                <w:szCs w:val="16"/>
                <w:color w:val="auto"/>
              </w:rPr>
              <w:t>A mine-mouth, coal-fired power plant owned and operated by South Dakota Electric with a total</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capacity of 90 MW located at our Gillette Energy Complex.</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color w:val="auto"/>
              </w:rPr>
              <w:t>Northern Iowa Windpower</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Northern Iowa Windpower, LLC, a 87.1 MW wind farm located near Joice, Iowa, previously owned by</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Black Hills Electric Generation. In March 2023, Black Hills Electric Generation completed the sale of</w:t>
            </w:r>
          </w:p>
        </w:tc>
      </w:tr>
      <w:tr>
        <w:trPr>
          <w:trHeight w:val="216"/>
        </w:trPr>
        <w:tc>
          <w:tcPr>
            <w:tcW w:w="2860" w:type="dxa"/>
            <w:vAlign w:val="bottom"/>
          </w:tcPr>
          <w:p>
            <w:pPr>
              <w:spacing w:after="0"/>
              <w:rPr>
                <w:sz w:val="18"/>
                <w:szCs w:val="18"/>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Northern Iowa Windpower assets to a third-party.</w:t>
            </w:r>
          </w:p>
        </w:tc>
      </w:tr>
      <w:tr>
        <w:trPr>
          <w:trHeight w:val="203"/>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OCI</w:t>
            </w: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Other Comprehensive Income</w:t>
            </w:r>
          </w:p>
        </w:tc>
      </w:tr>
      <w:tr>
        <w:trPr>
          <w:trHeight w:val="203"/>
        </w:trPr>
        <w:tc>
          <w:tcPr>
            <w:tcW w:w="2860" w:type="dxa"/>
            <w:vAlign w:val="bottom"/>
          </w:tcPr>
          <w:p>
            <w:pPr>
              <w:ind w:left="20"/>
              <w:spacing w:after="0"/>
              <w:rPr>
                <w:sz w:val="20"/>
                <w:szCs w:val="20"/>
                <w:color w:val="auto"/>
              </w:rPr>
            </w:pPr>
            <w:r>
              <w:rPr>
                <w:rFonts w:ascii="Arial" w:cs="Arial" w:eastAsia="Arial" w:hAnsi="Arial"/>
                <w:sz w:val="16"/>
                <w:szCs w:val="16"/>
                <w:color w:val="auto"/>
              </w:rPr>
              <w:t>PPA</w:t>
            </w:r>
          </w:p>
        </w:tc>
        <w:tc>
          <w:tcPr>
            <w:tcW w:w="8380" w:type="dxa"/>
            <w:vAlign w:val="bottom"/>
          </w:tcPr>
          <w:p>
            <w:pPr>
              <w:ind w:left="980"/>
              <w:spacing w:after="0"/>
              <w:rPr>
                <w:sz w:val="20"/>
                <w:szCs w:val="20"/>
                <w:color w:val="auto"/>
              </w:rPr>
            </w:pPr>
            <w:r>
              <w:rPr>
                <w:rFonts w:ascii="Arial" w:cs="Arial" w:eastAsia="Arial" w:hAnsi="Arial"/>
                <w:sz w:val="16"/>
                <w:szCs w:val="16"/>
                <w:color w:val="auto"/>
              </w:rPr>
              <w:t>Power Purchase Agreement</w:t>
            </w:r>
          </w:p>
        </w:tc>
      </w:tr>
      <w:tr>
        <w:trPr>
          <w:trHeight w:val="175"/>
        </w:trPr>
        <w:tc>
          <w:tcPr>
            <w:tcW w:w="28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Pueblo Airport Generation</w:t>
            </w:r>
          </w:p>
        </w:tc>
        <w:tc>
          <w:tcPr>
            <w:tcW w:w="8380" w:type="dxa"/>
            <w:vAlign w:val="bottom"/>
            <w:shd w:val="clear" w:color="auto" w:fill="CFF0FC"/>
          </w:tcPr>
          <w:p>
            <w:pPr>
              <w:ind w:left="980"/>
              <w:spacing w:after="0" w:line="175" w:lineRule="exact"/>
              <w:rPr>
                <w:sz w:val="20"/>
                <w:szCs w:val="20"/>
                <w:color w:val="auto"/>
              </w:rPr>
            </w:pPr>
            <w:r>
              <w:rPr>
                <w:rFonts w:ascii="Arial" w:cs="Arial" w:eastAsia="Arial" w:hAnsi="Arial"/>
                <w:sz w:val="16"/>
                <w:szCs w:val="16"/>
                <w:color w:val="auto"/>
              </w:rPr>
              <w:t>Pueblo Airport Generating Station located in Pueblo, Colorado includes 440 MW of combined cycle</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gas-fired power generation plants jointly owned by Colorado Electric (240 MW) and Black Hills</w:t>
            </w:r>
          </w:p>
        </w:tc>
      </w:tr>
      <w:tr>
        <w:trPr>
          <w:trHeight w:val="189"/>
        </w:trPr>
        <w:tc>
          <w:tcPr>
            <w:tcW w:w="2860" w:type="dxa"/>
            <w:vAlign w:val="bottom"/>
            <w:shd w:val="clear" w:color="auto" w:fill="CFF0FC"/>
          </w:tcPr>
          <w:p>
            <w:pPr>
              <w:spacing w:after="0"/>
              <w:rPr>
                <w:sz w:val="16"/>
                <w:szCs w:val="16"/>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Colorado IPP (200 MW). Black Hills Colorado IPP owns and operates this facility. The plants</w:t>
            </w:r>
          </w:p>
        </w:tc>
      </w:tr>
      <w:tr>
        <w:trPr>
          <w:trHeight w:val="217"/>
        </w:trPr>
        <w:tc>
          <w:tcPr>
            <w:tcW w:w="2860" w:type="dxa"/>
            <w:vAlign w:val="bottom"/>
            <w:shd w:val="clear" w:color="auto" w:fill="CFF0FC"/>
          </w:tcPr>
          <w:p>
            <w:pPr>
              <w:spacing w:after="0"/>
              <w:rPr>
                <w:sz w:val="18"/>
                <w:szCs w:val="18"/>
                <w:color w:val="auto"/>
              </w:rPr>
            </w:pPr>
          </w:p>
        </w:tc>
        <w:tc>
          <w:tcPr>
            <w:tcW w:w="8380" w:type="dxa"/>
            <w:vAlign w:val="bottom"/>
            <w:shd w:val="clear" w:color="auto" w:fill="CFF0FC"/>
          </w:tcPr>
          <w:p>
            <w:pPr>
              <w:ind w:left="980"/>
              <w:spacing w:after="0"/>
              <w:rPr>
                <w:sz w:val="20"/>
                <w:szCs w:val="20"/>
                <w:color w:val="auto"/>
              </w:rPr>
            </w:pPr>
            <w:r>
              <w:rPr>
                <w:rFonts w:ascii="Arial" w:cs="Arial" w:eastAsia="Arial" w:hAnsi="Arial"/>
                <w:sz w:val="16"/>
                <w:szCs w:val="16"/>
                <w:color w:val="auto"/>
              </w:rPr>
              <w:t>commenced operation on January 1, 2012.</w:t>
            </w:r>
          </w:p>
        </w:tc>
      </w:tr>
      <w:tr>
        <w:trPr>
          <w:trHeight w:val="175"/>
        </w:trPr>
        <w:tc>
          <w:tcPr>
            <w:tcW w:w="286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Ready Wyoming</w:t>
            </w:r>
          </w:p>
        </w:tc>
        <w:tc>
          <w:tcPr>
            <w:tcW w:w="8380" w:type="dxa"/>
            <w:vAlign w:val="bottom"/>
          </w:tcPr>
          <w:p>
            <w:pPr>
              <w:ind w:left="98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expected to serve the growing needs of customers by enhancing resiliency of Wyoming Electric’s</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overall electric system and expanding access to power markets and renewable resources. The project</w:t>
            </w:r>
          </w:p>
        </w:tc>
      </w:tr>
      <w:tr>
        <w:trPr>
          <w:trHeight w:val="189"/>
        </w:trPr>
        <w:tc>
          <w:tcPr>
            <w:tcW w:w="2860" w:type="dxa"/>
            <w:vAlign w:val="bottom"/>
          </w:tcPr>
          <w:p>
            <w:pPr>
              <w:spacing w:after="0"/>
              <w:rPr>
                <w:sz w:val="16"/>
                <w:szCs w:val="16"/>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is expected to help Wyoming Electric maintain top-quartile reliability and enable economic</w:t>
            </w:r>
          </w:p>
        </w:tc>
      </w:tr>
      <w:tr>
        <w:trPr>
          <w:trHeight w:val="203"/>
        </w:trPr>
        <w:tc>
          <w:tcPr>
            <w:tcW w:w="2860" w:type="dxa"/>
            <w:vAlign w:val="bottom"/>
          </w:tcPr>
          <w:p>
            <w:pPr>
              <w:spacing w:after="0"/>
              <w:rPr>
                <w:sz w:val="17"/>
                <w:szCs w:val="17"/>
                <w:color w:val="auto"/>
              </w:rPr>
            </w:pPr>
          </w:p>
        </w:tc>
        <w:tc>
          <w:tcPr>
            <w:tcW w:w="8380" w:type="dxa"/>
            <w:vAlign w:val="bottom"/>
          </w:tcPr>
          <w:p>
            <w:pPr>
              <w:ind w:left="980"/>
              <w:spacing w:after="0"/>
              <w:rPr>
                <w:sz w:val="20"/>
                <w:szCs w:val="20"/>
                <w:color w:val="auto"/>
              </w:rPr>
            </w:pPr>
            <w:r>
              <w:rPr>
                <w:rFonts w:ascii="Arial" w:cs="Arial" w:eastAsia="Arial" w:hAnsi="Arial"/>
                <w:sz w:val="16"/>
                <w:szCs w:val="16"/>
                <w:color w:val="auto"/>
              </w:rPr>
              <w:t>development in the Cheyenne, Wyoming region.</w:t>
            </w:r>
          </w:p>
        </w:tc>
      </w:tr>
      <w:tr>
        <w:trPr>
          <w:trHeight w:val="215"/>
        </w:trPr>
        <w:tc>
          <w:tcPr>
            <w:tcW w:w="2860" w:type="dxa"/>
            <w:vAlign w:val="bottom"/>
          </w:tcPr>
          <w:p>
            <w:pPr>
              <w:spacing w:after="0"/>
              <w:rPr>
                <w:sz w:val="18"/>
                <w:szCs w:val="18"/>
                <w:color w:val="auto"/>
              </w:rPr>
            </w:pPr>
          </w:p>
        </w:tc>
        <w:tc>
          <w:tcPr>
            <w:tcW w:w="8380" w:type="dxa"/>
            <w:vAlign w:val="bottom"/>
          </w:tcPr>
          <w:p>
            <w:pPr>
              <w:ind w:left="2720"/>
              <w:spacing w:after="0"/>
              <w:rPr>
                <w:sz w:val="20"/>
                <w:szCs w:val="20"/>
                <w:color w:val="auto"/>
              </w:rPr>
            </w:pPr>
            <w:r>
              <w:rPr>
                <w:rFonts w:ascii="Arial" w:cs="Arial" w:eastAsia="Arial" w:hAnsi="Arial"/>
                <w:sz w:val="16"/>
                <w:szCs w:val="16"/>
                <w:color w:val="auto"/>
              </w:rPr>
              <w:t>4</w:t>
            </w:r>
          </w:p>
        </w:tc>
      </w:tr>
      <w:tr>
        <w:trPr>
          <w:trHeight w:val="751"/>
        </w:trPr>
        <w:tc>
          <w:tcPr>
            <w:tcW w:w="286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Revolving Credit Facility</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purposes, which was amended on May 31, 2024, and will terminate on May 31, 2029. This facility</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commitment.</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RMNG</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providing natural gas transmission and wholesale services in western Colorado (doing business as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Black Hills Energy).</w:t>
            </w:r>
          </w:p>
        </w:tc>
      </w:tr>
      <w:tr>
        <w:trPr>
          <w:trHeight w:val="203"/>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RNG</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Renewable Natural Gas</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SDPUC</w:t>
            </w:r>
          </w:p>
        </w:tc>
        <w:tc>
          <w:tcPr>
            <w:tcW w:w="8300" w:type="dxa"/>
            <w:vAlign w:val="bottom"/>
          </w:tcPr>
          <w:p>
            <w:pPr>
              <w:ind w:left="900"/>
              <w:spacing w:after="0"/>
              <w:rPr>
                <w:sz w:val="20"/>
                <w:szCs w:val="20"/>
                <w:color w:val="auto"/>
              </w:rPr>
            </w:pPr>
            <w:r>
              <w:rPr>
                <w:rFonts w:ascii="Arial" w:cs="Arial" w:eastAsia="Arial" w:hAnsi="Arial"/>
                <w:sz w:val="16"/>
                <w:szCs w:val="16"/>
                <w:color w:val="auto"/>
              </w:rPr>
              <w:t>South Dakota Public Utilities Commission</w:t>
            </w:r>
          </w:p>
        </w:tc>
      </w:tr>
      <w:tr>
        <w:trPr>
          <w:trHeight w:val="203"/>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Service Guard Comfort Plan</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 agreements to residential utility customers.</w:t>
            </w:r>
          </w:p>
        </w:tc>
      </w:tr>
      <w:tr>
        <w:trPr>
          <w:trHeight w:val="204"/>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S&amp;P Global Ratings, a division of S&amp;P Global Inc.</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SOFR</w:t>
            </w:r>
          </w:p>
        </w:tc>
        <w:tc>
          <w:tcPr>
            <w:tcW w:w="8300" w:type="dxa"/>
            <w:vAlign w:val="bottom"/>
          </w:tcPr>
          <w:p>
            <w:pPr>
              <w:ind w:left="900"/>
              <w:spacing w:after="0"/>
              <w:rPr>
                <w:sz w:val="20"/>
                <w:szCs w:val="20"/>
                <w:color w:val="auto"/>
              </w:rPr>
            </w:pPr>
            <w:r>
              <w:rPr>
                <w:rFonts w:ascii="Arial" w:cs="Arial" w:eastAsia="Arial" w:hAnsi="Arial"/>
                <w:sz w:val="16"/>
                <w:szCs w:val="16"/>
                <w:color w:val="auto"/>
              </w:rPr>
              <w:t>Secured Overnight Financing Rate</w:t>
            </w:r>
          </w:p>
        </w:tc>
      </w:tr>
      <w:tr>
        <w:trPr>
          <w:trHeight w:val="175"/>
        </w:trPr>
        <w:tc>
          <w:tcPr>
            <w:tcW w:w="294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South Dakota Electric</w:t>
            </w:r>
          </w:p>
        </w:tc>
        <w:tc>
          <w:tcPr>
            <w:tcW w:w="8300" w:type="dxa"/>
            <w:vAlign w:val="bottom"/>
            <w:shd w:val="clear" w:color="auto" w:fill="CFF0FC"/>
          </w:tcPr>
          <w:p>
            <w:pPr>
              <w:ind w:left="90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Tech Services</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customers throughout its service territory by constructing and maintaining customer-owned gas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infrastructure facilities, typically through one-time contracts.</w:t>
            </w:r>
          </w:p>
        </w:tc>
      </w:tr>
      <w:tr>
        <w:trPr>
          <w:trHeight w:val="203"/>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Utilities</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Wind Capacity Factor</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maximum potential.</w:t>
            </w:r>
          </w:p>
        </w:tc>
      </w:tr>
      <w:tr>
        <w:trPr>
          <w:trHeight w:val="176"/>
        </w:trPr>
        <w:tc>
          <w:tcPr>
            <w:tcW w:w="294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Winter Storm Uri</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February 2021 winter weather event that caused extreme cold temperatures in the central United</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States and led to unprecedented fluctuations in customer demand and market pricing for natural gas</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and energy.</w:t>
            </w:r>
          </w:p>
        </w:tc>
      </w:tr>
      <w:tr>
        <w:trPr>
          <w:trHeight w:val="203"/>
        </w:trPr>
        <w:tc>
          <w:tcPr>
            <w:tcW w:w="2940" w:type="dxa"/>
            <w:vAlign w:val="bottom"/>
          </w:tcPr>
          <w:p>
            <w:pPr>
              <w:ind w:left="20"/>
              <w:spacing w:after="0"/>
              <w:rPr>
                <w:sz w:val="20"/>
                <w:szCs w:val="20"/>
                <w:color w:val="auto"/>
              </w:rPr>
            </w:pPr>
            <w:r>
              <w:rPr>
                <w:rFonts w:ascii="Arial" w:cs="Arial" w:eastAsia="Arial" w:hAnsi="Arial"/>
                <w:sz w:val="16"/>
                <w:szCs w:val="16"/>
                <w:color w:val="auto"/>
              </w:rPr>
              <w:t>WPSC</w:t>
            </w:r>
          </w:p>
        </w:tc>
        <w:tc>
          <w:tcPr>
            <w:tcW w:w="8300" w:type="dxa"/>
            <w:vAlign w:val="bottom"/>
          </w:tcPr>
          <w:p>
            <w:pPr>
              <w:ind w:left="90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94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WRDC</w:t>
            </w:r>
          </w:p>
        </w:tc>
        <w:tc>
          <w:tcPr>
            <w:tcW w:w="8300" w:type="dxa"/>
            <w:vAlign w:val="bottom"/>
            <w:shd w:val="clear" w:color="auto" w:fill="CFF0FC"/>
          </w:tcPr>
          <w:p>
            <w:pPr>
              <w:ind w:left="90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Black Hills Non-regulated Holdings, providing coal supply primarily to five on-site, mine-mouth</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generating facilities at our Gillette Energy Complex (doing business as Black Hills Energy).</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Wygen I</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A mine-mouth, coal-fired generating facility with a total capacity of 90 MW located at our Gillette</w:t>
            </w:r>
          </w:p>
        </w:tc>
      </w:tr>
      <w:tr>
        <w:trPr>
          <w:trHeight w:val="189"/>
        </w:trPr>
        <w:tc>
          <w:tcPr>
            <w:tcW w:w="294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Energy Complex. Black Hills Wyoming owns 76.5% of the facility and Municipal Energy Agency of</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Nebraska (MEAN) owns the remaining 23.5%.</w:t>
            </w:r>
          </w:p>
        </w:tc>
      </w:tr>
      <w:tr>
        <w:trPr>
          <w:trHeight w:val="176"/>
        </w:trPr>
        <w:tc>
          <w:tcPr>
            <w:tcW w:w="294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Wyoming Electric</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Cheyenne Light, Fuel and Power Company, a direct, wholly-owned subsidiary of Black Hills</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Corporation, providing electric service to customers in the Cheyenne, Wyoming area (doing business</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as Black Hills Energy).</w:t>
            </w:r>
          </w:p>
        </w:tc>
      </w:tr>
      <w:tr>
        <w:trPr>
          <w:trHeight w:val="175"/>
        </w:trPr>
        <w:tc>
          <w:tcPr>
            <w:tcW w:w="2940" w:type="dxa"/>
            <w:vAlign w:val="bottom"/>
          </w:tcPr>
          <w:p>
            <w:pPr>
              <w:ind w:left="20"/>
              <w:spacing w:after="0" w:line="175" w:lineRule="exact"/>
              <w:rPr>
                <w:sz w:val="20"/>
                <w:szCs w:val="20"/>
                <w:color w:val="auto"/>
              </w:rPr>
            </w:pPr>
            <w:r>
              <w:rPr>
                <w:rFonts w:ascii="Arial" w:cs="Arial" w:eastAsia="Arial" w:hAnsi="Arial"/>
                <w:sz w:val="16"/>
                <w:szCs w:val="16"/>
                <w:color w:val="auto"/>
              </w:rPr>
              <w:t>Wyoming Gas</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16"/>
        </w:trPr>
        <w:tc>
          <w:tcPr>
            <w:tcW w:w="294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176"/>
        </w:trPr>
        <w:tc>
          <w:tcPr>
            <w:tcW w:w="294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Wyoming Integrity Rider</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The Wyoming Integrity Rider (WIR) is a WPSC-approved tariff that allows us to recover costs from</w:t>
            </w:r>
          </w:p>
        </w:tc>
      </w:tr>
      <w:tr>
        <w:trPr>
          <w:trHeight w:val="189"/>
        </w:trPr>
        <w:tc>
          <w:tcPr>
            <w:tcW w:w="294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customers associated with ongoing infrastructure replacement, gas meter and yard line replacement</w:t>
            </w:r>
          </w:p>
        </w:tc>
      </w:tr>
      <w:tr>
        <w:trPr>
          <w:trHeight w:val="217"/>
        </w:trPr>
        <w:tc>
          <w:tcPr>
            <w:tcW w:w="294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projects driven by federal regulation.</w:t>
            </w:r>
          </w:p>
        </w:tc>
      </w:tr>
      <w:tr>
        <w:trPr>
          <w:trHeight w:val="215"/>
        </w:trPr>
        <w:tc>
          <w:tcPr>
            <w:tcW w:w="2940" w:type="dxa"/>
            <w:vAlign w:val="bottom"/>
          </w:tcPr>
          <w:p>
            <w:pPr>
              <w:spacing w:after="0"/>
              <w:rPr>
                <w:sz w:val="18"/>
                <w:szCs w:val="18"/>
                <w:color w:val="auto"/>
              </w:rPr>
            </w:pPr>
          </w:p>
        </w:tc>
        <w:tc>
          <w:tcPr>
            <w:tcW w:w="8300" w:type="dxa"/>
            <w:vAlign w:val="bottom"/>
          </w:tcPr>
          <w:p>
            <w:pPr>
              <w:ind w:left="2640"/>
              <w:spacing w:after="0"/>
              <w:rPr>
                <w:sz w:val="20"/>
                <w:szCs w:val="20"/>
                <w:color w:val="auto"/>
              </w:rPr>
            </w:pPr>
            <w:r>
              <w:rPr>
                <w:rFonts w:ascii="Arial" w:cs="Arial" w:eastAsia="Arial" w:hAnsi="Arial"/>
                <w:sz w:val="16"/>
                <w:szCs w:val="16"/>
                <w:color w:val="auto"/>
              </w:rPr>
              <w:t>5</w:t>
            </w:r>
          </w:p>
        </w:tc>
      </w:tr>
      <w:tr>
        <w:trPr>
          <w:trHeight w:val="737"/>
        </w:trPr>
        <w:tc>
          <w:tcPr>
            <w:tcW w:w="29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2023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Board of Directors’ approval of any future quarterly dividends;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and volatile energy prices;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 and</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386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94"/>
        </w:trPr>
        <w:tc>
          <w:tcPr>
            <w:tcW w:w="10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gridSpan w:val="2"/>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8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BLACK HILLS CORPORATION</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920" w:type="dxa"/>
            <w:vAlign w:val="bottom"/>
            <w:gridSpan w:val="4"/>
          </w:tcPr>
          <w:p>
            <w:pPr>
              <w:jc w:val="center"/>
              <w:ind w:right="319"/>
              <w:spacing w:after="0"/>
              <w:rPr>
                <w:sz w:val="20"/>
                <w:szCs w:val="20"/>
                <w:color w:val="auto"/>
              </w:rPr>
            </w:pPr>
            <w:r>
              <w:rPr>
                <w:rFonts w:ascii="Arial" w:cs="Arial" w:eastAsia="Arial" w:hAnsi="Arial"/>
                <w:sz w:val="16"/>
                <w:szCs w:val="16"/>
                <w:b w:val="1"/>
                <w:bCs w:val="1"/>
                <w:color w:val="auto"/>
                <w:w w:val="99"/>
              </w:rPr>
              <w:t>CONSOLIDATED STATEMENTS OF INCOME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71"/>
        </w:trPr>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8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(unaudited)</w:t>
            </w: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9"/>
              </w:rPr>
              <w:t>June 30,</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217"/>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18"/>
                <w:szCs w:val="18"/>
                <w:color w:val="auto"/>
              </w:rPr>
            </w:pPr>
          </w:p>
        </w:tc>
        <w:tc>
          <w:tcPr>
            <w:tcW w:w="10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09"/>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color w:val="auto"/>
              </w:rPr>
              <w:t>(in millions, except per share amounts)</w:t>
            </w: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7"/>
        </w:trPr>
        <w:tc>
          <w:tcPr>
            <w:tcW w:w="1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tcBorders>
              <w:right w:val="single" w:sz="8" w:color="CFF0FC"/>
            </w:tcBorders>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402.6</w:t>
            </w:r>
          </w:p>
        </w:tc>
        <w:tc>
          <w:tcPr>
            <w:tcW w:w="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411.3</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1,129.0</w:t>
            </w:r>
          </w:p>
        </w:tc>
        <w:tc>
          <w:tcPr>
            <w:tcW w:w="4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1,332.4</w:t>
            </w:r>
          </w:p>
        </w:tc>
      </w:tr>
      <w:tr>
        <w:trPr>
          <w:trHeight w:val="210"/>
        </w:trPr>
        <w:tc>
          <w:tcPr>
            <w:tcW w:w="1380" w:type="dxa"/>
            <w:vAlign w:val="bottom"/>
            <w:tcBorders>
              <w:top w:val="single" w:sz="8" w:color="CFF0FC"/>
            </w:tcBorders>
            <w:gridSpan w:val="2"/>
          </w:tcPr>
          <w:p>
            <w:pPr>
              <w:spacing w:after="0"/>
              <w:rPr>
                <w:sz w:val="18"/>
                <w:szCs w:val="18"/>
                <w:color w:val="auto"/>
              </w:rPr>
            </w:pPr>
          </w:p>
        </w:tc>
        <w:tc>
          <w:tcPr>
            <w:tcW w:w="248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6"/>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121.3</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423.7</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647.5</w:t>
            </w:r>
          </w:p>
        </w:tc>
      </w:tr>
      <w:tr>
        <w:trPr>
          <w:trHeight w:val="217"/>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141.7</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145.8</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275.2</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286.7</w:t>
            </w: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126.4</w:t>
            </w:r>
          </w:p>
        </w:tc>
      </w:tr>
      <w:tr>
        <w:trPr>
          <w:trHeight w:val="217"/>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16.6</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16.0</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33.6</w:t>
            </w: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33.4</w:t>
            </w:r>
          </w:p>
        </w:tc>
      </w:tr>
      <w:tr>
        <w:trPr>
          <w:trHeight w:val="209"/>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operating expenses</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332.0</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347.8</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865.0</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1,094.0</w:t>
            </w:r>
          </w:p>
        </w:tc>
      </w:tr>
      <w:tr>
        <w:trPr>
          <w:trHeight w:val="217"/>
        </w:trPr>
        <w:tc>
          <w:tcPr>
            <w:tcW w:w="1380" w:type="dxa"/>
            <w:vAlign w:val="bottom"/>
            <w:tcBorders>
              <w:right w:val="single" w:sz="8" w:color="CFF0FC"/>
            </w:tcBorders>
            <w:gridSpan w:val="2"/>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238.4</w:t>
            </w:r>
          </w:p>
        </w:tc>
      </w:tr>
      <w:tr>
        <w:trPr>
          <w:trHeight w:val="217"/>
        </w:trPr>
        <w:tc>
          <w:tcPr>
            <w:tcW w:w="1380" w:type="dxa"/>
            <w:vAlign w:val="bottom"/>
            <w:tcBorders>
              <w:right w:val="single" w:sz="8" w:color="CFF0FC"/>
            </w:tcBorders>
            <w:gridSpan w:val="2"/>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Other income (expense):</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(48.2 )</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(43.3 )</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(94.2 )</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(87.3 )</w:t>
            </w: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217"/>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(0.9 )</w:t>
            </w:r>
          </w:p>
        </w:tc>
      </w:tr>
      <w:tr>
        <w:trPr>
          <w:trHeight w:val="210"/>
        </w:trPr>
        <w:tc>
          <w:tcPr>
            <w:tcW w:w="3860" w:type="dxa"/>
            <w:vAlign w:val="bottom"/>
            <w:gridSpan w:val="3"/>
          </w:tcPr>
          <w:p>
            <w:pPr>
              <w:ind w:left="200"/>
              <w:spacing w:after="0"/>
              <w:rPr>
                <w:sz w:val="20"/>
                <w:szCs w:val="20"/>
                <w:color w:val="auto"/>
              </w:rPr>
            </w:pPr>
            <w:r>
              <w:rPr>
                <w:rFonts w:ascii="Arial" w:cs="Arial" w:eastAsia="Arial" w:hAnsi="Arial"/>
                <w:sz w:val="16"/>
                <w:szCs w:val="16"/>
                <w:color w:val="auto"/>
              </w:rPr>
              <w:t>Total other income (expense)</w:t>
            </w:r>
          </w:p>
        </w:tc>
        <w:tc>
          <w:tcPr>
            <w:tcW w:w="15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(42.2 )</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(43.0 )</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(85.9 )</w:t>
            </w:r>
          </w:p>
        </w:tc>
      </w:tr>
      <w:tr>
        <w:trPr>
          <w:trHeight w:val="210"/>
        </w:trPr>
        <w:tc>
          <w:tcPr>
            <w:tcW w:w="1380" w:type="dxa"/>
            <w:vAlign w:val="bottom"/>
            <w:tcBorders>
              <w:right w:val="single" w:sz="8" w:color="CFF0FC"/>
            </w:tcBorders>
            <w:gridSpan w:val="2"/>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176.8</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152.5</w:t>
            </w:r>
          </w:p>
        </w:tc>
      </w:tr>
      <w:tr>
        <w:trPr>
          <w:trHeight w:val="217"/>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1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(20.6 )</w:t>
            </w: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(8.6 )</w:t>
            </w:r>
          </w:p>
        </w:tc>
      </w:tr>
      <w:tr>
        <w:trPr>
          <w:trHeight w:val="209"/>
        </w:trPr>
        <w:tc>
          <w:tcPr>
            <w:tcW w:w="10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9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3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4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143.9</w:t>
            </w:r>
          </w:p>
        </w:tc>
      </w:tr>
      <w:tr>
        <w:trPr>
          <w:trHeight w:val="217"/>
        </w:trPr>
        <w:tc>
          <w:tcPr>
            <w:tcW w:w="38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(5.6 )</w:t>
            </w:r>
          </w:p>
        </w:tc>
        <w:tc>
          <w:tcPr>
            <w:tcW w:w="4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(6.8 )</w:t>
            </w:r>
          </w:p>
        </w:tc>
      </w:tr>
      <w:tr>
        <w:trPr>
          <w:trHeight w:val="210"/>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Net income available for common stock</w:t>
            </w:r>
          </w:p>
        </w:tc>
        <w:tc>
          <w:tcPr>
            <w:tcW w:w="244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940" w:type="dxa"/>
            <w:vAlign w:val="bottom"/>
          </w:tcPr>
          <w:p>
            <w:pPr>
              <w:ind w:lef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137.1</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380" w:type="dxa"/>
            <w:vAlign w:val="bottom"/>
            <w:tcBorders>
              <w:right w:val="single" w:sz="8" w:color="CFF0FC"/>
            </w:tcBorders>
            <w:gridSpan w:val="2"/>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Earnings per share of common stock:</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38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15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0.33</w:t>
            </w:r>
          </w:p>
        </w:tc>
        <w:tc>
          <w:tcPr>
            <w:tcW w:w="9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2.20</w:t>
            </w:r>
          </w:p>
        </w:tc>
        <w:tc>
          <w:tcPr>
            <w:tcW w:w="4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2.07</w:t>
            </w:r>
          </w:p>
        </w:tc>
      </w:tr>
      <w:tr>
        <w:trPr>
          <w:trHeight w:val="196"/>
        </w:trPr>
        <w:tc>
          <w:tcPr>
            <w:tcW w:w="3860" w:type="dxa"/>
            <w:vAlign w:val="bottom"/>
            <w:gridSpan w:val="3"/>
          </w:tcPr>
          <w:p>
            <w:pPr>
              <w:ind w:left="120"/>
              <w:spacing w:after="0"/>
              <w:rPr>
                <w:sz w:val="20"/>
                <w:szCs w:val="20"/>
                <w:color w:val="auto"/>
              </w:rPr>
            </w:pPr>
            <w:r>
              <w:rPr>
                <w:rFonts w:ascii="Arial" w:cs="Arial" w:eastAsia="Arial" w:hAnsi="Arial"/>
                <w:sz w:val="16"/>
                <w:szCs w:val="16"/>
                <w:color w:val="auto"/>
              </w:rPr>
              <w:t>Earnings per share, Diluted</w:t>
            </w:r>
          </w:p>
        </w:tc>
        <w:tc>
          <w:tcPr>
            <w:tcW w:w="244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940" w:type="dxa"/>
            <w:vAlign w:val="bottom"/>
          </w:tcPr>
          <w:p>
            <w:pPr>
              <w:ind w:left="6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2.06</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380" w:type="dxa"/>
            <w:vAlign w:val="bottom"/>
            <w:tcBorders>
              <w:right w:val="single" w:sz="8" w:color="CFF0FC"/>
            </w:tcBorders>
            <w:gridSpan w:val="2"/>
            <w:shd w:val="clear" w:color="auto" w:fill="CFF0FC"/>
          </w:tcPr>
          <w:p>
            <w:pPr>
              <w:spacing w:after="0"/>
              <w:rPr>
                <w:sz w:val="17"/>
                <w:szCs w:val="17"/>
                <w:color w:val="auto"/>
              </w:rPr>
            </w:pPr>
          </w:p>
        </w:tc>
        <w:tc>
          <w:tcPr>
            <w:tcW w:w="24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5"/>
        </w:trPr>
        <w:tc>
          <w:tcPr>
            <w:tcW w:w="3860" w:type="dxa"/>
            <w:vAlign w:val="bottom"/>
            <w:gridSpan w:val="3"/>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1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FF0FC"/>
              <w:right w:val="single" w:sz="8" w:color="CFF0FC"/>
            </w:tcBorders>
            <w:shd w:val="clear" w:color="auto" w:fill="CFF0FC"/>
          </w:tcPr>
          <w:p>
            <w:pPr>
              <w:spacing w:after="0"/>
              <w:rPr>
                <w:sz w:val="22"/>
                <w:szCs w:val="22"/>
                <w:color w:val="auto"/>
              </w:rPr>
            </w:pPr>
          </w:p>
        </w:tc>
        <w:tc>
          <w:tcPr>
            <w:tcW w:w="248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69.0</w:t>
            </w:r>
          </w:p>
        </w:tc>
        <w:tc>
          <w:tcPr>
            <w:tcW w:w="9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66.6</w:t>
            </w: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68.6</w:t>
            </w:r>
          </w:p>
        </w:tc>
        <w:tc>
          <w:tcPr>
            <w:tcW w:w="4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66.3</w:t>
            </w:r>
          </w:p>
        </w:tc>
      </w:tr>
      <w:tr>
        <w:trPr>
          <w:trHeight w:val="197"/>
        </w:trPr>
        <w:tc>
          <w:tcPr>
            <w:tcW w:w="10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69.0</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66.7</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63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57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BLACK HILLS CORPORATION</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94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3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780" w:type="dxa"/>
            <w:vAlign w:val="bottom"/>
          </w:tcPr>
          <w:p>
            <w:pPr>
              <w:spacing w:after="0"/>
              <w:rPr>
                <w:sz w:val="18"/>
                <w:szCs w:val="18"/>
                <w:color w:val="auto"/>
              </w:rPr>
            </w:pPr>
          </w:p>
        </w:tc>
        <w:tc>
          <w:tcPr>
            <w:tcW w:w="1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8"/>
              </w:rPr>
              <w:t>(in millions)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24.7</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26.6</w:t>
            </w:r>
          </w:p>
        </w:tc>
        <w:tc>
          <w:tcPr>
            <w:tcW w:w="3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156.2</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adjustments of benefit plan liability - net loss</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(net of tax of $0.0, $0.0, $0.0, and $0.0, respectively)</w:t>
            </w:r>
          </w:p>
        </w:tc>
        <w:tc>
          <w:tcPr>
            <w:tcW w:w="78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swaps (net of tax of $(0.2), $(0.2), $(0.3), and $(0.3), respectively)</w:t>
            </w:r>
          </w:p>
        </w:tc>
        <w:tc>
          <w:tcPr>
            <w:tcW w:w="78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76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unrealized gains (losses) on commodity derivatives</w:t>
            </w: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(net of tax of $0.0, $0.0, $0.0, and $0.2, respectively)</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88"/>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w:t>
            </w:r>
          </w:p>
        </w:tc>
        <w:tc>
          <w:tcPr>
            <w:tcW w:w="780" w:type="dxa"/>
            <w:vAlign w:val="bottom"/>
          </w:tcPr>
          <w:p>
            <w:pPr>
              <w:spacing w:after="0"/>
              <w:rPr>
                <w:sz w:val="16"/>
                <w:szCs w:val="16"/>
                <w:color w:val="auto"/>
              </w:rPr>
            </w:pPr>
          </w:p>
        </w:tc>
        <w:tc>
          <w:tcPr>
            <w:tcW w:w="460" w:type="dxa"/>
            <w:vAlign w:val="bottom"/>
            <w:vMerge w:val="restart"/>
          </w:tcPr>
          <w:p>
            <w:pPr>
              <w:jc w:val="right"/>
              <w:ind w:right="39"/>
              <w:spacing w:after="0"/>
              <w:rPr>
                <w:sz w:val="20"/>
                <w:szCs w:val="20"/>
                <w:color w:val="auto"/>
              </w:rPr>
            </w:pPr>
            <w:r>
              <w:rPr>
                <w:rFonts w:ascii="Arial" w:cs="Arial" w:eastAsia="Arial" w:hAnsi="Arial"/>
                <w:sz w:val="16"/>
                <w:szCs w:val="16"/>
                <w:color w:val="auto"/>
              </w:rPr>
              <w:t>0.4</w:t>
            </w:r>
          </w:p>
        </w:tc>
        <w:tc>
          <w:tcPr>
            <w:tcW w:w="760" w:type="dxa"/>
            <w:vAlign w:val="bottom"/>
          </w:tcPr>
          <w:p>
            <w:pPr>
              <w:spacing w:after="0"/>
              <w:rPr>
                <w:sz w:val="16"/>
                <w:szCs w:val="16"/>
                <w:color w:val="auto"/>
              </w:rPr>
            </w:pP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0.4</w:t>
            </w:r>
          </w:p>
        </w:tc>
        <w:tc>
          <w:tcPr>
            <w:tcW w:w="380" w:type="dxa"/>
            <w:vAlign w:val="bottom"/>
          </w:tcPr>
          <w:p>
            <w:pPr>
              <w:spacing w:after="0"/>
              <w:rPr>
                <w:sz w:val="16"/>
                <w:szCs w:val="16"/>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6"/>
                <w:szCs w:val="16"/>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6300" w:type="dxa"/>
            <w:vAlign w:val="bottom"/>
            <w:gridSpan w:val="2"/>
          </w:tcPr>
          <w:p>
            <w:pPr>
              <w:ind w:left="380"/>
              <w:spacing w:after="0"/>
              <w:rPr>
                <w:sz w:val="20"/>
                <w:szCs w:val="20"/>
                <w:color w:val="auto"/>
              </w:rPr>
            </w:pPr>
            <w:r>
              <w:rPr>
                <w:rFonts w:ascii="Arial" w:cs="Arial" w:eastAsia="Arial" w:hAnsi="Arial"/>
                <w:sz w:val="16"/>
                <w:szCs w:val="16"/>
                <w:color w:val="auto"/>
              </w:rPr>
              <w:t>(net of tax of $(0.1), $(0.2), $(0.8), and $(0.6), respectively)</w:t>
            </w: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net of tax</w:t>
            </w: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c>
          <w:tcPr>
            <w:tcW w:w="7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25.7</w:t>
            </w: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27.6</w:t>
            </w: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159.7</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5"/>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w:t>
            </w:r>
          </w:p>
        </w:tc>
        <w:tc>
          <w:tcPr>
            <w:tcW w:w="76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24.1</w:t>
            </w:r>
          </w:p>
        </w:tc>
        <w:tc>
          <w:tcPr>
            <w:tcW w:w="3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154.1</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rPr>
              <w:t>BLACK HILLS CORPORATION</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40" w:type="dxa"/>
            <w:vAlign w:val="bottom"/>
            <w:gridSpan w:val="2"/>
          </w:tcPr>
          <w:p>
            <w:pPr>
              <w:jc w:val="right"/>
              <w:ind w:right="679"/>
              <w:spacing w:after="0"/>
              <w:rPr>
                <w:sz w:val="20"/>
                <w:szCs w:val="20"/>
                <w:color w:val="auto"/>
              </w:rPr>
            </w:pPr>
            <w:r>
              <w:rPr>
                <w:rFonts w:ascii="Arial" w:cs="Arial" w:eastAsia="Arial" w:hAnsi="Arial"/>
                <w:sz w:val="16"/>
                <w:szCs w:val="16"/>
                <w:b w:val="1"/>
                <w:bCs w:val="1"/>
                <w:color w:val="auto"/>
              </w:rPr>
              <w:t>CONSOLIDATED BALANCE SHEETS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200" w:type="dxa"/>
            <w:vAlign w:val="bottom"/>
          </w:tcPr>
          <w:p>
            <w:pPr>
              <w:spacing w:after="0"/>
              <w:rPr>
                <w:sz w:val="24"/>
                <w:szCs w:val="2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2024</w:t>
            </w:r>
          </w:p>
        </w:tc>
        <w:tc>
          <w:tcPr>
            <w:tcW w:w="12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Arial" w:cs="Arial" w:eastAsia="Arial" w:hAnsi="Arial"/>
                <w:sz w:val="16"/>
                <w:szCs w:val="16"/>
                <w:b w:val="1"/>
                <w:bCs w:val="1"/>
                <w:color w:val="auto"/>
              </w:rPr>
              <w:t>ASSETS</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4040" w:type="dxa"/>
            <w:vAlign w:val="bottom"/>
            <w:gridSpan w:val="2"/>
          </w:tcPr>
          <w:p>
            <w:pPr>
              <w:jc w:val="right"/>
              <w:ind w:right="16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624.8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Restricted cash and equivalents</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Accounts receivable, net</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221.5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134.8</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Income tax receivable, net</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current</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Other current assets</w:t>
            </w:r>
          </w:p>
        </w:tc>
        <w:tc>
          <w:tcPr>
            <w:tcW w:w="220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1,173.6</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826.6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9,238.1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8,917.2</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Less: accumulated depreciation</w:t>
            </w:r>
          </w:p>
        </w:tc>
        <w:tc>
          <w:tcPr>
            <w:tcW w:w="220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(1,882.6 )</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(1,797.9 )</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220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7,355.5</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7,119.3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Goodwill</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Regulatory assets, non-current</w:t>
            </w:r>
          </w:p>
        </w:tc>
        <w:tc>
          <w:tcPr>
            <w:tcW w:w="2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281.9</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304.4</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assets, non-current</w:t>
            </w:r>
          </w:p>
        </w:tc>
        <w:tc>
          <w:tcPr>
            <w:tcW w:w="220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67.3</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0"/>
        </w:trPr>
        <w:tc>
          <w:tcPr>
            <w:tcW w:w="3760" w:type="dxa"/>
            <w:vAlign w:val="bottom"/>
            <w:gridSpan w:val="2"/>
          </w:tcPr>
          <w:p>
            <w:pPr>
              <w:ind w:left="380"/>
              <w:spacing w:after="0"/>
              <w:rPr>
                <w:sz w:val="20"/>
                <w:szCs w:val="20"/>
                <w:color w:val="auto"/>
              </w:rPr>
            </w:pPr>
            <w:r>
              <w:rPr>
                <w:rFonts w:ascii="Arial" w:cs="Arial" w:eastAsia="Arial" w:hAnsi="Arial"/>
                <w:sz w:val="16"/>
                <w:szCs w:val="16"/>
                <w:color w:val="auto"/>
              </w:rPr>
              <w:t>Total other assets, non-current</w:t>
            </w:r>
          </w:p>
        </w:tc>
        <w:tc>
          <w:tcPr>
            <w:tcW w:w="220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1,656.8</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1,674.5</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4040" w:type="dxa"/>
            <w:vAlign w:val="bottom"/>
            <w:gridSpan w:val="2"/>
          </w:tcPr>
          <w:p>
            <w:pPr>
              <w:jc w:val="right"/>
              <w:ind w:right="16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10,185.9</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700" w:type="dxa"/>
            <w:vAlign w:val="bottom"/>
            <w:gridSpan w:val="2"/>
          </w:tcPr>
          <w:p>
            <w:pPr>
              <w:jc w:val="center"/>
              <w:ind w:right="579"/>
              <w:spacing w:after="0"/>
              <w:rPr>
                <w:sz w:val="20"/>
                <w:szCs w:val="20"/>
                <w:color w:val="auto"/>
              </w:rPr>
            </w:pPr>
            <w:r>
              <w:rPr>
                <w:rFonts w:ascii="Arial" w:cs="Arial" w:eastAsia="Arial" w:hAnsi="Arial"/>
                <w:sz w:val="16"/>
                <w:szCs w:val="16"/>
                <w:b w:val="1"/>
                <w:bCs w:val="1"/>
                <w:color w:val="auto"/>
              </w:rPr>
              <w:t>BLACK HILLS CORPORATION</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700" w:type="dxa"/>
            <w:vAlign w:val="bottom"/>
            <w:gridSpan w:val="2"/>
          </w:tcPr>
          <w:p>
            <w:pPr>
              <w:jc w:val="center"/>
              <w:ind w:right="559"/>
              <w:spacing w:after="0"/>
              <w:rPr>
                <w:sz w:val="20"/>
                <w:szCs w:val="20"/>
                <w:color w:val="auto"/>
              </w:rPr>
            </w:pPr>
            <w:r>
              <w:rPr>
                <w:rFonts w:ascii="Arial" w:cs="Arial" w:eastAsia="Arial" w:hAnsi="Arial"/>
                <w:sz w:val="16"/>
                <w:szCs w:val="16"/>
                <w:b w:val="1"/>
                <w:bCs w:val="1"/>
                <w:color w:val="auto"/>
              </w:rPr>
              <w:t>CONSOLIDATED BALANCE SHEETS</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00" w:type="dxa"/>
            <w:vAlign w:val="bottom"/>
            <w:gridSpan w:val="2"/>
          </w:tcPr>
          <w:p>
            <w:pPr>
              <w:jc w:val="center"/>
              <w:ind w:right="579"/>
              <w:spacing w:after="0"/>
              <w:rPr>
                <w:sz w:val="20"/>
                <w:szCs w:val="20"/>
                <w:color w:val="auto"/>
              </w:rPr>
            </w:pPr>
            <w:r>
              <w:rPr>
                <w:rFonts w:ascii="Arial" w:cs="Arial" w:eastAsia="Arial" w:hAnsi="Arial"/>
                <w:sz w:val="16"/>
                <w:szCs w:val="16"/>
                <w:b w:val="1"/>
                <w:bCs w:val="1"/>
                <w:color w:val="auto"/>
              </w:rPr>
              <w:t>(Continued)</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860" w:type="dxa"/>
            <w:vAlign w:val="bottom"/>
          </w:tcPr>
          <w:p>
            <w:pPr>
              <w:spacing w:after="0"/>
              <w:rPr>
                <w:sz w:val="24"/>
                <w:szCs w:val="2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2024</w:t>
            </w:r>
          </w:p>
        </w:tc>
        <w:tc>
          <w:tcPr>
            <w:tcW w:w="12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ind w:left="640"/>
              <w:spacing w:after="0"/>
              <w:rPr>
                <w:sz w:val="20"/>
                <w:szCs w:val="20"/>
                <w:color w:val="auto"/>
              </w:rPr>
            </w:pPr>
            <w:r>
              <w:rPr>
                <w:rFonts w:ascii="Arial" w:cs="Arial" w:eastAsia="Arial" w:hAnsi="Arial"/>
                <w:sz w:val="16"/>
                <w:szCs w:val="16"/>
                <w:b w:val="1"/>
                <w:bCs w:val="1"/>
                <w:color w:val="auto"/>
              </w:rPr>
              <w:t>LIABILITIES AND EQUITY</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700" w:type="dxa"/>
            <w:vAlign w:val="bottom"/>
            <w:gridSpan w:val="2"/>
          </w:tcPr>
          <w:p>
            <w:pPr>
              <w:jc w:val="right"/>
              <w:ind w:right="16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155.2</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259.6</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Derivative liabilities, current</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current</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90.3</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Notes payable</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Current maturities of long-term debt</w:t>
            </w:r>
          </w:p>
        </w:tc>
        <w:tc>
          <w:tcPr>
            <w:tcW w:w="18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current liabilities</w:t>
            </w:r>
          </w:p>
        </w:tc>
        <w:tc>
          <w:tcPr>
            <w:tcW w:w="186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1,106.8</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1,185.1</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6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4,247.1</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3,801.2</w:t>
            </w:r>
          </w:p>
        </w:tc>
        <w:tc>
          <w:tcPr>
            <w:tcW w:w="0" w:type="dxa"/>
            <w:vAlign w:val="bottom"/>
          </w:tcPr>
          <w:p>
            <w:pPr>
              <w:spacing w:after="0"/>
              <w:rPr>
                <w:sz w:val="1"/>
                <w:szCs w:val="1"/>
                <w:color w:val="auto"/>
              </w:rPr>
            </w:pPr>
          </w:p>
        </w:tc>
      </w:tr>
      <w:tr>
        <w:trPr>
          <w:trHeight w:val="209"/>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Deferred income tax liabilities, net</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598.5</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non-current</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467.1</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Benefit plan liabilities</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122.0</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6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201.0</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1,388.6</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1,328.3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Stockholder's equity -</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0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Common stock $1 par value; 100,000,000 shares authorized; issued</w:t>
            </w: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69,747,220 and 68,265,042 shares, respectively</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69.7</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2,084.2</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2,007.7</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1,219.6</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1,158.2</w:t>
            </w:r>
          </w:p>
        </w:tc>
        <w:tc>
          <w:tcPr>
            <w:tcW w:w="0" w:type="dxa"/>
            <w:vAlign w:val="bottom"/>
          </w:tcPr>
          <w:p>
            <w:pPr>
              <w:spacing w:after="0"/>
              <w:rPr>
                <w:sz w:val="1"/>
                <w:szCs w:val="1"/>
                <w:color w:val="auto"/>
              </w:rPr>
            </w:pPr>
          </w:p>
        </w:tc>
      </w:tr>
      <w:tr>
        <w:trPr>
          <w:trHeight w:val="215"/>
        </w:trPr>
        <w:tc>
          <w:tcPr>
            <w:tcW w:w="7800" w:type="dxa"/>
            <w:vAlign w:val="bottom"/>
            <w:gridSpan w:val="4"/>
          </w:tcPr>
          <w:p>
            <w:pPr>
              <w:ind w:left="200"/>
              <w:spacing w:after="0"/>
              <w:rPr>
                <w:sz w:val="20"/>
                <w:szCs w:val="20"/>
                <w:color w:val="auto"/>
              </w:rPr>
            </w:pPr>
            <w:r>
              <w:rPr>
                <w:rFonts w:ascii="Arial" w:cs="Arial" w:eastAsia="Arial" w:hAnsi="Arial"/>
                <w:sz w:val="16"/>
                <w:szCs w:val="16"/>
                <w:color w:val="auto"/>
              </w:rPr>
              <w:t>Treasury stock, at cost - 83,160 and 68,073 shares, respectively</w:t>
            </w:r>
          </w:p>
        </w:tc>
        <w:tc>
          <w:tcPr>
            <w:tcW w:w="800" w:type="dxa"/>
            <w:vAlign w:val="bottom"/>
          </w:tcPr>
          <w:p>
            <w:pPr>
              <w:jc w:val="right"/>
              <w:spacing w:after="0"/>
              <w:rPr>
                <w:sz w:val="20"/>
                <w:szCs w:val="20"/>
                <w:color w:val="auto"/>
              </w:rPr>
            </w:pPr>
            <w:r>
              <w:rPr>
                <w:rFonts w:ascii="Arial" w:cs="Arial" w:eastAsia="Arial" w:hAnsi="Arial"/>
                <w:sz w:val="16"/>
                <w:szCs w:val="16"/>
                <w:color w:val="auto"/>
              </w:rPr>
              <w:t>(4.9 )</w:t>
            </w:r>
          </w:p>
        </w:tc>
        <w:tc>
          <w:tcPr>
            <w:tcW w:w="4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(11.3 )</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3,357.3</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86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86.1</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equity</w:t>
            </w:r>
          </w:p>
        </w:tc>
        <w:tc>
          <w:tcPr>
            <w:tcW w:w="186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3,443.4</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3,305.8</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3700" w:type="dxa"/>
            <w:vAlign w:val="bottom"/>
            <w:gridSpan w:val="2"/>
          </w:tcPr>
          <w:p>
            <w:pPr>
              <w:jc w:val="right"/>
              <w:ind w:right="16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10,185.9</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8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BLACK HILLS CORPORATION</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CONSOLIDATED STATEMENTS OF CASH FLOWS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85"/>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24"/>
                <w:szCs w:val="24"/>
                <w:color w:val="auto"/>
              </w:rPr>
            </w:pPr>
          </w:p>
        </w:tc>
        <w:tc>
          <w:tcPr>
            <w:tcW w:w="308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13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18"/>
                <w:szCs w:val="18"/>
                <w:color w:val="auto"/>
              </w:rPr>
            </w:pPr>
          </w:p>
        </w:tc>
        <w:tc>
          <w:tcPr>
            <w:tcW w:w="1860" w:type="dxa"/>
            <w:vAlign w:val="bottom"/>
            <w:gridSpan w:val="2"/>
          </w:tcPr>
          <w:p>
            <w:pPr>
              <w:jc w:val="right"/>
              <w:ind w:right="59"/>
              <w:spacing w:after="0"/>
              <w:rPr>
                <w:sz w:val="20"/>
                <w:szCs w:val="20"/>
                <w:color w:val="auto"/>
              </w:rPr>
            </w:pPr>
            <w:r>
              <w:rPr>
                <w:rFonts w:ascii="Arial" w:cs="Arial" w:eastAsia="Arial" w:hAnsi="Arial"/>
                <w:sz w:val="16"/>
                <w:szCs w:val="16"/>
                <w:color w:val="auto"/>
              </w:rPr>
              <w:t>(in millions)</w:t>
            </w: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156.2</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143.9</w:t>
            </w:r>
          </w:p>
        </w:tc>
      </w:tr>
      <w:tr>
        <w:trPr>
          <w:trHeight w:val="215"/>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132.5</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126.4</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financing cost amortization</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Stock compensation</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9.2</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Employee benefit plans</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Other adjustments, net</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17"/>
        </w:trPr>
        <w:tc>
          <w:tcPr>
            <w:tcW w:w="7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certain operating assets and liabilities:</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Materials, supplies and fuel</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73.0</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117.1</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266.8</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(77.4 )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(201.4 )</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69.8</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186.7</w:t>
            </w:r>
          </w:p>
        </w:tc>
      </w:tr>
      <w:tr>
        <w:trPr>
          <w:trHeight w:val="216"/>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Other operating activities, net</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r>
      <w:tr>
        <w:trPr>
          <w:trHeight w:val="209"/>
        </w:trPr>
        <w:tc>
          <w:tcPr>
            <w:tcW w:w="78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464.0</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605.1</w:t>
            </w:r>
          </w:p>
        </w:tc>
      </w:tr>
    </w:tbl>
    <w:p>
      <w:pPr>
        <w:spacing w:after="0" w:line="200"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additions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jc w:val="right"/>
              <w:ind w:right="519"/>
              <w:spacing w:after="0"/>
              <w:rPr>
                <w:sz w:val="20"/>
                <w:szCs w:val="20"/>
                <w:color w:val="auto"/>
              </w:rPr>
            </w:pPr>
            <w:r>
              <w:rPr>
                <w:rFonts w:ascii="Arial" w:cs="Arial" w:eastAsia="Arial" w:hAnsi="Arial"/>
                <w:sz w:val="16"/>
                <w:szCs w:val="16"/>
                <w:color w:val="auto"/>
              </w:rPr>
              <w:t>(342.4 )</w:t>
            </w:r>
          </w:p>
        </w:tc>
        <w:tc>
          <w:tcPr>
            <w:tcW w:w="1160" w:type="dxa"/>
            <w:vAlign w:val="bottom"/>
          </w:tcPr>
          <w:p>
            <w:pPr>
              <w:jc w:val="right"/>
              <w:spacing w:after="0"/>
              <w:rPr>
                <w:sz w:val="20"/>
                <w:szCs w:val="20"/>
                <w:color w:val="auto"/>
              </w:rPr>
            </w:pPr>
            <w:r>
              <w:rPr>
                <w:rFonts w:ascii="Arial" w:cs="Arial" w:eastAsia="Arial" w:hAnsi="Arial"/>
                <w:sz w:val="16"/>
                <w:szCs w:val="16"/>
                <w:color w:val="auto"/>
              </w:rPr>
              <w:t>(261.7 )</w:t>
            </w:r>
          </w:p>
        </w:tc>
      </w:tr>
      <w:tr>
        <w:trPr>
          <w:trHeight w:val="217"/>
        </w:trPr>
        <w:tc>
          <w:tcPr>
            <w:tcW w:w="2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1.7</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r>
      <w:tr>
        <w:trPr>
          <w:trHeight w:val="210"/>
        </w:trPr>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(340.7 )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-565150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-290830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80" w:space="720"/>
            <w:col w:w="344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 on common stock</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54.7</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Long-term debt - issuance</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350.0</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w:t>
            </w:r>
          </w:p>
        </w:tc>
      </w:tr>
      <w:tr>
        <w:trPr>
          <w:trHeight w:val="216"/>
        </w:trPr>
        <w:tc>
          <w:tcPr>
            <w:tcW w:w="780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r>
      <w:tr>
        <w:trPr>
          <w:trHeight w:val="21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415.4</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(228.1 )</w:t>
            </w:r>
          </w:p>
        </w:tc>
      </w:tr>
      <w:tr>
        <w:trPr>
          <w:trHeight w:val="210"/>
        </w:trPr>
        <w:tc>
          <w:tcPr>
            <w:tcW w:w="7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change in cash, restricted cash and cash equivalents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538.7</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131.6</w:t>
            </w:r>
          </w:p>
        </w:tc>
      </w:tr>
      <w:tr>
        <w:trPr>
          <w:trHeight w:val="216"/>
        </w:trPr>
        <w:tc>
          <w:tcPr>
            <w:tcW w:w="7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27.0</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631.7</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158.6</w:t>
            </w:r>
          </w:p>
        </w:tc>
      </w:tr>
      <w:tr>
        <w:trPr>
          <w:trHeight w:val="20"/>
        </w:trPr>
        <w:tc>
          <w:tcPr>
            <w:tcW w:w="7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7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refunded during the period:</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439"/>
              <w:spacing w:after="0"/>
              <w:rPr>
                <w:sz w:val="20"/>
                <w:szCs w:val="20"/>
                <w:color w:val="auto"/>
              </w:rPr>
            </w:pPr>
            <w:r>
              <w:rPr>
                <w:rFonts w:ascii="Arial" w:cs="Arial" w:eastAsia="Arial" w:hAnsi="Arial"/>
                <w:sz w:val="16"/>
                <w:szCs w:val="16"/>
                <w:color w:val="auto"/>
              </w:rPr>
              <w:t>(89.5 ) $</w:t>
            </w:r>
          </w:p>
        </w:tc>
        <w:tc>
          <w:tcPr>
            <w:tcW w:w="1100" w:type="dxa"/>
            <w:vAlign w:val="bottom"/>
          </w:tcPr>
          <w:p>
            <w:pPr>
              <w:jc w:val="right"/>
              <w:spacing w:after="0"/>
              <w:rPr>
                <w:sz w:val="20"/>
                <w:szCs w:val="20"/>
                <w:color w:val="auto"/>
              </w:rPr>
            </w:pPr>
            <w:r>
              <w:rPr>
                <w:rFonts w:ascii="Arial" w:cs="Arial" w:eastAsia="Arial" w:hAnsi="Arial"/>
                <w:sz w:val="16"/>
                <w:szCs w:val="16"/>
                <w:color w:val="auto"/>
              </w:rPr>
              <w:t>(75.5 )</w:t>
            </w:r>
          </w:p>
        </w:tc>
      </w:tr>
      <w:tr>
        <w:trPr>
          <w:trHeight w:val="217"/>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net of transferred tax credits (Note 11)</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property, plant and equipment purchases at June 30,</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73.0</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68,265,04</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2023</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68.3</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68,073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2,007.7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90.5</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3,305.8</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2.5</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104,181</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600,355</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31.5</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68,969,57</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(4.7 )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2,040.2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3,422.5</w:t>
            </w:r>
          </w:p>
        </w:tc>
      </w:tr>
      <w:tr>
        <w:trPr>
          <w:trHeight w:val="16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(44.9 )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9,623</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768,019</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42.2</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69,747,22</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83,160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(4.9 ) $   2,084.2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1,219.6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86.1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3,443.4</w:t>
            </w:r>
          </w:p>
        </w:tc>
      </w:tr>
      <w:tr>
        <w:trPr>
          <w:trHeight w:val="372"/>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66,140,39</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36,726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1,882.7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1,064.1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3,089.9</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117.4</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1.2</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84,735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445,578</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66,670,70</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(2.7 )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1,911.5</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1,136.8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3,191.7</w:t>
            </w:r>
          </w:p>
        </w:tc>
      </w:tr>
      <w:tr>
        <w:trPr>
          <w:trHeight w:val="170"/>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(41.7 )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8,492</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436,202</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27.3</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67,115,40</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67.1</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(3.2 )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1,941.3</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1,118.2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92.8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3,202.8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2023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2023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June 30, 2024, December 31, 2023, and June 30, 2023,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Reportable Segment Disclosures, ASU 2023-07</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which expands public entities’ segment disclosures by requiring disclosure of significant segment expenses that are regularly reviewed by the CODM and included within each reported measure of segment profit or loss, an amount and description of its composition for other segment items, and interim disclosures of a reportable segment’s profit or loss and assets. ASU 2023-07 also allows, in addition to the measure that is most consistent with GAAP, the disclosure of additional measures of segment profit or loss that are used by the CODM in assessing segment performance and deciding how to allocate resources. ASU 2023-07 is effective for our Annual Report on Form 10-K for the fiscal year ended December 31, 2024, and subsequent interim periods, with early adoption permitted. We do not expect ASU 2023-07 to have an impact on our financial position, results of operations and cash flows; however, are currently evaluating the impact on our consolidated financial statement disclosures.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ASU 2023-09 is effective for our Annual Report on Form 10-K for the fiscal year ended December 31, 2025, with early adoption permitted. We do not expect ASU 2023-09 to have an impact on our financial position, results of operations and cash flows; however, are currently evaluating the impact on our consolidated financial statement disclosures.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millions):</w:t>
            </w: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900" w:type="dxa"/>
            <w:vAlign w:val="bottom"/>
          </w:tcPr>
          <w:p>
            <w:pPr>
              <w:jc w:val="right"/>
              <w:ind w:right="379"/>
              <w:spacing w:after="0"/>
              <w:rPr>
                <w:sz w:val="20"/>
                <w:szCs w:val="20"/>
                <w:color w:val="auto"/>
              </w:rPr>
            </w:pPr>
            <w:r>
              <w:rPr>
                <w:rFonts w:ascii="Arial" w:cs="Arial" w:eastAsia="Arial" w:hAnsi="Arial"/>
                <w:sz w:val="16"/>
                <w:szCs w:val="16"/>
                <w:b w:val="1"/>
                <w:bCs w:val="1"/>
                <w:color w:val="auto"/>
              </w:rPr>
              <w:t>As of</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jc w:val="right"/>
              <w:ind w:right="1039"/>
              <w:spacing w:after="0"/>
              <w:rPr>
                <w:sz w:val="20"/>
                <w:szCs w:val="20"/>
                <w:color w:val="auto"/>
              </w:rPr>
            </w:pPr>
            <w:r>
              <w:rPr>
                <w:rFonts w:ascii="Arial" w:cs="Arial" w:eastAsia="Arial" w:hAnsi="Arial"/>
                <w:sz w:val="16"/>
                <w:szCs w:val="16"/>
                <w:b w:val="1"/>
                <w:bCs w:val="1"/>
                <w:color w:val="auto"/>
              </w:rPr>
              <w:t>As of</w:t>
            </w:r>
          </w:p>
        </w:tc>
      </w:tr>
      <w:tr>
        <w:trPr>
          <w:trHeight w:val="217"/>
        </w:trPr>
        <w:tc>
          <w:tcPr>
            <w:tcW w:w="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June 30, 2024</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1900" w:type="dxa"/>
            <w:vAlign w:val="bottom"/>
          </w:tcPr>
          <w:p>
            <w:pPr>
              <w:jc w:val="right"/>
              <w:ind w:right="16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129.0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199.6</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Deferred energy and fuel cost adjustments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57.8</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gas cost adjustments</w:t>
            </w:r>
          </w:p>
        </w:tc>
        <w:tc>
          <w:tcPr>
            <w:tcW w:w="19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price derivatives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AFUDC</w:t>
            </w:r>
          </w:p>
        </w:tc>
        <w:tc>
          <w:tcPr>
            <w:tcW w:w="19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7.1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plans and related deferred taxes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87.1</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89.3</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Environmental</w:t>
            </w:r>
          </w:p>
        </w:tc>
        <w:tc>
          <w:tcPr>
            <w:tcW w:w="19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on reacquired debt</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flow through accounting</w:t>
            </w:r>
          </w:p>
        </w:tc>
        <w:tc>
          <w:tcPr>
            <w:tcW w:w="19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81.1</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74.7</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Decommissioning costs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assets</w:t>
            </w:r>
          </w:p>
        </w:tc>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424.8</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assets</w:t>
            </w:r>
          </w:p>
        </w:tc>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(142.9 )</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(175.7 )</w:t>
            </w:r>
          </w:p>
        </w:tc>
      </w:tr>
      <w:tr>
        <w:trPr>
          <w:trHeight w:val="249"/>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1900" w:type="dxa"/>
            <w:vAlign w:val="bottom"/>
            <w:tcBorders>
              <w:bottom w:val="single" w:sz="8" w:color="auto"/>
            </w:tcBorders>
            <w:shd w:val="clear" w:color="auto" w:fill="CFF0FC"/>
          </w:tcPr>
          <w:p>
            <w:pPr>
              <w:jc w:val="right"/>
              <w:ind w:right="16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281.9</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304.4</w:t>
            </w:r>
          </w:p>
        </w:tc>
      </w:tr>
      <w:tr>
        <w:trPr>
          <w:trHeight w:val="197"/>
        </w:trPr>
        <w:tc>
          <w:tcPr>
            <w:tcW w:w="610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energy and gas costs</w:t>
            </w:r>
          </w:p>
        </w:tc>
        <w:tc>
          <w:tcPr>
            <w:tcW w:w="1900" w:type="dxa"/>
            <w:vAlign w:val="bottom"/>
          </w:tcPr>
          <w:p>
            <w:pPr>
              <w:jc w:val="right"/>
              <w:ind w:right="16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86.5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88.9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 costs and related deferred taxes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35.1</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Cost of removal</w:t>
            </w:r>
          </w:p>
        </w:tc>
        <w:tc>
          <w:tcPr>
            <w:tcW w:w="19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187.7</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181.9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deferred income taxes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241.8</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liabilities</w:t>
            </w:r>
          </w:p>
        </w:tc>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liabilities</w:t>
            </w:r>
          </w:p>
        </w:tc>
        <w:tc>
          <w:tcPr>
            <w:tcW w:w="1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557.4</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566.6</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liabilities</w:t>
            </w:r>
          </w:p>
        </w:tc>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(98.9 )</w:t>
            </w:r>
          </w:p>
        </w:tc>
      </w:tr>
      <w:tr>
        <w:trPr>
          <w:trHeight w:val="250"/>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 non-current</w:t>
            </w:r>
          </w:p>
        </w:tc>
        <w:tc>
          <w:tcPr>
            <w:tcW w:w="1900" w:type="dxa"/>
            <w:vAlign w:val="bottom"/>
            <w:tcBorders>
              <w:bottom w:val="single" w:sz="8" w:color="auto"/>
            </w:tcBorders>
            <w:shd w:val="clear" w:color="auto" w:fill="CFF0FC"/>
          </w:tcPr>
          <w:p>
            <w:pPr>
              <w:jc w:val="right"/>
              <w:ind w:right="16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467.1</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On December 4, 2023, Arkansas Gas filed a rate review with the APSC seeking recovery of significant infrastructure investments in its 7,200-mile natural gas pipeline system. The rate review requests $44.1 million in new annual revenue with a capital structure of 48% equity and 52% debt and a return on equity of 10.5%. The request seeks to finalize rates in the fourth quarter of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On June 14, 2024, Colorado Electric filed a rate review with the CPUC seeking recovery of significant infrastructure investments in its 3,200-mile electric distribution and 600-mile electric transmission systems. The rate review requests $36.7 million in new annual revenue with a </w:t>
      </w:r>
      <w:r>
        <w:rPr>
          <w:rFonts w:ascii="Arial" w:cs="Arial" w:eastAsia="Arial" w:hAnsi="Arial"/>
          <w:sz w:val="16"/>
          <w:szCs w:val="16"/>
          <w:color w:val="242424"/>
        </w:rPr>
        <w:t>capital structure of 53% equity</w:t>
      </w:r>
      <w:r>
        <w:rPr>
          <w:rFonts w:ascii="Arial" w:cs="Arial" w:eastAsia="Arial" w:hAnsi="Arial"/>
          <w:sz w:val="16"/>
          <w:szCs w:val="16"/>
          <w:color w:val="auto"/>
        </w:rPr>
        <w:t xml:space="preserve"> </w:t>
      </w:r>
      <w:r>
        <w:rPr>
          <w:rFonts w:ascii="Arial" w:cs="Arial" w:eastAsia="Arial" w:hAnsi="Arial"/>
          <w:sz w:val="16"/>
          <w:szCs w:val="16"/>
          <w:color w:val="242424"/>
        </w:rPr>
        <w:t>and 47% debt and a return on equity of 10.5%. The request seeks to finalize rates in the first quarter of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May 9, 2023, Colorado Gas filed a rate review with the CPUC seeking recovery of significant infrastructure investments in its 10,000-mile natural gas pipeline system. In March 2024, Colorado Gas received final approval for a settlement agreement for a general rate increase which </w:t>
      </w:r>
      <w:r>
        <w:rPr>
          <w:rFonts w:ascii="Arial" w:cs="Arial" w:eastAsia="Arial" w:hAnsi="Arial"/>
          <w:sz w:val="16"/>
          <w:szCs w:val="16"/>
          <w:color w:val="242424"/>
        </w:rPr>
        <w:t>is expected to generate</w:t>
      </w:r>
      <w:r>
        <w:rPr>
          <w:rFonts w:ascii="Arial" w:cs="Arial" w:eastAsia="Arial" w:hAnsi="Arial"/>
          <w:sz w:val="16"/>
          <w:szCs w:val="16"/>
          <w:color w:val="auto"/>
        </w:rPr>
        <w:t xml:space="preserve"> </w:t>
      </w:r>
      <w:r>
        <w:rPr>
          <w:rFonts w:ascii="Arial" w:cs="Arial" w:eastAsia="Arial" w:hAnsi="Arial"/>
          <w:sz w:val="16"/>
          <w:szCs w:val="16"/>
          <w:color w:val="242424"/>
        </w:rPr>
        <w:t xml:space="preserve">$20.2 million of new annual revenue with a capital structure of 51% equity and 49% debt and a return on equity of 9.3%. </w:t>
      </w:r>
      <w:r>
        <w:rPr>
          <w:rFonts w:ascii="Arial" w:cs="Arial" w:eastAsia="Arial" w:hAnsi="Arial"/>
          <w:sz w:val="16"/>
          <w:szCs w:val="16"/>
          <w:color w:val="000000"/>
        </w:rPr>
        <w:t>Final rates were enacted on May 1,</w:t>
      </w:r>
      <w:r>
        <w:rPr>
          <w:rFonts w:ascii="Arial" w:cs="Arial" w:eastAsia="Arial" w:hAnsi="Arial"/>
          <w:sz w:val="16"/>
          <w:szCs w:val="16"/>
          <w:color w:val="242424"/>
        </w:rPr>
        <w:t xml:space="preserve"> </w:t>
      </w:r>
      <w:r>
        <w:rPr>
          <w:rFonts w:ascii="Arial" w:cs="Arial" w:eastAsia="Arial" w:hAnsi="Arial"/>
          <w:sz w:val="16"/>
          <w:szCs w:val="16"/>
          <w:color w:val="000000"/>
        </w:rPr>
        <w:t>2024, and replaced interim rates effective February 13,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On May 1, 2024, Iowa Gas filed a rate review with the IUC seeking recovery of significant infrastructure investments in its 5,000-mile natural gas pipeline system. The rate review requests $ 20.7 million in new annual revenue with a </w:t>
      </w:r>
      <w:r>
        <w:rPr>
          <w:rFonts w:ascii="Arial" w:cs="Arial" w:eastAsia="Arial" w:hAnsi="Arial"/>
          <w:sz w:val="16"/>
          <w:szCs w:val="16"/>
          <w:color w:val="242424"/>
        </w:rPr>
        <w:t>capital structure of 51% equity and 49% debt and a return on equity of 10.5%.</w:t>
      </w:r>
      <w:r>
        <w:rPr>
          <w:rFonts w:ascii="Arial" w:cs="Arial" w:eastAsia="Arial" w:hAnsi="Arial"/>
          <w:sz w:val="16"/>
          <w:szCs w:val="16"/>
          <w:color w:val="auto"/>
        </w:rPr>
        <w:t xml:space="preserve"> </w:t>
      </w:r>
      <w:r>
        <w:rPr>
          <w:rFonts w:ascii="Arial" w:cs="Arial" w:eastAsia="Arial" w:hAnsi="Arial"/>
          <w:sz w:val="16"/>
          <w:szCs w:val="16"/>
          <w:color w:val="242424"/>
        </w:rPr>
        <w:t xml:space="preserve">Iowa </w:t>
      </w:r>
      <w:r>
        <w:rPr>
          <w:rFonts w:ascii="Arial" w:cs="Arial" w:eastAsia="Arial" w:hAnsi="Arial"/>
          <w:sz w:val="16"/>
          <w:szCs w:val="16"/>
          <w:color w:val="000000"/>
        </w:rPr>
        <w:t>statute allows implementation of interim rates 10 days after filing a rate review and Iowa Gas implemented interim rates, subject to adjustment or</w:t>
      </w:r>
      <w:r>
        <w:rPr>
          <w:rFonts w:ascii="Arial" w:cs="Arial" w:eastAsia="Arial" w:hAnsi="Arial"/>
          <w:sz w:val="16"/>
          <w:szCs w:val="16"/>
          <w:color w:val="242424"/>
        </w:rPr>
        <w:t xml:space="preserve"> </w:t>
      </w:r>
      <w:r>
        <w:rPr>
          <w:rFonts w:ascii="Arial" w:cs="Arial" w:eastAsia="Arial" w:hAnsi="Arial"/>
          <w:sz w:val="16"/>
          <w:szCs w:val="16"/>
          <w:color w:val="000000"/>
        </w:rPr>
        <w:t xml:space="preserve">refund, effective May 11, 2024. </w:t>
      </w:r>
      <w:r>
        <w:rPr>
          <w:rFonts w:ascii="Arial" w:cs="Arial" w:eastAsia="Arial" w:hAnsi="Arial"/>
          <w:sz w:val="16"/>
          <w:szCs w:val="16"/>
          <w:color w:val="242424"/>
        </w:rPr>
        <w:t>The request seeks to finalize rates in the first quarter of 2025.</w:t>
      </w:r>
    </w:p>
    <w:p>
      <w:pPr>
        <w:sectPr>
          <w:pgSz w:w="11900" w:h="16838" w:orient="portrait"/>
          <w:cols w:equalWidth="0" w:num="1">
            <w:col w:w="11240"/>
          </w:cols>
          <w:pgMar w:left="320" w:top="773"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January 17, 2024, the WPSC approved a settlement agreement for a general rate increase which is expected to generate $13.9 million in new annual revenue with a capital structure of 51% equity and 49% debt and a return on equity of 9.9%. New rates were effective February 1, 2024. The agreement also included approval of a four-year extension of the Wyoming Integrity Rider.</w:t>
      </w:r>
    </w:p>
    <w:p>
      <w:pPr>
        <w:spacing w:after="0" w:line="34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2023 Annual Report on Form 10-K except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w:t>
      </w:r>
    </w:p>
    <w:p>
      <w:pPr>
        <w:spacing w:after="0" w:line="19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2008, we acquired whole and partial liabilities for former manufactured gas plant sites in Nebraska and Iowa, which were previously used to convert coal to natural gas. The acquisition provided for an insurance recovery, now valued at $1.4 million recorded in Other assets, non-current on our Consolidated Balance Sheets, which will be used to help offset remediation costs. During the six months ended June 30, 2024, we increased our Iowa manufactured gas plant site remediation cost estimate by $7.4 million based on recent site investigations and remediation work completed, which resulted in a corresponding increase in our Accrued liabilities and Regulatory assets. As of June 30, 2024, we had an Accrued liability of $11.5 million and a Regulatory asset of $10.6 million on our Consolidated Balance Sheets for the remediation of the manufactured gas plant site in Iowa. The remediation cost estimate could change materially due to results of further investigations, actions of environmental agencies or the financial viability of other responsible parties.</w:t>
      </w:r>
    </w:p>
    <w:p>
      <w:pPr>
        <w:spacing w:after="0" w:line="34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six months ended June 30, 2024, and 2023. Sales tax and other similar taxes are excluded from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shd w:val="clear" w:color="auto" w:fill="CFF0FC"/>
          </w:tcPr>
          <w:p>
            <w:pPr>
              <w:spacing w:after="0"/>
              <w:rPr>
                <w:sz w:val="16"/>
                <w:szCs w:val="16"/>
                <w:color w:val="auto"/>
              </w:rPr>
            </w:pPr>
          </w:p>
        </w:tc>
        <w:tc>
          <w:tcPr>
            <w:tcW w:w="41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171.3</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152.9</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324.2</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(0.2 )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w:t>
            </w: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6.5</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(4.3 )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397.1</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w:t>
            </w:r>
          </w:p>
        </w:tc>
      </w:tr>
      <w:tr>
        <w:trPr>
          <w:trHeight w:val="250"/>
        </w:trPr>
        <w:tc>
          <w:tcPr>
            <w:tcW w:w="4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402.6</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194.9</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198.9</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(4.5 )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389.3</w:t>
            </w:r>
          </w:p>
        </w:tc>
      </w:tr>
      <w:tr>
        <w:trPr>
          <w:trHeight w:val="209"/>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38"/>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18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573"/>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June 30,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156.4</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174.8</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331.2</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(0.1 )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(4.4 )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w:t>
            </w:r>
          </w:p>
        </w:tc>
      </w:tr>
      <w:tr>
        <w:trPr>
          <w:trHeight w:val="209"/>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219.9</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405.1</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w:t>
            </w:r>
          </w:p>
        </w:tc>
      </w:tr>
      <w:tr>
        <w:trPr>
          <w:trHeight w:val="250"/>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411.3</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7.8</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181.9</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219.9</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(4.5 )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397.3</w:t>
            </w:r>
          </w:p>
        </w:tc>
      </w:tr>
      <w:tr>
        <w:trPr>
          <w:trHeight w:val="209"/>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405.1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Six Months Ended June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359.6</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590.3</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949.9</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(0.2 )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87.4</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(8.7 )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424.1</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699.1</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(8.9 )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1,114.3</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r>
      <w:tr>
        <w:trPr>
          <w:trHeight w:val="250"/>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427.3</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710.6</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(8.9 )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1,129.0</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16.5</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699.1</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(8.9 )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1,097.8</w:t>
            </w:r>
          </w:p>
        </w:tc>
      </w:tr>
      <w:tr>
        <w:trPr>
          <w:trHeight w:val="210"/>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(8.9 )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1,114.3</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41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Six Months Ended June 30,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3"/>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331.3</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810.3</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1,141.6</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(0.2 )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88.6</w:t>
            </w: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15.1</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15.1</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24.8</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(8.8 )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407.5</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(9.0 )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1,317.1</w:t>
            </w:r>
          </w:p>
        </w:tc>
      </w:tr>
      <w:tr>
        <w:trPr>
          <w:trHeight w:val="216"/>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r>
      <w:tr>
        <w:trPr>
          <w:trHeight w:val="250"/>
        </w:trPr>
        <w:tc>
          <w:tcPr>
            <w:tcW w:w="418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411.8</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929.6</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(9.0 )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1,332.4</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16.5</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4"/>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391.0</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918.6</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(9.0 )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1,300.6</w:t>
            </w:r>
          </w:p>
        </w:tc>
      </w:tr>
      <w:tr>
        <w:trPr>
          <w:trHeight w:val="209"/>
        </w:trPr>
        <w:tc>
          <w:tcPr>
            <w:tcW w:w="20" w:type="dxa"/>
            <w:vAlign w:val="bottom"/>
          </w:tcPr>
          <w:p>
            <w:pPr>
              <w:spacing w:after="0"/>
              <w:rPr>
                <w:sz w:val="18"/>
                <w:szCs w:val="18"/>
                <w:color w:val="auto"/>
              </w:rPr>
            </w:pPr>
          </w:p>
        </w:tc>
        <w:tc>
          <w:tcPr>
            <w:tcW w:w="4160" w:type="dxa"/>
            <w:vAlign w:val="bottom"/>
            <w:gridSpan w:val="4"/>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(9.0 )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1,317.1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both"/>
        <w:ind w:right="10000" w:firstLine="8"/>
        <w:spacing w:after="0" w:line="493" w:lineRule="auto"/>
        <w:tabs>
          <w:tab w:leader="none" w:pos="50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On May 31, 2024, we amended and restated our corporate Revolving Credit Facility, maintaining total commitments of $750 million and extending the term through May 31, 2029,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SOFR options. Based on our current credit ratings, the margins for base rate borrowings, SOFR borrowings and letters of credit will be 0.125%, 1.125% and 1.125%, respectively, and a 0.175% commitment fee will be charged on unused amounts.</w:t>
      </w:r>
    </w:p>
    <w:p>
      <w:pPr>
        <w:spacing w:after="0" w:line="155"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(dollars in millions)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June 30, 2024</w:t>
            </w:r>
          </w:p>
        </w:tc>
        <w:tc>
          <w:tcPr>
            <w:tcW w:w="6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660" w:type="dxa"/>
            <w:vAlign w:val="bottom"/>
            <w:shd w:val="clear" w:color="auto" w:fill="CFF0FC"/>
          </w:tcPr>
          <w:p>
            <w:pPr>
              <w:jc w:val="right"/>
              <w:ind w:right="16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660" w:type="dxa"/>
            <w:vAlign w:val="bottom"/>
          </w:tcPr>
          <w:p>
            <w:pPr>
              <w:jc w:val="right"/>
              <w:ind w:right="16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660" w:type="dxa"/>
            <w:vAlign w:val="bottom"/>
            <w:shd w:val="clear" w:color="auto" w:fill="CFF0FC"/>
          </w:tcPr>
          <w:p>
            <w:pPr>
              <w:jc w:val="right"/>
              <w:ind w:right="16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746.3</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36" w:lineRule="exact"/>
        <w:rPr>
          <w:sz w:val="20"/>
          <w:szCs w:val="20"/>
          <w:color w:val="auto"/>
        </w:rPr>
      </w:pPr>
    </w:p>
    <w:p>
      <w:pPr>
        <w:ind w:right="1920" w:firstLine="8"/>
        <w:spacing w:after="0" w:line="501"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1045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45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480" w:type="dxa"/>
            <w:vAlign w:val="bottom"/>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548.7</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48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N/A</w:t>
            </w:r>
          </w:p>
        </w:tc>
        <w:tc>
          <w:tcPr>
            <w:tcW w:w="1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color w:val="auto"/>
        </w:rPr>
        <w:t>On May 16, 2024, we completed a public debt offering of $450 million, 6.00% senior unsecured notes due January 15, 2035. Proceeds from the offering, which were net of $5.2 million of deferred financing costs, were used for general corporate purposes. We also plan to use the proceeds from the offering, along with available cash or short-term borrowings under our existing facilities, to repay all of our $600 million principal amount outstanding, 1.04%, senior unsecured notes due August 23, 2024, on their maturity date.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June 30, 2024.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June 30, 2024, our Consolidated Indebtedness to Capitalization Ratio was 0.59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June 30, 2024. Wyoming Electric is required to maintain a debt to capitalization ratio of no more than 0.60 to 1.00. As of June 30, 2024, Wyoming Electric's debt to capitalization ratio was 0.51 to 1.00.</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ATM activity was as follows (in millions, except Average price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4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69"/>
        </w:trPr>
        <w:tc>
          <w:tcPr>
            <w:tcW w:w="5160" w:type="dxa"/>
            <w:vAlign w:val="bottom"/>
            <w:gridSpan w:val="5"/>
          </w:tcPr>
          <w:p>
            <w:pPr>
              <w:ind w:left="20"/>
              <w:spacing w:after="0" w:line="169" w:lineRule="exact"/>
              <w:rPr>
                <w:sz w:val="20"/>
                <w:szCs w:val="20"/>
                <w:color w:val="auto"/>
              </w:rPr>
            </w:pPr>
            <w:r>
              <w:rPr>
                <w:rFonts w:ascii="Arial" w:cs="Arial" w:eastAsia="Arial" w:hAnsi="Arial"/>
                <w:sz w:val="16"/>
                <w:szCs w:val="16"/>
                <w:i w:val="1"/>
                <w:iCs w:val="1"/>
                <w:color w:val="auto"/>
              </w:rPr>
              <w:t>August 4, 2020 ATM Program</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8"/>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$0.0, $(0.2), $0.0, and $(0.5),</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17"/>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11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48.5</w:t>
            </w:r>
          </w:p>
        </w:tc>
      </w:tr>
      <w:tr>
        <w:trPr>
          <w:trHeight w:val="215"/>
        </w:trPr>
        <w:tc>
          <w:tcPr>
            <w:tcW w:w="516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76"/>
        </w:trPr>
        <w:tc>
          <w:tcPr>
            <w:tcW w:w="516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8"/>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$(0.4), $(0.1), $(0.7), and $(0.1),</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17"/>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11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r>
      <w:tr>
        <w:trPr>
          <w:trHeight w:val="215"/>
        </w:trPr>
        <w:tc>
          <w:tcPr>
            <w:tcW w:w="516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175"/>
        </w:trPr>
        <w:tc>
          <w:tcPr>
            <w:tcW w:w="5160" w:type="dxa"/>
            <w:vAlign w:val="bottom"/>
            <w:gridSpan w:val="5"/>
          </w:tcPr>
          <w:p>
            <w:pPr>
              <w:ind w:left="20"/>
              <w:spacing w:after="0" w:line="175" w:lineRule="exact"/>
              <w:rPr>
                <w:sz w:val="20"/>
                <w:szCs w:val="20"/>
                <w:color w:val="auto"/>
              </w:rPr>
            </w:pPr>
            <w:r>
              <w:rPr>
                <w:rFonts w:ascii="Arial" w:cs="Arial" w:eastAsia="Arial" w:hAnsi="Arial"/>
                <w:sz w:val="16"/>
                <w:szCs w:val="16"/>
                <w:i w:val="1"/>
                <w:iCs w:val="1"/>
                <w:color w:val="auto"/>
              </w:rPr>
              <w:t>Total activity under both ATM Programs</w:t>
            </w: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8"/>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$(0.4), $(0.3), $(0.7), and $(0.6),</w:t>
            </w:r>
          </w:p>
        </w:tc>
        <w:tc>
          <w:tcPr>
            <w:tcW w:w="1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17"/>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11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54.9</w:t>
            </w:r>
          </w:p>
        </w:tc>
      </w:tr>
      <w:tr>
        <w:trPr>
          <w:trHeight w:val="215"/>
        </w:trPr>
        <w:tc>
          <w:tcPr>
            <w:tcW w:w="5160" w:type="dxa"/>
            <w:vAlign w:val="bottom"/>
            <w:gridSpan w:val="5"/>
          </w:tcPr>
          <w:p>
            <w:pPr>
              <w:ind w:left="20"/>
              <w:spacing w:after="0"/>
              <w:rPr>
                <w:sz w:val="20"/>
                <w:szCs w:val="20"/>
                <w:color w:val="auto"/>
              </w:rPr>
            </w:pPr>
            <w:r>
              <w:rPr>
                <w:rFonts w:ascii="Arial" w:cs="Arial" w:eastAsia="Arial" w:hAnsi="Arial"/>
                <w:sz w:val="16"/>
                <w:szCs w:val="16"/>
                <w:color w:val="auto"/>
              </w:rPr>
              <w:t>Number of shares issued</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0.9</w:t>
            </w:r>
          </w:p>
        </w:tc>
      </w:tr>
      <w:tr>
        <w:trPr>
          <w:trHeight w:val="217"/>
        </w:trPr>
        <w:tc>
          <w:tcPr>
            <w:tcW w:w="51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Average price per share</w:t>
            </w:r>
          </w:p>
        </w:tc>
        <w:tc>
          <w:tcPr>
            <w:tcW w:w="11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53.92</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there were 85,946 shares issued under the ATM Program, but not settled.</w:t>
      </w:r>
    </w:p>
    <w:p>
      <w:pPr>
        <w:spacing w:after="0" w:line="383"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 (in millions,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8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2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5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150.6</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137.1</w:t>
            </w:r>
          </w:p>
        </w:tc>
      </w:tr>
      <w:tr>
        <w:trPr>
          <w:trHeight w:val="197"/>
        </w:trPr>
        <w:tc>
          <w:tcPr>
            <w:tcW w:w="5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66.3</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Dilutive effect of equity compensation</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 diluted</w:t>
            </w:r>
          </w:p>
        </w:tc>
        <w:tc>
          <w:tcPr>
            <w:tcW w:w="9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3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66.7</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66.4</w:t>
            </w:r>
          </w:p>
        </w:tc>
      </w:tr>
      <w:tr>
        <w:trPr>
          <w:trHeight w:val="197"/>
        </w:trPr>
        <w:tc>
          <w:tcPr>
            <w:tcW w:w="5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millions of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6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26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5400" w:type="dxa"/>
            <w:vAlign w:val="bottom"/>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10"/>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1520" w:type="dxa"/>
            <w:vAlign w:val="bottom"/>
            <w:shd w:val="clear" w:color="auto" w:fill="CFF0FC"/>
          </w:tcPr>
          <w:p>
            <w:pPr>
              <w:jc w:val="right"/>
              <w:ind w:right="11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0.1</w:t>
            </w:r>
          </w:p>
        </w:tc>
        <w:tc>
          <w:tcPr>
            <w:tcW w:w="14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1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0.1</w:t>
            </w:r>
          </w:p>
        </w:tc>
        <w:tc>
          <w:tcPr>
            <w:tcW w:w="14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r>
      <w:tr>
        <w:trPr>
          <w:trHeight w:val="775"/>
        </w:trPr>
        <w:tc>
          <w:tcPr>
            <w:tcW w:w="6560" w:type="dxa"/>
            <w:vAlign w:val="bottom"/>
            <w:gridSpan w:val="2"/>
          </w:tcPr>
          <w:p>
            <w:pPr>
              <w:jc w:val="right"/>
              <w:ind w:right="759"/>
              <w:spacing w:after="0"/>
              <w:rPr>
                <w:sz w:val="20"/>
                <w:szCs w:val="20"/>
                <w:color w:val="auto"/>
              </w:rPr>
            </w:pPr>
            <w:r>
              <w:rPr>
                <w:rFonts w:ascii="Arial" w:cs="Arial" w:eastAsia="Arial" w:hAnsi="Arial"/>
                <w:sz w:val="16"/>
                <w:szCs w:val="16"/>
                <w:color w:val="auto"/>
              </w:rPr>
              <w:t>18</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51"/>
        </w:trPr>
        <w:tc>
          <w:tcPr>
            <w:tcW w:w="5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8060" w:firstLine="8"/>
        <w:spacing w:after="0" w:line="493"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120" w:hanging="518"/>
        <w:spacing w:after="0" w:line="259" w:lineRule="auto"/>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July 2024 through May 2026.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June 30, 2024</w:t>
            </w:r>
          </w:p>
        </w:tc>
        <w:tc>
          <w:tcPr>
            <w:tcW w:w="300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center"/>
              <w:ind w:right="179"/>
              <w:spacing w:after="0" w:line="182" w:lineRule="exact"/>
              <w:rPr>
                <w:sz w:val="20"/>
                <w:szCs w:val="20"/>
                <w:color w:val="auto"/>
              </w:rPr>
            </w:pPr>
            <w:r>
              <w:rPr>
                <w:rFonts w:ascii="Arial" w:cs="Arial" w:eastAsia="Arial" w:hAnsi="Arial"/>
                <w:sz w:val="16"/>
                <w:szCs w:val="16"/>
                <w:b w:val="1"/>
                <w:bCs w:val="1"/>
                <w:color w:val="auto"/>
                <w:w w:val="99"/>
              </w:rPr>
              <w:t>Notional</w:t>
            </w:r>
          </w:p>
        </w:tc>
        <w:tc>
          <w:tcPr>
            <w:tcW w:w="1580" w:type="dxa"/>
            <w:vAlign w:val="bottom"/>
          </w:tcPr>
          <w:p>
            <w:pPr>
              <w:spacing w:after="0"/>
              <w:rPr>
                <w:sz w:val="15"/>
                <w:szCs w:val="15"/>
                <w:color w:val="auto"/>
              </w:rPr>
            </w:pPr>
          </w:p>
        </w:tc>
      </w:tr>
      <w:tr>
        <w:trPr>
          <w:trHeight w:val="163"/>
        </w:trPr>
        <w:tc>
          <w:tcPr>
            <w:tcW w:w="5020" w:type="dxa"/>
            <w:vAlign w:val="bottom"/>
          </w:tcPr>
          <w:p>
            <w:pPr>
              <w:spacing w:after="0"/>
              <w:rPr>
                <w:sz w:val="14"/>
                <w:szCs w:val="14"/>
                <w:color w:val="auto"/>
              </w:rPr>
            </w:pPr>
          </w:p>
        </w:tc>
        <w:tc>
          <w:tcPr>
            <w:tcW w:w="156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Notional Amounts</w:t>
            </w:r>
          </w:p>
        </w:tc>
        <w:tc>
          <w:tcPr>
            <w:tcW w:w="1660" w:type="dxa"/>
            <w:vAlign w:val="bottom"/>
          </w:tcPr>
          <w:p>
            <w:pPr>
              <w:jc w:val="right"/>
              <w:ind w:right="279"/>
              <w:spacing w:after="0" w:line="163" w:lineRule="exact"/>
              <w:rPr>
                <w:sz w:val="20"/>
                <w:szCs w:val="20"/>
                <w:color w:val="auto"/>
              </w:rPr>
            </w:pPr>
            <w:r>
              <w:rPr>
                <w:rFonts w:ascii="Arial" w:cs="Arial" w:eastAsia="Arial" w:hAnsi="Arial"/>
                <w:sz w:val="16"/>
                <w:szCs w:val="16"/>
                <w:b w:val="1"/>
                <w:bCs w:val="1"/>
                <w:color w:val="auto"/>
              </w:rPr>
              <w:t>Maximum Term</w:t>
            </w:r>
          </w:p>
        </w:tc>
        <w:tc>
          <w:tcPr>
            <w:tcW w:w="1420" w:type="dxa"/>
            <w:vAlign w:val="bottom"/>
          </w:tcPr>
          <w:p>
            <w:pPr>
              <w:jc w:val="center"/>
              <w:ind w:right="159"/>
              <w:spacing w:after="0" w:line="163" w:lineRule="exact"/>
              <w:rPr>
                <w:sz w:val="20"/>
                <w:szCs w:val="20"/>
                <w:color w:val="auto"/>
              </w:rPr>
            </w:pPr>
            <w:r>
              <w:rPr>
                <w:rFonts w:ascii="Arial" w:cs="Arial" w:eastAsia="Arial" w:hAnsi="Arial"/>
                <w:sz w:val="16"/>
                <w:szCs w:val="16"/>
                <w:b w:val="1"/>
                <w:bCs w:val="1"/>
                <w:color w:val="auto"/>
              </w:rPr>
              <w:t>Amounts</w:t>
            </w:r>
          </w:p>
        </w:tc>
        <w:tc>
          <w:tcPr>
            <w:tcW w:w="15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Maximum Term</w:t>
            </w:r>
          </w:p>
        </w:tc>
      </w:tr>
      <w:tr>
        <w:trPr>
          <w:trHeight w:val="243"/>
        </w:trPr>
        <w:tc>
          <w:tcPr>
            <w:tcW w:w="5020" w:type="dxa"/>
            <w:vAlign w:val="bottom"/>
          </w:tcPr>
          <w:p>
            <w:pPr>
              <w:spacing w:after="0"/>
              <w:rPr>
                <w:sz w:val="21"/>
                <w:szCs w:val="21"/>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(MMBtus)</w:t>
            </w:r>
          </w:p>
        </w:tc>
        <w:tc>
          <w:tcPr>
            <w:tcW w:w="1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(MMBtus)</w:t>
            </w: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N/A</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1,140,000</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2,850,000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7"/>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N/A</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5,890,000</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3,890,000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6,588,860</w:t>
            </w:r>
          </w:p>
        </w:tc>
        <w:tc>
          <w:tcPr>
            <w:tcW w:w="16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38</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12,582,415</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2024, 315,000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1"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June 30, 2024, the Company posted $0.1 million related to such provisions, which is included in Other current assets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6"/>
                <w:szCs w:val="16"/>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4120" w:type="dxa"/>
            <w:vAlign w:val="bottom"/>
          </w:tcPr>
          <w:p>
            <w:pPr>
              <w:spacing w:after="0"/>
              <w:rPr>
                <w:sz w:val="18"/>
                <w:szCs w:val="18"/>
                <w:color w:val="auto"/>
              </w:rPr>
            </w:pPr>
          </w:p>
        </w:tc>
        <w:tc>
          <w:tcPr>
            <w:tcW w:w="394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Balance Sheet Location</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20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4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197"/>
        </w:trPr>
        <w:tc>
          <w:tcPr>
            <w:tcW w:w="4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39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4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deferred credits and other liabilities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and six months ended June 30, 2024, and 2023.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499"/>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217"/>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2023</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82"/>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7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8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of Gain/(Loss)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Recognized in OCI</w:t>
            </w:r>
          </w:p>
        </w:tc>
        <w:tc>
          <w:tcPr>
            <w:tcW w:w="34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209"/>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(in millions)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millions)</w:t>
            </w:r>
          </w:p>
        </w:tc>
      </w:tr>
      <w:tr>
        <w:trPr>
          <w:trHeight w:val="210"/>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ind w:left="580"/>
              <w:spacing w:after="0"/>
              <w:rPr>
                <w:sz w:val="20"/>
                <w:szCs w:val="20"/>
                <w:color w:val="auto"/>
              </w:rPr>
            </w:pPr>
            <w:r>
              <w:rPr>
                <w:rFonts w:ascii="Arial" w:cs="Arial" w:eastAsia="Arial" w:hAnsi="Arial"/>
                <w:sz w:val="16"/>
                <w:szCs w:val="16"/>
                <w:color w:val="auto"/>
              </w:rPr>
              <w:t>(0.7 )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358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3480" w:type="dxa"/>
            <w:vAlign w:val="bottom"/>
          </w:tcPr>
          <w:p>
            <w:pPr>
              <w:ind w:left="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(0.6 )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r>
      <w:tr>
        <w:trPr>
          <w:trHeight w:val="250"/>
        </w:trPr>
        <w:tc>
          <w:tcPr>
            <w:tcW w:w="3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6"/>
                <w:szCs w:val="16"/>
                <w:color w:val="auto"/>
              </w:rPr>
              <w:t>(1.3 ) $</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2202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2202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Six Months Ended</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left="499"/>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2023</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82"/>
        </w:trPr>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7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of Gain/(Loss)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3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Relationships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b w:val="1"/>
                <w:bCs w:val="1"/>
                <w:color w:val="auto"/>
              </w:rPr>
              <w:t>Recognized in OCI</w:t>
            </w:r>
          </w:p>
        </w:tc>
        <w:tc>
          <w:tcPr>
            <w:tcW w:w="34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209"/>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(in millions)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millions)</w:t>
            </w:r>
          </w:p>
        </w:tc>
      </w:tr>
      <w:tr>
        <w:trPr>
          <w:trHeight w:val="210"/>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ind w:left="580"/>
              <w:spacing w:after="0"/>
              <w:rPr>
                <w:sz w:val="20"/>
                <w:szCs w:val="20"/>
                <w:color w:val="auto"/>
              </w:rPr>
            </w:pPr>
            <w:r>
              <w:rPr>
                <w:rFonts w:ascii="Arial" w:cs="Arial" w:eastAsia="Arial" w:hAnsi="Arial"/>
                <w:sz w:val="16"/>
                <w:szCs w:val="16"/>
                <w:color w:val="auto"/>
              </w:rPr>
              <w:t>(1.4 )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(1.4 )</w:t>
            </w:r>
          </w:p>
        </w:tc>
      </w:tr>
      <w:tr>
        <w:trPr>
          <w:trHeight w:val="188"/>
        </w:trPr>
        <w:tc>
          <w:tcPr>
            <w:tcW w:w="1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Commodity derivatives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3480" w:type="dxa"/>
            <w:vAlign w:val="bottom"/>
          </w:tcPr>
          <w:p>
            <w:pPr>
              <w:ind w:left="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(3.2 )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50"/>
        </w:trPr>
        <w:tc>
          <w:tcPr>
            <w:tcW w:w="358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6"/>
                <w:szCs w:val="16"/>
                <w:color w:val="auto"/>
              </w:rPr>
              <w:t>(4.6 ) $</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22028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22028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of June 30, 2024, $3.1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six months ended June 30, 2024, and 2023.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620" w:type="dxa"/>
            <w:vAlign w:val="bottom"/>
          </w:tcPr>
          <w:p>
            <w:pPr>
              <w:jc w:val="center"/>
              <w:ind w:left="5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4080" w:type="dxa"/>
            <w:vAlign w:val="bottom"/>
            <w:gridSpan w:val="4"/>
          </w:tcPr>
          <w:p>
            <w:pPr>
              <w:jc w:val="center"/>
              <w:ind w:right="59"/>
              <w:spacing w:after="0" w:line="182"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759"/>
              <w:spacing w:after="0"/>
              <w:rPr>
                <w:sz w:val="20"/>
                <w:szCs w:val="20"/>
                <w:color w:val="auto"/>
              </w:rPr>
            </w:pPr>
            <w:r>
              <w:rPr>
                <w:rFonts w:ascii="Arial" w:cs="Arial" w:eastAsia="Arial" w:hAnsi="Arial"/>
                <w:sz w:val="16"/>
                <w:szCs w:val="16"/>
                <w:b w:val="1"/>
                <w:bCs w:val="1"/>
                <w:color w:val="auto"/>
              </w:rPr>
              <w:t>in Income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2"/>
          </w:tcPr>
          <w:p>
            <w:pPr>
              <w:jc w:val="center"/>
              <w:ind w:right="739"/>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spacing w:after="0"/>
              <w:rPr>
                <w:sz w:val="16"/>
                <w:szCs w:val="16"/>
                <w:color w:val="auto"/>
              </w:rPr>
            </w:pPr>
          </w:p>
        </w:tc>
        <w:tc>
          <w:tcPr>
            <w:tcW w:w="36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40" w:type="dxa"/>
            <w:vAlign w:val="bottom"/>
            <w:vMerge w:val="restart"/>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4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44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620" w:type="dxa"/>
            <w:vAlign w:val="bottom"/>
          </w:tcPr>
          <w:p>
            <w:pPr>
              <w:jc w:val="center"/>
              <w:ind w:left="5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4080" w:type="dxa"/>
            <w:vAlign w:val="bottom"/>
            <w:gridSpan w:val="4"/>
          </w:tcPr>
          <w:p>
            <w:pPr>
              <w:jc w:val="center"/>
              <w:ind w:right="59"/>
              <w:spacing w:after="0" w:line="182"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759"/>
              <w:spacing w:after="0"/>
              <w:rPr>
                <w:sz w:val="20"/>
                <w:szCs w:val="20"/>
                <w:color w:val="auto"/>
              </w:rPr>
            </w:pPr>
            <w:r>
              <w:rPr>
                <w:rFonts w:ascii="Arial" w:cs="Arial" w:eastAsia="Arial" w:hAnsi="Arial"/>
                <w:sz w:val="16"/>
                <w:szCs w:val="16"/>
                <w:b w:val="1"/>
                <w:bCs w:val="1"/>
                <w:color w:val="auto"/>
              </w:rPr>
              <w:t>in Income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2"/>
          </w:tcPr>
          <w:p>
            <w:pPr>
              <w:jc w:val="center"/>
              <w:ind w:right="739"/>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spacing w:after="0"/>
              <w:rPr>
                <w:sz w:val="16"/>
                <w:szCs w:val="16"/>
                <w:color w:val="auto"/>
              </w:rPr>
            </w:pPr>
          </w:p>
        </w:tc>
        <w:tc>
          <w:tcPr>
            <w:tcW w:w="36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440" w:type="dxa"/>
            <w:vAlign w:val="bottom"/>
            <w:vMerge w:val="restart"/>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4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We had $0.5 million in net unrealized losses included in our Regulatory asset accounts related to these financial instruments in our Gas Utilities as of June 30, 2024, and the amount was $5.1 million as of December 31, 2023.</w:t>
      </w:r>
    </w:p>
    <w:p>
      <w:pPr>
        <w:spacing w:after="0" w:line="34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2023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3"/>
          </w:tcPr>
          <w:p>
            <w:pPr>
              <w:jc w:val="right"/>
              <w:ind w:right="1763"/>
              <w:spacing w:after="0"/>
              <w:rPr>
                <w:sz w:val="20"/>
                <w:szCs w:val="20"/>
                <w:color w:val="auto"/>
              </w:rPr>
            </w:pPr>
            <w:r>
              <w:rPr>
                <w:rFonts w:ascii="Arial" w:cs="Arial" w:eastAsia="Arial" w:hAnsi="Arial"/>
                <w:sz w:val="16"/>
                <w:szCs w:val="16"/>
                <w:b w:val="1"/>
                <w:bCs w:val="1"/>
                <w:color w:val="auto"/>
              </w:rPr>
              <w:t>As of June 30, 2024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443"/>
              <w:spacing w:after="0"/>
              <w:rPr>
                <w:sz w:val="20"/>
                <w:szCs w:val="20"/>
                <w:color w:val="auto"/>
              </w:rPr>
            </w:pPr>
            <w:r>
              <w:rPr>
                <w:rFonts w:ascii="Arial" w:cs="Arial" w:eastAsia="Arial" w:hAnsi="Arial"/>
                <w:sz w:val="16"/>
                <w:szCs w:val="16"/>
                <w:b w:val="1"/>
                <w:bCs w:val="1"/>
                <w:color w:val="auto"/>
              </w:rPr>
              <w:t>Cash Collateral and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2"/>
          </w:tcPr>
          <w:p>
            <w:pPr>
              <w:jc w:val="center"/>
              <w:ind w:right="303"/>
              <w:spacing w:after="0" w:line="163" w:lineRule="exact"/>
              <w:rPr>
                <w:sz w:val="20"/>
                <w:szCs w:val="20"/>
                <w:color w:val="auto"/>
              </w:rPr>
            </w:pPr>
            <w:r>
              <w:rPr>
                <w:rFonts w:ascii="Arial" w:cs="Arial" w:eastAsia="Arial" w:hAnsi="Arial"/>
                <w:sz w:val="16"/>
                <w:szCs w:val="16"/>
                <w:b w:val="1"/>
                <w:bCs w:val="1"/>
                <w:color w:val="auto"/>
              </w:rPr>
              <w:t>Counterparty Netting</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20" w:type="dxa"/>
            <w:vAlign w:val="bottom"/>
            <w:vMerge w:val="restart"/>
          </w:tcPr>
          <w:p>
            <w:pPr>
              <w:jc w:val="right"/>
              <w:ind w:right="59"/>
              <w:spacing w:after="0" w:line="175"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299"/>
              <w:spacing w:after="0" w:line="175" w:lineRule="exact"/>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0"/>
                <w:szCs w:val="10"/>
                <w:color w:val="auto"/>
              </w:rPr>
            </w:pPr>
          </w:p>
        </w:tc>
        <w:tc>
          <w:tcPr>
            <w:tcW w:w="1200" w:type="dxa"/>
            <w:vAlign w:val="bottom"/>
            <w:vMerge w:val="restart"/>
          </w:tcPr>
          <w:p>
            <w:pPr>
              <w:jc w:val="right"/>
              <w:ind w:right="339"/>
              <w:spacing w:after="0" w:line="175"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2040" w:type="dxa"/>
            <w:vAlign w:val="bottom"/>
          </w:tcPr>
          <w:p>
            <w:pPr>
              <w:jc w:val="center"/>
              <w:ind w:right="383"/>
              <w:spacing w:after="0" w:line="122" w:lineRule="exact"/>
              <w:rPr>
                <w:sz w:val="20"/>
                <w:szCs w:val="20"/>
                <w:color w:val="auto"/>
              </w:rPr>
            </w:pPr>
            <w:r>
              <w:rPr>
                <w:rFonts w:ascii="Arial" w:cs="Arial" w:eastAsia="Arial" w:hAnsi="Arial"/>
                <w:sz w:val="11"/>
                <w:szCs w:val="11"/>
                <w:b w:val="1"/>
                <w:bCs w:val="1"/>
                <w:color w:val="auto"/>
              </w:rPr>
              <w:t>(a)</w:t>
            </w:r>
          </w:p>
        </w:tc>
        <w:tc>
          <w:tcPr>
            <w:tcW w:w="1060" w:type="dxa"/>
            <w:vAlign w:val="bottom"/>
            <w:vMerge w:val="restart"/>
          </w:tcPr>
          <w:p>
            <w:pPr>
              <w:jc w:val="right"/>
              <w:ind w:right="43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(0.7 )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(0.7 )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(0.1 )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(0.1 )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120" w:hanging="512"/>
        <w:spacing w:after="0" w:line="285"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2024, $0.7 million of our commodity derivative assets and $0.1 million of our commodity derivative liabilities, as well as related gross collateral amounts, were subject to master netting agreements.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4"/>
          </w:tcPr>
          <w:p>
            <w:pPr>
              <w:jc w:val="right"/>
              <w:ind w:right="1563"/>
              <w:spacing w:after="0"/>
              <w:rPr>
                <w:sz w:val="20"/>
                <w:szCs w:val="20"/>
                <w:color w:val="auto"/>
              </w:rPr>
            </w:pPr>
            <w:r>
              <w:rPr>
                <w:rFonts w:ascii="Arial" w:cs="Arial" w:eastAsia="Arial" w:hAnsi="Arial"/>
                <w:sz w:val="16"/>
                <w:szCs w:val="16"/>
                <w:b w:val="1"/>
                <w:bCs w:val="1"/>
                <w:color w:val="auto"/>
              </w:rPr>
              <w:t>As of December 31, 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443"/>
              <w:spacing w:after="0"/>
              <w:rPr>
                <w:sz w:val="20"/>
                <w:szCs w:val="20"/>
                <w:color w:val="auto"/>
              </w:rPr>
            </w:pPr>
            <w:r>
              <w:rPr>
                <w:rFonts w:ascii="Arial" w:cs="Arial" w:eastAsia="Arial" w:hAnsi="Arial"/>
                <w:sz w:val="16"/>
                <w:szCs w:val="16"/>
                <w:b w:val="1"/>
                <w:bCs w:val="1"/>
                <w:color w:val="auto"/>
              </w:rPr>
              <w:t>Cash Collateral and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Level 3</w:t>
            </w:r>
          </w:p>
        </w:tc>
        <w:tc>
          <w:tcPr>
            <w:tcW w:w="2160" w:type="dxa"/>
            <w:vAlign w:val="bottom"/>
            <w:gridSpan w:val="2"/>
          </w:tcPr>
          <w:p>
            <w:pPr>
              <w:jc w:val="center"/>
              <w:ind w:right="303"/>
              <w:spacing w:after="0" w:line="163" w:lineRule="exact"/>
              <w:rPr>
                <w:sz w:val="20"/>
                <w:szCs w:val="20"/>
                <w:color w:val="auto"/>
              </w:rPr>
            </w:pPr>
            <w:r>
              <w:rPr>
                <w:rFonts w:ascii="Arial" w:cs="Arial" w:eastAsia="Arial" w:hAnsi="Arial"/>
                <w:sz w:val="16"/>
                <w:szCs w:val="16"/>
                <w:b w:val="1"/>
                <w:bCs w:val="1"/>
                <w:color w:val="auto"/>
              </w:rPr>
              <w:t>Counterparty Netting</w:t>
            </w: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rPr>
              <w:t>(a)</w:t>
            </w: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400" w:hanging="512"/>
        <w:spacing w:after="0" w:line="249"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2023, $1.9 million of our commodity derivative assets and $3.3 million of our commodity derivative liabilities, as well as related gross collateral amounts, were subject to master netting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2023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(in millions)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9"/>
              <w:spacing w:after="0" w:line="182"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5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54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4,847.1</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4,589.6</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4,401.2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20" w:hanging="512"/>
        <w:spacing w:after="0" w:line="285"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1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3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Reclassified from</w:t>
            </w:r>
          </w:p>
        </w:tc>
        <w:tc>
          <w:tcPr>
            <w:tcW w:w="226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rPr>
              <w:t>Amount Reclassified from</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AOCI</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left="479"/>
              <w:spacing w:after="0"/>
              <w:rPr>
                <w:sz w:val="20"/>
                <w:szCs w:val="20"/>
                <w:color w:val="auto"/>
              </w:rPr>
            </w:pPr>
            <w:r>
              <w:rPr>
                <w:rFonts w:ascii="Arial" w:cs="Arial" w:eastAsia="Arial" w:hAnsi="Arial"/>
                <w:sz w:val="16"/>
                <w:szCs w:val="16"/>
                <w:b w:val="1"/>
                <w:bCs w:val="1"/>
                <w:color w:val="auto"/>
                <w:w w:val="99"/>
              </w:rPr>
              <w:t>AOCI</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2920" w:type="dxa"/>
            <w:vAlign w:val="bottom"/>
          </w:tcPr>
          <w:p>
            <w:pPr>
              <w:ind w:left="300"/>
              <w:spacing w:after="0"/>
              <w:rPr>
                <w:sz w:val="20"/>
                <w:szCs w:val="20"/>
                <w:color w:val="auto"/>
              </w:rPr>
            </w:pPr>
            <w:r>
              <w:rPr>
                <w:rFonts w:ascii="Arial" w:cs="Arial" w:eastAsia="Arial" w:hAnsi="Arial"/>
                <w:sz w:val="16"/>
                <w:szCs w:val="16"/>
                <w:b w:val="1"/>
                <w:bCs w:val="1"/>
                <w:color w:val="auto"/>
              </w:rPr>
              <w:t>Location on the Consolidated</w:t>
            </w:r>
          </w:p>
        </w:tc>
        <w:tc>
          <w:tcPr>
            <w:tcW w:w="23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Three Months Ended June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720" w:type="dxa"/>
            <w:vAlign w:val="bottom"/>
          </w:tcPr>
          <w:p>
            <w:pPr>
              <w:spacing w:after="0"/>
              <w:rPr>
                <w:sz w:val="18"/>
                <w:szCs w:val="18"/>
                <w:color w:val="auto"/>
              </w:rPr>
            </w:pPr>
          </w:p>
        </w:tc>
        <w:tc>
          <w:tcPr>
            <w:tcW w:w="2920" w:type="dxa"/>
            <w:vAlign w:val="bottom"/>
          </w:tcPr>
          <w:p>
            <w:pPr>
              <w:ind w:left="620"/>
              <w:spacing w:after="0"/>
              <w:rPr>
                <w:sz w:val="20"/>
                <w:szCs w:val="20"/>
                <w:color w:val="auto"/>
              </w:rPr>
            </w:pPr>
            <w:r>
              <w:rPr>
                <w:rFonts w:ascii="Arial" w:cs="Arial" w:eastAsia="Arial" w:hAnsi="Arial"/>
                <w:sz w:val="16"/>
                <w:szCs w:val="16"/>
                <w:b w:val="1"/>
                <w:bCs w:val="1"/>
                <w:color w:val="auto"/>
              </w:rPr>
              <w:t>Statements of Income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2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(0.7 ) $</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(0.7 )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16"/>
                <w:szCs w:val="16"/>
                <w:color w:val="auto"/>
              </w:rPr>
            </w:pPr>
          </w:p>
        </w:tc>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Fuel, purchased power and cost of</w:t>
            </w:r>
          </w:p>
        </w:tc>
        <w:tc>
          <w:tcPr>
            <w:tcW w:w="2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26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22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ind w:right="179"/>
              <w:spacing w:after="0"/>
              <w:rPr>
                <w:sz w:val="20"/>
                <w:szCs w:val="20"/>
                <w:color w:val="auto"/>
              </w:rPr>
            </w:pPr>
            <w:r>
              <w:rPr>
                <w:rFonts w:ascii="Arial" w:cs="Arial" w:eastAsia="Arial" w:hAnsi="Arial"/>
                <w:sz w:val="16"/>
                <w:szCs w:val="16"/>
                <w:color w:val="auto"/>
              </w:rPr>
              <w:t>(3.2 )</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contracts</w:t>
            </w:r>
          </w:p>
        </w:tc>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sold</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(1.3 ) $</w:t>
            </w:r>
          </w:p>
        </w:tc>
        <w:tc>
          <w:tcPr>
            <w:tcW w:w="1140" w:type="dxa"/>
            <w:vAlign w:val="bottom"/>
            <w:gridSpan w:val="2"/>
          </w:tcPr>
          <w:p>
            <w:pPr>
              <w:jc w:val="right"/>
              <w:ind w:right="39"/>
              <w:spacing w:after="0"/>
              <w:rPr>
                <w:sz w:val="20"/>
                <w:szCs w:val="20"/>
                <w:color w:val="auto"/>
              </w:rPr>
            </w:pPr>
            <w:r>
              <w:rPr>
                <w:rFonts w:ascii="Arial" w:cs="Arial" w:eastAsia="Arial" w:hAnsi="Arial"/>
                <w:sz w:val="16"/>
                <w:szCs w:val="16"/>
                <w:color w:val="auto"/>
              </w:rPr>
              <w:t>(1.2 )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(4.6 ) $</w:t>
            </w:r>
          </w:p>
        </w:tc>
        <w:tc>
          <w:tcPr>
            <w:tcW w:w="88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2"/>
        </w:trPr>
        <w:tc>
          <w:tcPr>
            <w:tcW w:w="372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cash</w:t>
            </w:r>
          </w:p>
        </w:tc>
        <w:tc>
          <w:tcPr>
            <w:tcW w:w="2920" w:type="dxa"/>
            <w:vAlign w:val="bottom"/>
          </w:tcPr>
          <w:p>
            <w:pPr>
              <w:spacing w:after="0"/>
              <w:rPr>
                <w:sz w:val="15"/>
                <w:szCs w:val="15"/>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(1.0 ) $</w:t>
            </w:r>
          </w:p>
        </w:tc>
        <w:tc>
          <w:tcPr>
            <w:tcW w:w="11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(0.9 ) $</w:t>
            </w: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(3.6 ) $</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Arial" w:cs="Arial" w:eastAsia="Arial" w:hAnsi="Arial"/>
                <w:sz w:val="16"/>
                <w:szCs w:val="16"/>
                <w:color w:val="auto"/>
              </w:rPr>
              <w:t>flow hedges, net of tax</w:t>
            </w:r>
          </w:p>
        </w:tc>
        <w:tc>
          <w:tcPr>
            <w:tcW w:w="29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w:t>
            </w: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color w:val="auto"/>
              </w:rPr>
              <w:t>plans: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Actuarial (loss)</w:t>
            </w:r>
          </w:p>
        </w:tc>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(0.1 )</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(0.1 )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reclassification adjustments related to defined</w:t>
            </w:r>
          </w:p>
        </w:tc>
        <w:tc>
          <w:tcPr>
            <w:tcW w:w="292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(0.1 ) $</w:t>
            </w:r>
          </w:p>
        </w:tc>
        <w:tc>
          <w:tcPr>
            <w:tcW w:w="8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 plans, net of tax</w:t>
            </w:r>
          </w:p>
        </w:tc>
        <w:tc>
          <w:tcPr>
            <w:tcW w:w="2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vMerge w:val="continue"/>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8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9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(1.0 ) $</w:t>
            </w:r>
          </w:p>
        </w:tc>
        <w:tc>
          <w:tcPr>
            <w:tcW w:w="11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(0.9 )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920" w:type="dxa"/>
            <w:vAlign w:val="bottom"/>
            <w:vMerge w:val="restart"/>
          </w:tcPr>
          <w:p>
            <w:pPr>
              <w:ind w:left="1820"/>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8"/>
        </w:trPr>
        <w:tc>
          <w:tcPr>
            <w:tcW w:w="37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40" w:type="dxa"/>
            <w:vAlign w:val="bottom"/>
          </w:tcPr>
          <w:p>
            <w:pPr>
              <w:spacing w:after="0"/>
              <w:rPr>
                <w:sz w:val="15"/>
                <w:szCs w:val="15"/>
                <w:color w:val="auto"/>
              </w:rPr>
            </w:pPr>
          </w:p>
        </w:tc>
        <w:tc>
          <w:tcPr>
            <w:tcW w:w="2220" w:type="dxa"/>
            <w:vAlign w:val="bottom"/>
          </w:tcPr>
          <w:p>
            <w:pPr>
              <w:jc w:val="right"/>
              <w:ind w:right="71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Interest Rate Swaps</w:t>
            </w: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10"/>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(6.1 ) $</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(6.2 )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(14.8 )</w:t>
            </w:r>
          </w:p>
        </w:tc>
      </w:tr>
      <w:tr>
        <w:trPr>
          <w:trHeight w:val="188"/>
        </w:trPr>
        <w:tc>
          <w:tcPr>
            <w:tcW w:w="3240" w:type="dxa"/>
            <w:vAlign w:val="bottom"/>
          </w:tcPr>
          <w:p>
            <w:pPr>
              <w:ind w:left="12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22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(0.2 )</w:t>
            </w:r>
          </w:p>
        </w:tc>
        <w:tc>
          <w:tcPr>
            <w:tcW w:w="140" w:type="dxa"/>
            <w:vAlign w:val="bottom"/>
          </w:tcPr>
          <w:p>
            <w:pPr>
              <w:spacing w:after="0"/>
              <w:rPr>
                <w:sz w:val="18"/>
                <w:szCs w:val="18"/>
                <w:color w:val="auto"/>
              </w:rPr>
            </w:pPr>
          </w:p>
        </w:tc>
        <w:tc>
          <w:tcPr>
            <w:tcW w:w="22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1.1</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rPr>
              <w:t>0.1</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As of June 30,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(5.0 ) $</w:t>
            </w: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(0.2 ) $</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40" w:type="dxa"/>
            <w:vAlign w:val="bottom"/>
          </w:tcPr>
          <w:p>
            <w:pPr>
              <w:spacing w:after="0"/>
              <w:rPr>
                <w:sz w:val="15"/>
                <w:szCs w:val="15"/>
                <w:color w:val="auto"/>
              </w:rPr>
            </w:pPr>
          </w:p>
        </w:tc>
        <w:tc>
          <w:tcPr>
            <w:tcW w:w="2220" w:type="dxa"/>
            <w:vAlign w:val="bottom"/>
          </w:tcPr>
          <w:p>
            <w:pPr>
              <w:jc w:val="right"/>
              <w:ind w:right="71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Interest Rate Swaps</w:t>
            </w: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(8.3 ) $</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(15.6 )</w:t>
            </w:r>
          </w:p>
        </w:tc>
      </w:tr>
      <w:tr>
        <w:trPr>
          <w:trHeight w:val="188"/>
        </w:trPr>
        <w:tc>
          <w:tcPr>
            <w:tcW w:w="3240" w:type="dxa"/>
            <w:vAlign w:val="bottom"/>
          </w:tcPr>
          <w:p>
            <w:pPr>
              <w:ind w:left="12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8"/>
                <w:szCs w:val="18"/>
                <w:color w:val="auto"/>
              </w:rPr>
            </w:pPr>
          </w:p>
        </w:tc>
        <w:tc>
          <w:tcPr>
            <w:tcW w:w="22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(0.7 )</w:t>
            </w:r>
          </w:p>
        </w:tc>
        <w:tc>
          <w:tcPr>
            <w:tcW w:w="140" w:type="dxa"/>
            <w:vAlign w:val="bottom"/>
          </w:tcPr>
          <w:p>
            <w:pPr>
              <w:spacing w:after="0"/>
              <w:rPr>
                <w:sz w:val="18"/>
                <w:szCs w:val="18"/>
                <w:color w:val="auto"/>
              </w:rPr>
            </w:pPr>
          </w:p>
        </w:tc>
        <w:tc>
          <w:tcPr>
            <w:tcW w:w="22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1.1</w:t>
            </w:r>
          </w:p>
        </w:tc>
        <w:tc>
          <w:tcPr>
            <w:tcW w:w="16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As of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(7.2 ) $</w:t>
            </w: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  $</w:t>
            </w:r>
          </w:p>
        </w:tc>
        <w:tc>
          <w:tcPr>
            <w:tcW w:w="2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(13.3 )</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(10)</w:t>
        <w:tab/>
        <w:t>Employee Benefit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Supplemental Non-qualified</w:t>
            </w:r>
          </w:p>
        </w:tc>
        <w:tc>
          <w:tcPr>
            <w:tcW w:w="160" w:type="dxa"/>
            <w:vAlign w:val="bottom"/>
          </w:tcPr>
          <w:p>
            <w:pPr>
              <w:spacing w:after="0"/>
              <w:rPr>
                <w:sz w:val="16"/>
                <w:szCs w:val="16"/>
                <w:color w:val="auto"/>
              </w:rPr>
            </w:pPr>
          </w:p>
        </w:tc>
        <w:tc>
          <w:tcPr>
            <w:tcW w:w="26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Non-pension Defined Benefit</w:t>
            </w:r>
          </w:p>
        </w:tc>
      </w:tr>
      <w:tr>
        <w:trPr>
          <w:trHeight w:val="217"/>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Postretirement Healthcare Plan</w:t>
            </w: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10"/>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17"/>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Net periodic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Supplemental Non-qualified</w:t>
            </w:r>
          </w:p>
        </w:tc>
        <w:tc>
          <w:tcPr>
            <w:tcW w:w="180" w:type="dxa"/>
            <w:vAlign w:val="bottom"/>
          </w:tcPr>
          <w:p>
            <w:pPr>
              <w:spacing w:after="0"/>
              <w:rPr>
                <w:sz w:val="16"/>
                <w:szCs w:val="16"/>
                <w:color w:val="auto"/>
              </w:rPr>
            </w:pPr>
          </w:p>
        </w:tc>
        <w:tc>
          <w:tcPr>
            <w:tcW w:w="26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Non-pension Defined Benefit</w:t>
            </w:r>
          </w:p>
        </w:tc>
      </w:tr>
      <w:tr>
        <w:trPr>
          <w:trHeight w:val="217"/>
        </w:trPr>
        <w:tc>
          <w:tcPr>
            <w:tcW w:w="3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Defined Benefit Plans</w:t>
            </w: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Postretirement Healthcare Plan</w:t>
            </w:r>
          </w:p>
        </w:tc>
      </w:tr>
      <w:tr>
        <w:trPr>
          <w:trHeight w:val="21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9"/>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17"/>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(9.3 )</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240" w:type="dxa"/>
            <w:vAlign w:val="bottom"/>
          </w:tcPr>
          <w:p>
            <w:pPr>
              <w:ind w:left="20"/>
              <w:spacing w:after="0"/>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7"/>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38"/>
        </w:trPr>
        <w:tc>
          <w:tcPr>
            <w:tcW w:w="3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primarily made in the form of benefit payments. Contributions made in the first six months of 2024 and anticipated contributions for 2024 and 2025 are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80" w:type="dxa"/>
            <w:vAlign w:val="bottom"/>
          </w:tcPr>
          <w:p>
            <w:pPr>
              <w:jc w:val="center"/>
              <w:ind w:left="239"/>
              <w:spacing w:after="0"/>
              <w:rPr>
                <w:sz w:val="20"/>
                <w:szCs w:val="20"/>
                <w:color w:val="auto"/>
              </w:rPr>
            </w:pPr>
            <w:r>
              <w:rPr>
                <w:rFonts w:ascii="Arial" w:cs="Arial" w:eastAsia="Arial" w:hAnsi="Arial"/>
                <w:sz w:val="16"/>
                <w:szCs w:val="16"/>
                <w:b w:val="1"/>
                <w:bCs w:val="1"/>
                <w:color w:val="auto"/>
                <w:w w:val="99"/>
              </w:rPr>
              <w:t>Additional</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119"/>
              <w:spacing w:after="0"/>
              <w:rPr>
                <w:sz w:val="20"/>
                <w:szCs w:val="20"/>
                <w:color w:val="auto"/>
              </w:rPr>
            </w:pPr>
            <w:r>
              <w:rPr>
                <w:rFonts w:ascii="Arial" w:cs="Arial" w:eastAsia="Arial" w:hAnsi="Arial"/>
                <w:sz w:val="16"/>
                <w:szCs w:val="16"/>
                <w:b w:val="1"/>
                <w:bCs w:val="1"/>
                <w:color w:val="auto"/>
              </w:rPr>
              <w:t>Contributions Made</w:t>
            </w:r>
          </w:p>
        </w:tc>
        <w:tc>
          <w:tcPr>
            <w:tcW w:w="1580" w:type="dxa"/>
            <w:vAlign w:val="bottom"/>
          </w:tcPr>
          <w:p>
            <w:pPr>
              <w:jc w:val="center"/>
              <w:ind w:left="279"/>
              <w:spacing w:after="0"/>
              <w:rPr>
                <w:sz w:val="20"/>
                <w:szCs w:val="20"/>
                <w:color w:val="auto"/>
              </w:rPr>
            </w:pPr>
            <w:r>
              <w:rPr>
                <w:rFonts w:ascii="Arial" w:cs="Arial" w:eastAsia="Arial" w:hAnsi="Arial"/>
                <w:sz w:val="16"/>
                <w:szCs w:val="16"/>
                <w:b w:val="1"/>
                <w:bCs w:val="1"/>
                <w:color w:val="auto"/>
              </w:rPr>
              <w:t>Contributions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right="239"/>
              <w:spacing w:after="0"/>
              <w:rPr>
                <w:sz w:val="20"/>
                <w:szCs w:val="20"/>
                <w:color w:val="auto"/>
              </w:rPr>
            </w:pPr>
            <w:r>
              <w:rPr>
                <w:rFonts w:ascii="Arial" w:cs="Arial" w:eastAsia="Arial" w:hAnsi="Arial"/>
                <w:sz w:val="16"/>
                <w:szCs w:val="16"/>
                <w:b w:val="1"/>
                <w:bCs w:val="1"/>
                <w:color w:val="auto"/>
              </w:rPr>
              <w:t>Contributions</w:t>
            </w:r>
          </w:p>
        </w:tc>
      </w:tr>
      <w:tr>
        <w:trPr>
          <w:trHeight w:val="189"/>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159"/>
              <w:spacing w:after="0"/>
              <w:rPr>
                <w:sz w:val="20"/>
                <w:szCs w:val="20"/>
                <w:color w:val="auto"/>
              </w:rPr>
            </w:pPr>
            <w:r>
              <w:rPr>
                <w:rFonts w:ascii="Arial" w:cs="Arial" w:eastAsia="Arial" w:hAnsi="Arial"/>
                <w:sz w:val="16"/>
                <w:szCs w:val="16"/>
                <w:b w:val="1"/>
                <w:bCs w:val="1"/>
                <w:color w:val="auto"/>
              </w:rPr>
              <w:t>Six Months Ended</w:t>
            </w:r>
          </w:p>
        </w:tc>
        <w:tc>
          <w:tcPr>
            <w:tcW w:w="1580" w:type="dxa"/>
            <w:vAlign w:val="bottom"/>
          </w:tcPr>
          <w:p>
            <w:pPr>
              <w:jc w:val="center"/>
              <w:ind w:left="239"/>
              <w:spacing w:after="0"/>
              <w:rPr>
                <w:sz w:val="20"/>
                <w:szCs w:val="20"/>
                <w:color w:val="auto"/>
              </w:rPr>
            </w:pPr>
            <w:r>
              <w:rPr>
                <w:rFonts w:ascii="Arial" w:cs="Arial" w:eastAsia="Arial" w:hAnsi="Arial"/>
                <w:sz w:val="16"/>
                <w:szCs w:val="16"/>
                <w:b w:val="1"/>
                <w:bCs w:val="1"/>
                <w:color w:val="auto"/>
              </w:rPr>
              <w:t>Anticipated for</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Anticipated for</w:t>
            </w:r>
          </w:p>
        </w:tc>
      </w:tr>
      <w:tr>
        <w:trPr>
          <w:trHeight w:val="217"/>
        </w:trPr>
        <w:tc>
          <w:tcPr>
            <w:tcW w:w="5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2024</w:t>
            </w:r>
          </w:p>
        </w:tc>
        <w:tc>
          <w:tcPr>
            <w:tcW w:w="158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2025</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580" w:type="dxa"/>
            <w:vAlign w:val="bottom"/>
            <w:shd w:val="clear" w:color="auto" w:fill="CFF0FC"/>
          </w:tcPr>
          <w:p>
            <w:pPr>
              <w:jc w:val="right"/>
              <w:ind w:right="13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c>
          <w:tcPr>
            <w:tcW w:w="158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189"/>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and Defined Contribution</w:t>
            </w:r>
          </w:p>
        </w:tc>
        <w:tc>
          <w:tcPr>
            <w:tcW w:w="14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r>
      <w:tr>
        <w:trPr>
          <w:trHeight w:val="217"/>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580" w:type="dxa"/>
            <w:vAlign w:val="bottom"/>
            <w:shd w:val="clear" w:color="auto" w:fill="CFF0FC"/>
          </w:tcPr>
          <w:p>
            <w:pPr>
              <w:jc w:val="right"/>
              <w:ind w:right="13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(11)</w:t>
        <w:tab/>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August 2022, President Biden signed H.R. 5376 into law, commonly known as the Inflation Reduction Act of 2022, or IRA. The IRA contains a tax credit transferability provision that allows us to transfer (e.g. sell) PTCs produced after December 31, 2022, to third parties. In June 2024, under this transferability provision, we entered into an agreement with a third party to sell $16.9 million of our 2023 generated PTCs. We elected to account for the net proceeds from the transfer of PTCs as a reduction to income taxes payable under the scope of ASC 740 </w:t>
      </w:r>
      <w:r>
        <w:rPr>
          <w:rFonts w:ascii="Arial" w:cs="Arial" w:eastAsia="Arial" w:hAnsi="Arial"/>
          <w:sz w:val="16"/>
          <w:szCs w:val="16"/>
          <w:i w:val="1"/>
          <w:iCs w:val="1"/>
          <w:color w:val="auto"/>
        </w:rPr>
        <w:t>Income Taxes</w:t>
      </w:r>
      <w:r>
        <w:rPr>
          <w:rFonts w:ascii="Arial" w:cs="Arial" w:eastAsia="Arial" w:hAnsi="Arial"/>
          <w:sz w:val="16"/>
          <w:szCs w:val="16"/>
          <w:color w:val="auto"/>
        </w:rPr>
        <w:t>. We included the discount from the sale of our tax credits as a component of income tax expense. This sale of tax credits is presented within operating activities in the Consolidated Statement of Cash Flows consistent with the presentation of cash taxes paid.</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 We will also include any expected proceeds from the sale of tax credits in the evaluation of the realizability of deferred tax assets related to PTCs.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April 14, 2023, the IRS released Revenue Procedure 2023-15 </w:t>
      </w:r>
      <w:r>
        <w:rPr>
          <w:rFonts w:ascii="Arial" w:cs="Arial" w:eastAsia="Arial" w:hAnsi="Arial"/>
          <w:sz w:val="16"/>
          <w:szCs w:val="16"/>
          <w:i w:val="1"/>
          <w:iCs w:val="1"/>
          <w:color w:val="auto"/>
        </w:rPr>
        <w:t>Amounts paid to improve tangible property</w:t>
      </w:r>
      <w:r>
        <w:rPr>
          <w:rFonts w:ascii="Arial" w:cs="Arial" w:eastAsia="Arial" w:hAnsi="Arial"/>
          <w:sz w:val="16"/>
          <w:szCs w:val="16"/>
          <w:color w:val="auto"/>
        </w:rPr>
        <w:t xml:space="preserve"> . The Revenue Procedure provides a safe harbor method of accounting that taxpayers may use to determine whether costs to repair, maintain, replace, or improve natural gas transmission and distribution property must be capitalized. The Revenue Procedure may be adopted in tax years ending after May 1, 2023. We intend to elect the safe harbor for tax year 2024. We do not expect the Revenue Procedure to have a material impact on our tax repairs deduction.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2024, Compared to the Three Months Ended June 30, 2023</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Income tax benefit (expense) for the three months ended June 30, 2024, was $(3.7) million compared to $6.1 million reported for the same period in 2023. For the three months ended June 30, 2024, the effective tax rate was 13.0% compared to (29.8)% for the same period in 2023. The higher effective tax rate was primarily driven by a prior year $8.2 million tax benefit from a Nebraska income tax rate decrease.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Income tax (expense) for the six months ended June 30, 2024, was $(20.6) million compared to $(8.6) million reported for the same period in 2023. For the six months ended June 30, 2024, the effective tax rate was 11.7% which compared to 5.6% for the same period in 2023. The higher effective tax rate was primarily driven by a prior year $8.2 million tax benefit from a Nebraska income tax rate decrease.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based on operating income. Our CODM reviews capital expenditures by operating segment rather than any individual or total asset amount.</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Corporate and Other also includes business development activities that are not part of our operating segments and inter-segment eliminations. Our operating segments are equivalent to our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20"/>
                <w:szCs w:val="20"/>
                <w:color w:val="auto"/>
              </w:rPr>
            </w:pPr>
            <w:r>
              <w:rPr>
                <w:rFonts w:ascii="Arial" w:cs="Arial" w:eastAsia="Arial" w:hAnsi="Arial"/>
                <w:sz w:val="16"/>
                <w:szCs w:val="16"/>
                <w:color w:val="252525"/>
              </w:rPr>
              <w:t>Segment information was as follows (in millions):</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94"/>
        </w:trPr>
        <w:tc>
          <w:tcPr>
            <w:tcW w:w="3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Gas Utilities</w:t>
            </w: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202.1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200.5</w:t>
            </w:r>
          </w:p>
        </w:tc>
        <w:tc>
          <w:tcPr>
            <w:tcW w:w="8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402.6</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46.3</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23.0</w:t>
            </w:r>
          </w:p>
        </w:tc>
        <w:tc>
          <w:tcPr>
            <w:tcW w:w="8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70.6</w:t>
            </w:r>
          </w:p>
        </w:tc>
      </w:tr>
      <w:tr>
        <w:trPr>
          <w:trHeight w:val="217"/>
        </w:trPr>
        <w:tc>
          <w:tcPr>
            <w:tcW w:w="3800" w:type="dxa"/>
            <w:vAlign w:val="bottom"/>
            <w:tcBorders>
              <w:bottom w:val="single" w:sz="8" w:color="auto"/>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98.7</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105.4</w:t>
            </w:r>
          </w:p>
        </w:tc>
        <w:tc>
          <w:tcPr>
            <w:tcW w:w="8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206.5</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 2023</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190.2</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w:t>
            </w:r>
          </w:p>
        </w:tc>
        <w:tc>
          <w:tcPr>
            <w:tcW w:w="8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411.3</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w:t>
            </w:r>
          </w:p>
        </w:tc>
      </w:tr>
      <w:tr>
        <w:trPr>
          <w:trHeight w:val="216"/>
        </w:trPr>
        <w:tc>
          <w:tcPr>
            <w:tcW w:w="38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8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151.8</w:t>
            </w:r>
          </w:p>
        </w:tc>
      </w:tr>
      <w:tr>
        <w:trPr>
          <w:trHeight w:val="20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Six Months Ended June 30, 2024</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421.4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707.6</w:t>
            </w:r>
          </w:p>
        </w:tc>
        <w:tc>
          <w:tcPr>
            <w:tcW w:w="8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1,129.0</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110.9</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153.7</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264.0</w:t>
            </w:r>
          </w:p>
        </w:tc>
      </w:tr>
      <w:tr>
        <w:trPr>
          <w:trHeight w:val="217"/>
        </w:trPr>
        <w:tc>
          <w:tcPr>
            <w:tcW w:w="3800" w:type="dxa"/>
            <w:vAlign w:val="bottom"/>
            <w:tcBorders>
              <w:bottom w:val="single" w:sz="8" w:color="auto"/>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8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4.8</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380.8</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 2023</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406.1</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926.3</w:t>
            </w:r>
          </w:p>
        </w:tc>
        <w:tc>
          <w:tcPr>
            <w:tcW w:w="8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1,332.4</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238.4</w:t>
            </w:r>
          </w:p>
        </w:tc>
      </w:tr>
      <w:tr>
        <w:trPr>
          <w:trHeight w:val="290"/>
        </w:trPr>
        <w:tc>
          <w:tcPr>
            <w:tcW w:w="3800" w:type="dxa"/>
            <w:vAlign w:val="bottom"/>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99.9</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152.8</w:t>
            </w:r>
          </w:p>
        </w:tc>
        <w:tc>
          <w:tcPr>
            <w:tcW w:w="8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0458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46" w:lineRule="exact"/>
        <w:rPr>
          <w:sz w:val="20"/>
          <w:szCs w:val="20"/>
          <w:color w:val="auto"/>
        </w:rPr>
      </w:pPr>
    </w:p>
    <w:p>
      <w:pPr>
        <w:ind w:left="520" w:right="800" w:hanging="512"/>
        <w:spacing w:after="0" w:line="285"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-142240</wp:posOffset>
            </wp:positionV>
            <wp:extent cx="1624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June 30, 2024</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2120" w:type="dxa"/>
            <w:vAlign w:val="bottom"/>
            <w:shd w:val="clear" w:color="auto" w:fill="CFF0FC"/>
          </w:tcPr>
          <w:p>
            <w:pPr>
              <w:jc w:val="right"/>
              <w:ind w:right="1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149.1</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2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198.5</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75.5</w:t>
            </w:r>
          </w:p>
        </w:tc>
        <w:tc>
          <w:tcPr>
            <w:tcW w:w="360" w:type="dxa"/>
            <w:vAlign w:val="bottom"/>
          </w:tcPr>
          <w:p>
            <w:pPr>
              <w:spacing w:after="0"/>
              <w:rPr>
                <w:sz w:val="18"/>
                <w:szCs w:val="18"/>
                <w:color w:val="auto"/>
              </w:rPr>
            </w:pP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154.0</w:t>
            </w:r>
          </w:p>
        </w:tc>
      </w:tr>
      <w:tr>
        <w:trPr>
          <w:trHeight w:val="21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36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r>
      <w:tr>
        <w:trPr>
          <w:trHeight w:val="209"/>
        </w:trPr>
        <w:tc>
          <w:tcPr>
            <w:tcW w:w="5620" w:type="dxa"/>
            <w:vAlign w:val="bottom"/>
          </w:tcPr>
          <w:p>
            <w:pPr>
              <w:ind w:left="20"/>
              <w:spacing w:after="0"/>
              <w:rPr>
                <w:sz w:val="20"/>
                <w:szCs w:val="20"/>
                <w:color w:val="auto"/>
              </w:rPr>
            </w:pPr>
            <w:r>
              <w:rPr>
                <w:rFonts w:ascii="Arial" w:cs="Arial" w:eastAsia="Arial" w:hAnsi="Arial"/>
                <w:sz w:val="16"/>
                <w:szCs w:val="16"/>
                <w:color w:val="auto"/>
              </w:rPr>
              <w:t>Account Receivable, net</w:t>
            </w:r>
          </w:p>
        </w:tc>
        <w:tc>
          <w:tcPr>
            <w:tcW w:w="212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221.5</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350.3</w:t>
            </w:r>
          </w:p>
        </w:tc>
      </w:tr>
      <w:tr>
        <w:trPr>
          <w:trHeight w:val="20"/>
        </w:trPr>
        <w:tc>
          <w:tcPr>
            <w:tcW w:w="56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six months ended June 30, 2024, and 2023, respectively,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Additions Charged to</w:t>
            </w: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 and Other</w:t>
            </w:r>
          </w:p>
        </w:tc>
        <w:tc>
          <w:tcPr>
            <w:tcW w:w="19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Write-offs and Other</w:t>
            </w:r>
          </w:p>
        </w:tc>
        <w:tc>
          <w:tcPr>
            <w:tcW w:w="1720" w:type="dxa"/>
            <w:vAlign w:val="bottom"/>
          </w:tcPr>
          <w:p>
            <w:pPr>
              <w:spacing w:after="0"/>
              <w:rPr>
                <w:sz w:val="16"/>
                <w:szCs w:val="16"/>
                <w:color w:val="auto"/>
              </w:rPr>
            </w:pPr>
          </w:p>
        </w:tc>
      </w:tr>
      <w:tr>
        <w:trPr>
          <w:trHeight w:val="217"/>
        </w:trPr>
        <w:tc>
          <w:tcPr>
            <w:tcW w:w="2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of Year</w:t>
            </w:r>
          </w:p>
        </w:tc>
        <w:tc>
          <w:tcPr>
            <w:tcW w:w="19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Deductions</w:t>
            </w: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Balance at June 30,</w:t>
            </w:r>
          </w:p>
        </w:tc>
      </w:tr>
      <w:tr>
        <w:trPr>
          <w:trHeight w:val="210"/>
        </w:trPr>
        <w:tc>
          <w:tcPr>
            <w:tcW w:w="204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rPr>
              <w:t>2024</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(3.6 ) $</w:t>
            </w: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r>
        <w:trPr>
          <w:trHeight w:val="215"/>
        </w:trPr>
        <w:tc>
          <w:tcPr>
            <w:tcW w:w="2040" w:type="dxa"/>
            <w:vAlign w:val="bottom"/>
          </w:tcPr>
          <w:p>
            <w:pPr>
              <w:jc w:val="right"/>
              <w:ind w:right="1579"/>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860" w:type="dxa"/>
            <w:vAlign w:val="bottom"/>
          </w:tcPr>
          <w:p>
            <w:pPr>
              <w:ind w:lef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(5.5 ) $</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418"/>
        </w:trPr>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38"/>
        </w:trPr>
        <w:tc>
          <w:tcPr>
            <w:tcW w:w="2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(in millions)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2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2024</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Materials and supplies</w:t>
            </w:r>
          </w:p>
        </w:tc>
        <w:tc>
          <w:tcPr>
            <w:tcW w:w="204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105.9</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Fuel - Electric Utilities</w:t>
            </w:r>
          </w:p>
        </w:tc>
        <w:tc>
          <w:tcPr>
            <w:tcW w:w="2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w:t>
            </w:r>
          </w:p>
        </w:tc>
        <w:tc>
          <w:tcPr>
            <w:tcW w:w="400" w:type="dxa"/>
            <w:vAlign w:val="bottom"/>
          </w:tcPr>
          <w:p>
            <w:pPr>
              <w:spacing w:after="0"/>
              <w:rPr>
                <w:sz w:val="18"/>
                <w:szCs w:val="18"/>
                <w:color w:val="auto"/>
              </w:rPr>
            </w:pP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1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in storage</w:t>
            </w:r>
          </w:p>
        </w:tc>
        <w:tc>
          <w:tcPr>
            <w:tcW w:w="2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40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47.3</w:t>
            </w:r>
          </w:p>
        </w:tc>
      </w:tr>
      <w:tr>
        <w:trPr>
          <w:trHeight w:val="210"/>
        </w:trPr>
        <w:tc>
          <w:tcPr>
            <w:tcW w:w="5740" w:type="dxa"/>
            <w:vAlign w:val="bottom"/>
          </w:tcPr>
          <w:p>
            <w:pPr>
              <w:ind w:left="200"/>
              <w:spacing w:after="0"/>
              <w:rPr>
                <w:sz w:val="20"/>
                <w:szCs w:val="20"/>
                <w:color w:val="auto"/>
              </w:rPr>
            </w:pPr>
            <w:r>
              <w:rPr>
                <w:rFonts w:ascii="Arial" w:cs="Arial" w:eastAsia="Arial" w:hAnsi="Arial"/>
                <w:sz w:val="16"/>
                <w:szCs w:val="16"/>
                <w:color w:val="auto"/>
              </w:rPr>
              <w:t>Total materials, supplies and fuel</w:t>
            </w:r>
          </w:p>
        </w:tc>
        <w:tc>
          <w:tcPr>
            <w:tcW w:w="2040" w:type="dxa"/>
            <w:vAlign w:val="bottom"/>
            <w:tcBorders>
              <w:bottom w:val="single" w:sz="8" w:color="auto"/>
            </w:tcBorders>
          </w:tcPr>
          <w:p>
            <w:pPr>
              <w:jc w:val="right"/>
              <w:ind w:right="18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w:t>
            </w:r>
          </w:p>
        </w:tc>
      </w:tr>
      <w:tr>
        <w:trPr>
          <w:trHeight w:val="20"/>
        </w:trPr>
        <w:tc>
          <w:tcPr>
            <w:tcW w:w="57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2024</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800" w:type="dxa"/>
            <w:vAlign w:val="bottom"/>
            <w:gridSpan w:val="2"/>
            <w:shd w:val="clear" w:color="auto" w:fill="CFF0FC"/>
          </w:tcPr>
          <w:p>
            <w:pPr>
              <w:jc w:val="right"/>
              <w:ind w:right="1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74.8</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43.7</w:t>
            </w:r>
          </w:p>
        </w:tc>
        <w:tc>
          <w:tcPr>
            <w:tcW w:w="40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52.7</w:t>
            </w:r>
          </w:p>
        </w:tc>
      </w:tr>
      <w:tr>
        <w:trPr>
          <w:trHeight w:val="217"/>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72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400" w:type="dxa"/>
            <w:vAlign w:val="bottom"/>
            <w:shd w:val="clear" w:color="auto" w:fill="CFF0FC"/>
          </w:tcPr>
          <w:p>
            <w:pPr>
              <w:spacing w:after="0"/>
              <w:rPr>
                <w:sz w:val="18"/>
                <w:szCs w:val="18"/>
                <w:color w:val="auto"/>
              </w:rPr>
            </w:pP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76.0</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46.3</w:t>
            </w:r>
          </w:p>
        </w:tc>
      </w:tr>
      <w:tr>
        <w:trPr>
          <w:trHeight w:val="217"/>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72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40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43.5</w:t>
            </w:r>
          </w:p>
        </w:tc>
      </w:tr>
      <w:tr>
        <w:trPr>
          <w:trHeight w:val="209"/>
        </w:trPr>
        <w:tc>
          <w:tcPr>
            <w:tcW w:w="492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720" w:type="dxa"/>
            <w:vAlign w:val="bottom"/>
          </w:tcPr>
          <w:p>
            <w:pPr>
              <w:spacing w:after="0"/>
              <w:rPr>
                <w:sz w:val="18"/>
                <w:szCs w:val="18"/>
                <w:color w:val="auto"/>
              </w:rPr>
            </w:pPr>
          </w:p>
        </w:tc>
        <w:tc>
          <w:tcPr>
            <w:tcW w:w="2080" w:type="dxa"/>
            <w:vAlign w:val="bottom"/>
            <w:tcBorders>
              <w:bottom w:val="single" w:sz="8" w:color="auto"/>
            </w:tcBorders>
          </w:tcPr>
          <w:p>
            <w:pPr>
              <w:jc w:val="right"/>
              <w:ind w:right="1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293.3</w:t>
            </w:r>
          </w:p>
        </w:tc>
      </w:tr>
      <w:tr>
        <w:trPr>
          <w:trHeight w:val="20"/>
        </w:trPr>
        <w:tc>
          <w:tcPr>
            <w:tcW w:w="4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586"/>
        </w:trPr>
        <w:tc>
          <w:tcPr>
            <w:tcW w:w="4920" w:type="dxa"/>
            <w:vAlign w:val="bottom"/>
          </w:tcPr>
          <w:p>
            <w:pPr>
              <w:spacing w:after="0"/>
              <w:rPr>
                <w:sz w:val="24"/>
                <w:szCs w:val="24"/>
                <w:color w:val="auto"/>
              </w:rPr>
            </w:pPr>
          </w:p>
        </w:tc>
        <w:tc>
          <w:tcPr>
            <w:tcW w:w="2800" w:type="dxa"/>
            <w:vAlign w:val="bottom"/>
            <w:gridSpan w:val="2"/>
          </w:tcPr>
          <w:p>
            <w:pPr>
              <w:jc w:val="right"/>
              <w:ind w:right="1919"/>
              <w:spacing w:after="0"/>
              <w:rPr>
                <w:sz w:val="20"/>
                <w:szCs w:val="20"/>
                <w:color w:val="auto"/>
              </w:rPr>
            </w:pPr>
            <w:r>
              <w:rPr>
                <w:rFonts w:ascii="Arial" w:cs="Arial" w:eastAsia="Arial" w:hAnsi="Arial"/>
                <w:sz w:val="16"/>
                <w:szCs w:val="16"/>
                <w:color w:val="auto"/>
              </w:rPr>
              <w:t>27</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751"/>
        </w:trPr>
        <w:tc>
          <w:tcPr>
            <w:tcW w:w="4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2023 Form 10-K.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aspiration is to be the trusted energy partner across our growing eight-state footprint, including Arkansas, Colorado, Iowa, Kansas, Montana, Nebraska, South Dakota and Wyoming. Our strategy is centered on four critical priorities: </w:t>
      </w:r>
      <w:r>
        <w:rPr>
          <w:rFonts w:ascii="Arial" w:cs="Arial" w:eastAsia="Arial" w:hAnsi="Arial"/>
          <w:sz w:val="16"/>
          <w:szCs w:val="16"/>
          <w:i w:val="1"/>
          <w:iCs w:val="1"/>
          <w:color w:val="auto"/>
        </w:rPr>
        <w:t>Growth</w:t>
      </w:r>
      <w:r>
        <w:rPr>
          <w:rFonts w:ascii="Arial" w:cs="Arial" w:eastAsia="Arial" w:hAnsi="Arial"/>
          <w:sz w:val="16"/>
          <w:szCs w:val="16"/>
          <w:color w:val="auto"/>
        </w:rPr>
        <w:t xml:space="preserve">—to grow strategically and achieve strong financial performance, </w:t>
      </w:r>
      <w:r>
        <w:rPr>
          <w:rFonts w:ascii="Arial" w:cs="Arial" w:eastAsia="Arial" w:hAnsi="Arial"/>
          <w:sz w:val="16"/>
          <w:szCs w:val="16"/>
          <w:i w:val="1"/>
          <w:iCs w:val="1"/>
          <w:color w:val="auto"/>
        </w:rPr>
        <w:t>Operational Excellence</w:t>
      </w:r>
      <w:r>
        <w:rPr>
          <w:rFonts w:ascii="Arial" w:cs="Arial" w:eastAsia="Arial" w:hAnsi="Arial"/>
          <w:sz w:val="16"/>
          <w:szCs w:val="16"/>
          <w:color w:val="auto"/>
        </w:rPr>
        <w:t xml:space="preserve">—delivering safe, reliable and cost-effective energy to meet our customers’ needs,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positioned for growth, and </w:t>
      </w:r>
      <w:r>
        <w:rPr>
          <w:rFonts w:ascii="Arial" w:cs="Arial" w:eastAsia="Arial" w:hAnsi="Arial"/>
          <w:sz w:val="16"/>
          <w:szCs w:val="16"/>
          <w:i w:val="1"/>
          <w:iCs w:val="1"/>
          <w:color w:val="auto"/>
        </w:rPr>
        <w:t>People &amp; Culture</w:t>
      </w:r>
      <w:r>
        <w:rPr>
          <w:rFonts w:ascii="Arial" w:cs="Arial" w:eastAsia="Arial" w:hAnsi="Arial"/>
          <w:sz w:val="16"/>
          <w:szCs w:val="16"/>
          <w:color w:val="auto"/>
        </w:rPr>
        <w:t>—retain and attract a talented, engaged and thriving team.</w:t>
      </w:r>
    </w:p>
    <w:p>
      <w:pPr>
        <w:spacing w:after="0" w:line="15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have provided energy and served customers for 140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 - Power Plant Greenhouse Gas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April 2024, the EPA published final rules addressing control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from the power sector. The rules regulate new natural gas generating units</w:t>
      </w:r>
    </w:p>
    <w:p>
      <w:pPr>
        <w:spacing w:after="0" w:line="43"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and emission guidelines for existing coal and certain natural gas generation. The rules create subcategories of coal units based on planned retirement date and subcategories of natural gas combustion turbines and combined cycle units based on utilization. The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control requirements vary by subcategory. We</w:t>
      </w:r>
    </w:p>
    <w:p>
      <w:pPr>
        <w:spacing w:after="0" w:line="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are currently evaluating the impact of these rules through our integrated resource plans and believe that costs incurred because of the new rules will be recoverable through our regulatory mechanisms.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Electric.</w:t>
      </w:r>
    </w:p>
    <w:p>
      <w:pPr>
        <w:spacing w:after="0" w:line="206" w:lineRule="exact"/>
        <w:rPr>
          <w:rFonts w:ascii="Times New Roman" w:cs="Times New Roman" w:eastAsia="Times New Roman" w:hAnsi="Times New Roman"/>
          <w:sz w:val="16"/>
          <w:szCs w:val="16"/>
          <w:color w:val="auto"/>
        </w:rPr>
      </w:pPr>
    </w:p>
    <w:p>
      <w:pPr>
        <w:ind w:left="1020" w:right="80" w:hanging="503"/>
        <w:spacing w:after="0" w:line="266"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On July 11, 2024, Wyoming Electric announced it will partner with Meta to provide power for its newest AI data center to be constructed in Cheyenne, Wyoming. Wyoming Electric plans to procure market energy under its Large Power Contract Service tariff with customized energy resources essential to Meta's operations and sustainability objectives.</w:t>
      </w:r>
    </w:p>
    <w:p>
      <w:pPr>
        <w:spacing w:after="0" w:line="143" w:lineRule="exact"/>
        <w:rPr>
          <w:rFonts w:ascii="Times New Roman" w:cs="Times New Roman" w:eastAsia="Times New Roman" w:hAnsi="Times New Roman"/>
          <w:sz w:val="16"/>
          <w:szCs w:val="16"/>
          <w:color w:val="auto"/>
        </w:rPr>
      </w:pPr>
    </w:p>
    <w:p>
      <w:pPr>
        <w:jc w:val="both"/>
        <w:ind w:left="1020" w:right="540" w:hanging="503"/>
        <w:spacing w:after="0" w:line="266"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On April 17, 2024, Colorado Electric filed its 120-Day report with the CPUC, recommending 400 MW of renewable energy resources to advance its Clean Energy Plan. The final composition of resources and timing is subject to review and approval by the CPUC, which is expected later this year.</w:t>
      </w:r>
    </w:p>
    <w:p>
      <w:pPr>
        <w:spacing w:after="0" w:line="143"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11, 2024, Wyoming Electric set a new all-time and winter peak load of 314 MW, surpassing the previous winter peak of 301 MW set on December 26, 2023, and all-time peak of 312 MW set on July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-1374140</wp:posOffset>
            </wp:positionV>
            <wp:extent cx="302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30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Arkansas Gas, Colorado Gas, Iowa Gas and Wyoming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1020" w:right="100" w:hanging="503"/>
        <w:spacing w:after="0" w:line="254"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2024, Black Hills Energy Renewable Resources acquired a RNG production facility at a landfill in Dubuque, Iowa. The facility currently injects RNG into the natural gas distribution system serving Dubuque, which is owned and operated by Iowa Gas. This acquisition represents our entry into the production of RNG as a nonregulated business while leveraging our expertise in owning and operating regulated natural gas pipeline systems, including RNG interconnections. The RNG produced from the landfill facility captures methane that would otherwise vent into the atmosphere. It is delivered under long-term contracts to a third party that purchases the RNG and its related environmental attributes, in conformity with the EPA's Renewable Fuel Standard Program.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information regarding our May 16, 2024, debt offering.</w:t>
      </w:r>
    </w:p>
    <w:p>
      <w:pPr>
        <w:spacing w:after="0" w:line="125"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May 31, 2024, we amended and restated our corporate Revolving Credit Facility.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further information.</w:t>
      </w:r>
    </w:p>
    <w:p>
      <w:pPr>
        <w:spacing w:after="0" w:line="48" w:lineRule="exact"/>
        <w:rPr>
          <w:rFonts w:ascii="Times New Roman" w:cs="Times New Roman" w:eastAsia="Times New Roman" w:hAnsi="Times New Roman"/>
          <w:sz w:val="16"/>
          <w:szCs w:val="16"/>
          <w:color w:val="auto"/>
        </w:rPr>
      </w:pPr>
    </w:p>
    <w:p>
      <w:pPr>
        <w:ind w:left="1020" w:right="260" w:hanging="503"/>
        <w:spacing w:after="0" w:line="256"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we published our 2023 Corporate Sustainability Report, highlighting our environmental, social and governance impacts and our progress on major projects and climate goals. We reported a 27% reduction in greenhouse gas emissions from our natural gas distribution system since 2022 and are on track to achieve our goal of net zero emissions by 2035. Additionally, we have reduced our electric utility greenhouse gas emissions by nearly one third since 2005 and are on track to achieve our goals to reduce electric emissions intensity by 40% by 2030 and 70% by 2040 compared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-1016635</wp:posOffset>
            </wp:positionV>
            <wp:extent cx="302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-819785</wp:posOffset>
            </wp:positionV>
            <wp:extent cx="302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2024, and 2023, and our financial condition as of June 30, 2024, and December 31, 2023, are not necessarily indicative of the results of operations and financial condition to be expected as of or for any other period or for the entire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Summary and Overview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5"/>
          </w:tcPr>
          <w:p>
            <w:pPr>
              <w:jc w:val="right"/>
              <w:ind w:right="939"/>
              <w:spacing w:after="0"/>
              <w:rPr>
                <w:sz w:val="20"/>
                <w:szCs w:val="20"/>
                <w:color w:val="auto"/>
              </w:rPr>
            </w:pPr>
            <w:r>
              <w:rPr>
                <w:rFonts w:ascii="Arial" w:cs="Arial" w:eastAsia="Arial" w:hAnsi="Arial"/>
                <w:sz w:val="16"/>
                <w:szCs w:val="16"/>
                <w:b w:val="1"/>
                <w:bCs w:val="1"/>
                <w:color w:val="auto"/>
              </w:rPr>
              <w:t>Three Months Ended June 30,</w:t>
            </w:r>
          </w:p>
        </w:tc>
        <w:tc>
          <w:tcPr>
            <w:tcW w:w="3480" w:type="dxa"/>
            <w:vAlign w:val="bottom"/>
            <w:gridSpan w:val="5"/>
          </w:tcPr>
          <w:p>
            <w:pPr>
              <w:jc w:val="right"/>
              <w:ind w:right="7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 vs 2023</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Variance</w:t>
            </w: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rPr>
              <w:t>(in millions, except per share amounts)</w:t>
            </w: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gridSpan w:val="3"/>
          </w:tcPr>
          <w:p>
            <w:pPr>
              <w:ind w:left="120"/>
              <w:spacing w:after="0"/>
              <w:rPr>
                <w:sz w:val="20"/>
                <w:szCs w:val="20"/>
                <w:color w:val="auto"/>
              </w:rPr>
            </w:pPr>
            <w:r>
              <w:rPr>
                <w:rFonts w:ascii="Arial" w:cs="Arial" w:eastAsia="Arial" w:hAnsi="Arial"/>
                <w:sz w:val="16"/>
                <w:szCs w:val="16"/>
                <w:color w:val="auto"/>
              </w:rPr>
              <w:t>Electric Utilities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(0.3 )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107.7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7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17.7</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5.3</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153.7</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132.4</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6"/>
        </w:trPr>
        <w:tc>
          <w:tcPr>
            <w:tcW w:w="3720" w:type="dxa"/>
            <w:vAlign w:val="bottom"/>
            <w:gridSpan w:val="3"/>
          </w:tcPr>
          <w:p>
            <w:pPr>
              <w:ind w:left="1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70.6</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63.5</w:t>
            </w: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7.1</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264.0</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238.4</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0"/>
        </w:trPr>
        <w:tc>
          <w:tcPr>
            <w:tcW w:w="1660" w:type="dxa"/>
            <w:vAlign w:val="bottom"/>
            <w:gridSpan w:val="2"/>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(41.5 )</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(86.7 )</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(85.0 )</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5"/>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(1.5 )</w:t>
            </w:r>
          </w:p>
        </w:tc>
        <w:tc>
          <w:tcPr>
            <w:tcW w:w="180" w:type="dxa"/>
            <w:vAlign w:val="bottom"/>
          </w:tcPr>
          <w:p>
            <w:pPr>
              <w:spacing w:after="0"/>
              <w:rPr>
                <w:sz w:val="18"/>
                <w:szCs w:val="18"/>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1.9</w:t>
            </w:r>
          </w:p>
        </w:tc>
        <w:tc>
          <w:tcPr>
            <w:tcW w:w="880" w:type="dxa"/>
            <w:vAlign w:val="bottom"/>
          </w:tcPr>
          <w:p>
            <w:pPr>
              <w:jc w:val="right"/>
              <w:spacing w:after="0"/>
              <w:rPr>
                <w:sz w:val="20"/>
                <w:szCs w:val="20"/>
                <w:color w:val="auto"/>
              </w:rPr>
            </w:pPr>
            <w:r>
              <w:rPr>
                <w:rFonts w:ascii="Arial" w:cs="Arial" w:eastAsia="Arial" w:hAnsi="Arial"/>
                <w:sz w:val="16"/>
                <w:szCs w:val="16"/>
                <w:color w:val="auto"/>
              </w:rPr>
              <w:t>(0.5 )</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(0.9 )</w:t>
            </w: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6.1</w:t>
            </w: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(9.8 )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(20.6 )</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(8.6 )</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09"/>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80" w:type="dxa"/>
            <w:vAlign w:val="bottom"/>
          </w:tcPr>
          <w:p>
            <w:pPr>
              <w:spacing w:after="0"/>
              <w:rPr>
                <w:sz w:val="18"/>
                <w:szCs w:val="18"/>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color w:val="auto"/>
              </w:rPr>
              <w:t>(1.9 )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156.2</w:t>
            </w:r>
          </w:p>
        </w:tc>
        <w:tc>
          <w:tcPr>
            <w:tcW w:w="2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143.9</w:t>
            </w: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(5.6 )</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(6.8 )</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Net income available for common stock</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(0.3 ) $</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gridSpan w:val="2"/>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0.35</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(0.02 ) $</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20"/>
                <w:szCs w:val="20"/>
                <w:color w:val="auto"/>
              </w:rPr>
            </w:pPr>
            <w:r>
              <w:rPr>
                <w:rFonts w:ascii="Arial" w:cs="Arial" w:eastAsia="Arial" w:hAnsi="Arial"/>
                <w:sz w:val="14"/>
                <w:szCs w:val="14"/>
                <w:color w:val="auto"/>
              </w:rPr>
              <w:t>(a)</w:t>
            </w:r>
          </w:p>
        </w:tc>
        <w:tc>
          <w:tcPr>
            <w:tcW w:w="3360" w:type="dxa"/>
            <w:vAlign w:val="bottom"/>
            <w:gridSpan w:val="2"/>
          </w:tcPr>
          <w:p>
            <w:pPr>
              <w:ind w:left="160"/>
              <w:spacing w:after="0"/>
              <w:rPr>
                <w:sz w:val="20"/>
                <w:szCs w:val="20"/>
                <w:color w:val="auto"/>
              </w:rPr>
            </w:pPr>
            <w:r>
              <w:rPr>
                <w:rFonts w:ascii="Arial" w:cs="Arial" w:eastAsia="Arial" w:hAnsi="Arial"/>
                <w:sz w:val="14"/>
                <w:szCs w:val="14"/>
                <w:color w:val="auto"/>
              </w:rPr>
              <w:t>Includes inter-segment eliminations.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19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1"/>
        </w:trPr>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2024, Compared to the Three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44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was comparable primarily due to higher operating expenses and impacts from unplanned generation outages mostly offset by new rates and rider recovery;</w:t>
      </w:r>
    </w:p>
    <w:p>
      <w:pPr>
        <w:spacing w:after="0" w:line="129"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$5.3 million primarily due to new rates and rider recovery driven by the Colorado Gas, RMNG, Iowa Gas and Wyoming Gas rate reviews and lower operating expenses partially offset by unfavorable weather;</w:t>
      </w:r>
    </w:p>
    <w:p>
      <w:pPr>
        <w:spacing w:after="0" w:line="129" w:lineRule="exact"/>
        <w:rPr>
          <w:rFonts w:ascii="Times New Roman" w:cs="Times New Roman" w:eastAsia="Times New Roman" w:hAnsi="Times New Roman"/>
          <w:sz w:val="16"/>
          <w:szCs w:val="16"/>
          <w:color w:val="auto"/>
        </w:rPr>
      </w:pPr>
    </w:p>
    <w:p>
      <w:pPr>
        <w:ind w:left="1020" w:right="12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$9.8 million primarily driven by higher pre-tax income and a higher effective tax rate. The higher effective tax rate was primarily due to a prior year $8.2 million tax benefit from a Nebraska income tax rate decrease.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$3.2 million primarily due to new rates and rider recovery and lower operating expenses partially offset by a prior year one-time gain on the sale of Northern Iowa Windpower assets and impacts from unplanned generation outages;</w:t>
      </w:r>
    </w:p>
    <w:p>
      <w:pPr>
        <w:spacing w:after="0" w:line="129" w:lineRule="exact"/>
        <w:rPr>
          <w:rFonts w:ascii="Times New Roman" w:cs="Times New Roman" w:eastAsia="Times New Roman" w:hAnsi="Times New Roman"/>
          <w:sz w:val="16"/>
          <w:szCs w:val="16"/>
          <w:color w:val="auto"/>
        </w:rPr>
      </w:pPr>
    </w:p>
    <w:p>
      <w:pPr>
        <w:jc w:val="both"/>
        <w:ind w:left="1020" w:right="2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$21.3 million primarily due to new rates and rider recovery driven by the Colorado Gas, RMNG and Wyoming Gas rate reviews, favorable mark-to-market adjustments on wholesale commodity contracts and lower operating expenses partially offset by unfavorable weather;</w:t>
      </w:r>
    </w:p>
    <w:p>
      <w:pPr>
        <w:spacing w:after="0" w:line="143"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$12.0 million primarily driven by higher pre-tax income and a higher effective tax rate. The higher effective tax rate was primarily due to a prior year $8.2 million tax benefit from a Nebraska income tax rate decrease.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 and amounts are presented on a pre-tax basis.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5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18"/>
                <w:szCs w:val="18"/>
                <w:color w:val="auto"/>
              </w:rPr>
            </w:pPr>
          </w:p>
        </w:tc>
      </w:tr>
      <w:tr>
        <w:trPr>
          <w:trHeight w:val="189"/>
        </w:trPr>
        <w:tc>
          <w:tcPr>
            <w:tcW w:w="1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2024 vs 2023</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10"/>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5"/>
        </w:trPr>
        <w:tc>
          <w:tcPr>
            <w:tcW w:w="4080" w:type="dxa"/>
            <w:vAlign w:val="bottom"/>
            <w:gridSpan w:val="2"/>
          </w:tcPr>
          <w:p>
            <w:pPr>
              <w:ind w:left="120"/>
              <w:spacing w:after="0"/>
              <w:rPr>
                <w:sz w:val="20"/>
                <w:szCs w:val="20"/>
                <w:color w:val="auto"/>
              </w:rPr>
            </w:pPr>
            <w:r>
              <w:rPr>
                <w:rFonts w:ascii="Arial" w:cs="Arial" w:eastAsia="Arial" w:hAnsi="Arial"/>
                <w:sz w:val="16"/>
                <w:szCs w:val="16"/>
                <w:color w:val="auto"/>
              </w:rPr>
              <w:t>Electric - regulated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195.0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182.8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405.8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389.5</w:t>
            </w:r>
          </w:p>
        </w:tc>
        <w:tc>
          <w:tcPr>
            <w:tcW w:w="740" w:type="dxa"/>
            <w:vAlign w:val="bottom"/>
          </w:tcPr>
          <w:p>
            <w:pPr>
              <w:ind w:left="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16.3</w:t>
            </w:r>
          </w:p>
        </w:tc>
      </w:tr>
      <w:tr>
        <w:trPr>
          <w:trHeight w:val="217"/>
        </w:trPr>
        <w:tc>
          <w:tcPr>
            <w:tcW w:w="40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10.3</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w:t>
            </w:r>
          </w:p>
        </w:tc>
      </w:tr>
      <w:tr>
        <w:trPr>
          <w:trHeight w:val="210"/>
        </w:trPr>
        <w:tc>
          <w:tcPr>
            <w:tcW w:w="4080" w:type="dxa"/>
            <w:vAlign w:val="bottom"/>
            <w:gridSpan w:val="2"/>
          </w:tcPr>
          <w:p>
            <w:pPr>
              <w:ind w:left="2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193.1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411.8</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w:t>
            </w:r>
          </w:p>
        </w:tc>
      </w:tr>
      <w:tr>
        <w:trPr>
          <w:trHeight w:val="209"/>
        </w:trPr>
        <w:tc>
          <w:tcPr>
            <w:tcW w:w="152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5"/>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Cost of fuel and purchased power: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7"/>
        </w:trPr>
        <w:tc>
          <w:tcPr>
            <w:tcW w:w="40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Electric - regulated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36.0</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90.7</w:t>
            </w: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w:t>
            </w:r>
          </w:p>
        </w:tc>
      </w:tr>
      <w:tr>
        <w:trPr>
          <w:trHeight w:val="216"/>
        </w:trPr>
        <w:tc>
          <w:tcPr>
            <w:tcW w:w="4080" w:type="dxa"/>
            <w:vAlign w:val="bottom"/>
            <w:gridSpan w:val="2"/>
          </w:tcPr>
          <w:p>
            <w:pPr>
              <w:ind w:left="120"/>
              <w:spacing w:after="0"/>
              <w:rPr>
                <w:sz w:val="20"/>
                <w:szCs w:val="20"/>
                <w:color w:val="auto"/>
              </w:rPr>
            </w:pPr>
            <w:r>
              <w:rPr>
                <w:rFonts w:ascii="Arial" w:cs="Arial" w:eastAsia="Arial" w:hAnsi="Arial"/>
                <w:sz w:val="16"/>
                <w:szCs w:val="16"/>
                <w:color w:val="auto"/>
              </w:rPr>
              <w:t>Other - non-regulated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cost of fuel and purchased power</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36.4</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w:t>
            </w:r>
          </w:p>
        </w:tc>
      </w:tr>
      <w:tr>
        <w:trPr>
          <w:trHeight w:val="209"/>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10"/>
        </w:trPr>
        <w:tc>
          <w:tcPr>
            <w:tcW w:w="4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159.2</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156.7</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326.5</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320.0</w:t>
            </w: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w:t>
            </w:r>
          </w:p>
        </w:tc>
      </w:tr>
      <w:tr>
        <w:trPr>
          <w:trHeight w:val="209"/>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65.4</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122.8</w:t>
            </w: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r>
      <w:tr>
        <w:trPr>
          <w:trHeight w:val="215"/>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w:t>
            </w:r>
          </w:p>
        </w:tc>
        <w:tc>
          <w:tcPr>
            <w:tcW w:w="3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(0.3 )</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70.9</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4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8.9</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r>
      <w:tr>
        <w:trPr>
          <w:trHeight w:val="209"/>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110.1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212.3</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r>
      <w:tr>
        <w:trPr>
          <w:trHeight w:val="210"/>
        </w:trPr>
        <w:tc>
          <w:tcPr>
            <w:tcW w:w="152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46.6</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(0.3 )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107.7</w:t>
            </w: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r>
      <w:tr>
        <w:trPr>
          <w:trHeight w:val="20"/>
        </w:trPr>
        <w:tc>
          <w:tcPr>
            <w:tcW w:w="1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31"/>
        </w:trPr>
        <w:tc>
          <w:tcPr>
            <w:tcW w:w="652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Three Months Ended June 30, 2024, Compared to the Three Months Ended June 30, 2023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8"/>
        </w:trPr>
        <w:tc>
          <w:tcPr>
            <w:tcW w:w="4340" w:type="dxa"/>
            <w:vAlign w:val="bottom"/>
            <w:gridSpan w:val="3"/>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1"/>
        </w:trPr>
        <w:tc>
          <w:tcPr>
            <w:tcW w:w="15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24"/>
                <w:szCs w:val="24"/>
                <w:color w:val="auto"/>
              </w:rPr>
            </w:pPr>
          </w:p>
        </w:tc>
      </w:tr>
      <w:tr>
        <w:trPr>
          <w:trHeight w:val="211"/>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5"/>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217"/>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Retail customer growth and usage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6"/>
        </w:trPr>
        <w:tc>
          <w:tcPr>
            <w:tcW w:w="40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16"/>
        </w:trPr>
        <w:tc>
          <w:tcPr>
            <w:tcW w:w="4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09"/>
        </w:trPr>
        <w:tc>
          <w:tcPr>
            <w:tcW w:w="1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2.5</w:t>
            </w:r>
          </w:p>
        </w:tc>
      </w:tr>
      <w:tr>
        <w:trPr>
          <w:trHeight w:val="20"/>
        </w:trPr>
        <w:tc>
          <w:tcPr>
            <w:tcW w:w="1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Primarily driven by lower revenues due to unplanned outages at Wygen I and Pueblo Airport Generation #4-5.</w:t>
      </w:r>
    </w:p>
    <w:p>
      <w:pPr>
        <w:spacing w:after="0" w:line="185"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$1.9 million of higher outside services expenses driven by unplanned Integrated Generation outages and $1.2 million of higher insurance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94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547"/>
        </w:trPr>
        <w:tc>
          <w:tcPr>
            <w:tcW w:w="9460" w:type="dxa"/>
            <w:vAlign w:val="bottom"/>
            <w:gridSpan w:val="4"/>
          </w:tcPr>
          <w:p>
            <w:pPr>
              <w:spacing w:after="0"/>
              <w:rPr>
                <w:sz w:val="20"/>
                <w:szCs w:val="20"/>
                <w:color w:val="auto"/>
              </w:rPr>
            </w:pPr>
            <w:r>
              <w:rPr>
                <w:rFonts w:ascii="Arial" w:cs="Arial" w:eastAsia="Arial" w:hAnsi="Arial"/>
                <w:sz w:val="16"/>
                <w:szCs w:val="16"/>
                <w:color w:val="auto"/>
              </w:rPr>
              <w:t>Six Months Ended June 30, 2024, Compared to the Six Months Ended June 30, 2023:</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61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1"/>
        </w:trPr>
        <w:tc>
          <w:tcPr>
            <w:tcW w:w="94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217"/>
        </w:trPr>
        <w:tc>
          <w:tcPr>
            <w:tcW w:w="9460" w:type="dxa"/>
            <w:vAlign w:val="bottom"/>
            <w:gridSpan w:val="4"/>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r>
      <w:tr>
        <w:trPr>
          <w:trHeight w:val="215"/>
        </w:trPr>
        <w:tc>
          <w:tcPr>
            <w:tcW w:w="9460" w:type="dxa"/>
            <w:vAlign w:val="bottom"/>
            <w:gridSpan w:val="4"/>
          </w:tcPr>
          <w:p>
            <w:pPr>
              <w:ind w:left="20"/>
              <w:spacing w:after="0"/>
              <w:rPr>
                <w:sz w:val="20"/>
                <w:szCs w:val="20"/>
                <w:color w:val="auto"/>
              </w:rPr>
            </w:pPr>
            <w:r>
              <w:rPr>
                <w:rFonts w:ascii="Arial" w:cs="Arial" w:eastAsia="Arial" w:hAnsi="Arial"/>
                <w:sz w:val="16"/>
                <w:szCs w:val="16"/>
                <w:color w:val="auto"/>
              </w:rPr>
              <w:t>Off-system excess energy sales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17"/>
        </w:trPr>
        <w:tc>
          <w:tcPr>
            <w:tcW w:w="94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r>
      <w:tr>
        <w:trPr>
          <w:trHeight w:val="209"/>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driven by lower revenues due to unplanned outages at Wygen I and Pueblo Airport Generation #4-5.</w:t>
      </w:r>
    </w:p>
    <w:p>
      <w:pPr>
        <w:spacing w:after="0" w:line="15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a prior year one-time $7.7 million gain on the sale of Northern Iowa Windpower assets and $1.6 million of higher insurance expense partially offset by $3.2 million of lower employee-related expenses and $2.6 million of lower outside services expenses.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3"/>
        </w:trPr>
        <w:tc>
          <w:tcPr>
            <w:tcW w:w="3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Revenue (in millions)</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Quantities Sold (GWh)</w:t>
            </w:r>
          </w:p>
        </w:tc>
        <w:tc>
          <w:tcPr>
            <w:tcW w:w="880" w:type="dxa"/>
            <w:vAlign w:val="bottom"/>
            <w:tcBorders>
              <w:bottom w:val="single" w:sz="8" w:color="auto"/>
            </w:tcBorders>
          </w:tcPr>
          <w:p>
            <w:pPr>
              <w:spacing w:after="0"/>
              <w:rPr>
                <w:sz w:val="24"/>
                <w:szCs w:val="24"/>
                <w:color w:val="auto"/>
              </w:rPr>
            </w:pPr>
          </w:p>
        </w:tc>
      </w:tr>
      <w:tr>
        <w:trPr>
          <w:trHeight w:val="182"/>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279"/>
              <w:spacing w:after="0" w:line="182" w:lineRule="exact"/>
              <w:rPr>
                <w:sz w:val="20"/>
                <w:szCs w:val="20"/>
                <w:color w:val="auto"/>
              </w:rPr>
            </w:pPr>
            <w:r>
              <w:rPr>
                <w:rFonts w:ascii="Arial" w:cs="Arial" w:eastAsia="Arial" w:hAnsi="Arial"/>
                <w:sz w:val="16"/>
                <w:szCs w:val="16"/>
                <w:b w:val="1"/>
                <w:bCs w:val="1"/>
                <w:color w:val="auto"/>
              </w:rPr>
              <w:t>Three Months</w:t>
            </w:r>
          </w:p>
        </w:tc>
        <w:tc>
          <w:tcPr>
            <w:tcW w:w="220" w:type="dxa"/>
            <w:vAlign w:val="bottom"/>
          </w:tcPr>
          <w:p>
            <w:pPr>
              <w:spacing w:after="0"/>
              <w:rPr>
                <w:sz w:val="15"/>
                <w:szCs w:val="15"/>
                <w:color w:val="auto"/>
              </w:rPr>
            </w:pPr>
          </w:p>
        </w:tc>
        <w:tc>
          <w:tcPr>
            <w:tcW w:w="1660" w:type="dxa"/>
            <w:vAlign w:val="bottom"/>
            <w:gridSpan w:val="3"/>
          </w:tcPr>
          <w:p>
            <w:pPr>
              <w:jc w:val="right"/>
              <w:ind w:right="519"/>
              <w:spacing w:after="0" w:line="182" w:lineRule="exact"/>
              <w:rPr>
                <w:sz w:val="20"/>
                <w:szCs w:val="20"/>
                <w:color w:val="auto"/>
              </w:rPr>
            </w:pPr>
            <w:r>
              <w:rPr>
                <w:rFonts w:ascii="Arial" w:cs="Arial" w:eastAsia="Arial" w:hAnsi="Arial"/>
                <w:sz w:val="16"/>
                <w:szCs w:val="16"/>
                <w:b w:val="1"/>
                <w:bCs w:val="1"/>
                <w:color w:val="auto"/>
              </w:rPr>
              <w:t>Six Months</w:t>
            </w:r>
          </w:p>
        </w:tc>
        <w:tc>
          <w:tcPr>
            <w:tcW w:w="2000" w:type="dxa"/>
            <w:vAlign w:val="bottom"/>
            <w:gridSpan w:val="2"/>
          </w:tcPr>
          <w:p>
            <w:pPr>
              <w:jc w:val="right"/>
              <w:ind w:right="539"/>
              <w:spacing w:after="0" w:line="182" w:lineRule="exact"/>
              <w:rPr>
                <w:sz w:val="20"/>
                <w:szCs w:val="20"/>
                <w:color w:val="auto"/>
              </w:rPr>
            </w:pPr>
            <w:r>
              <w:rPr>
                <w:rFonts w:ascii="Arial" w:cs="Arial" w:eastAsia="Arial" w:hAnsi="Arial"/>
                <w:sz w:val="16"/>
                <w:szCs w:val="16"/>
                <w:b w:val="1"/>
                <w:bCs w:val="1"/>
                <w:color w:val="auto"/>
              </w:rPr>
              <w:t>Three Months</w:t>
            </w:r>
          </w:p>
        </w:tc>
        <w:tc>
          <w:tcPr>
            <w:tcW w:w="1860" w:type="dxa"/>
            <w:vAlign w:val="bottom"/>
            <w:gridSpan w:val="2"/>
          </w:tcPr>
          <w:p>
            <w:pPr>
              <w:jc w:val="right"/>
              <w:ind w:right="519"/>
              <w:spacing w:after="0" w:line="182" w:lineRule="exact"/>
              <w:rPr>
                <w:sz w:val="20"/>
                <w:szCs w:val="20"/>
                <w:color w:val="auto"/>
              </w:rPr>
            </w:pPr>
            <w:r>
              <w:rPr>
                <w:rFonts w:ascii="Arial" w:cs="Arial" w:eastAsia="Arial" w:hAnsi="Arial"/>
                <w:sz w:val="16"/>
                <w:szCs w:val="16"/>
                <w:b w:val="1"/>
                <w:bCs w:val="1"/>
                <w:color w:val="auto"/>
              </w:rPr>
              <w:t>Six Months</w:t>
            </w: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Ended June 30,</w:t>
            </w:r>
          </w:p>
        </w:tc>
        <w:tc>
          <w:tcPr>
            <w:tcW w:w="220" w:type="dxa"/>
            <w:vAlign w:val="bottom"/>
          </w:tcPr>
          <w:p>
            <w:pPr>
              <w:spacing w:after="0"/>
              <w:rPr>
                <w:sz w:val="18"/>
                <w:szCs w:val="18"/>
                <w:color w:val="auto"/>
              </w:rPr>
            </w:pPr>
          </w:p>
        </w:tc>
        <w:tc>
          <w:tcPr>
            <w:tcW w:w="16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Ended June 30,</w:t>
            </w:r>
          </w:p>
        </w:tc>
        <w:tc>
          <w:tcPr>
            <w:tcW w:w="20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Ended June 30,</w:t>
            </w:r>
          </w:p>
        </w:tc>
        <w:tc>
          <w:tcPr>
            <w:tcW w:w="18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Ended June 30,</w:t>
            </w:r>
          </w:p>
        </w:tc>
      </w:tr>
      <w:tr>
        <w:trPr>
          <w:trHeight w:val="217"/>
        </w:trPr>
        <w:tc>
          <w:tcPr>
            <w:tcW w:w="3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107.2</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323.5</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302.9</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712.3</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696.7</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131.3</w:t>
            </w:r>
          </w:p>
        </w:tc>
        <w:tc>
          <w:tcPr>
            <w:tcW w:w="2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125.6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506.9</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498.2</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1,018.7</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1,009.0</w:t>
            </w:r>
          </w:p>
        </w:tc>
      </w:tr>
      <w:tr>
        <w:trPr>
          <w:trHeight w:val="217"/>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73.4</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558.3</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502.1</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1,111.9</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958.1</w:t>
            </w: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Municipal</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37.6</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73.4</w:t>
            </w:r>
          </w:p>
        </w:tc>
      </w:tr>
      <w:tr>
        <w:trPr>
          <w:trHeight w:val="210"/>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Subtotal Retail Revenue - Electric</w:t>
            </w: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161.8</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149.6</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339.4</w:t>
            </w: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314.7</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1,424.8</w:t>
            </w: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1,340.8</w:t>
            </w:r>
          </w:p>
        </w:tc>
        <w:tc>
          <w:tcPr>
            <w:tcW w:w="9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2,913.2</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2,737.2</w:t>
            </w: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Contract Wholesale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118.4</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285.6</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263.1</w:t>
            </w:r>
          </w:p>
        </w:tc>
      </w:tr>
      <w:tr>
        <w:trPr>
          <w:trHeight w:val="217"/>
        </w:trPr>
        <w:tc>
          <w:tcPr>
            <w:tcW w:w="382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Off-system/Power Marketing Wholesale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22.1</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164.2</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123.3</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279.8</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380.1</w:t>
            </w:r>
          </w:p>
        </w:tc>
      </w:tr>
      <w:tr>
        <w:trPr>
          <w:trHeight w:val="216"/>
        </w:trPr>
        <w:tc>
          <w:tcPr>
            <w:tcW w:w="3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44.1</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Regulated</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389.5</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1,726.6</w:t>
            </w:r>
          </w:p>
        </w:tc>
        <w:tc>
          <w:tcPr>
            <w:tcW w:w="11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1,582.5</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3,478.6</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3,380.4</w:t>
            </w:r>
          </w:p>
        </w:tc>
      </w:tr>
      <w:tr>
        <w:trPr>
          <w:trHeight w:val="216"/>
        </w:trPr>
        <w:tc>
          <w:tcPr>
            <w:tcW w:w="3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22.3</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22.8</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49.1</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w:t>
            </w:r>
          </w:p>
        </w:tc>
      </w:tr>
      <w:tr>
        <w:trPr>
          <w:trHeight w:val="250"/>
        </w:trPr>
        <w:tc>
          <w:tcPr>
            <w:tcW w:w="3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411.8</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1,747.7</w:t>
            </w:r>
          </w:p>
        </w:tc>
        <w:tc>
          <w:tcPr>
            <w:tcW w:w="11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1,605.3</w:t>
            </w:r>
          </w:p>
        </w:tc>
        <w:tc>
          <w:tcPr>
            <w:tcW w:w="9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3,527.7</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3,457.6</w:t>
            </w:r>
          </w:p>
        </w:tc>
      </w:tr>
    </w:tbl>
    <w:p>
      <w:pPr>
        <w:spacing w:after="0" w:line="1" w:lineRule="exact"/>
        <w:rPr>
          <w:sz w:val="20"/>
          <w:szCs w:val="20"/>
          <w:color w:val="auto"/>
        </w:rPr>
      </w:pPr>
    </w:p>
    <w:p>
      <w:pPr>
        <w:sectPr>
          <w:pgSz w:w="11900" w:h="16838" w:orient="portrait"/>
          <w:cols w:equalWidth="0" w:num="1">
            <w:col w:w="11240"/>
          </w:cols>
          <w:pgMar w:left="320" w:top="766" w:right="339" w:bottom="1440" w:gutter="0" w:footer="0" w:header="0"/>
        </w:sectPr>
      </w:pPr>
    </w:p>
    <w:p>
      <w:pPr>
        <w:ind w:left="20"/>
        <w:spacing w:after="0"/>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0458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0"/>
        <w:spacing w:after="0"/>
        <w:tabs>
          <w:tab w:leader="none" w:pos="1120" w:val="left"/>
          <w:tab w:leader="none" w:pos="2120" w:val="left"/>
          <w:tab w:leader="none" w:pos="3060" w:val="left"/>
        </w:tabs>
        <w:rPr>
          <w:sz w:val="20"/>
          <w:szCs w:val="20"/>
          <w:color w:val="auto"/>
        </w:rPr>
      </w:pPr>
      <w:r>
        <w:rPr>
          <w:rFonts w:ascii="Arial" w:cs="Arial" w:eastAsia="Arial" w:hAnsi="Arial"/>
          <w:sz w:val="16"/>
          <w:szCs w:val="16"/>
          <w:color w:val="auto"/>
        </w:rPr>
        <w:t>25.1</w:t>
      </w:r>
      <w:r>
        <w:rPr>
          <w:sz w:val="20"/>
          <w:szCs w:val="20"/>
          <w:color w:val="auto"/>
        </w:rPr>
        <w:tab/>
      </w:r>
      <w:r>
        <w:rPr>
          <w:rFonts w:ascii="Arial" w:cs="Arial" w:eastAsia="Arial" w:hAnsi="Arial"/>
          <w:sz w:val="16"/>
          <w:szCs w:val="16"/>
          <w:color w:val="auto"/>
        </w:rPr>
        <w:t>109.6</w:t>
      </w:r>
      <w:r>
        <w:rPr>
          <w:sz w:val="20"/>
          <w:szCs w:val="20"/>
          <w:color w:val="auto"/>
        </w:rPr>
        <w:tab/>
      </w:r>
      <w:r>
        <w:rPr>
          <w:rFonts w:ascii="Arial" w:cs="Arial" w:eastAsia="Arial" w:hAnsi="Arial"/>
          <w:sz w:val="16"/>
          <w:szCs w:val="16"/>
          <w:color w:val="auto"/>
        </w:rPr>
        <w:t>126.9</w:t>
      </w:r>
      <w:r>
        <w:rPr>
          <w:sz w:val="20"/>
          <w:szCs w:val="20"/>
          <w:color w:val="auto"/>
        </w:rPr>
        <w:tab/>
      </w:r>
      <w:r>
        <w:rPr>
          <w:rFonts w:ascii="Arial" w:cs="Arial" w:eastAsia="Arial" w:hAnsi="Arial"/>
          <w:sz w:val="15"/>
          <w:szCs w:val="15"/>
          <w:color w:val="auto"/>
        </w:rPr>
        <w:t>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20320</wp:posOffset>
            </wp:positionV>
            <wp:extent cx="24942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5" w:lineRule="exact"/>
        <w:rPr>
          <w:sz w:val="20"/>
          <w:szCs w:val="20"/>
          <w:color w:val="auto"/>
        </w:rPr>
      </w:pPr>
    </w:p>
    <w:p>
      <w:pPr>
        <w:spacing w:after="0"/>
        <w:tabs>
          <w:tab w:leader="none" w:pos="980" w:val="left"/>
          <w:tab w:leader="none" w:pos="1980" w:val="left"/>
          <w:tab w:leader="none" w:pos="2920" w:val="left"/>
        </w:tabs>
        <w:rPr>
          <w:sz w:val="20"/>
          <w:szCs w:val="20"/>
          <w:color w:val="auto"/>
        </w:rPr>
      </w:pPr>
      <w:r>
        <w:rPr>
          <w:rFonts w:ascii="Arial" w:cs="Arial" w:eastAsia="Arial" w:hAnsi="Arial"/>
          <w:sz w:val="16"/>
          <w:szCs w:val="16"/>
          <w:color w:val="auto"/>
        </w:rPr>
        <w:t>1,772.8</w:t>
      </w:r>
      <w:r>
        <w:rPr>
          <w:sz w:val="20"/>
          <w:szCs w:val="20"/>
          <w:color w:val="auto"/>
        </w:rPr>
        <w:tab/>
      </w:r>
      <w:r>
        <w:rPr>
          <w:rFonts w:ascii="Arial" w:cs="Arial" w:eastAsia="Arial" w:hAnsi="Arial"/>
          <w:sz w:val="16"/>
          <w:szCs w:val="16"/>
          <w:color w:val="auto"/>
        </w:rPr>
        <w:t>1,714.9</w:t>
      </w:r>
      <w:r>
        <w:rPr>
          <w:sz w:val="20"/>
          <w:szCs w:val="20"/>
          <w:color w:val="auto"/>
        </w:rPr>
        <w:tab/>
      </w:r>
      <w:r>
        <w:rPr>
          <w:rFonts w:ascii="Arial" w:cs="Arial" w:eastAsia="Arial" w:hAnsi="Arial"/>
          <w:sz w:val="16"/>
          <w:szCs w:val="16"/>
          <w:color w:val="auto"/>
        </w:rPr>
        <w:t>3,654.6</w:t>
      </w:r>
      <w:r>
        <w:rPr>
          <w:sz w:val="20"/>
          <w:szCs w:val="20"/>
          <w:color w:val="auto"/>
        </w:rPr>
        <w:tab/>
      </w:r>
      <w:r>
        <w:rPr>
          <w:rFonts w:ascii="Arial" w:cs="Arial" w:eastAsia="Arial" w:hAnsi="Arial"/>
          <w:sz w:val="16"/>
          <w:szCs w:val="16"/>
          <w:color w:val="auto"/>
        </w:rPr>
        <w:t>3,705.6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-115570</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920" w:space="720"/>
            <w:col w:w="3600"/>
          </w:cols>
          <w:pgMar w:left="320" w:top="766" w:right="339" w:bottom="1440" w:gutter="0" w:footer="0" w:header="0"/>
          <w:type w:val="continuous"/>
        </w:sectPr>
      </w:pPr>
    </w:p>
    <w:p>
      <w:pPr>
        <w:ind w:left="520" w:right="280" w:hanging="512"/>
        <w:spacing w:after="0" w:line="251"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Off-system/Power Marketing Wholesale revenues decreased for the six months ended June 30, 2024, compared to the same period in the prior year primarily due to lower excess capacity and lower commodity prices.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Revenue (in millions)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Quantities Sold (GWh)</w:t>
            </w:r>
          </w:p>
        </w:tc>
        <w:tc>
          <w:tcPr>
            <w:tcW w:w="920" w:type="dxa"/>
            <w:vAlign w:val="bottom"/>
            <w:tcBorders>
              <w:bottom w:val="single" w:sz="8" w:color="auto"/>
            </w:tcBorders>
          </w:tcPr>
          <w:p>
            <w:pPr>
              <w:spacing w:after="0"/>
              <w:rPr>
                <w:sz w:val="18"/>
                <w:szCs w:val="18"/>
                <w:color w:val="auto"/>
              </w:rPr>
            </w:pPr>
          </w:p>
        </w:tc>
      </w:tr>
      <w:tr>
        <w:trPr>
          <w:trHeight w:val="182"/>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3"/>
          </w:tcPr>
          <w:p>
            <w:pPr>
              <w:jc w:val="right"/>
              <w:ind w:right="279"/>
              <w:spacing w:after="0" w:line="182" w:lineRule="exact"/>
              <w:rPr>
                <w:sz w:val="20"/>
                <w:szCs w:val="20"/>
                <w:color w:val="auto"/>
              </w:rPr>
            </w:pPr>
            <w:r>
              <w:rPr>
                <w:rFonts w:ascii="Arial" w:cs="Arial" w:eastAsia="Arial" w:hAnsi="Arial"/>
                <w:sz w:val="16"/>
                <w:szCs w:val="16"/>
                <w:b w:val="1"/>
                <w:bCs w:val="1"/>
                <w:color w:val="auto"/>
              </w:rPr>
              <w:t>Three Months</w:t>
            </w:r>
          </w:p>
        </w:tc>
        <w:tc>
          <w:tcPr>
            <w:tcW w:w="300" w:type="dxa"/>
            <w:vAlign w:val="bottom"/>
          </w:tcPr>
          <w:p>
            <w:pPr>
              <w:spacing w:after="0"/>
              <w:rPr>
                <w:sz w:val="15"/>
                <w:szCs w:val="15"/>
                <w:color w:val="auto"/>
              </w:rPr>
            </w:pPr>
          </w:p>
        </w:tc>
        <w:tc>
          <w:tcPr>
            <w:tcW w:w="1640" w:type="dxa"/>
            <w:vAlign w:val="bottom"/>
            <w:gridSpan w:val="3"/>
          </w:tcPr>
          <w:p>
            <w:pPr>
              <w:jc w:val="right"/>
              <w:ind w:right="499"/>
              <w:spacing w:after="0" w:line="182" w:lineRule="exact"/>
              <w:rPr>
                <w:sz w:val="20"/>
                <w:szCs w:val="20"/>
                <w:color w:val="auto"/>
              </w:rPr>
            </w:pPr>
            <w:r>
              <w:rPr>
                <w:rFonts w:ascii="Arial" w:cs="Arial" w:eastAsia="Arial" w:hAnsi="Arial"/>
                <w:sz w:val="16"/>
                <w:szCs w:val="16"/>
                <w:b w:val="1"/>
                <w:bCs w:val="1"/>
                <w:color w:val="auto"/>
              </w:rPr>
              <w:t>Six Months</w:t>
            </w:r>
          </w:p>
        </w:tc>
        <w:tc>
          <w:tcPr>
            <w:tcW w:w="1900" w:type="dxa"/>
            <w:vAlign w:val="bottom"/>
            <w:gridSpan w:val="2"/>
          </w:tcPr>
          <w:p>
            <w:pPr>
              <w:jc w:val="right"/>
              <w:ind w:right="479"/>
              <w:spacing w:after="0" w:line="182" w:lineRule="exact"/>
              <w:rPr>
                <w:sz w:val="20"/>
                <w:szCs w:val="20"/>
                <w:color w:val="auto"/>
              </w:rPr>
            </w:pPr>
            <w:r>
              <w:rPr>
                <w:rFonts w:ascii="Arial" w:cs="Arial" w:eastAsia="Arial" w:hAnsi="Arial"/>
                <w:sz w:val="16"/>
                <w:szCs w:val="16"/>
                <w:b w:val="1"/>
                <w:bCs w:val="1"/>
                <w:color w:val="auto"/>
              </w:rPr>
              <w:t>Three Months</w:t>
            </w:r>
          </w:p>
        </w:tc>
        <w:tc>
          <w:tcPr>
            <w:tcW w:w="1880" w:type="dxa"/>
            <w:vAlign w:val="bottom"/>
            <w:gridSpan w:val="2"/>
          </w:tcPr>
          <w:p>
            <w:pPr>
              <w:jc w:val="right"/>
              <w:ind w:right="539"/>
              <w:spacing w:after="0" w:line="182" w:lineRule="exact"/>
              <w:rPr>
                <w:sz w:val="20"/>
                <w:szCs w:val="20"/>
                <w:color w:val="auto"/>
              </w:rPr>
            </w:pPr>
            <w:r>
              <w:rPr>
                <w:rFonts w:ascii="Arial" w:cs="Arial" w:eastAsia="Arial" w:hAnsi="Arial"/>
                <w:sz w:val="16"/>
                <w:szCs w:val="16"/>
                <w:b w:val="1"/>
                <w:bCs w:val="1"/>
                <w:color w:val="auto"/>
              </w:rPr>
              <w:t>Six Months</w:t>
            </w:r>
          </w:p>
        </w:tc>
      </w:t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Ended June 30,</w:t>
            </w:r>
          </w:p>
        </w:tc>
        <w:tc>
          <w:tcPr>
            <w:tcW w:w="30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Ended June 30,</w:t>
            </w:r>
          </w:p>
        </w:tc>
        <w:tc>
          <w:tcPr>
            <w:tcW w:w="19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Ended June 30,</w:t>
            </w:r>
          </w:p>
        </w:tc>
        <w:tc>
          <w:tcPr>
            <w:tcW w:w="18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Ended June 30,</w:t>
            </w:r>
          </w:p>
        </w:tc>
      </w:tr>
      <w:tr>
        <w:trPr>
          <w:trHeight w:val="217"/>
        </w:trPr>
        <w:tc>
          <w:tcPr>
            <w:tcW w:w="3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0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136.1</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585.7</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536.8</w:t>
            </w: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1,141.4</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1,141.3</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156.5</w:t>
            </w:r>
          </w:p>
        </w:tc>
        <w:tc>
          <w:tcPr>
            <w:tcW w:w="2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157.6</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591.4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545.2</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1,212.5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1,254.0</w:t>
            </w:r>
          </w:p>
        </w:tc>
      </w:tr>
      <w:tr>
        <w:trPr>
          <w:trHeight w:val="217"/>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96.6</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549.5</w:t>
            </w: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500.5</w:t>
            </w:r>
          </w:p>
        </w:tc>
        <w:tc>
          <w:tcPr>
            <w:tcW w:w="9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1,124.7</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985.1</w:t>
            </w:r>
          </w:p>
        </w:tc>
      </w:tr>
      <w:tr>
        <w:trPr>
          <w:trHeight w:val="216"/>
        </w:trPr>
        <w:tc>
          <w:tcPr>
            <w:tcW w:w="3780" w:type="dxa"/>
            <w:vAlign w:val="bottom"/>
          </w:tcPr>
          <w:p>
            <w:pPr>
              <w:ind w:left="20"/>
              <w:spacing w:after="0"/>
              <w:rPr>
                <w:sz w:val="20"/>
                <w:szCs w:val="20"/>
                <w:color w:val="auto"/>
              </w:rPr>
            </w:pPr>
            <w:r>
              <w:rPr>
                <w:rFonts w:ascii="Arial" w:cs="Arial" w:eastAsia="Arial" w:hAnsi="Arial"/>
                <w:sz w:val="16"/>
                <w:szCs w:val="16"/>
                <w:color w:val="auto"/>
              </w:rPr>
              <w:t>Integrated Generation</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21.5</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22.8</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49.1</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w:t>
            </w:r>
          </w:p>
        </w:tc>
      </w:tr>
      <w:tr>
        <w:trPr>
          <w:trHeight w:val="249"/>
        </w:trPr>
        <w:tc>
          <w:tcPr>
            <w:tcW w:w="3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 and Quantities Sold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411.8</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1,747.7</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1,605.3</w:t>
            </w:r>
          </w:p>
        </w:tc>
        <w:tc>
          <w:tcPr>
            <w:tcW w:w="9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3,527.7</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3,457.6</w:t>
            </w:r>
          </w:p>
        </w:tc>
      </w:tr>
      <w:tr>
        <w:trPr>
          <w:trHeight w:val="397"/>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51"/>
        </w:trPr>
        <w:tc>
          <w:tcPr>
            <w:tcW w:w="3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8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600"/>
        </w:trPr>
        <w:tc>
          <w:tcPr>
            <w:tcW w:w="1360" w:type="dxa"/>
            <w:vAlign w:val="bottom"/>
            <w:tcBorders>
              <w:top w:val="single" w:sz="8" w:color="0000FF"/>
            </w:tcBorders>
          </w:tcPr>
          <w:p>
            <w:pPr>
              <w:spacing w:after="0"/>
              <w:rPr>
                <w:sz w:val="24"/>
                <w:szCs w:val="24"/>
                <w:color w:val="auto"/>
              </w:rPr>
            </w:pPr>
          </w:p>
        </w:tc>
        <w:tc>
          <w:tcPr>
            <w:tcW w:w="3460" w:type="dxa"/>
            <w:vAlign w:val="bottom"/>
          </w:tcPr>
          <w:p>
            <w:pPr>
              <w:spacing w:after="0"/>
              <w:rPr>
                <w:sz w:val="24"/>
                <w:szCs w:val="24"/>
                <w:color w:val="auto"/>
              </w:rPr>
            </w:pPr>
          </w:p>
        </w:tc>
        <w:tc>
          <w:tcPr>
            <w:tcW w:w="340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Three Months Ended June 30,</w:t>
            </w:r>
          </w:p>
        </w:tc>
        <w:tc>
          <w:tcPr>
            <w:tcW w:w="302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Quantities Generated and Purchased by Fuel Type (GWh)</w:t>
            </w: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15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1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4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8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4820" w:type="dxa"/>
            <w:vAlign w:val="bottom"/>
            <w:gridSpan w:val="2"/>
          </w:tcPr>
          <w:p>
            <w:pPr>
              <w:ind w:left="120"/>
              <w:spacing w:after="0"/>
              <w:rPr>
                <w:sz w:val="20"/>
                <w:szCs w:val="20"/>
                <w:color w:val="auto"/>
              </w:rPr>
            </w:pPr>
            <w:r>
              <w:rPr>
                <w:rFonts w:ascii="Arial" w:cs="Arial" w:eastAsia="Arial" w:hAnsi="Arial"/>
                <w:sz w:val="16"/>
                <w:szCs w:val="16"/>
                <w:color w:val="auto"/>
              </w:rPr>
              <w:t>Coal</w:t>
            </w: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478.1</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620.9</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1,158.8</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1,295.9</w:t>
            </w:r>
          </w:p>
        </w:tc>
      </w:tr>
      <w:tr>
        <w:trPr>
          <w:trHeight w:val="217"/>
        </w:trPr>
        <w:tc>
          <w:tcPr>
            <w:tcW w:w="48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Natural Gas and Oil</w:t>
            </w:r>
          </w:p>
        </w:tc>
        <w:tc>
          <w:tcPr>
            <w:tcW w:w="18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451.5</w:t>
            </w:r>
          </w:p>
        </w:tc>
        <w:tc>
          <w:tcPr>
            <w:tcW w:w="15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451.2</w:t>
            </w:r>
          </w:p>
        </w:tc>
        <w:tc>
          <w:tcPr>
            <w:tcW w:w="16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974.9</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952.3</w:t>
            </w:r>
          </w:p>
        </w:tc>
      </w:tr>
      <w:tr>
        <w:trPr>
          <w:trHeight w:val="216"/>
        </w:trPr>
        <w:tc>
          <w:tcPr>
            <w:tcW w:w="4820" w:type="dxa"/>
            <w:vAlign w:val="bottom"/>
            <w:gridSpan w:val="2"/>
          </w:tcPr>
          <w:p>
            <w:pPr>
              <w:ind w:left="120"/>
              <w:spacing w:after="0"/>
              <w:rPr>
                <w:sz w:val="20"/>
                <w:szCs w:val="20"/>
                <w:color w:val="auto"/>
              </w:rPr>
            </w:pPr>
            <w:r>
              <w:rPr>
                <w:rFonts w:ascii="Arial" w:cs="Arial" w:eastAsia="Arial" w:hAnsi="Arial"/>
                <w:sz w:val="16"/>
                <w:szCs w:val="16"/>
                <w:color w:val="auto"/>
              </w:rPr>
              <w:t>Wind</w:t>
            </w: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161.7</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150.6</w:t>
            </w:r>
          </w:p>
        </w:tc>
        <w:tc>
          <w:tcPr>
            <w:tcW w:w="1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335.7</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381.3</w:t>
            </w:r>
          </w:p>
        </w:tc>
      </w:tr>
      <w:tr>
        <w:trPr>
          <w:trHeight w:val="210"/>
        </w:trPr>
        <w:tc>
          <w:tcPr>
            <w:tcW w:w="48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Generated</w:t>
            </w:r>
          </w:p>
        </w:tc>
        <w:tc>
          <w:tcPr>
            <w:tcW w:w="18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1,091.3</w:t>
            </w: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1,222.7</w:t>
            </w:r>
          </w:p>
        </w:tc>
        <w:tc>
          <w:tcPr>
            <w:tcW w:w="16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2,469.4</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2,629.5</w:t>
            </w:r>
          </w:p>
        </w:tc>
      </w:tr>
      <w:tr>
        <w:trPr>
          <w:trHeight w:val="209"/>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8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Coal, Natural Gas, Oil and Other Market Purchases</w:t>
            </w:r>
          </w:p>
        </w:tc>
        <w:tc>
          <w:tcPr>
            <w:tcW w:w="18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350.6</w:t>
            </w:r>
          </w:p>
        </w:tc>
        <w:tc>
          <w:tcPr>
            <w:tcW w:w="15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421.1</w:t>
            </w:r>
          </w:p>
        </w:tc>
        <w:tc>
          <w:tcPr>
            <w:tcW w:w="16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639.5</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910.9</w:t>
            </w:r>
          </w:p>
        </w:tc>
      </w:tr>
      <w:tr>
        <w:trPr>
          <w:trHeight w:val="216"/>
        </w:trPr>
        <w:tc>
          <w:tcPr>
            <w:tcW w:w="482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Wind and Solar </w:t>
            </w:r>
            <w:r>
              <w:rPr>
                <w:rFonts w:ascii="Arial" w:cs="Arial" w:eastAsia="Arial" w:hAnsi="Arial"/>
                <w:sz w:val="21"/>
                <w:szCs w:val="21"/>
                <w:color w:val="auto"/>
                <w:vertAlign w:val="superscript"/>
              </w:rPr>
              <w:t>(a)</w:t>
            </w: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330.9</w:t>
            </w: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71.1</w:t>
            </w:r>
          </w:p>
        </w:tc>
        <w:tc>
          <w:tcPr>
            <w:tcW w:w="16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545.7</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165.2</w:t>
            </w:r>
          </w:p>
        </w:tc>
      </w:tr>
      <w:tr>
        <w:trPr>
          <w:trHeight w:val="210"/>
        </w:trPr>
        <w:tc>
          <w:tcPr>
            <w:tcW w:w="48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Purchased</w:t>
            </w:r>
          </w:p>
        </w:tc>
        <w:tc>
          <w:tcPr>
            <w:tcW w:w="18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681.5</w:t>
            </w: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492.2</w:t>
            </w:r>
          </w:p>
        </w:tc>
        <w:tc>
          <w:tcPr>
            <w:tcW w:w="16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1,185.2</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1,076.1</w:t>
            </w:r>
          </w:p>
        </w:tc>
      </w:tr>
      <w:tr>
        <w:trPr>
          <w:trHeight w:val="209"/>
        </w:trPr>
        <w:tc>
          <w:tcPr>
            <w:tcW w:w="1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6"/>
        </w:trPr>
        <w:tc>
          <w:tcPr>
            <w:tcW w:w="4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18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1,772.8</w:t>
            </w:r>
          </w:p>
        </w:tc>
        <w:tc>
          <w:tcPr>
            <w:tcW w:w="15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1,714.9</w:t>
            </w:r>
          </w:p>
        </w:tc>
        <w:tc>
          <w:tcPr>
            <w:tcW w:w="16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3,654.6</w:t>
            </w: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line="256"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Renewable energy purchases increased for the three and six months ended June 30, 2024, compared to the same period in the prior year primarily due to new wind and solar energy PPAs. In 2022, Wyoming Electric entered into two new PPAs with third parties to purchase up to 106 MW of wind energy and up to 150 MW of solar energy, upon construction of new renewable generation facilities (owned by third parties). The new wind generation facility was placed in service in December 2023 and the solar facility was placed in service in March 2024. The renewable energy from these PPAs is used to serve our expanding partnerships with data centers.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4"/>
          </w:tcPr>
          <w:p>
            <w:pPr>
              <w:ind w:left="300"/>
              <w:spacing w:after="0"/>
              <w:rPr>
                <w:sz w:val="20"/>
                <w:szCs w:val="20"/>
                <w:color w:val="auto"/>
              </w:rPr>
            </w:pPr>
            <w:r>
              <w:rPr>
                <w:rFonts w:ascii="Arial" w:cs="Arial" w:eastAsia="Arial" w:hAnsi="Arial"/>
                <w:sz w:val="16"/>
                <w:szCs w:val="16"/>
                <w:b w:val="1"/>
                <w:bCs w:val="1"/>
                <w:color w:val="auto"/>
              </w:rPr>
              <w:t>Three Months Ended June 30,</w:t>
            </w:r>
          </w:p>
        </w:tc>
        <w:tc>
          <w:tcPr>
            <w:tcW w:w="31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3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Quantities Generated and Purchased (GWh)</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2023</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9"/>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639"/>
              <w:spacing w:after="0"/>
              <w:rPr>
                <w:sz w:val="20"/>
                <w:szCs w:val="20"/>
                <w:color w:val="auto"/>
              </w:rPr>
            </w:pPr>
            <w:r>
              <w:rPr>
                <w:rFonts w:ascii="Arial" w:cs="Arial" w:eastAsia="Arial" w:hAnsi="Arial"/>
                <w:sz w:val="16"/>
                <w:szCs w:val="16"/>
                <w:color w:val="auto"/>
              </w:rPr>
              <w:t>223.0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120.4</w:t>
            </w:r>
          </w:p>
        </w:tc>
        <w:tc>
          <w:tcPr>
            <w:tcW w:w="108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384.6</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280.6</w:t>
            </w:r>
          </w:p>
        </w:tc>
      </w:tr>
      <w:tr>
        <w:trPr>
          <w:trHeight w:val="217"/>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419.8</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447.5</w:t>
            </w: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954.4</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1,011.5</w:t>
            </w: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639"/>
              <w:spacing w:after="0"/>
              <w:rPr>
                <w:sz w:val="20"/>
                <w:szCs w:val="20"/>
                <w:color w:val="auto"/>
              </w:rPr>
            </w:pPr>
            <w:r>
              <w:rPr>
                <w:rFonts w:ascii="Arial" w:cs="Arial" w:eastAsia="Arial" w:hAnsi="Arial"/>
                <w:sz w:val="16"/>
                <w:szCs w:val="16"/>
                <w:color w:val="auto"/>
              </w:rPr>
              <w:t>187.8</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215.1</w:t>
            </w:r>
          </w:p>
        </w:tc>
        <w:tc>
          <w:tcPr>
            <w:tcW w:w="108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403.0</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445.7</w:t>
            </w:r>
          </w:p>
        </w:tc>
      </w:tr>
      <w:tr>
        <w:trPr>
          <w:trHeight w:val="217"/>
        </w:trPr>
        <w:tc>
          <w:tcPr>
            <w:tcW w:w="2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260.7</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439.7</w:t>
            </w:r>
          </w:p>
        </w:tc>
        <w:tc>
          <w:tcPr>
            <w:tcW w:w="10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727.4</w:t>
            </w:r>
          </w:p>
        </w:tc>
        <w:tc>
          <w:tcPr>
            <w:tcW w:w="12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891.7</w:t>
            </w:r>
          </w:p>
        </w:tc>
      </w:tr>
      <w:tr>
        <w:trPr>
          <w:trHeight w:val="210"/>
        </w:trPr>
        <w:tc>
          <w:tcPr>
            <w:tcW w:w="2740" w:type="dxa"/>
            <w:vAlign w:val="bottom"/>
          </w:tcPr>
          <w:p>
            <w:pPr>
              <w:ind w:left="200"/>
              <w:spacing w:after="0"/>
              <w:rPr>
                <w:sz w:val="20"/>
                <w:szCs w:val="20"/>
                <w:color w:val="auto"/>
              </w:rPr>
            </w:pPr>
            <w:r>
              <w:rPr>
                <w:rFonts w:ascii="Arial" w:cs="Arial" w:eastAsia="Arial" w:hAnsi="Arial"/>
                <w:sz w:val="16"/>
                <w:szCs w:val="16"/>
                <w:color w:val="auto"/>
              </w:rPr>
              <w:t>Total Generated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1,091.3</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1,222.7</w:t>
            </w:r>
          </w:p>
        </w:tc>
        <w:tc>
          <w:tcPr>
            <w:tcW w:w="19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2,469.4</w:t>
            </w: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2,629.5</w:t>
            </w:r>
          </w:p>
        </w:tc>
      </w:tr>
      <w:tr>
        <w:trPr>
          <w:trHeight w:val="210"/>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639"/>
              <w:spacing w:after="0"/>
              <w:rPr>
                <w:sz w:val="20"/>
                <w:szCs w:val="20"/>
                <w:color w:val="auto"/>
              </w:rPr>
            </w:pPr>
            <w:r>
              <w:rPr>
                <w:rFonts w:ascii="Arial" w:cs="Arial" w:eastAsia="Arial" w:hAnsi="Arial"/>
                <w:sz w:val="16"/>
                <w:szCs w:val="16"/>
                <w:color w:val="auto"/>
              </w:rPr>
              <w:t>172.7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128.4</w:t>
            </w:r>
          </w:p>
        </w:tc>
        <w:tc>
          <w:tcPr>
            <w:tcW w:w="108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262.9</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326.0</w:t>
            </w:r>
          </w:p>
        </w:tc>
      </w:tr>
      <w:tr>
        <w:trPr>
          <w:trHeight w:val="217"/>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163.0</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104.3</w:t>
            </w: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263.6</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261.3</w:t>
            </w: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ind w:right="639"/>
              <w:spacing w:after="0"/>
              <w:rPr>
                <w:sz w:val="20"/>
                <w:szCs w:val="20"/>
                <w:color w:val="auto"/>
              </w:rPr>
            </w:pPr>
            <w:r>
              <w:rPr>
                <w:rFonts w:ascii="Arial" w:cs="Arial" w:eastAsia="Arial" w:hAnsi="Arial"/>
                <w:sz w:val="16"/>
                <w:szCs w:val="16"/>
                <w:color w:val="auto"/>
              </w:rPr>
              <w:t>329.8</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246.2</w:t>
            </w:r>
          </w:p>
        </w:tc>
        <w:tc>
          <w:tcPr>
            <w:tcW w:w="108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625.5</w:t>
            </w:r>
          </w:p>
        </w:tc>
        <w:tc>
          <w:tcPr>
            <w:tcW w:w="1280" w:type="dxa"/>
            <w:vAlign w:val="bottom"/>
            <w:gridSpan w:val="2"/>
          </w:tcPr>
          <w:p>
            <w:pPr>
              <w:jc w:val="right"/>
              <w:ind w:right="39"/>
              <w:spacing w:after="0"/>
              <w:rPr>
                <w:sz w:val="20"/>
                <w:szCs w:val="20"/>
                <w:color w:val="auto"/>
              </w:rPr>
            </w:pPr>
            <w:r>
              <w:rPr>
                <w:rFonts w:ascii="Arial" w:cs="Arial" w:eastAsia="Arial" w:hAnsi="Arial"/>
                <w:sz w:val="16"/>
                <w:szCs w:val="16"/>
                <w:color w:val="auto"/>
              </w:rPr>
              <w:t>456.0</w:t>
            </w:r>
          </w:p>
        </w:tc>
      </w:tr>
      <w:tr>
        <w:trPr>
          <w:trHeight w:val="217"/>
        </w:trPr>
        <w:tc>
          <w:tcPr>
            <w:tcW w:w="2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gridSpan w:val="2"/>
            <w:shd w:val="clear" w:color="auto" w:fill="CFF0FC"/>
          </w:tcPr>
          <w:p>
            <w:pPr>
              <w:jc w:val="right"/>
              <w:ind w:right="639"/>
              <w:spacing w:after="0"/>
              <w:rPr>
                <w:sz w:val="20"/>
                <w:szCs w:val="20"/>
                <w:color w:val="auto"/>
              </w:rPr>
            </w:pPr>
            <w:r>
              <w:rPr>
                <w:rFonts w:ascii="Arial" w:cs="Arial" w:eastAsia="Arial" w:hAnsi="Arial"/>
                <w:sz w:val="16"/>
                <w:szCs w:val="16"/>
                <w:color w:val="auto"/>
              </w:rPr>
              <w:t>16.0</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13.3</w:t>
            </w:r>
          </w:p>
        </w:tc>
        <w:tc>
          <w:tcPr>
            <w:tcW w:w="10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33.2</w:t>
            </w:r>
          </w:p>
        </w:tc>
        <w:tc>
          <w:tcPr>
            <w:tcW w:w="128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32.8</w:t>
            </w:r>
          </w:p>
        </w:tc>
      </w:tr>
      <w:tr>
        <w:trPr>
          <w:trHeight w:val="210"/>
        </w:trPr>
        <w:tc>
          <w:tcPr>
            <w:tcW w:w="2740" w:type="dxa"/>
            <w:vAlign w:val="bottom"/>
          </w:tcPr>
          <w:p>
            <w:pPr>
              <w:ind w:left="200"/>
              <w:spacing w:after="0"/>
              <w:rPr>
                <w:sz w:val="20"/>
                <w:szCs w:val="20"/>
                <w:color w:val="auto"/>
              </w:rPr>
            </w:pPr>
            <w:r>
              <w:rPr>
                <w:rFonts w:ascii="Arial" w:cs="Arial" w:eastAsia="Arial" w:hAnsi="Arial"/>
                <w:sz w:val="16"/>
                <w:szCs w:val="16"/>
                <w:color w:val="auto"/>
              </w:rPr>
              <w:t>Total Purchased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681.5</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492.2</w:t>
            </w:r>
          </w:p>
        </w:tc>
        <w:tc>
          <w:tcPr>
            <w:tcW w:w="19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1,185.2</w:t>
            </w: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1,076.1</w:t>
            </w:r>
          </w:p>
        </w:tc>
      </w:tr>
      <w:tr>
        <w:trPr>
          <w:trHeight w:val="210"/>
        </w:trPr>
        <w:tc>
          <w:tcPr>
            <w:tcW w:w="27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rPr>
              <w:t>1,772.8</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1,714.9</w:t>
            </w:r>
          </w:p>
        </w:tc>
        <w:tc>
          <w:tcPr>
            <w:tcW w:w="190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3,654.6</w:t>
            </w: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3,705.6</w:t>
            </w:r>
          </w:p>
        </w:tc>
      </w:tr>
      <w:tr>
        <w:trPr>
          <w:trHeight w:val="20"/>
        </w:trPr>
        <w:tc>
          <w:tcPr>
            <w:tcW w:w="2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5"/>
        </w:trPr>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40" w:type="dxa"/>
            <w:vAlign w:val="bottom"/>
            <w:gridSpan w:val="6"/>
          </w:tcPr>
          <w:p>
            <w:pPr>
              <w:jc w:val="right"/>
              <w:ind w:right="899"/>
              <w:spacing w:after="0"/>
              <w:rPr>
                <w:sz w:val="20"/>
                <w:szCs w:val="20"/>
                <w:color w:val="auto"/>
              </w:rPr>
            </w:pPr>
            <w:r>
              <w:rPr>
                <w:rFonts w:ascii="Arial" w:cs="Arial" w:eastAsia="Arial" w:hAnsi="Arial"/>
                <w:sz w:val="16"/>
                <w:szCs w:val="16"/>
                <w:b w:val="1"/>
                <w:bCs w:val="1"/>
                <w:color w:val="auto"/>
              </w:rPr>
              <w:t>Three Months Ended June 30,</w:t>
            </w:r>
          </w:p>
        </w:tc>
        <w:tc>
          <w:tcPr>
            <w:tcW w:w="1060" w:type="dxa"/>
            <w:vAlign w:val="bottom"/>
          </w:tcPr>
          <w:p>
            <w:pPr>
              <w:spacing w:after="0"/>
              <w:rPr>
                <w:sz w:val="24"/>
                <w:szCs w:val="24"/>
                <w:color w:val="auto"/>
              </w:rPr>
            </w:pPr>
          </w:p>
        </w:tc>
        <w:tc>
          <w:tcPr>
            <w:tcW w:w="31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27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21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2023</w:t>
            </w:r>
          </w:p>
        </w:tc>
      </w:tr>
      <w:tr>
        <w:trPr>
          <w:trHeight w:val="182"/>
        </w:trPr>
        <w:tc>
          <w:tcPr>
            <w:tcW w:w="2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40"/>
              <w:spacing w:after="0" w:line="182" w:lineRule="exact"/>
              <w:rPr>
                <w:sz w:val="20"/>
                <w:szCs w:val="20"/>
                <w:color w:val="auto"/>
              </w:rPr>
            </w:pPr>
            <w:r>
              <w:rPr>
                <w:rFonts w:ascii="Arial" w:cs="Arial" w:eastAsia="Arial" w:hAnsi="Arial"/>
                <w:sz w:val="16"/>
                <w:szCs w:val="16"/>
                <w:b w:val="1"/>
                <w:bCs w:val="1"/>
                <w:color w:val="auto"/>
                <w:w w:val="98"/>
              </w:rPr>
              <w:t>Variance</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39"/>
              <w:spacing w:after="0" w:line="182" w:lineRule="exact"/>
              <w:rPr>
                <w:sz w:val="20"/>
                <w:szCs w:val="20"/>
                <w:color w:val="auto"/>
              </w:rPr>
            </w:pPr>
            <w:r>
              <w:rPr>
                <w:rFonts w:ascii="Arial" w:cs="Arial" w:eastAsia="Arial" w:hAnsi="Arial"/>
                <w:sz w:val="16"/>
                <w:szCs w:val="16"/>
                <w:b w:val="1"/>
                <w:bCs w:val="1"/>
                <w:color w:val="auto"/>
              </w:rPr>
              <w:t>Variance</w:t>
            </w:r>
          </w:p>
        </w:tc>
        <w:tc>
          <w:tcPr>
            <w:tcW w:w="106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39"/>
              <w:spacing w:after="0" w:line="182" w:lineRule="exact"/>
              <w:rPr>
                <w:sz w:val="20"/>
                <w:szCs w:val="20"/>
                <w:color w:val="auto"/>
              </w:rPr>
            </w:pPr>
            <w:r>
              <w:rPr>
                <w:rFonts w:ascii="Arial" w:cs="Arial" w:eastAsia="Arial" w:hAnsi="Arial"/>
                <w:sz w:val="16"/>
                <w:szCs w:val="16"/>
                <w:b w:val="1"/>
                <w:bCs w:val="1"/>
                <w:color w:val="auto"/>
              </w:rPr>
              <w:t>Variance</w:t>
            </w:r>
          </w:p>
        </w:tc>
      </w:tr>
      <w:tr>
        <w:trPr>
          <w:trHeight w:val="217"/>
        </w:trPr>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Degree Days</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Actual</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from Normal</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Actual</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from Normal</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Actual</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from Normal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from Normal</w:t>
            </w:r>
          </w:p>
        </w:tc>
      </w:tr>
      <w:tr>
        <w:trPr>
          <w:trHeight w:val="210"/>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Heating Degree Days: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w w:val="97"/>
              </w:rPr>
              <w:t>524</w:t>
            </w:r>
          </w:p>
        </w:tc>
        <w:tc>
          <w:tcPr>
            <w:tcW w:w="1140" w:type="dxa"/>
            <w:vAlign w:val="bottom"/>
            <w:gridSpan w:val="2"/>
          </w:tcPr>
          <w:p>
            <w:pPr>
              <w:jc w:val="center"/>
              <w:ind w:left="339"/>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860" w:type="dxa"/>
            <w:vAlign w:val="bottom"/>
          </w:tcPr>
          <w:p>
            <w:pPr>
              <w:jc w:val="center"/>
              <w:ind w:left="139"/>
              <w:spacing w:after="0"/>
              <w:rPr>
                <w:sz w:val="20"/>
                <w:szCs w:val="20"/>
                <w:color w:val="auto"/>
              </w:rPr>
            </w:pPr>
            <w:r>
              <w:rPr>
                <w:rFonts w:ascii="Arial" w:cs="Arial" w:eastAsia="Arial" w:hAnsi="Arial"/>
                <w:sz w:val="16"/>
                <w:szCs w:val="16"/>
                <w:color w:val="auto"/>
              </w:rPr>
              <w:t>588</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3,031</w:t>
            </w:r>
          </w:p>
        </w:tc>
        <w:tc>
          <w:tcPr>
            <w:tcW w:w="1080" w:type="dxa"/>
            <w:vAlign w:val="bottom"/>
          </w:tcPr>
          <w:p>
            <w:pPr>
              <w:jc w:val="center"/>
              <w:spacing w:after="0"/>
              <w:rPr>
                <w:sz w:val="20"/>
                <w:szCs w:val="20"/>
                <w:color w:val="auto"/>
              </w:rPr>
            </w:pPr>
            <w:r>
              <w:rPr>
                <w:rFonts w:ascii="Arial" w:cs="Arial" w:eastAsia="Arial" w:hAnsi="Arial"/>
                <w:sz w:val="16"/>
                <w:szCs w:val="16"/>
                <w:color w:val="auto"/>
              </w:rPr>
              <w:t>(7)%</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99"/>
              </w:rPr>
              <w:t>3,339</w:t>
            </w:r>
          </w:p>
        </w:tc>
        <w:tc>
          <w:tcPr>
            <w:tcW w:w="1280" w:type="dxa"/>
            <w:vAlign w:val="bottom"/>
            <w:gridSpan w:val="2"/>
          </w:tcPr>
          <w:p>
            <w:pPr>
              <w:jc w:val="center"/>
              <w:ind w:left="159"/>
              <w:spacing w:after="0"/>
              <w:rPr>
                <w:sz w:val="20"/>
                <w:szCs w:val="20"/>
                <w:color w:val="auto"/>
              </w:rPr>
            </w:pPr>
            <w:r>
              <w:rPr>
                <w:rFonts w:ascii="Arial" w:cs="Arial" w:eastAsia="Arial" w:hAnsi="Arial"/>
                <w:sz w:val="16"/>
                <w:szCs w:val="16"/>
                <w:color w:val="auto"/>
              </w:rPr>
              <w:t>6%</w:t>
            </w:r>
          </w:p>
        </w:tc>
      </w:tr>
      <w:tr>
        <w:trPr>
          <w:trHeight w:val="217"/>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CF0FC"/>
          </w:tcPr>
          <w:p>
            <w:pPr>
              <w:jc w:val="center"/>
              <w:ind w:left="159"/>
              <w:spacing w:after="0"/>
              <w:rPr>
                <w:sz w:val="20"/>
                <w:szCs w:val="20"/>
                <w:color w:val="auto"/>
              </w:rPr>
            </w:pPr>
            <w:r>
              <w:rPr>
                <w:rFonts w:ascii="Arial" w:cs="Arial" w:eastAsia="Arial" w:hAnsi="Arial"/>
                <w:sz w:val="16"/>
                <w:szCs w:val="16"/>
                <w:color w:val="auto"/>
                <w:w w:val="97"/>
              </w:rPr>
              <w:t>898</w:t>
            </w:r>
          </w:p>
        </w:tc>
        <w:tc>
          <w:tcPr>
            <w:tcW w:w="240" w:type="dxa"/>
            <w:vAlign w:val="bottom"/>
            <w:shd w:val="clear" w:color="auto" w:fill="CCF0FC"/>
          </w:tcPr>
          <w:p>
            <w:pPr>
              <w:spacing w:after="0"/>
              <w:rPr>
                <w:sz w:val="18"/>
                <w:szCs w:val="18"/>
                <w:color w:val="auto"/>
              </w:rPr>
            </w:pPr>
          </w:p>
        </w:tc>
        <w:tc>
          <w:tcPr>
            <w:tcW w:w="90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FF0FC"/>
          </w:tcPr>
          <w:p>
            <w:pPr>
              <w:spacing w:after="0"/>
              <w:rPr>
                <w:sz w:val="18"/>
                <w:szCs w:val="18"/>
                <w:color w:val="auto"/>
              </w:rPr>
            </w:pPr>
          </w:p>
        </w:tc>
        <w:tc>
          <w:tcPr>
            <w:tcW w:w="860" w:type="dxa"/>
            <w:vAlign w:val="bottom"/>
            <w:shd w:val="clear" w:color="auto" w:fill="CCF0FC"/>
          </w:tcPr>
          <w:p>
            <w:pPr>
              <w:jc w:val="center"/>
              <w:ind w:left="139"/>
              <w:spacing w:after="0"/>
              <w:rPr>
                <w:sz w:val="20"/>
                <w:szCs w:val="20"/>
                <w:color w:val="auto"/>
              </w:rPr>
            </w:pPr>
            <w:r>
              <w:rPr>
                <w:rFonts w:ascii="Arial" w:cs="Arial" w:eastAsia="Arial" w:hAnsi="Arial"/>
                <w:sz w:val="16"/>
                <w:szCs w:val="16"/>
                <w:color w:val="auto"/>
                <w:w w:val="99"/>
              </w:rPr>
              <w:t>1,035</w:t>
            </w:r>
          </w:p>
        </w:tc>
        <w:tc>
          <w:tcPr>
            <w:tcW w:w="220" w:type="dxa"/>
            <w:vAlign w:val="bottom"/>
            <w:shd w:val="clear" w:color="auto" w:fill="CCF0FC"/>
          </w:tcPr>
          <w:p>
            <w:pPr>
              <w:spacing w:after="0"/>
              <w:rPr>
                <w:sz w:val="18"/>
                <w:szCs w:val="18"/>
                <w:color w:val="auto"/>
              </w:rPr>
            </w:pPr>
          </w:p>
        </w:tc>
        <w:tc>
          <w:tcPr>
            <w:tcW w:w="10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(5)%</w:t>
            </w:r>
          </w:p>
        </w:tc>
        <w:tc>
          <w:tcPr>
            <w:tcW w:w="1060" w:type="dxa"/>
            <w:vAlign w:val="bottom"/>
            <w:shd w:val="clear" w:color="auto" w:fill="CCF0FC"/>
          </w:tcPr>
          <w:p>
            <w:pPr>
              <w:jc w:val="center"/>
              <w:spacing w:after="0"/>
              <w:rPr>
                <w:sz w:val="20"/>
                <w:szCs w:val="20"/>
                <w:color w:val="auto"/>
              </w:rPr>
            </w:pPr>
            <w:r>
              <w:rPr>
                <w:rFonts w:ascii="Arial" w:cs="Arial" w:eastAsia="Arial" w:hAnsi="Arial"/>
                <w:sz w:val="16"/>
                <w:szCs w:val="16"/>
                <w:color w:val="auto"/>
                <w:w w:val="99"/>
              </w:rPr>
              <w:t>4,032</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820" w:type="dxa"/>
            <w:vAlign w:val="bottom"/>
            <w:shd w:val="clear" w:color="auto" w:fill="CCF0FC"/>
          </w:tcPr>
          <w:p>
            <w:pPr>
              <w:jc w:val="center"/>
              <w:ind w:left="139"/>
              <w:spacing w:after="0"/>
              <w:rPr>
                <w:sz w:val="20"/>
                <w:szCs w:val="20"/>
                <w:color w:val="auto"/>
              </w:rPr>
            </w:pPr>
            <w:r>
              <w:rPr>
                <w:rFonts w:ascii="Arial" w:cs="Arial" w:eastAsia="Arial" w:hAnsi="Arial"/>
                <w:sz w:val="16"/>
                <w:szCs w:val="16"/>
                <w:color w:val="auto"/>
                <w:w w:val="99"/>
              </w:rPr>
              <w:t>4,481</w:t>
            </w:r>
          </w:p>
        </w:tc>
        <w:tc>
          <w:tcPr>
            <w:tcW w:w="220" w:type="dxa"/>
            <w:vAlign w:val="bottom"/>
            <w:shd w:val="clear" w:color="auto" w:fill="CC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rPr>
              <w:t>1,040</w:t>
            </w:r>
          </w:p>
        </w:tc>
        <w:tc>
          <w:tcPr>
            <w:tcW w:w="240" w:type="dxa"/>
            <w:vAlign w:val="bottom"/>
          </w:tcPr>
          <w:p>
            <w:pPr>
              <w:spacing w:after="0"/>
              <w:rPr>
                <w:sz w:val="18"/>
                <w:szCs w:val="18"/>
                <w:color w:val="auto"/>
              </w:rPr>
            </w:pPr>
          </w:p>
        </w:tc>
        <w:tc>
          <w:tcPr>
            <w:tcW w:w="900" w:type="dxa"/>
            <w:vAlign w:val="bottom"/>
          </w:tcPr>
          <w:p>
            <w:pPr>
              <w:jc w:val="center"/>
              <w:ind w:left="99"/>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860" w:type="dxa"/>
            <w:vAlign w:val="bottom"/>
          </w:tcPr>
          <w:p>
            <w:pPr>
              <w:jc w:val="center"/>
              <w:ind w:left="139"/>
              <w:spacing w:after="0"/>
              <w:rPr>
                <w:sz w:val="20"/>
                <w:szCs w:val="20"/>
                <w:color w:val="auto"/>
              </w:rPr>
            </w:pPr>
            <w:r>
              <w:rPr>
                <w:rFonts w:ascii="Arial" w:cs="Arial" w:eastAsia="Arial" w:hAnsi="Arial"/>
                <w:sz w:val="16"/>
                <w:szCs w:val="16"/>
                <w:color w:val="auto"/>
                <w:w w:val="99"/>
              </w:rPr>
              <w:t>1,081</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(9)%</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4,026</w:t>
            </w:r>
          </w:p>
        </w:tc>
        <w:tc>
          <w:tcPr>
            <w:tcW w:w="1080" w:type="dxa"/>
            <w:vAlign w:val="bottom"/>
          </w:tcPr>
          <w:p>
            <w:pPr>
              <w:jc w:val="center"/>
              <w:spacing w:after="0"/>
              <w:rPr>
                <w:sz w:val="20"/>
                <w:szCs w:val="20"/>
                <w:color w:val="auto"/>
              </w:rPr>
            </w:pPr>
            <w:r>
              <w:rPr>
                <w:rFonts w:ascii="Arial" w:cs="Arial" w:eastAsia="Arial" w:hAnsi="Arial"/>
                <w:sz w:val="16"/>
                <w:szCs w:val="16"/>
                <w:color w:val="auto"/>
              </w:rPr>
              <w:t>(7)%</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99"/>
              </w:rPr>
              <w:t>4,382</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5%</w:t>
            </w:r>
          </w:p>
        </w:tc>
      </w:tr>
      <w:tr>
        <w:trPr>
          <w:trHeight w:val="217"/>
        </w:trPr>
        <w:tc>
          <w:tcPr>
            <w:tcW w:w="2740" w:type="dxa"/>
            <w:vAlign w:val="bottom"/>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CF0FC"/>
          </w:tcPr>
          <w:p>
            <w:pPr>
              <w:jc w:val="center"/>
              <w:ind w:left="159"/>
              <w:spacing w:after="0"/>
              <w:rPr>
                <w:sz w:val="20"/>
                <w:szCs w:val="20"/>
                <w:color w:val="auto"/>
              </w:rPr>
            </w:pPr>
            <w:r>
              <w:rPr>
                <w:rFonts w:ascii="Arial" w:cs="Arial" w:eastAsia="Arial" w:hAnsi="Arial"/>
                <w:sz w:val="16"/>
                <w:szCs w:val="16"/>
                <w:color w:val="auto"/>
                <w:w w:val="97"/>
              </w:rPr>
              <w:t>757</w:t>
            </w:r>
          </w:p>
        </w:tc>
        <w:tc>
          <w:tcPr>
            <w:tcW w:w="240" w:type="dxa"/>
            <w:vAlign w:val="bottom"/>
            <w:shd w:val="clear" w:color="auto" w:fill="CCF0FC"/>
          </w:tcPr>
          <w:p>
            <w:pPr>
              <w:spacing w:after="0"/>
              <w:rPr>
                <w:sz w:val="18"/>
                <w:szCs w:val="18"/>
                <w:color w:val="auto"/>
              </w:rPr>
            </w:pPr>
          </w:p>
        </w:tc>
        <w:tc>
          <w:tcPr>
            <w:tcW w:w="90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spacing w:after="0"/>
              <w:rPr>
                <w:sz w:val="18"/>
                <w:szCs w:val="18"/>
                <w:color w:val="auto"/>
              </w:rPr>
            </w:pPr>
          </w:p>
        </w:tc>
        <w:tc>
          <w:tcPr>
            <w:tcW w:w="860" w:type="dxa"/>
            <w:vAlign w:val="bottom"/>
            <w:shd w:val="clear" w:color="auto" w:fill="CCF0FC"/>
          </w:tcPr>
          <w:p>
            <w:pPr>
              <w:jc w:val="center"/>
              <w:ind w:left="139"/>
              <w:spacing w:after="0"/>
              <w:rPr>
                <w:sz w:val="20"/>
                <w:szCs w:val="20"/>
                <w:color w:val="auto"/>
              </w:rPr>
            </w:pPr>
            <w:r>
              <w:rPr>
                <w:rFonts w:ascii="Arial" w:cs="Arial" w:eastAsia="Arial" w:hAnsi="Arial"/>
                <w:sz w:val="16"/>
                <w:szCs w:val="16"/>
                <w:color w:val="auto"/>
              </w:rPr>
              <w:t>840</w:t>
            </w:r>
          </w:p>
        </w:tc>
        <w:tc>
          <w:tcPr>
            <w:tcW w:w="220" w:type="dxa"/>
            <w:vAlign w:val="bottom"/>
            <w:shd w:val="clear" w:color="auto" w:fill="CCF0FC"/>
          </w:tcPr>
          <w:p>
            <w:pPr>
              <w:spacing w:after="0"/>
              <w:rPr>
                <w:sz w:val="18"/>
                <w:szCs w:val="18"/>
                <w:color w:val="auto"/>
              </w:rPr>
            </w:pPr>
          </w:p>
        </w:tc>
        <w:tc>
          <w:tcPr>
            <w:tcW w:w="10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060" w:type="dxa"/>
            <w:vAlign w:val="bottom"/>
            <w:shd w:val="clear" w:color="auto" w:fill="CCF0FC"/>
          </w:tcPr>
          <w:p>
            <w:pPr>
              <w:jc w:val="center"/>
              <w:spacing w:after="0"/>
              <w:rPr>
                <w:sz w:val="20"/>
                <w:szCs w:val="20"/>
                <w:color w:val="auto"/>
              </w:rPr>
            </w:pPr>
            <w:r>
              <w:rPr>
                <w:rFonts w:ascii="Arial" w:cs="Arial" w:eastAsia="Arial" w:hAnsi="Arial"/>
                <w:sz w:val="16"/>
                <w:szCs w:val="16"/>
                <w:color w:val="auto"/>
                <w:w w:val="99"/>
              </w:rPr>
              <w:t>3,577</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820" w:type="dxa"/>
            <w:vAlign w:val="bottom"/>
            <w:shd w:val="clear" w:color="auto" w:fill="CCF0FC"/>
          </w:tcPr>
          <w:p>
            <w:pPr>
              <w:jc w:val="center"/>
              <w:ind w:left="139"/>
              <w:spacing w:after="0"/>
              <w:rPr>
                <w:sz w:val="20"/>
                <w:szCs w:val="20"/>
                <w:color w:val="auto"/>
              </w:rPr>
            </w:pPr>
            <w:r>
              <w:rPr>
                <w:rFonts w:ascii="Arial" w:cs="Arial" w:eastAsia="Arial" w:hAnsi="Arial"/>
                <w:sz w:val="16"/>
                <w:szCs w:val="16"/>
                <w:color w:val="auto"/>
                <w:w w:val="99"/>
              </w:rPr>
              <w:t>3,940</w:t>
            </w:r>
          </w:p>
        </w:tc>
        <w:tc>
          <w:tcPr>
            <w:tcW w:w="220" w:type="dxa"/>
            <w:vAlign w:val="bottom"/>
            <w:shd w:val="clear" w:color="auto" w:fill="CC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w:t>
            </w:r>
          </w:p>
        </w:tc>
      </w:tr>
      <w:tr>
        <w:trPr>
          <w:trHeight w:val="216"/>
        </w:trPr>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Days:</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w w:val="97"/>
              </w:rPr>
              <w:t>343</w:t>
            </w:r>
          </w:p>
        </w:tc>
        <w:tc>
          <w:tcPr>
            <w:tcW w:w="1140" w:type="dxa"/>
            <w:vAlign w:val="bottom"/>
            <w:gridSpan w:val="2"/>
          </w:tcPr>
          <w:p>
            <w:pPr>
              <w:jc w:val="center"/>
              <w:ind w:left="339"/>
              <w:spacing w:after="0"/>
              <w:rPr>
                <w:sz w:val="20"/>
                <w:szCs w:val="20"/>
                <w:color w:val="auto"/>
              </w:rPr>
            </w:pPr>
            <w:r>
              <w:rPr>
                <w:rFonts w:ascii="Arial" w:cs="Arial" w:eastAsia="Arial" w:hAnsi="Arial"/>
                <w:sz w:val="16"/>
                <w:szCs w:val="16"/>
                <w:color w:val="auto"/>
                <w:w w:val="99"/>
              </w:rPr>
              <w:t>25%</w:t>
            </w:r>
          </w:p>
        </w:tc>
        <w:tc>
          <w:tcPr>
            <w:tcW w:w="160" w:type="dxa"/>
            <w:vAlign w:val="bottom"/>
          </w:tcPr>
          <w:p>
            <w:pPr>
              <w:spacing w:after="0"/>
              <w:rPr>
                <w:sz w:val="18"/>
                <w:szCs w:val="18"/>
                <w:color w:val="auto"/>
              </w:rPr>
            </w:pPr>
          </w:p>
        </w:tc>
        <w:tc>
          <w:tcPr>
            <w:tcW w:w="860" w:type="dxa"/>
            <w:vAlign w:val="bottom"/>
          </w:tcPr>
          <w:p>
            <w:pPr>
              <w:jc w:val="center"/>
              <w:ind w:left="139"/>
              <w:spacing w:after="0"/>
              <w:rPr>
                <w:sz w:val="20"/>
                <w:szCs w:val="20"/>
                <w:color w:val="auto"/>
              </w:rPr>
            </w:pPr>
            <w:r>
              <w:rPr>
                <w:rFonts w:ascii="Arial" w:cs="Arial" w:eastAsia="Arial" w:hAnsi="Arial"/>
                <w:sz w:val="16"/>
                <w:szCs w:val="16"/>
                <w:color w:val="auto"/>
              </w:rPr>
              <w:t>131</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w w:val="98"/>
              </w:rPr>
              <w:t>(56)%</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343</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131</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w w:val="98"/>
              </w:rPr>
              <w:t>(56)%</w:t>
            </w:r>
          </w:p>
        </w:tc>
      </w:tr>
      <w:tr>
        <w:trPr>
          <w:trHeight w:val="217"/>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7"/>
              </w:rPr>
              <w:t>114</w:t>
            </w:r>
          </w:p>
        </w:tc>
        <w:tc>
          <w:tcPr>
            <w:tcW w:w="1140" w:type="dxa"/>
            <w:vAlign w:val="bottom"/>
            <w:gridSpan w:val="2"/>
            <w:shd w:val="clear" w:color="auto" w:fill="CFF0FC"/>
          </w:tcPr>
          <w:p>
            <w:pPr>
              <w:jc w:val="center"/>
              <w:ind w:left="339"/>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36</w:t>
            </w:r>
          </w:p>
        </w:tc>
        <w:tc>
          <w:tcPr>
            <w:tcW w:w="1280" w:type="dxa"/>
            <w:vAlign w:val="bottom"/>
            <w:tcBorders>
              <w:right w:val="single" w:sz="8" w:color="CFF0FC"/>
            </w:tcBorders>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8"/>
              </w:rPr>
              <w:t>(67)%</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114</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8"/>
              </w:rPr>
              <w:t>(67)%</w:t>
            </w:r>
          </w:p>
        </w:tc>
      </w:tr>
      <w:tr>
        <w:trPr>
          <w:trHeight w:val="215"/>
        </w:trPr>
        <w:tc>
          <w:tcPr>
            <w:tcW w:w="274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w w:val="97"/>
              </w:rPr>
              <w:t>118</w:t>
            </w:r>
          </w:p>
        </w:tc>
        <w:tc>
          <w:tcPr>
            <w:tcW w:w="1140" w:type="dxa"/>
            <w:vAlign w:val="bottom"/>
            <w:gridSpan w:val="2"/>
          </w:tcPr>
          <w:p>
            <w:pPr>
              <w:jc w:val="center"/>
              <w:ind w:left="339"/>
              <w:spacing w:after="0"/>
              <w:rPr>
                <w:sz w:val="20"/>
                <w:szCs w:val="20"/>
                <w:color w:val="auto"/>
              </w:rPr>
            </w:pPr>
            <w:r>
              <w:rPr>
                <w:rFonts w:ascii="Arial" w:cs="Arial" w:eastAsia="Arial" w:hAnsi="Arial"/>
                <w:sz w:val="16"/>
                <w:szCs w:val="16"/>
                <w:color w:val="auto"/>
                <w:w w:val="99"/>
              </w:rPr>
              <w:t>75%</w:t>
            </w:r>
          </w:p>
        </w:tc>
        <w:tc>
          <w:tcPr>
            <w:tcW w:w="160" w:type="dxa"/>
            <w:vAlign w:val="bottom"/>
          </w:tcPr>
          <w:p>
            <w:pPr>
              <w:spacing w:after="0"/>
              <w:rPr>
                <w:sz w:val="18"/>
                <w:szCs w:val="18"/>
                <w:color w:val="auto"/>
              </w:rPr>
            </w:pPr>
          </w:p>
        </w:tc>
        <w:tc>
          <w:tcPr>
            <w:tcW w:w="860" w:type="dxa"/>
            <w:vAlign w:val="bottom"/>
          </w:tcPr>
          <w:p>
            <w:pPr>
              <w:jc w:val="center"/>
              <w:ind w:left="159"/>
              <w:spacing w:after="0"/>
              <w:rPr>
                <w:sz w:val="20"/>
                <w:szCs w:val="20"/>
                <w:color w:val="auto"/>
              </w:rPr>
            </w:pPr>
            <w:r>
              <w:rPr>
                <w:rFonts w:ascii="Arial" w:cs="Arial" w:eastAsia="Arial" w:hAnsi="Arial"/>
                <w:sz w:val="16"/>
                <w:szCs w:val="16"/>
                <w:color w:val="auto"/>
              </w:rPr>
              <w:t>14</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w w:val="98"/>
              </w:rPr>
              <w:t>(82)%</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118</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rPr>
              <w:t>14</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w w:val="98"/>
              </w:rPr>
              <w:t>(82)%</w:t>
            </w:r>
          </w:p>
        </w:tc>
      </w:tr>
      <w:tr>
        <w:trPr>
          <w:trHeight w:val="217"/>
        </w:trPr>
        <w:tc>
          <w:tcPr>
            <w:tcW w:w="2740" w:type="dxa"/>
            <w:vAlign w:val="bottom"/>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7"/>
              </w:rPr>
              <w:t>219</w:t>
            </w:r>
          </w:p>
        </w:tc>
        <w:tc>
          <w:tcPr>
            <w:tcW w:w="1140" w:type="dxa"/>
            <w:vAlign w:val="bottom"/>
            <w:gridSpan w:val="2"/>
            <w:shd w:val="clear" w:color="auto" w:fill="CFF0FC"/>
          </w:tcPr>
          <w:p>
            <w:pPr>
              <w:jc w:val="center"/>
              <w:ind w:left="339"/>
              <w:spacing w:after="0"/>
              <w:rPr>
                <w:sz w:val="20"/>
                <w:szCs w:val="20"/>
                <w:color w:val="auto"/>
              </w:rPr>
            </w:pPr>
            <w:r>
              <w:rPr>
                <w:rFonts w:ascii="Arial" w:cs="Arial" w:eastAsia="Arial" w:hAnsi="Arial"/>
                <w:sz w:val="16"/>
                <w:szCs w:val="16"/>
                <w:color w:val="auto"/>
                <w:w w:val="99"/>
              </w:rPr>
              <w:t>25%</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75</w:t>
            </w:r>
          </w:p>
        </w:tc>
        <w:tc>
          <w:tcPr>
            <w:tcW w:w="1280" w:type="dxa"/>
            <w:vAlign w:val="bottom"/>
            <w:tcBorders>
              <w:right w:val="single" w:sz="8" w:color="CFF0FC"/>
            </w:tcBorders>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8"/>
              </w:rPr>
              <w:t>(60)%</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219</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25%</w:t>
            </w:r>
          </w:p>
        </w:tc>
        <w:tc>
          <w:tcPr>
            <w:tcW w:w="8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75</w:t>
            </w:r>
          </w:p>
        </w:tc>
        <w:tc>
          <w:tcPr>
            <w:tcW w:w="1280" w:type="dxa"/>
            <w:vAlign w:val="bottom"/>
            <w:gridSpan w:val="2"/>
            <w:shd w:val="clear" w:color="auto" w:fill="CFF0FC"/>
          </w:tcPr>
          <w:p>
            <w:pPr>
              <w:jc w:val="center"/>
              <w:ind w:left="139"/>
              <w:spacing w:after="0"/>
              <w:rPr>
                <w:sz w:val="20"/>
                <w:szCs w:val="20"/>
                <w:color w:val="auto"/>
              </w:rPr>
            </w:pPr>
            <w:r>
              <w:rPr>
                <w:rFonts w:ascii="Arial" w:cs="Arial" w:eastAsia="Arial" w:hAnsi="Arial"/>
                <w:sz w:val="16"/>
                <w:szCs w:val="16"/>
                <w:color w:val="auto"/>
                <w:w w:val="98"/>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54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20" w:type="dxa"/>
            <w:vAlign w:val="bottom"/>
            <w:gridSpan w:val="2"/>
            <w:vMerge w:val="restart"/>
          </w:tcPr>
          <w:p>
            <w:pPr>
              <w:ind w:left="1020"/>
              <w:spacing w:after="0"/>
              <w:rPr>
                <w:sz w:val="20"/>
                <w:szCs w:val="20"/>
                <w:color w:val="auto"/>
              </w:rPr>
            </w:pPr>
            <w:r>
              <w:rPr>
                <w:rFonts w:ascii="Arial" w:cs="Arial" w:eastAsia="Arial" w:hAnsi="Arial"/>
                <w:sz w:val="16"/>
                <w:szCs w:val="16"/>
                <w:b w:val="1"/>
                <w:bCs w:val="1"/>
                <w:color w:val="auto"/>
              </w:rPr>
              <w:t>Three Months Ended June 30,</w:t>
            </w:r>
          </w:p>
        </w:tc>
        <w:tc>
          <w:tcPr>
            <w:tcW w:w="23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line="20" w:lineRule="exact"/>
              <w:rPr>
                <w:sz w:val="1"/>
                <w:szCs w:val="1"/>
                <w:color w:val="auto"/>
              </w:rPr>
            </w:pPr>
          </w:p>
        </w:tc>
      </w:tr>
      <w:tr>
        <w:trPr>
          <w:trHeight w:val="600"/>
        </w:trPr>
        <w:tc>
          <w:tcPr>
            <w:tcW w:w="5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3420" w:type="dxa"/>
            <w:vAlign w:val="bottom"/>
            <w:gridSpan w:val="2"/>
            <w:vMerge w:val="continue"/>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auto"/>
            </w:tcBorders>
            <w:gridSpan w:val="2"/>
            <w:vMerge w:val="continue"/>
          </w:tcPr>
          <w:p>
            <w:pPr>
              <w:spacing w:after="0"/>
              <w:rPr>
                <w:sz w:val="18"/>
                <w:szCs w:val="18"/>
                <w:color w:val="auto"/>
              </w:rPr>
            </w:pPr>
          </w:p>
        </w:tc>
        <w:tc>
          <w:tcPr>
            <w:tcW w:w="216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b w:val="1"/>
                <w:bCs w:val="1"/>
                <w:color w:val="auto"/>
              </w:rPr>
              <w:t>2024</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160" w:type="dxa"/>
            <w:vAlign w:val="bottom"/>
            <w:shd w:val="clear" w:color="auto" w:fill="CFF0FC"/>
          </w:tcPr>
          <w:p>
            <w:pPr>
              <w:jc w:val="center"/>
              <w:ind w:left="899"/>
              <w:spacing w:after="0"/>
              <w:rPr>
                <w:sz w:val="20"/>
                <w:szCs w:val="20"/>
                <w:color w:val="auto"/>
              </w:rPr>
            </w:pPr>
            <w:r>
              <w:rPr>
                <w:rFonts w:ascii="Arial" w:cs="Arial" w:eastAsia="Arial" w:hAnsi="Arial"/>
                <w:sz w:val="16"/>
                <w:szCs w:val="16"/>
                <w:color w:val="auto"/>
              </w:rPr>
              <w:t>75.5%</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92.0%</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85.6%</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2160" w:type="dxa"/>
            <w:vAlign w:val="bottom"/>
          </w:tcPr>
          <w:p>
            <w:pPr>
              <w:jc w:val="center"/>
              <w:ind w:left="899"/>
              <w:spacing w:after="0"/>
              <w:rPr>
                <w:sz w:val="20"/>
                <w:szCs w:val="20"/>
                <w:color w:val="auto"/>
              </w:rPr>
            </w:pPr>
            <w:r>
              <w:rPr>
                <w:rFonts w:ascii="Arial" w:cs="Arial" w:eastAsia="Arial" w:hAnsi="Arial"/>
                <w:sz w:val="16"/>
                <w:szCs w:val="16"/>
                <w:color w:val="auto"/>
              </w:rPr>
              <w:t>91.6%</w:t>
            </w:r>
          </w:p>
        </w:tc>
        <w:tc>
          <w:tcPr>
            <w:tcW w:w="1260" w:type="dxa"/>
            <w:vAlign w:val="bottom"/>
          </w:tcPr>
          <w:p>
            <w:pPr>
              <w:jc w:val="center"/>
              <w:spacing w:after="0"/>
              <w:rPr>
                <w:sz w:val="20"/>
                <w:szCs w:val="20"/>
                <w:color w:val="auto"/>
              </w:rPr>
            </w:pPr>
            <w:r>
              <w:rPr>
                <w:rFonts w:ascii="Arial" w:cs="Arial" w:eastAsia="Arial" w:hAnsi="Arial"/>
                <w:sz w:val="16"/>
                <w:szCs w:val="16"/>
                <w:color w:val="auto"/>
              </w:rPr>
              <w:t>93.5%</w:t>
            </w:r>
          </w:p>
        </w:tc>
        <w:tc>
          <w:tcPr>
            <w:tcW w:w="1180" w:type="dxa"/>
            <w:vAlign w:val="bottom"/>
          </w:tcPr>
          <w:p>
            <w:pPr>
              <w:jc w:val="center"/>
              <w:spacing w:after="0"/>
              <w:rPr>
                <w:sz w:val="20"/>
                <w:szCs w:val="20"/>
                <w:color w:val="auto"/>
              </w:rPr>
            </w:pPr>
            <w:r>
              <w:rPr>
                <w:rFonts w:ascii="Arial" w:cs="Arial" w:eastAsia="Arial" w:hAnsi="Arial"/>
                <w:sz w:val="16"/>
                <w:szCs w:val="16"/>
                <w:color w:val="auto"/>
              </w:rPr>
              <w:t>94.1%</w:t>
            </w:r>
          </w:p>
        </w:tc>
        <w:tc>
          <w:tcPr>
            <w:tcW w:w="1200" w:type="dxa"/>
            <w:vAlign w:val="bottom"/>
          </w:tcPr>
          <w:p>
            <w:pPr>
              <w:jc w:val="center"/>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2160" w:type="dxa"/>
            <w:vAlign w:val="bottom"/>
            <w:shd w:val="clear" w:color="auto" w:fill="CFF0FC"/>
          </w:tcPr>
          <w:p>
            <w:pPr>
              <w:jc w:val="center"/>
              <w:ind w:left="899"/>
              <w:spacing w:after="0"/>
              <w:rPr>
                <w:sz w:val="20"/>
                <w:szCs w:val="20"/>
                <w:color w:val="auto"/>
              </w:rPr>
            </w:pPr>
            <w:r>
              <w:rPr>
                <w:rFonts w:ascii="Arial" w:cs="Arial" w:eastAsia="Arial" w:hAnsi="Arial"/>
                <w:sz w:val="16"/>
                <w:szCs w:val="16"/>
                <w:color w:val="auto"/>
              </w:rPr>
              <w:t>92.1%</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93.0%</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91.2%</w:t>
            </w: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Total Availability</w:t>
            </w:r>
          </w:p>
        </w:tc>
        <w:tc>
          <w:tcPr>
            <w:tcW w:w="2160" w:type="dxa"/>
            <w:vAlign w:val="bottom"/>
          </w:tcPr>
          <w:p>
            <w:pPr>
              <w:jc w:val="center"/>
              <w:ind w:left="899"/>
              <w:spacing w:after="0"/>
              <w:rPr>
                <w:sz w:val="20"/>
                <w:szCs w:val="20"/>
                <w:color w:val="auto"/>
              </w:rPr>
            </w:pPr>
            <w:r>
              <w:rPr>
                <w:rFonts w:ascii="Arial" w:cs="Arial" w:eastAsia="Arial" w:hAnsi="Arial"/>
                <w:sz w:val="16"/>
                <w:szCs w:val="16"/>
                <w:color w:val="auto"/>
              </w:rPr>
              <w:t>87.1%</w:t>
            </w:r>
          </w:p>
        </w:tc>
        <w:tc>
          <w:tcPr>
            <w:tcW w:w="1260" w:type="dxa"/>
            <w:vAlign w:val="bottom"/>
          </w:tcPr>
          <w:p>
            <w:pPr>
              <w:jc w:val="center"/>
              <w:spacing w:after="0"/>
              <w:rPr>
                <w:sz w:val="20"/>
                <w:szCs w:val="20"/>
                <w:color w:val="auto"/>
              </w:rPr>
            </w:pPr>
            <w:r>
              <w:rPr>
                <w:rFonts w:ascii="Arial" w:cs="Arial" w:eastAsia="Arial" w:hAnsi="Arial"/>
                <w:sz w:val="16"/>
                <w:szCs w:val="16"/>
                <w:color w:val="auto"/>
              </w:rPr>
              <w:t>93.0%</w:t>
            </w:r>
          </w:p>
        </w:tc>
        <w:tc>
          <w:tcPr>
            <w:tcW w:w="1180" w:type="dxa"/>
            <w:vAlign w:val="bottom"/>
          </w:tcPr>
          <w:p>
            <w:pPr>
              <w:jc w:val="center"/>
              <w:spacing w:after="0"/>
              <w:rPr>
                <w:sz w:val="20"/>
                <w:szCs w:val="20"/>
                <w:color w:val="auto"/>
              </w:rPr>
            </w:pPr>
            <w:r>
              <w:rPr>
                <w:rFonts w:ascii="Arial" w:cs="Arial" w:eastAsia="Arial" w:hAnsi="Arial"/>
                <w:sz w:val="16"/>
                <w:szCs w:val="16"/>
                <w:color w:val="auto"/>
              </w:rPr>
              <w:t>91.3%</w:t>
            </w:r>
          </w:p>
        </w:tc>
        <w:tc>
          <w:tcPr>
            <w:tcW w:w="1200" w:type="dxa"/>
            <w:vAlign w:val="bottom"/>
          </w:tcPr>
          <w:p>
            <w:pPr>
              <w:jc w:val="center"/>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7"/>
        </w:trPr>
        <w:tc>
          <w:tcPr>
            <w:tcW w:w="136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2160" w:type="dxa"/>
            <w:vAlign w:val="bottom"/>
          </w:tcPr>
          <w:p>
            <w:pPr>
              <w:jc w:val="center"/>
              <w:ind w:left="899"/>
              <w:spacing w:after="0"/>
              <w:rPr>
                <w:sz w:val="20"/>
                <w:szCs w:val="20"/>
                <w:color w:val="auto"/>
              </w:rPr>
            </w:pPr>
            <w:r>
              <w:rPr>
                <w:rFonts w:ascii="Arial" w:cs="Arial" w:eastAsia="Arial" w:hAnsi="Arial"/>
                <w:sz w:val="16"/>
                <w:szCs w:val="16"/>
                <w:color w:val="auto"/>
              </w:rPr>
              <w:t>36.9%</w:t>
            </w:r>
          </w:p>
        </w:tc>
        <w:tc>
          <w:tcPr>
            <w:tcW w:w="1260" w:type="dxa"/>
            <w:vAlign w:val="bottom"/>
          </w:tcPr>
          <w:p>
            <w:pPr>
              <w:jc w:val="center"/>
              <w:spacing w:after="0"/>
              <w:rPr>
                <w:sz w:val="20"/>
                <w:szCs w:val="20"/>
                <w:color w:val="auto"/>
              </w:rPr>
            </w:pPr>
            <w:r>
              <w:rPr>
                <w:rFonts w:ascii="Arial" w:cs="Arial" w:eastAsia="Arial" w:hAnsi="Arial"/>
                <w:sz w:val="16"/>
                <w:szCs w:val="16"/>
                <w:color w:val="auto"/>
              </w:rPr>
              <w:t>34.4%</w:t>
            </w:r>
          </w:p>
        </w:tc>
        <w:tc>
          <w:tcPr>
            <w:tcW w:w="1180" w:type="dxa"/>
            <w:vAlign w:val="bottom"/>
          </w:tcPr>
          <w:p>
            <w:pPr>
              <w:jc w:val="center"/>
              <w:spacing w:after="0"/>
              <w:rPr>
                <w:sz w:val="20"/>
                <w:szCs w:val="20"/>
                <w:color w:val="auto"/>
              </w:rPr>
            </w:pPr>
            <w:r>
              <w:rPr>
                <w:rFonts w:ascii="Arial" w:cs="Arial" w:eastAsia="Arial" w:hAnsi="Arial"/>
                <w:sz w:val="16"/>
                <w:szCs w:val="16"/>
                <w:color w:val="auto"/>
              </w:rPr>
              <w:t>38.4%</w:t>
            </w:r>
          </w:p>
        </w:tc>
        <w:tc>
          <w:tcPr>
            <w:tcW w:w="1200" w:type="dxa"/>
            <w:vAlign w:val="bottom"/>
          </w:tcPr>
          <w:p>
            <w:pPr>
              <w:jc w:val="center"/>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0458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6"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2024 included unplanned outages at Wygen I and Pueblo Airport Generation #4-5.</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182"/>
        </w:trPr>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2024 vs 2023</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19"/>
              <w:spacing w:after="0" w:line="182" w:lineRule="exact"/>
              <w:rPr>
                <w:sz w:val="20"/>
                <w:szCs w:val="20"/>
                <w:color w:val="auto"/>
              </w:rPr>
            </w:pPr>
            <w:r>
              <w:rPr>
                <w:rFonts w:ascii="Arial" w:cs="Arial" w:eastAsia="Arial" w:hAnsi="Arial"/>
                <w:sz w:val="16"/>
                <w:szCs w:val="16"/>
                <w:b w:val="1"/>
                <w:bCs w:val="1"/>
                <w:color w:val="auto"/>
              </w:rPr>
              <w:t>2024 vs 2023</w:t>
            </w:r>
          </w:p>
        </w:tc>
      </w:tr>
      <w:tr>
        <w:trPr>
          <w:trHeight w:val="217"/>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(in millions)</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3620" w:type="dxa"/>
            <w:vAlign w:val="bottom"/>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159"/>
              <w:spacing w:after="0"/>
              <w:rPr>
                <w:sz w:val="20"/>
                <w:szCs w:val="20"/>
                <w:color w:val="auto"/>
              </w:rPr>
            </w:pPr>
            <w:r>
              <w:rPr>
                <w:rFonts w:ascii="Arial" w:cs="Arial" w:eastAsia="Arial" w:hAnsi="Arial"/>
                <w:sz w:val="16"/>
                <w:szCs w:val="16"/>
                <w:color w:val="auto"/>
              </w:rPr>
              <w:t>(20.1 ) $</w:t>
            </w:r>
          </w:p>
        </w:tc>
        <w:tc>
          <w:tcPr>
            <w:tcW w:w="760" w:type="dxa"/>
            <w:vAlign w:val="bottom"/>
          </w:tcPr>
          <w:p>
            <w:pPr>
              <w:jc w:val="right"/>
              <w:spacing w:after="0"/>
              <w:rPr>
                <w:sz w:val="20"/>
                <w:szCs w:val="20"/>
                <w:color w:val="auto"/>
              </w:rPr>
            </w:pPr>
            <w:r>
              <w:rPr>
                <w:rFonts w:ascii="Arial" w:cs="Arial" w:eastAsia="Arial" w:hAnsi="Arial"/>
                <w:sz w:val="16"/>
                <w:szCs w:val="16"/>
                <w:color w:val="auto"/>
              </w:rPr>
              <w:t>668.3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(213.2 )</w:t>
            </w:r>
          </w:p>
        </w:tc>
      </w:tr>
      <w:tr>
        <w:trPr>
          <w:trHeight w:val="217"/>
        </w:trPr>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(5.8 )</w:t>
            </w:r>
          </w:p>
        </w:tc>
      </w:tr>
      <w:tr>
        <w:trPr>
          <w:trHeight w:val="209"/>
        </w:trPr>
        <w:tc>
          <w:tcPr>
            <w:tcW w:w="362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(20.7 )</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(219.0 )</w:t>
            </w:r>
          </w:p>
        </w:tc>
      </w:tr>
      <w:tr>
        <w:trPr>
          <w:trHeight w:val="210"/>
        </w:trPr>
        <w:tc>
          <w:tcPr>
            <w:tcW w:w="3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Cost of natural gas sold: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3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 regulated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(22.8 )</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(217.2 )</w:t>
            </w:r>
          </w:p>
        </w:tc>
      </w:tr>
      <w:tr>
        <w:trPr>
          <w:trHeight w:val="216"/>
        </w:trPr>
        <w:tc>
          <w:tcPr>
            <w:tcW w:w="3620" w:type="dxa"/>
            <w:vAlign w:val="bottom"/>
          </w:tcPr>
          <w:p>
            <w:pPr>
              <w:ind w:left="120"/>
              <w:spacing w:after="0"/>
              <w:rPr>
                <w:sz w:val="20"/>
                <w:szCs w:val="20"/>
                <w:color w:val="auto"/>
              </w:rPr>
            </w:pPr>
            <w:r>
              <w:rPr>
                <w:rFonts w:ascii="Arial" w:cs="Arial" w:eastAsia="Arial" w:hAnsi="Arial"/>
                <w:sz w:val="16"/>
                <w:szCs w:val="16"/>
                <w:color w:val="auto"/>
              </w:rPr>
              <w:t>Other - non-regulated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(15.5 )</w:t>
            </w:r>
          </w:p>
        </w:tc>
      </w:tr>
      <w:tr>
        <w:trPr>
          <w:trHeight w:val="209"/>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cost of natural gas sold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(23.7 )</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555.9</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(232.7 )</w:t>
            </w:r>
          </w:p>
        </w:tc>
      </w:tr>
      <w:tr>
        <w:trPr>
          <w:trHeight w:val="210"/>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140.7</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387.4</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373.7</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13.7</w:t>
            </w:r>
          </w:p>
        </w:tc>
      </w:tr>
      <w:tr>
        <w:trPr>
          <w:trHeight w:val="210"/>
        </w:trPr>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171.2</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w:t>
            </w:r>
          </w:p>
        </w:tc>
        <w:tc>
          <w:tcPr>
            <w:tcW w:w="1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55.3</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21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r>
      <w:tr>
        <w:trPr>
          <w:trHeight w:val="210"/>
        </w:trPr>
        <w:tc>
          <w:tcPr>
            <w:tcW w:w="3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rPr>
          <w:sz w:val="20"/>
          <w:szCs w:val="20"/>
          <w:color w:val="auto"/>
        </w:rPr>
      </w:pPr>
      <w:r>
        <w:rPr>
          <w:rFonts w:ascii="Arial" w:cs="Arial" w:eastAsia="Arial" w:hAnsi="Arial"/>
          <w:sz w:val="16"/>
          <w:szCs w:val="16"/>
          <w:u w:val="single" w:color="auto"/>
          <w:color w:val="auto"/>
        </w:rPr>
        <w:t>Three Months Ended June 30, 2024, Compared to the Three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customer growth and usage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9"/>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1315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6" w:lineRule="exact"/>
        <w:rPr>
          <w:sz w:val="20"/>
          <w:szCs w:val="20"/>
          <w:color w:val="auto"/>
        </w:rPr>
      </w:pPr>
    </w:p>
    <w:p>
      <w:pPr>
        <w:ind w:left="1429" w:hanging="1429"/>
        <w:spacing w:after="0"/>
        <w:tabs>
          <w:tab w:leader="none" w:pos="14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9.1</w:t>
      </w:r>
    </w:p>
    <w:p>
      <w:pPr>
        <w:spacing w:after="0" w:line="32" w:lineRule="exact"/>
        <w:rPr>
          <w:rFonts w:ascii="Arial" w:cs="Arial" w:eastAsia="Arial" w:hAnsi="Arial"/>
          <w:sz w:val="16"/>
          <w:szCs w:val="16"/>
          <w:color w:val="auto"/>
        </w:rPr>
      </w:pPr>
    </w:p>
    <w:p>
      <w:pPr>
        <w:ind w:left="1429"/>
        <w:spacing w:after="0"/>
        <w:rPr>
          <w:rFonts w:ascii="Arial" w:cs="Arial" w:eastAsia="Arial" w:hAnsi="Arial"/>
          <w:sz w:val="16"/>
          <w:szCs w:val="16"/>
          <w:color w:val="auto"/>
        </w:rPr>
      </w:pPr>
      <w:r>
        <w:rPr>
          <w:rFonts w:ascii="Arial" w:cs="Arial" w:eastAsia="Arial" w:hAnsi="Arial"/>
          <w:sz w:val="16"/>
          <w:szCs w:val="16"/>
          <w:color w:val="auto"/>
        </w:rPr>
        <w:t>0.9</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(6.2 )</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(0.5 )</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(0.3 )</w:t>
      </w:r>
    </w:p>
    <w:p>
      <w:pPr>
        <w:spacing w:after="0" w:line="46" w:lineRule="exact"/>
        <w:rPr>
          <w:sz w:val="20"/>
          <w:szCs w:val="20"/>
          <w:color w:val="auto"/>
        </w:rPr>
      </w:pPr>
    </w:p>
    <w:p>
      <w:pPr>
        <w:ind w:left="1429" w:hanging="1429"/>
        <w:spacing w:after="0"/>
        <w:tabs>
          <w:tab w:leader="none" w:pos="14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131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11315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51" w:space="720"/>
            <w:col w:w="1769"/>
          </w:cols>
          <w:pgMar w:left="320" w:top="766" w:right="33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lower employee-related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current year and prior year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0"/>
        </w:trPr>
        <w:tc>
          <w:tcPr>
            <w:tcW w:w="9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w:t>
            </w:r>
          </w:p>
        </w:tc>
      </w:tr>
      <w:tr>
        <w:trPr>
          <w:trHeight w:val="215"/>
        </w:trPr>
        <w:tc>
          <w:tcPr>
            <w:tcW w:w="9460" w:type="dxa"/>
            <w:vAlign w:val="bottom"/>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217"/>
        </w:trPr>
        <w:tc>
          <w:tcPr>
            <w:tcW w:w="9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customer growth and usage</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5"/>
        </w:trPr>
        <w:tc>
          <w:tcPr>
            <w:tcW w:w="9460" w:type="dxa"/>
            <w:vAlign w:val="bottom"/>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(13.6 )</w:t>
            </w:r>
          </w:p>
        </w:tc>
      </w:tr>
      <w:tr>
        <w:trPr>
          <w:trHeight w:val="217"/>
        </w:trPr>
        <w:tc>
          <w:tcPr>
            <w:tcW w:w="9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9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r>
      <w:tr>
        <w:trPr>
          <w:trHeight w:val="20"/>
        </w:trPr>
        <w:tc>
          <w:tcPr>
            <w:tcW w:w="9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$11.5 million of lower employee-related expenses and $1.9 million of lower outside services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60" w:type="dxa"/>
            <w:vAlign w:val="bottom"/>
            <w:gridSpan w:val="14"/>
          </w:tcPr>
          <w:p>
            <w:pPr>
              <w:spacing w:after="0"/>
              <w:rPr>
                <w:sz w:val="20"/>
                <w:szCs w:val="20"/>
                <w:color w:val="auto"/>
              </w:rPr>
            </w:pPr>
            <w:r>
              <w:rPr>
                <w:rFonts w:ascii="Arial" w:cs="Arial" w:eastAsia="Arial" w:hAnsi="Arial"/>
                <w:sz w:val="16"/>
                <w:szCs w:val="16"/>
                <w:color w:val="auto"/>
              </w:rPr>
              <w:t>Depreciation and amortization increased primarily due to a higher asset base driven by current year and prior year capital expenditures.</w:t>
            </w:r>
          </w:p>
        </w:tc>
        <w:tc>
          <w:tcPr>
            <w:tcW w:w="780" w:type="dxa"/>
            <w:vAlign w:val="bottom"/>
          </w:tcPr>
          <w:p>
            <w:pPr>
              <w:spacing w:after="0"/>
              <w:rPr>
                <w:sz w:val="16"/>
                <w:szCs w:val="16"/>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6320" w:type="dxa"/>
            <w:vAlign w:val="bottom"/>
            <w:gridSpan w:val="9"/>
          </w:tcPr>
          <w:p>
            <w:pPr>
              <w:spacing w:after="0"/>
              <w:rPr>
                <w:sz w:val="20"/>
                <w:szCs w:val="20"/>
                <w:color w:val="auto"/>
              </w:rPr>
            </w:pPr>
            <w:r>
              <w:rPr>
                <w:rFonts w:ascii="Arial" w:cs="Arial" w:eastAsia="Arial" w:hAnsi="Arial"/>
                <w:sz w:val="16"/>
                <w:szCs w:val="16"/>
                <w:color w:val="auto"/>
              </w:rPr>
              <w:t>Taxes - property and production was comparable to the same period in the prior year.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7"/>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6"/>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Revenue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0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Quantities Sold and Transported</w:t>
            </w:r>
          </w:p>
        </w:tc>
        <w:tc>
          <w:tcPr>
            <w:tcW w:w="780" w:type="dxa"/>
            <w:vAlign w:val="bottom"/>
          </w:tcPr>
          <w:p>
            <w:pPr>
              <w:spacing w:after="0"/>
              <w:rPr>
                <w:sz w:val="24"/>
                <w:szCs w:val="24"/>
                <w:color w:val="auto"/>
              </w:rPr>
            </w:pPr>
          </w:p>
        </w:tc>
      </w:tr>
      <w:tr>
        <w:trPr>
          <w:trHeight w:val="217"/>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(Dth in millions)</w:t>
            </w:r>
          </w:p>
        </w:tc>
        <w:tc>
          <w:tcPr>
            <w:tcW w:w="780" w:type="dxa"/>
            <w:vAlign w:val="bottom"/>
            <w:tcBorders>
              <w:bottom w:val="single" w:sz="8" w:color="auto"/>
            </w:tcBorders>
          </w:tcPr>
          <w:p>
            <w:pPr>
              <w:spacing w:after="0"/>
              <w:rPr>
                <w:sz w:val="18"/>
                <w:szCs w:val="18"/>
                <w:color w:val="auto"/>
              </w:rPr>
            </w:pPr>
          </w:p>
        </w:tc>
      </w:tr>
      <w:tr>
        <w:trPr>
          <w:trHeight w:val="182"/>
        </w:trPr>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3"/>
          </w:tcPr>
          <w:p>
            <w:pPr>
              <w:jc w:val="right"/>
              <w:ind w:right="439"/>
              <w:spacing w:after="0" w:line="182" w:lineRule="exact"/>
              <w:rPr>
                <w:sz w:val="20"/>
                <w:szCs w:val="20"/>
                <w:color w:val="auto"/>
              </w:rPr>
            </w:pPr>
            <w:r>
              <w:rPr>
                <w:rFonts w:ascii="Arial" w:cs="Arial" w:eastAsia="Arial" w:hAnsi="Arial"/>
                <w:sz w:val="16"/>
                <w:szCs w:val="16"/>
                <w:b w:val="1"/>
                <w:bCs w:val="1"/>
                <w:color w:val="auto"/>
              </w:rPr>
              <w:t>Three Months</w:t>
            </w:r>
          </w:p>
        </w:tc>
        <w:tc>
          <w:tcPr>
            <w:tcW w:w="280" w:type="dxa"/>
            <w:vAlign w:val="bottom"/>
          </w:tcPr>
          <w:p>
            <w:pPr>
              <w:spacing w:after="0"/>
              <w:rPr>
                <w:sz w:val="15"/>
                <w:szCs w:val="15"/>
                <w:color w:val="auto"/>
              </w:rPr>
            </w:pPr>
          </w:p>
        </w:tc>
        <w:tc>
          <w:tcPr>
            <w:tcW w:w="1740" w:type="dxa"/>
            <w:vAlign w:val="bottom"/>
            <w:gridSpan w:val="3"/>
          </w:tcPr>
          <w:p>
            <w:pPr>
              <w:jc w:val="right"/>
              <w:ind w:right="579"/>
              <w:spacing w:after="0" w:line="182" w:lineRule="exact"/>
              <w:rPr>
                <w:sz w:val="20"/>
                <w:szCs w:val="20"/>
                <w:color w:val="auto"/>
              </w:rPr>
            </w:pPr>
            <w:r>
              <w:rPr>
                <w:rFonts w:ascii="Arial" w:cs="Arial" w:eastAsia="Arial" w:hAnsi="Arial"/>
                <w:sz w:val="16"/>
                <w:szCs w:val="16"/>
                <w:b w:val="1"/>
                <w:bCs w:val="1"/>
                <w:color w:val="auto"/>
              </w:rPr>
              <w:t>Six Months</w:t>
            </w:r>
          </w:p>
        </w:tc>
        <w:tc>
          <w:tcPr>
            <w:tcW w:w="1940" w:type="dxa"/>
            <w:vAlign w:val="bottom"/>
            <w:gridSpan w:val="2"/>
          </w:tcPr>
          <w:p>
            <w:pPr>
              <w:jc w:val="right"/>
              <w:ind w:right="499"/>
              <w:spacing w:after="0" w:line="182" w:lineRule="exact"/>
              <w:rPr>
                <w:sz w:val="20"/>
                <w:szCs w:val="20"/>
                <w:color w:val="auto"/>
              </w:rPr>
            </w:pPr>
            <w:r>
              <w:rPr>
                <w:rFonts w:ascii="Arial" w:cs="Arial" w:eastAsia="Arial" w:hAnsi="Arial"/>
                <w:sz w:val="16"/>
                <w:szCs w:val="16"/>
                <w:b w:val="1"/>
                <w:bCs w:val="1"/>
                <w:color w:val="auto"/>
              </w:rPr>
              <w:t>Three Months</w:t>
            </w:r>
          </w:p>
        </w:tc>
        <w:tc>
          <w:tcPr>
            <w:tcW w:w="1940" w:type="dxa"/>
            <w:vAlign w:val="bottom"/>
            <w:gridSpan w:val="2"/>
          </w:tcPr>
          <w:p>
            <w:pPr>
              <w:jc w:val="right"/>
              <w:ind w:right="559"/>
              <w:spacing w:after="0" w:line="182" w:lineRule="exact"/>
              <w:rPr>
                <w:sz w:val="20"/>
                <w:szCs w:val="20"/>
                <w:color w:val="auto"/>
              </w:rPr>
            </w:pPr>
            <w:r>
              <w:rPr>
                <w:rFonts w:ascii="Arial" w:cs="Arial" w:eastAsia="Arial" w:hAnsi="Arial"/>
                <w:sz w:val="16"/>
                <w:szCs w:val="16"/>
                <w:b w:val="1"/>
                <w:bCs w:val="1"/>
                <w:color w:val="auto"/>
              </w:rPr>
              <w:t>Six Months</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Ended June 30,</w:t>
            </w:r>
          </w:p>
        </w:tc>
        <w:tc>
          <w:tcPr>
            <w:tcW w:w="280" w:type="dxa"/>
            <w:vAlign w:val="bottom"/>
          </w:tcPr>
          <w:p>
            <w:pPr>
              <w:spacing w:after="0"/>
              <w:rPr>
                <w:sz w:val="18"/>
                <w:szCs w:val="18"/>
                <w:color w:val="auto"/>
              </w:rPr>
            </w:pPr>
          </w:p>
        </w:tc>
        <w:tc>
          <w:tcPr>
            <w:tcW w:w="17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Ended June 30,</w:t>
            </w:r>
          </w:p>
        </w:tc>
        <w:tc>
          <w:tcPr>
            <w:tcW w:w="19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Ended June 30,</w:t>
            </w:r>
          </w:p>
        </w:tc>
        <w:tc>
          <w:tcPr>
            <w:tcW w:w="19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Ended June 30,</w:t>
            </w:r>
          </w:p>
        </w:tc>
      </w:tr>
      <w:tr>
        <w:trPr>
          <w:trHeight w:val="217"/>
        </w:trPr>
        <w:tc>
          <w:tcPr>
            <w:tcW w:w="2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10"/>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545.2</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6.9</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7.6</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34.7</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37.5</w:t>
            </w:r>
          </w:p>
        </w:tc>
      </w:tr>
      <w:tr>
        <w:trPr>
          <w:trHeight w:val="215"/>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158.3</w:t>
            </w:r>
          </w:p>
        </w:tc>
        <w:tc>
          <w:tcPr>
            <w:tcW w:w="2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226.8</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16.9</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18.1</w:t>
            </w:r>
          </w:p>
        </w:tc>
      </w:tr>
      <w:tr>
        <w:trPr>
          <w:trHeight w:val="217"/>
        </w:trPr>
        <w:tc>
          <w:tcPr>
            <w:tcW w:w="33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16.3</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1.4</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2.7</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360" w:type="dxa"/>
            <w:vAlign w:val="bottom"/>
            <w:gridSpan w:val="3"/>
            <w:shd w:val="clear" w:color="auto" w:fill="CFF0FC"/>
          </w:tcPr>
          <w:p>
            <w:pPr>
              <w:ind w:left="120"/>
              <w:spacing w:after="0" w:line="210" w:lineRule="exact"/>
              <w:rPr>
                <w:sz w:val="20"/>
                <w:szCs w:val="20"/>
                <w:color w:val="auto"/>
              </w:rPr>
            </w:pPr>
            <w:r>
              <w:rPr>
                <w:rFonts w:ascii="Arial" w:cs="Arial" w:eastAsia="Arial" w:hAnsi="Arial"/>
                <w:sz w:val="16"/>
                <w:szCs w:val="16"/>
                <w:color w:val="auto"/>
              </w:rPr>
              <w:t xml:space="preserve">Total Distribution </w:t>
            </w:r>
            <w:r>
              <w:rPr>
                <w:rFonts w:ascii="Arial" w:cs="Arial" w:eastAsia="Arial" w:hAnsi="Arial"/>
                <w:sz w:val="21"/>
                <w:szCs w:val="21"/>
                <w:color w:val="auto"/>
                <w:vertAlign w:val="superscript"/>
              </w:rPr>
              <w:t>(a)</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170.8</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792.5</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12.6</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13.1</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54.3</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r>
      <w:tr>
        <w:trPr>
          <w:trHeight w:val="216"/>
        </w:trPr>
        <w:tc>
          <w:tcPr>
            <w:tcW w:w="3360" w:type="dxa"/>
            <w:vAlign w:val="bottom"/>
            <w:gridSpan w:val="3"/>
          </w:tcPr>
          <w:p>
            <w:pPr>
              <w:ind w:left="20"/>
              <w:spacing w:after="0"/>
              <w:rPr>
                <w:sz w:val="20"/>
                <w:szCs w:val="20"/>
                <w:color w:val="auto"/>
              </w:rPr>
            </w:pPr>
            <w:r>
              <w:rPr>
                <w:rFonts w:ascii="Arial" w:cs="Arial" w:eastAsia="Arial" w:hAnsi="Arial"/>
                <w:sz w:val="16"/>
                <w:szCs w:val="16"/>
                <w:color w:val="auto"/>
              </w:rPr>
              <w:t>Transportation and Transmission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89.0</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34.5</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34.2</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81.2</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81.4</w:t>
            </w:r>
          </w:p>
        </w:tc>
      </w:tr>
      <w:tr>
        <w:trPr>
          <w:trHeight w:val="210"/>
        </w:trPr>
        <w:tc>
          <w:tcPr>
            <w:tcW w:w="336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Total Regulated</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881.5</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47.1</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47.3</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135.5</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139.4</w:t>
            </w: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Non-regulated Services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48.1</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36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929.6</w:t>
            </w: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47.1</w:t>
            </w:r>
          </w:p>
        </w:tc>
        <w:tc>
          <w:tcPr>
            <w:tcW w:w="9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47.3</w:t>
            </w:r>
          </w:p>
        </w:tc>
        <w:tc>
          <w:tcPr>
            <w:tcW w:w="11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135.5</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jc w:val="both"/>
        <w:ind w:left="520" w:right="40" w:hanging="512"/>
        <w:spacing w:after="0" w:line="248"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Gas distribution revenues decreased for the three and six months ended June 30, 2024, compared to the same period in the prior year primarily due to lower commodity prices. Our Utilities have regulatory mechanisms that allow them to pass prudently incurred costs of energy through to the customer. Customer billing rates are adjusted periodically to reflect changes in our cost of energy.</w:t>
      </w: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rPr>
              <w:t>Revenue</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100" w:type="dxa"/>
            <w:vAlign w:val="bottom"/>
            <w:gridSpan w:val="3"/>
          </w:tcPr>
          <w:p>
            <w:pPr>
              <w:jc w:val="right"/>
              <w:spacing w:after="0"/>
              <w:rPr>
                <w:sz w:val="20"/>
                <w:szCs w:val="20"/>
                <w:color w:val="auto"/>
              </w:rPr>
            </w:pPr>
            <w:r>
              <w:rPr>
                <w:rFonts w:ascii="Arial" w:cs="Arial" w:eastAsia="Arial" w:hAnsi="Arial"/>
                <w:sz w:val="16"/>
                <w:szCs w:val="16"/>
                <w:b w:val="1"/>
                <w:bCs w:val="1"/>
                <w:color w:val="auto"/>
              </w:rPr>
              <w:t>Quantities Sold and Transported</w:t>
            </w:r>
          </w:p>
        </w:tc>
        <w:tc>
          <w:tcPr>
            <w:tcW w:w="780" w:type="dxa"/>
            <w:vAlign w:val="bottom"/>
          </w:tcPr>
          <w:p>
            <w:pPr>
              <w:spacing w:after="0"/>
              <w:rPr>
                <w:sz w:val="16"/>
                <w:szCs w:val="16"/>
                <w:color w:val="auto"/>
              </w:rPr>
            </w:pPr>
          </w:p>
        </w:tc>
      </w:tr>
      <w:tr>
        <w:trPr>
          <w:trHeight w:val="217"/>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(Dth in millions)</w:t>
            </w:r>
          </w:p>
        </w:tc>
        <w:tc>
          <w:tcPr>
            <w:tcW w:w="780" w:type="dxa"/>
            <w:vAlign w:val="bottom"/>
            <w:tcBorders>
              <w:bottom w:val="single" w:sz="8" w:color="auto"/>
            </w:tcBorders>
          </w:tcPr>
          <w:p>
            <w:pPr>
              <w:spacing w:after="0"/>
              <w:rPr>
                <w:sz w:val="18"/>
                <w:szCs w:val="18"/>
                <w:color w:val="auto"/>
              </w:rPr>
            </w:pPr>
          </w:p>
        </w:tc>
      </w:tr>
      <w:tr>
        <w:trPr>
          <w:trHeight w:val="182"/>
        </w:trPr>
        <w:tc>
          <w:tcPr>
            <w:tcW w:w="3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3"/>
          </w:tcPr>
          <w:p>
            <w:pPr>
              <w:jc w:val="right"/>
              <w:ind w:right="439"/>
              <w:spacing w:after="0" w:line="182" w:lineRule="exact"/>
              <w:rPr>
                <w:sz w:val="20"/>
                <w:szCs w:val="20"/>
                <w:color w:val="auto"/>
              </w:rPr>
            </w:pPr>
            <w:r>
              <w:rPr>
                <w:rFonts w:ascii="Arial" w:cs="Arial" w:eastAsia="Arial" w:hAnsi="Arial"/>
                <w:sz w:val="16"/>
                <w:szCs w:val="16"/>
                <w:b w:val="1"/>
                <w:bCs w:val="1"/>
                <w:color w:val="auto"/>
              </w:rPr>
              <w:t>Three Months</w:t>
            </w:r>
          </w:p>
        </w:tc>
        <w:tc>
          <w:tcPr>
            <w:tcW w:w="280" w:type="dxa"/>
            <w:vAlign w:val="bottom"/>
          </w:tcPr>
          <w:p>
            <w:pPr>
              <w:spacing w:after="0"/>
              <w:rPr>
                <w:sz w:val="15"/>
                <w:szCs w:val="15"/>
                <w:color w:val="auto"/>
              </w:rPr>
            </w:pPr>
          </w:p>
        </w:tc>
        <w:tc>
          <w:tcPr>
            <w:tcW w:w="1740" w:type="dxa"/>
            <w:vAlign w:val="bottom"/>
            <w:gridSpan w:val="3"/>
          </w:tcPr>
          <w:p>
            <w:pPr>
              <w:jc w:val="right"/>
              <w:ind w:right="579"/>
              <w:spacing w:after="0" w:line="182" w:lineRule="exact"/>
              <w:rPr>
                <w:sz w:val="20"/>
                <w:szCs w:val="20"/>
                <w:color w:val="auto"/>
              </w:rPr>
            </w:pPr>
            <w:r>
              <w:rPr>
                <w:rFonts w:ascii="Arial" w:cs="Arial" w:eastAsia="Arial" w:hAnsi="Arial"/>
                <w:sz w:val="16"/>
                <w:szCs w:val="16"/>
                <w:b w:val="1"/>
                <w:bCs w:val="1"/>
                <w:color w:val="auto"/>
              </w:rPr>
              <w:t>Six Months</w:t>
            </w:r>
          </w:p>
        </w:tc>
        <w:tc>
          <w:tcPr>
            <w:tcW w:w="1940" w:type="dxa"/>
            <w:vAlign w:val="bottom"/>
            <w:gridSpan w:val="2"/>
          </w:tcPr>
          <w:p>
            <w:pPr>
              <w:jc w:val="right"/>
              <w:ind w:right="499"/>
              <w:spacing w:after="0" w:line="182" w:lineRule="exact"/>
              <w:rPr>
                <w:sz w:val="20"/>
                <w:szCs w:val="20"/>
                <w:color w:val="auto"/>
              </w:rPr>
            </w:pPr>
            <w:r>
              <w:rPr>
                <w:rFonts w:ascii="Arial" w:cs="Arial" w:eastAsia="Arial" w:hAnsi="Arial"/>
                <w:sz w:val="16"/>
                <w:szCs w:val="16"/>
                <w:b w:val="1"/>
                <w:bCs w:val="1"/>
                <w:color w:val="auto"/>
              </w:rPr>
              <w:t>Three Months</w:t>
            </w:r>
          </w:p>
        </w:tc>
        <w:tc>
          <w:tcPr>
            <w:tcW w:w="1940" w:type="dxa"/>
            <w:vAlign w:val="bottom"/>
            <w:gridSpan w:val="2"/>
          </w:tcPr>
          <w:p>
            <w:pPr>
              <w:jc w:val="right"/>
              <w:ind w:right="559"/>
              <w:spacing w:after="0" w:line="182" w:lineRule="exact"/>
              <w:rPr>
                <w:sz w:val="20"/>
                <w:szCs w:val="20"/>
                <w:color w:val="auto"/>
              </w:rPr>
            </w:pPr>
            <w:r>
              <w:rPr>
                <w:rFonts w:ascii="Arial" w:cs="Arial" w:eastAsia="Arial" w:hAnsi="Arial"/>
                <w:sz w:val="16"/>
                <w:szCs w:val="16"/>
                <w:b w:val="1"/>
                <w:bCs w:val="1"/>
                <w:color w:val="auto"/>
              </w:rPr>
              <w:t>Six Months</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Ended June 30,</w:t>
            </w:r>
          </w:p>
        </w:tc>
        <w:tc>
          <w:tcPr>
            <w:tcW w:w="280" w:type="dxa"/>
            <w:vAlign w:val="bottom"/>
          </w:tcPr>
          <w:p>
            <w:pPr>
              <w:spacing w:after="0"/>
              <w:rPr>
                <w:sz w:val="18"/>
                <w:szCs w:val="18"/>
                <w:color w:val="auto"/>
              </w:rPr>
            </w:pPr>
          </w:p>
        </w:tc>
        <w:tc>
          <w:tcPr>
            <w:tcW w:w="17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Ended June 30,</w:t>
            </w:r>
          </w:p>
        </w:tc>
        <w:tc>
          <w:tcPr>
            <w:tcW w:w="19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Ended June 30,</w:t>
            </w:r>
          </w:p>
        </w:tc>
        <w:tc>
          <w:tcPr>
            <w:tcW w:w="194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Ended June 30,</w:t>
            </w:r>
          </w:p>
        </w:tc>
      </w:tr>
      <w:tr>
        <w:trPr>
          <w:trHeight w:val="217"/>
        </w:trPr>
        <w:tc>
          <w:tcPr>
            <w:tcW w:w="3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210"/>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161.8</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5.0</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5.3</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17.0</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16.7</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196.4</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18.0</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19.7</w:t>
            </w:r>
          </w:p>
        </w:tc>
      </w:tr>
      <w:tr>
        <w:trPr>
          <w:trHeight w:val="217"/>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149.4</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7.1</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7.1</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20.6</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r>
      <w:tr>
        <w:trPr>
          <w:trHeight w:val="215"/>
        </w:trPr>
        <w:tc>
          <w:tcPr>
            <w:tcW w:w="336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95.7</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7.1</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17.6</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18.3</w:t>
            </w:r>
          </w:p>
        </w:tc>
      </w:tr>
      <w:tr>
        <w:trPr>
          <w:trHeight w:val="217"/>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222.6</w:t>
            </w:r>
          </w:p>
        </w:tc>
        <w:tc>
          <w:tcPr>
            <w:tcW w:w="9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14.5</w:t>
            </w:r>
          </w:p>
        </w:tc>
        <w:tc>
          <w:tcPr>
            <w:tcW w:w="9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15.7</w:t>
            </w:r>
          </w:p>
        </w:tc>
        <w:tc>
          <w:tcPr>
            <w:tcW w:w="11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41.6</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42.8</w:t>
            </w:r>
          </w:p>
        </w:tc>
      </w:tr>
      <w:tr>
        <w:trPr>
          <w:trHeight w:val="216"/>
        </w:trPr>
        <w:tc>
          <w:tcPr>
            <w:tcW w:w="33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103.7</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20.7</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w:t>
            </w:r>
          </w:p>
        </w:tc>
      </w:tr>
      <w:tr>
        <w:trPr>
          <w:trHeight w:val="250"/>
        </w:trPr>
        <w:tc>
          <w:tcPr>
            <w:tcW w:w="3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929.6</w:t>
            </w: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47.1</w:t>
            </w:r>
          </w:p>
        </w:tc>
        <w:tc>
          <w:tcPr>
            <w:tcW w:w="9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47.3</w:t>
            </w:r>
          </w:p>
        </w:tc>
        <w:tc>
          <w:tcPr>
            <w:tcW w:w="11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135.5</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139.4</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27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600"/>
        </w:trPr>
        <w:tc>
          <w:tcPr>
            <w:tcW w:w="136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24"/>
                <w:szCs w:val="24"/>
                <w:color w:val="auto"/>
              </w:rPr>
            </w:pPr>
          </w:p>
        </w:tc>
        <w:tc>
          <w:tcPr>
            <w:tcW w:w="346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Six Months Ended June 30,</w:t>
            </w:r>
          </w:p>
        </w:tc>
      </w:tr>
      <w:tr>
        <w:trPr>
          <w:trHeight w:val="217"/>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r>
      <w:tr>
        <w:trPr>
          <w:trHeight w:val="182"/>
        </w:trPr>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ind w:left="160"/>
              <w:spacing w:after="0" w:line="182"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5"/>
                <w:szCs w:val="15"/>
                <w:color w:val="auto"/>
              </w:rPr>
            </w:pPr>
          </w:p>
        </w:tc>
        <w:tc>
          <w:tcPr>
            <w:tcW w:w="13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9"/>
              </w:rPr>
              <w:t>Variance from</w:t>
            </w:r>
          </w:p>
        </w:tc>
      </w:tr>
      <w:tr>
        <w:trPr>
          <w:trHeight w:val="217"/>
        </w:trPr>
        <w:tc>
          <w:tcPr>
            <w:tcW w:w="2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Heating Degree Days</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Actual</w:t>
            </w: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Normal</w:t>
            </w: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Actual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Actual</w:t>
            </w:r>
          </w:p>
        </w:tc>
        <w:tc>
          <w:tcPr>
            <w:tcW w:w="13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Normal</w:t>
            </w:r>
          </w:p>
        </w:tc>
      </w:tr>
      <w:tr>
        <w:trPr>
          <w:trHeight w:val="209"/>
        </w:trPr>
        <w:tc>
          <w:tcPr>
            <w:tcW w:w="2700" w:type="dxa"/>
            <w:vAlign w:val="bottom"/>
            <w:gridSpan w:val="2"/>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144</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(54)%</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278</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(15)%</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1,916</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(17)%</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1,944</w:t>
            </w:r>
          </w:p>
        </w:tc>
        <w:tc>
          <w:tcPr>
            <w:tcW w:w="13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8"/>
              </w:rPr>
              <w:t>(18)%</w:t>
            </w:r>
          </w:p>
        </w:tc>
      </w:tr>
      <w:tr>
        <w:trPr>
          <w:trHeight w:val="215"/>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820" w:type="dxa"/>
            <w:vAlign w:val="bottom"/>
          </w:tcPr>
          <w:p>
            <w:pPr>
              <w:jc w:val="center"/>
              <w:ind w:left="39"/>
              <w:spacing w:after="0"/>
              <w:rPr>
                <w:sz w:val="20"/>
                <w:szCs w:val="20"/>
                <w:color w:val="auto"/>
              </w:rPr>
            </w:pPr>
            <w:r>
              <w:rPr>
                <w:rFonts w:ascii="Arial" w:cs="Arial" w:eastAsia="Arial" w:hAnsi="Arial"/>
                <w:sz w:val="16"/>
                <w:szCs w:val="16"/>
                <w:color w:val="auto"/>
                <w:w w:val="97"/>
              </w:rPr>
              <w:t>790</w:t>
            </w:r>
          </w:p>
        </w:tc>
        <w:tc>
          <w:tcPr>
            <w:tcW w:w="1400" w:type="dxa"/>
            <w:vAlign w:val="bottom"/>
          </w:tcPr>
          <w:p>
            <w:pPr>
              <w:jc w:val="center"/>
              <w:spacing w:after="0"/>
              <w:rPr>
                <w:sz w:val="20"/>
                <w:szCs w:val="20"/>
                <w:color w:val="auto"/>
              </w:rPr>
            </w:pPr>
            <w:r>
              <w:rPr>
                <w:rFonts w:ascii="Arial" w:cs="Arial" w:eastAsia="Arial" w:hAnsi="Arial"/>
                <w:sz w:val="16"/>
                <w:szCs w:val="16"/>
                <w:color w:val="auto"/>
              </w:rPr>
              <w:t>(9)%</w:t>
            </w:r>
          </w:p>
        </w:tc>
        <w:tc>
          <w:tcPr>
            <w:tcW w:w="740" w:type="dxa"/>
            <w:vAlign w:val="bottom"/>
          </w:tcPr>
          <w:p>
            <w:pPr>
              <w:jc w:val="center"/>
              <w:spacing w:after="0"/>
              <w:rPr>
                <w:sz w:val="20"/>
                <w:szCs w:val="20"/>
                <w:color w:val="auto"/>
              </w:rPr>
            </w:pPr>
            <w:r>
              <w:rPr>
                <w:rFonts w:ascii="Arial" w:cs="Arial" w:eastAsia="Arial" w:hAnsi="Arial"/>
                <w:sz w:val="16"/>
                <w:szCs w:val="16"/>
                <w:color w:val="auto"/>
              </w:rPr>
              <w:t>900</w:t>
            </w:r>
          </w:p>
        </w:tc>
        <w:tc>
          <w:tcPr>
            <w:tcW w:w="1380" w:type="dxa"/>
            <w:vAlign w:val="bottom"/>
          </w:tcPr>
          <w:p>
            <w:pPr>
              <w:jc w:val="center"/>
              <w:spacing w:after="0"/>
              <w:rPr>
                <w:sz w:val="20"/>
                <w:szCs w:val="20"/>
                <w:color w:val="auto"/>
              </w:rPr>
            </w:pPr>
            <w:r>
              <w:rPr>
                <w:rFonts w:ascii="Arial" w:cs="Arial" w:eastAsia="Arial" w:hAnsi="Arial"/>
                <w:sz w:val="16"/>
                <w:szCs w:val="16"/>
                <w:color w:val="auto"/>
              </w:rPr>
              <w:t>2%</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3,533</w:t>
            </w:r>
          </w:p>
        </w:tc>
        <w:tc>
          <w:tcPr>
            <w:tcW w:w="1380" w:type="dxa"/>
            <w:vAlign w:val="bottom"/>
          </w:tcPr>
          <w:p>
            <w:pPr>
              <w:jc w:val="center"/>
              <w:spacing w:after="0"/>
              <w:rPr>
                <w:sz w:val="20"/>
                <w:szCs w:val="20"/>
                <w:color w:val="auto"/>
              </w:rPr>
            </w:pPr>
            <w:r>
              <w:rPr>
                <w:rFonts w:ascii="Arial" w:cs="Arial" w:eastAsia="Arial" w:hAnsi="Arial"/>
                <w:sz w:val="16"/>
                <w:szCs w:val="16"/>
                <w:color w:val="auto"/>
              </w:rPr>
              <w:t>(5)%</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3,987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4"/>
              </w:rPr>
              <w:t>8%</w:t>
            </w:r>
          </w:p>
        </w:tc>
      </w:tr>
      <w:tr>
        <w:trPr>
          <w:trHeight w:val="217"/>
        </w:trPr>
        <w:tc>
          <w:tcPr>
            <w:tcW w:w="27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8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507</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(27)%</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583</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(20)%</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3,405</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(18)%</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3,830</w:t>
            </w:r>
          </w:p>
        </w:tc>
        <w:tc>
          <w:tcPr>
            <w:tcW w:w="13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(9)%</w:t>
            </w:r>
          </w:p>
        </w:tc>
      </w:tr>
      <w:tr>
        <w:trPr>
          <w:trHeight w:val="216"/>
        </w:trPr>
        <w:tc>
          <w:tcPr>
            <w:tcW w:w="27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820" w:type="dxa"/>
            <w:vAlign w:val="bottom"/>
          </w:tcPr>
          <w:p>
            <w:pPr>
              <w:jc w:val="center"/>
              <w:ind w:left="39"/>
              <w:spacing w:after="0"/>
              <w:rPr>
                <w:sz w:val="20"/>
                <w:szCs w:val="20"/>
                <w:color w:val="auto"/>
              </w:rPr>
            </w:pPr>
            <w:r>
              <w:rPr>
                <w:rFonts w:ascii="Arial" w:cs="Arial" w:eastAsia="Arial" w:hAnsi="Arial"/>
                <w:sz w:val="16"/>
                <w:szCs w:val="16"/>
                <w:color w:val="auto"/>
                <w:w w:val="97"/>
              </w:rPr>
              <w:t>266</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(37)%</w:t>
            </w:r>
          </w:p>
        </w:tc>
        <w:tc>
          <w:tcPr>
            <w:tcW w:w="740" w:type="dxa"/>
            <w:vAlign w:val="bottom"/>
          </w:tcPr>
          <w:p>
            <w:pPr>
              <w:jc w:val="center"/>
              <w:spacing w:after="0"/>
              <w:rPr>
                <w:sz w:val="20"/>
                <w:szCs w:val="20"/>
                <w:color w:val="auto"/>
              </w:rPr>
            </w:pPr>
            <w:r>
              <w:rPr>
                <w:rFonts w:ascii="Arial" w:cs="Arial" w:eastAsia="Arial" w:hAnsi="Arial"/>
                <w:sz w:val="16"/>
                <w:szCs w:val="16"/>
                <w:color w:val="auto"/>
              </w:rPr>
              <w:t>370</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(18)%</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2,557</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2,743</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(6)%</w:t>
            </w:r>
          </w:p>
        </w:tc>
      </w:tr>
      <w:tr>
        <w:trPr>
          <w:trHeight w:val="216"/>
        </w:trPr>
        <w:tc>
          <w:tcPr>
            <w:tcW w:w="27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8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457</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(26)%</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516</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(21)%</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3,259</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(12)%</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3,570</w:t>
            </w:r>
          </w:p>
        </w:tc>
        <w:tc>
          <w:tcPr>
            <w:tcW w:w="13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(4)%</w:t>
            </w:r>
          </w:p>
        </w:tc>
      </w:tr>
      <w:tr>
        <w:trPr>
          <w:trHeight w:val="215"/>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820" w:type="dxa"/>
            <w:vAlign w:val="bottom"/>
          </w:tcPr>
          <w:p>
            <w:pPr>
              <w:jc w:val="center"/>
              <w:ind w:left="59"/>
              <w:spacing w:after="0"/>
              <w:rPr>
                <w:sz w:val="20"/>
                <w:szCs w:val="20"/>
                <w:color w:val="auto"/>
              </w:rPr>
            </w:pPr>
            <w:r>
              <w:rPr>
                <w:rFonts w:ascii="Arial" w:cs="Arial" w:eastAsia="Arial" w:hAnsi="Arial"/>
                <w:sz w:val="16"/>
                <w:szCs w:val="16"/>
                <w:color w:val="auto"/>
                <w:w w:val="99"/>
              </w:rPr>
              <w:t>1,096</w:t>
            </w:r>
          </w:p>
        </w:tc>
        <w:tc>
          <w:tcPr>
            <w:tcW w:w="1400" w:type="dxa"/>
            <w:vAlign w:val="bottom"/>
          </w:tcPr>
          <w:p>
            <w:pPr>
              <w:jc w:val="center"/>
              <w:spacing w:after="0"/>
              <w:rPr>
                <w:sz w:val="20"/>
                <w:szCs w:val="20"/>
                <w:color w:val="auto"/>
              </w:rPr>
            </w:pPr>
            <w:r>
              <w:rPr>
                <w:rFonts w:ascii="Arial" w:cs="Arial" w:eastAsia="Arial" w:hAnsi="Arial"/>
                <w:sz w:val="16"/>
                <w:szCs w:val="16"/>
                <w:color w:val="auto"/>
              </w:rPr>
              <w:t>(9)%</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1,149</w:t>
            </w:r>
          </w:p>
        </w:tc>
        <w:tc>
          <w:tcPr>
            <w:tcW w:w="1380" w:type="dxa"/>
            <w:vAlign w:val="bottom"/>
          </w:tcPr>
          <w:p>
            <w:pPr>
              <w:jc w:val="center"/>
              <w:spacing w:after="0"/>
              <w:rPr>
                <w:sz w:val="20"/>
                <w:szCs w:val="20"/>
                <w:color w:val="auto"/>
              </w:rPr>
            </w:pPr>
            <w:r>
              <w:rPr>
                <w:rFonts w:ascii="Arial" w:cs="Arial" w:eastAsia="Arial" w:hAnsi="Arial"/>
                <w:sz w:val="16"/>
                <w:szCs w:val="16"/>
                <w:color w:val="auto"/>
              </w:rPr>
              <w:t>(3)%</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4,252</w:t>
            </w:r>
          </w:p>
        </w:tc>
        <w:tc>
          <w:tcPr>
            <w:tcW w:w="1380" w:type="dxa"/>
            <w:vAlign w:val="bottom"/>
          </w:tcPr>
          <w:p>
            <w:pPr>
              <w:jc w:val="center"/>
              <w:spacing w:after="0"/>
              <w:rPr>
                <w:sz w:val="20"/>
                <w:szCs w:val="20"/>
                <w:color w:val="auto"/>
              </w:rPr>
            </w:pPr>
            <w:r>
              <w:rPr>
                <w:rFonts w:ascii="Arial" w:cs="Arial" w:eastAsia="Arial" w:hAnsi="Arial"/>
                <w:sz w:val="16"/>
                <w:szCs w:val="16"/>
                <w:color w:val="auto"/>
              </w:rPr>
              <w:t>(5)%</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4,773</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9"/>
              </w:rPr>
              <w:t>14%</w:t>
            </w:r>
          </w:p>
        </w:tc>
      </w:tr>
      <w:tr>
        <w:trPr>
          <w:trHeight w:val="217"/>
        </w:trPr>
        <w:tc>
          <w:tcPr>
            <w:tcW w:w="2700" w:type="dxa"/>
            <w:vAlign w:val="bottom"/>
            <w:gridSpan w:val="2"/>
            <w:shd w:val="clear" w:color="auto" w:fill="CFF0FC"/>
          </w:tcPr>
          <w:p>
            <w:pPr>
              <w:ind w:left="12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8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587</w:t>
            </w:r>
          </w:p>
        </w:tc>
        <w:tc>
          <w:tcPr>
            <w:tcW w:w="14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(20)%</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674</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(10)%</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3,452</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(10)%</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3,870</w:t>
            </w:r>
          </w:p>
        </w:tc>
        <w:tc>
          <w:tcPr>
            <w:tcW w:w="13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4"/>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5" w:lineRule="exact"/>
        <w:rPr>
          <w:rFonts w:ascii="Arial" w:cs="Arial" w:eastAsia="Arial" w:hAnsi="Arial"/>
          <w:sz w:val="14"/>
          <w:szCs w:val="14"/>
          <w:color w:val="auto"/>
        </w:rPr>
      </w:pPr>
    </w:p>
    <w:p>
      <w:pPr>
        <w:ind w:left="520" w:right="340" w:hanging="512"/>
        <w:spacing w:after="0" w:line="264"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88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4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Six Months Ended June 30,</w:t>
            </w:r>
          </w:p>
        </w:tc>
      </w:tr>
      <w:tr>
        <w:trPr>
          <w:trHeight w:val="189"/>
        </w:trPr>
        <w:tc>
          <w:tcPr>
            <w:tcW w:w="3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2024 vs 2023</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3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Variance</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Variance</w:t>
            </w:r>
          </w:p>
        </w:tc>
      </w:tr>
      <w:tr>
        <w:trPr>
          <w:trHeight w:val="209"/>
        </w:trPr>
        <w:tc>
          <w:tcPr>
            <w:tcW w:w="35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50"/>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 $</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(0.6 ) $</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(1.7 ) $</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2024, Compared to the Three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80" w:type="dxa"/>
            <w:vAlign w:val="bottom"/>
            <w:gridSpan w:val="4"/>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85"/>
        </w:trPr>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gridSpan w:val="3"/>
          </w:tcPr>
          <w:p>
            <w:pPr>
              <w:jc w:val="right"/>
              <w:ind w:right="1119"/>
              <w:spacing w:after="0"/>
              <w:rPr>
                <w:sz w:val="20"/>
                <w:szCs w:val="20"/>
                <w:color w:val="auto"/>
              </w:rPr>
            </w:pPr>
            <w:r>
              <w:rPr>
                <w:rFonts w:ascii="Arial" w:cs="Arial" w:eastAsia="Arial" w:hAnsi="Arial"/>
                <w:sz w:val="16"/>
                <w:szCs w:val="16"/>
                <w:b w:val="1"/>
                <w:bCs w:val="1"/>
                <w:color w:val="auto"/>
              </w:rPr>
              <w:t>Three Months Ended June 30,</w:t>
            </w:r>
          </w:p>
        </w:tc>
        <w:tc>
          <w:tcPr>
            <w:tcW w:w="346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Six Months Ended June 30,</w:t>
            </w:r>
          </w:p>
        </w:tc>
      </w:tr>
      <w:tr>
        <w:trPr>
          <w:trHeight w:val="189"/>
        </w:trPr>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 vs 2023</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35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6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Variance</w:t>
            </w: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(42.6 )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(41.5 ) $</w:t>
            </w:r>
          </w:p>
        </w:tc>
        <w:tc>
          <w:tcPr>
            <w:tcW w:w="16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(1.1 ) $</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(86.7 ) $</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(85.0 ) $</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78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color w:val="auto"/>
              </w:rPr>
              <w:t>0.4</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(1.5 )</w:t>
            </w:r>
          </w:p>
        </w:tc>
        <w:tc>
          <w:tcPr>
            <w:tcW w:w="1600" w:type="dxa"/>
            <w:vAlign w:val="bottom"/>
          </w:tcPr>
          <w:p>
            <w:pPr>
              <w:jc w:val="right"/>
              <w:ind w:right="339"/>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(0.5 )</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(0.9 )</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7"/>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7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(3.7 )</w:t>
            </w:r>
          </w:p>
        </w:tc>
        <w:tc>
          <w:tcPr>
            <w:tcW w:w="11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6.1</w:t>
            </w:r>
          </w:p>
        </w:tc>
        <w:tc>
          <w:tcPr>
            <w:tcW w:w="16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(9.8 )</w:t>
            </w:r>
          </w:p>
        </w:tc>
        <w:tc>
          <w:tcPr>
            <w:tcW w:w="11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(20.6 )</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(8.6 )</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2024, Compared to the Three Months Ended June 30, 2023:</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was comparable to the same period in the prior year primarily due to higher interest rates on higher long-term debt balances mostly offset by increased interest income on higher cash and cash equivalents balances.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increased primarily due to higher pre-tax income and a higher effective tax rate. For the three months ended June 30, 2024, the effective tax rate was 13.0% compared to (29.8)% for the same period in 2023. The higher effective tax rate was primarily driven by a prior year $8.2 million tax benefit from a Nebraska income tax rate decrease.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was comparable to the same period in the prior year primarily due to higher interest rates on higher long-term debt balances mostly offset by increased interest income on higher cash and cash equivalents balances.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increased primarily due to higher pre-tax income and a higher effective tax rate. For the six months ended June 30, 2024, the effective tax rate was 11.7% compared to 5.6% for the same period in 2023. The higher effective tax rate was primarily driven by a prior year $8.2 million tax benefit from a Nebraska income tax rate decrease.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2023 Annual Report on Form 10-K except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six months ended June 30,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6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4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rPr>
              <w:t>Six Months Ended June 30,</w:t>
            </w:r>
          </w:p>
        </w:tc>
        <w:tc>
          <w:tcPr>
            <w:tcW w:w="14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182"/>
        </w:trPr>
        <w:tc>
          <w:tcPr>
            <w:tcW w:w="6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156.2</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143.9</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Non-cash adjustments to Net income</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6"/>
                <w:szCs w:val="16"/>
                <w:color w:val="auto"/>
              </w:rPr>
              <w:t>Total earnings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337.8</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287.9</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Materials, supplies and fuel, Accounts receivable and other current assets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146.1</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339.8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(193.7 )</w:t>
            </w:r>
          </w:p>
        </w:tc>
        <w:tc>
          <w:tcPr>
            <w:tcW w:w="0" w:type="dxa"/>
            <w:vAlign w:val="bottom"/>
          </w:tcPr>
          <w:p>
            <w:pPr>
              <w:spacing w:after="0"/>
              <w:rPr>
                <w:sz w:val="1"/>
                <w:szCs w:val="1"/>
                <w:color w:val="auto"/>
              </w:rPr>
            </w:pPr>
          </w:p>
        </w:tc>
      </w:tr>
      <w:tr>
        <w:trPr>
          <w:trHeight w:val="215"/>
        </w:trPr>
        <w:tc>
          <w:tcPr>
            <w:tcW w:w="6340" w:type="dxa"/>
            <w:vAlign w:val="bottom"/>
          </w:tcPr>
          <w:p>
            <w:pPr>
              <w:ind w:left="200"/>
              <w:spacing w:after="0"/>
              <w:rPr>
                <w:sz w:val="20"/>
                <w:szCs w:val="20"/>
                <w:color w:val="auto"/>
              </w:rPr>
            </w:pPr>
            <w:r>
              <w:rPr>
                <w:rFonts w:ascii="Arial" w:cs="Arial" w:eastAsia="Arial" w:hAnsi="Arial"/>
                <w:sz w:val="16"/>
                <w:szCs w:val="16"/>
                <w:color w:val="auto"/>
              </w:rPr>
              <w:t>Accounts payable and other current liabilities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(201.4 )</w:t>
            </w:r>
          </w:p>
        </w:tc>
        <w:tc>
          <w:tcPr>
            <w:tcW w:w="2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7"/>
        </w:trPr>
        <w:tc>
          <w:tcPr>
            <w:tcW w:w="6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69.8</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186.7</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(116.9 )</w:t>
            </w:r>
          </w:p>
        </w:tc>
        <w:tc>
          <w:tcPr>
            <w:tcW w:w="0" w:type="dxa"/>
            <w:vAlign w:val="bottom"/>
          </w:tcPr>
          <w:p>
            <w:pPr>
              <w:spacing w:after="0"/>
              <w:rPr>
                <w:sz w:val="1"/>
                <w:szCs w:val="1"/>
                <w:color w:val="auto"/>
              </w:rPr>
            </w:pPr>
          </w:p>
        </w:tc>
      </w:tr>
      <w:tr>
        <w:trPr>
          <w:trHeight w:val="210"/>
        </w:trPr>
        <w:tc>
          <w:tcPr>
            <w:tcW w:w="6340" w:type="dxa"/>
            <w:vAlign w:val="bottom"/>
          </w:tcPr>
          <w:p>
            <w:pPr>
              <w:ind w:left="120"/>
              <w:spacing w:after="0"/>
              <w:rPr>
                <w:sz w:val="20"/>
                <w:szCs w:val="20"/>
                <w:color w:val="auto"/>
              </w:rPr>
            </w:pPr>
            <w:r>
              <w:rPr>
                <w:rFonts w:ascii="Arial" w:cs="Arial" w:eastAsia="Arial" w:hAnsi="Arial"/>
                <w:sz w:val="16"/>
                <w:szCs w:val="16"/>
                <w:color w:val="auto"/>
              </w:rPr>
              <w:t>Net inflow (outflow) from changes in certain operating assets and liabilities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(186.6 )</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(12.3 )</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(7.9 )</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$141.1 million lower than the same period in 2023. The variance to the prior year was primarily attributable to:</w:t>
      </w:r>
    </w:p>
    <w:p>
      <w:pPr>
        <w:spacing w:after="0" w:line="194" w:lineRule="exact"/>
        <w:rPr>
          <w:sz w:val="20"/>
          <w:szCs w:val="20"/>
          <w:color w:val="auto"/>
        </w:rPr>
      </w:pPr>
    </w:p>
    <w:p>
      <w:pPr>
        <w:ind w:left="1020" w:right="40" w:hanging="503"/>
        <w:spacing w:after="0" w:line="266"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$49.9 million higher for the six months ended June 30, 2024, compared to the same period in the prior year primarily due to increased Electric and Gas Utility margins driven by new rates and increased rider revenues and lower operating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$186.6 million lower, primarily attributable to:</w:t>
      </w:r>
    </w:p>
    <w:p>
      <w:pPr>
        <w:spacing w:after="0" w:line="206" w:lineRule="exact"/>
        <w:rPr>
          <w:rFonts w:ascii="Times New Roman" w:cs="Times New Roman" w:eastAsia="Times New Roman" w:hAnsi="Times New Roman"/>
          <w:sz w:val="16"/>
          <w:szCs w:val="16"/>
          <w:color w:val="auto"/>
        </w:rPr>
      </w:pPr>
    </w:p>
    <w:p>
      <w:pPr>
        <w:ind w:left="1540" w:right="380" w:hanging="514"/>
        <w:spacing w:after="0" w:line="285" w:lineRule="auto"/>
        <w:tabs>
          <w:tab w:leader="none" w:pos="1540" w:val="left"/>
        </w:tabs>
        <w:numPr>
          <w:ilvl w:val="1"/>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$193.7 million as a result of changes in materials, supplies, fuel, accounts receivable and other current assets primarily driven by fluctuations in commodity prices and weather conditions;</w:t>
      </w:r>
    </w:p>
    <w:p>
      <w:pPr>
        <w:spacing w:after="0" w:line="129" w:lineRule="exact"/>
        <w:rPr>
          <w:rFonts w:ascii="Times New Roman" w:cs="Times New Roman" w:eastAsia="Times New Roman" w:hAnsi="Times New Roman"/>
          <w:sz w:val="16"/>
          <w:szCs w:val="16"/>
          <w:color w:val="auto"/>
        </w:rPr>
      </w:pPr>
    </w:p>
    <w:p>
      <w:pPr>
        <w:ind w:left="1540" w:right="560" w:hanging="514"/>
        <w:spacing w:after="0" w:line="266" w:lineRule="auto"/>
        <w:tabs>
          <w:tab w:leader="none" w:pos="1540" w:val="left"/>
        </w:tabs>
        <w:numPr>
          <w:ilvl w:val="1"/>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by $124.0 million as a result of changes in accounts payable and accrued liabilities primarily driven by fluctuations in commodity prices, payment timing of natural gas and power purchases and changes in other working capital requirements; and</w:t>
      </w:r>
    </w:p>
    <w:p>
      <w:pPr>
        <w:spacing w:after="0" w:line="143" w:lineRule="exact"/>
        <w:rPr>
          <w:rFonts w:ascii="Times New Roman" w:cs="Times New Roman" w:eastAsia="Times New Roman" w:hAnsi="Times New Roman"/>
          <w:sz w:val="16"/>
          <w:szCs w:val="16"/>
          <w:color w:val="auto"/>
        </w:rPr>
      </w:pPr>
    </w:p>
    <w:p>
      <w:pPr>
        <w:ind w:left="1540" w:right="20" w:hanging="514"/>
        <w:spacing w:after="0" w:line="266" w:lineRule="auto"/>
        <w:tabs>
          <w:tab w:leader="none" w:pos="1540" w:val="left"/>
        </w:tabs>
        <w:numPr>
          <w:ilvl w:val="1"/>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$116.9 million as a result of changes in our regulatory assets and liabilities primarily due to lower recoveries of deferred gas and fuel cost adjustments driven by fluctuations in commodity prices and lower recoveries of Winter Storm Uri costs from customers.</w:t>
      </w:r>
    </w:p>
    <w:p>
      <w:pPr>
        <w:spacing w:after="0" w:line="143"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$4.4 million from other operating activities primarily due to higher contributions to our Defined Benefit Pension Plan.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6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8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rPr>
              <w:t>Six Months Ended June 30,</w:t>
            </w:r>
          </w:p>
        </w:tc>
        <w:tc>
          <w:tcPr>
            <w:tcW w:w="14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182"/>
        </w:trPr>
        <w:tc>
          <w:tcPr>
            <w:tcW w:w="6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color w:val="auto"/>
              </w:rPr>
              <w:t>(in millions)</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(342.4 ) $</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(261.7 )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(80.7 )</w:t>
            </w:r>
          </w:p>
        </w:tc>
        <w:tc>
          <w:tcPr>
            <w:tcW w:w="0" w:type="dxa"/>
            <w:vAlign w:val="bottom"/>
          </w:tcPr>
          <w:p>
            <w:pPr>
              <w:spacing w:after="0"/>
              <w:rPr>
                <w:sz w:val="1"/>
                <w:szCs w:val="1"/>
                <w:color w:val="auto"/>
              </w:rPr>
            </w:pP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1.7</w:t>
            </w: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(340.7 ) $</w:t>
            </w: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(245.4 )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(95.3 )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$95.3 million higher than the same period in 2023. The variance to the prior year was primarily attributable to:</w:t>
      </w:r>
    </w:p>
    <w:p>
      <w:pPr>
        <w:spacing w:after="0" w:line="194" w:lineRule="exact"/>
        <w:rPr>
          <w:sz w:val="20"/>
          <w:szCs w:val="20"/>
          <w:color w:val="auto"/>
        </w:rPr>
      </w:pPr>
    </w:p>
    <w:p>
      <w:pPr>
        <w:jc w:val="both"/>
        <w:ind w:left="1020" w:right="200" w:hanging="503"/>
        <w:spacing w:after="0" w:line="266"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Cash outflows increased by $80.7 million as a result of higher capital expenditures which were primarily driven by Wyoming Electric's </w:t>
      </w:r>
      <w:r>
        <w:rPr>
          <w:rFonts w:ascii="Arial" w:cs="Arial" w:eastAsia="Arial" w:hAnsi="Arial"/>
          <w:sz w:val="16"/>
          <w:szCs w:val="16"/>
          <w:i w:val="1"/>
          <w:iCs w:val="1"/>
          <w:color w:val="auto"/>
        </w:rPr>
        <w:t>Ready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Wyoming </w:t>
      </w:r>
      <w:r>
        <w:rPr>
          <w:rFonts w:ascii="Arial" w:cs="Arial" w:eastAsia="Arial" w:hAnsi="Arial"/>
          <w:sz w:val="16"/>
          <w:szCs w:val="16"/>
          <w:color w:val="auto"/>
        </w:rPr>
        <w:t>electric transmission expansion project and Black Hills Energy Renewable Resources' acquisition of a RNG production facility at a</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in Dubuque, Iowa; and</w:t>
      </w:r>
    </w:p>
    <w:p>
      <w:pPr>
        <w:spacing w:after="0" w:line="143"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$14.6 million for other investing activities primarily due to prior year proceeds from the sale of Northern Iowa Windpower assets.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08" w:lineRule="exact"/>
        <w:rPr>
          <w:sz w:val="20"/>
          <w:szCs w:val="20"/>
          <w:color w:val="auto"/>
        </w:rPr>
      </w:pPr>
    </w:p>
    <w:tbl>
      <w:tblPr>
        <w:tblLayout w:type="fixed"/>
        <w:tblInd w:w="69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2340" w:type="dxa"/>
            <w:vAlign w:val="bottom"/>
          </w:tcPr>
          <w:p>
            <w:pPr>
              <w:jc w:val="center"/>
              <w:ind w:left="79"/>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8"/>
              </w:rPr>
              <w:t>2024 vs 2023</w:t>
            </w:r>
          </w:p>
        </w:tc>
        <w:tc>
          <w:tcPr>
            <w:tcW w:w="0" w:type="dxa"/>
            <w:vAlign w:val="bottom"/>
          </w:tcPr>
          <w:p>
            <w:pPr>
              <w:spacing w:after="0"/>
              <w:rPr>
                <w:sz w:val="1"/>
                <w:szCs w:val="1"/>
                <w:color w:val="auto"/>
              </w:rPr>
            </w:pPr>
          </w:p>
        </w:tc>
      </w:tr>
      <w:tr>
        <w:trPr>
          <w:trHeight w:val="182"/>
        </w:trPr>
        <w:tc>
          <w:tcPr>
            <w:tcW w:w="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2024</w:t>
            </w:r>
          </w:p>
        </w:tc>
        <w:tc>
          <w:tcPr>
            <w:tcW w:w="2340" w:type="dxa"/>
            <w:vAlign w:val="bottom"/>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issued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Short-term and long-term debt borrowings,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Distributions to non-controlling interests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financing activities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2024, Compared to the Six Months Ended June 30, 2023</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6"/>
          <w:szCs w:val="16"/>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(89.3 ) $</w:t>
            </w:r>
          </w:p>
        </w:tc>
        <w:tc>
          <w:tcPr>
            <w:tcW w:w="1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(83.1 ) $</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6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600" w:type="dxa"/>
            <w:vAlign w:val="bottom"/>
          </w:tcPr>
          <w:p>
            <w:pPr>
              <w:spacing w:after="0"/>
              <w:rPr>
                <w:sz w:val="18"/>
                <w:szCs w:val="18"/>
                <w:color w:val="auto"/>
              </w:rPr>
            </w:pPr>
          </w:p>
        </w:tc>
        <w:tc>
          <w:tcPr>
            <w:tcW w:w="1640" w:type="dxa"/>
            <w:vAlign w:val="bottom"/>
          </w:tcPr>
          <w:p>
            <w:pPr>
              <w:jc w:val="right"/>
              <w:ind w:right="639"/>
              <w:spacing w:after="0"/>
              <w:rPr>
                <w:sz w:val="20"/>
                <w:szCs w:val="20"/>
                <w:color w:val="auto"/>
              </w:rPr>
            </w:pPr>
            <w:r>
              <w:rPr>
                <w:rFonts w:ascii="Arial" w:cs="Arial" w:eastAsia="Arial" w:hAnsi="Arial"/>
                <w:sz w:val="16"/>
                <w:szCs w:val="16"/>
                <w:color w:val="auto"/>
              </w:rPr>
              <w:t>54.7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18.3</w:t>
            </w:r>
          </w:p>
        </w:tc>
      </w:tr>
      <w:tr>
        <w:trPr>
          <w:trHeight w:val="216"/>
        </w:trPr>
        <w:tc>
          <w:tcPr>
            <w:tcW w:w="6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600" w:type="dxa"/>
            <w:vAlign w:val="bottom"/>
          </w:tcPr>
          <w:p>
            <w:pPr>
              <w:spacing w:after="0"/>
              <w:rPr>
                <w:sz w:val="18"/>
                <w:szCs w:val="18"/>
                <w:color w:val="auto"/>
              </w:rPr>
            </w:pPr>
          </w:p>
        </w:tc>
        <w:tc>
          <w:tcPr>
            <w:tcW w:w="1640" w:type="dxa"/>
            <w:vAlign w:val="bottom"/>
          </w:tcPr>
          <w:p>
            <w:pPr>
              <w:jc w:val="right"/>
              <w:ind w:right="559"/>
              <w:spacing w:after="0"/>
              <w:rPr>
                <w:sz w:val="20"/>
                <w:szCs w:val="20"/>
                <w:color w:val="auto"/>
              </w:rPr>
            </w:pPr>
            <w:r>
              <w:rPr>
                <w:rFonts w:ascii="Arial" w:cs="Arial" w:eastAsia="Arial" w:hAnsi="Arial"/>
                <w:sz w:val="16"/>
                <w:szCs w:val="16"/>
                <w:color w:val="auto"/>
              </w:rPr>
              <w:t>(185.6 )</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635.6</w:t>
            </w:r>
          </w:p>
        </w:tc>
      </w:tr>
      <w:tr>
        <w:trPr>
          <w:trHeight w:val="216"/>
        </w:trPr>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(10.0 )</w:t>
            </w:r>
          </w:p>
        </w:tc>
        <w:tc>
          <w:tcPr>
            <w:tcW w:w="600" w:type="dxa"/>
            <w:vAlign w:val="bottom"/>
          </w:tcPr>
          <w:p>
            <w:pPr>
              <w:spacing w:after="0"/>
              <w:rPr>
                <w:sz w:val="18"/>
                <w:szCs w:val="18"/>
                <w:color w:val="auto"/>
              </w:rPr>
            </w:pPr>
          </w:p>
        </w:tc>
        <w:tc>
          <w:tcPr>
            <w:tcW w:w="1640" w:type="dxa"/>
            <w:vAlign w:val="bottom"/>
          </w:tcPr>
          <w:p>
            <w:pPr>
              <w:jc w:val="right"/>
              <w:ind w:right="559"/>
              <w:spacing w:after="0"/>
              <w:rPr>
                <w:sz w:val="20"/>
                <w:szCs w:val="20"/>
                <w:color w:val="auto"/>
              </w:rPr>
            </w:pPr>
            <w:r>
              <w:rPr>
                <w:rFonts w:ascii="Arial" w:cs="Arial" w:eastAsia="Arial" w:hAnsi="Arial"/>
                <w:sz w:val="16"/>
                <w:szCs w:val="16"/>
                <w:color w:val="auto"/>
              </w:rPr>
              <w:t>(9.0 )</w:t>
            </w: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(5.1 )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210"/>
        </w:trPr>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415.4</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(228.1 ) $</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643.5</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52" w:lineRule="exact"/>
        <w:rPr>
          <w:sz w:val="20"/>
          <w:szCs w:val="20"/>
          <w:color w:val="auto"/>
        </w:rPr>
      </w:pPr>
    </w:p>
    <w:p>
      <w:pPr>
        <w:sectPr>
          <w:pgSz w:w="11900" w:h="16838" w:orient="portrait"/>
          <w:cols w:equalWidth="0" w:num="2">
            <w:col w:w="6120" w:space="220"/>
            <w:col w:w="4900"/>
          </w:cols>
          <w:pgMar w:left="320" w:top="773" w:right="339" w:bottom="1440" w:gutter="0" w:footer="0" w:header="0"/>
          <w:type w:val="continuous"/>
        </w:sectPr>
      </w:pPr>
    </w:p>
    <w:p>
      <w:pPr>
        <w:spacing w:after="0"/>
        <w:rPr>
          <w:sz w:val="20"/>
          <w:szCs w:val="20"/>
          <w:color w:val="auto"/>
        </w:rPr>
      </w:pPr>
      <w:r>
        <w:rPr>
          <w:rFonts w:ascii="Arial" w:cs="Arial" w:eastAsia="Arial" w:hAnsi="Arial"/>
          <w:sz w:val="16"/>
          <w:szCs w:val="16"/>
          <w:color w:val="auto"/>
        </w:rPr>
        <w:t>Net cash provided by financing activities was $643.5 million higher than the same period in 2023. The variance to the prior year was primarily attributable to:</w:t>
      </w:r>
    </w:p>
    <w:p>
      <w:pPr>
        <w:spacing w:after="0" w:line="194" w:lineRule="exact"/>
        <w:rPr>
          <w:sz w:val="20"/>
          <w:szCs w:val="20"/>
          <w:color w:val="auto"/>
        </w:rPr>
      </w:pPr>
    </w:p>
    <w:p>
      <w:pPr>
        <w:ind w:left="1020" w:right="40" w:hanging="503"/>
        <w:spacing w:after="0" w:line="285" w:lineRule="auto"/>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$635.6 million as a result of proceeds from the May 16, 2024, debt offering and prior year net repayment activity under our Revolving Credit Facility and CP Program;</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$18.3 million due to higher issuances of common stock;</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$6.2 million due to increased dividends paid on common stock;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$3.2 million for other financing activities due to financing costs from the May 16, 2024, debt offering.</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June 30, 2024.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-45720</wp:posOffset>
            </wp:positionV>
            <wp:extent cx="302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Proceeds from the May 16, 2024, debt offering, along with available cash or short-term borrowings, will be used to repay our $600 million, 1.04%, senior unsecured notes due August 23, 2024, on their maturity date.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rPr>
              <w:t>Senior Unsecured Rating</w:t>
            </w:r>
          </w:p>
        </w:tc>
        <w:tc>
          <w:tcPr>
            <w:tcW w:w="27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Outlook</w:t>
            </w:r>
          </w:p>
        </w:tc>
      </w:tr>
      <w:tr>
        <w:trPr>
          <w:trHeight w:val="210"/>
        </w:trPr>
        <w:tc>
          <w:tcPr>
            <w:tcW w:w="342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Stable</w:t>
            </w:r>
          </w:p>
        </w:tc>
      </w:tr>
      <w:tr>
        <w:trPr>
          <w:trHeight w:val="215"/>
        </w:trPr>
        <w:tc>
          <w:tcPr>
            <w:tcW w:w="3420" w:type="dxa"/>
            <w:vAlign w:val="bottom"/>
          </w:tcPr>
          <w:p>
            <w:pPr>
              <w:ind w:left="20"/>
              <w:spacing w:after="0"/>
              <w:rPr>
                <w:sz w:val="20"/>
                <w:szCs w:val="20"/>
                <w:color w:val="auto"/>
              </w:rPr>
            </w:pPr>
            <w:r>
              <w:rPr>
                <w:rFonts w:ascii="Arial" w:cs="Arial" w:eastAsia="Arial" w:hAnsi="Arial"/>
                <w:sz w:val="16"/>
                <w:szCs w:val="16"/>
                <w:color w:val="auto"/>
              </w:rPr>
              <w:t>Moody's</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40" w:type="dxa"/>
            <w:vAlign w:val="bottom"/>
          </w:tcPr>
          <w:p>
            <w:pPr>
              <w:jc w:val="center"/>
              <w:ind w:right="239"/>
              <w:spacing w:after="0"/>
              <w:rPr>
                <w:sz w:val="20"/>
                <w:szCs w:val="20"/>
                <w:color w:val="auto"/>
              </w:rPr>
            </w:pPr>
            <w:r>
              <w:rPr>
                <w:rFonts w:ascii="Arial" w:cs="Arial" w:eastAsia="Arial" w:hAnsi="Arial"/>
                <w:sz w:val="16"/>
                <w:szCs w:val="16"/>
                <w:color w:val="auto"/>
              </w:rPr>
              <w:t>Stable</w:t>
            </w:r>
          </w:p>
        </w:tc>
      </w:tr>
      <w:tr>
        <w:trPr>
          <w:trHeight w:val="217"/>
        </w:trPr>
        <w:tc>
          <w:tcPr>
            <w:tcW w:w="342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May 9, 2024, S&amp;P reported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January 26, 2024, Fitch reported BBB+ rating and revised to a Negative outlook.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of South Dakota Electric at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Senior Secured Rating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A</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Fitch</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A</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0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Actual</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Forecasted</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 by Segment</w:t>
            </w:r>
          </w:p>
        </w:tc>
        <w:tc>
          <w:tcPr>
            <w:tcW w:w="220" w:type="dxa"/>
            <w:vAlign w:val="bottom"/>
          </w:tcPr>
          <w:p>
            <w:pPr>
              <w:spacing w:after="0"/>
              <w:rPr>
                <w:sz w:val="17"/>
                <w:szCs w:val="17"/>
                <w:color w:val="auto"/>
              </w:rPr>
            </w:pPr>
          </w:p>
        </w:tc>
        <w:tc>
          <w:tcPr>
            <w:tcW w:w="1820" w:type="dxa"/>
            <w:vAlign w:val="bottom"/>
          </w:tcPr>
          <w:p>
            <w:pPr>
              <w:jc w:val="center"/>
              <w:ind w:right="179"/>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7"/>
                <w:szCs w:val="17"/>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6"/>
              </w:rPr>
              <w:t xml:space="preserve">2024 </w:t>
            </w:r>
            <w:r>
              <w:rPr>
                <w:rFonts w:ascii="Arial" w:cs="Arial" w:eastAsia="Arial" w:hAnsi="Arial"/>
                <w:sz w:val="21"/>
                <w:szCs w:val="21"/>
                <w:b w:val="1"/>
                <w:bCs w:val="1"/>
                <w:color w:val="auto"/>
                <w:w w:val="96"/>
                <w:vertAlign w:val="superscript"/>
              </w:rPr>
              <w:t>(b)</w:t>
            </w:r>
          </w:p>
        </w:tc>
        <w:tc>
          <w:tcPr>
            <w:tcW w:w="260" w:type="dxa"/>
            <w:vAlign w:val="bottom"/>
          </w:tcPr>
          <w:p>
            <w:pPr>
              <w:spacing w:after="0"/>
              <w:rPr>
                <w:sz w:val="17"/>
                <w:szCs w:val="17"/>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7"/>
                <w:szCs w:val="17"/>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240" w:type="dxa"/>
            <w:vAlign w:val="bottom"/>
          </w:tcPr>
          <w:p>
            <w:pPr>
              <w:spacing w:after="0"/>
              <w:rPr>
                <w:sz w:val="17"/>
                <w:szCs w:val="17"/>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2027</w:t>
            </w:r>
          </w:p>
        </w:tc>
        <w:tc>
          <w:tcPr>
            <w:tcW w:w="240" w:type="dxa"/>
            <w:vAlign w:val="bottom"/>
          </w:tcPr>
          <w:p>
            <w:pPr>
              <w:spacing w:after="0"/>
              <w:rPr>
                <w:sz w:val="17"/>
                <w:szCs w:val="17"/>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2028</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4"/>
                <w:szCs w:val="14"/>
                <w:color w:val="auto"/>
              </w:rPr>
              <w:t>(minor differences may result due to rounding)</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139"/>
              <w:spacing w:after="0" w:line="203" w:lineRule="exact"/>
              <w:rPr>
                <w:sz w:val="20"/>
                <w:szCs w:val="20"/>
                <w:color w:val="auto"/>
              </w:rPr>
            </w:pPr>
            <w:r>
              <w:rPr>
                <w:rFonts w:ascii="Arial" w:cs="Arial" w:eastAsia="Arial" w:hAnsi="Arial"/>
                <w:sz w:val="16"/>
                <w:szCs w:val="16"/>
                <w:b w:val="1"/>
                <w:bCs w:val="1"/>
                <w:color w:val="auto"/>
                <w:w w:val="98"/>
              </w:rPr>
              <w:t xml:space="preserve">June 30, 2024 </w:t>
            </w:r>
            <w:r>
              <w:rPr>
                <w:rFonts w:ascii="Arial" w:cs="Arial" w:eastAsia="Arial" w:hAnsi="Arial"/>
                <w:sz w:val="21"/>
                <w:szCs w:val="21"/>
                <w:b w:val="1"/>
                <w:bCs w:val="1"/>
                <w:color w:val="auto"/>
                <w:w w:val="98"/>
                <w:vertAlign w:val="superscript"/>
              </w:rPr>
              <w:t>(a)</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F0FC"/>
          </w:tcPr>
          <w:p>
            <w:pPr>
              <w:jc w:val="center"/>
              <w:spacing w:after="0"/>
              <w:rPr>
                <w:sz w:val="20"/>
                <w:szCs w:val="20"/>
                <w:color w:val="auto"/>
              </w:rPr>
            </w:pPr>
            <w:r>
              <w:rPr>
                <w:rFonts w:ascii="Arial" w:cs="Arial" w:eastAsia="Arial" w:hAnsi="Arial"/>
                <w:sz w:val="16"/>
                <w:szCs w:val="16"/>
                <w:color w:val="auto"/>
                <w:w w:val="97"/>
              </w:rPr>
              <w:t>186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7"/>
              </w:rPr>
              <w:t>190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372</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220" w:type="dxa"/>
            <w:vAlign w:val="bottom"/>
            <w:shd w:val="clear" w:color="auto" w:fill="CFF0FC"/>
          </w:tcPr>
          <w:p>
            <w:pPr>
              <w:spacing w:after="0"/>
              <w:rPr>
                <w:sz w:val="18"/>
                <w:szCs w:val="18"/>
                <w:color w:val="auto"/>
              </w:rPr>
            </w:pPr>
          </w:p>
        </w:tc>
        <w:tc>
          <w:tcPr>
            <w:tcW w:w="1820" w:type="dxa"/>
            <w:vAlign w:val="bottom"/>
            <w:shd w:val="clear" w:color="auto" w:fill="CCF0FC"/>
          </w:tcPr>
          <w:p>
            <w:pPr>
              <w:jc w:val="center"/>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9"/>
        </w:trPr>
        <w:tc>
          <w:tcPr>
            <w:tcW w:w="40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F0FC"/>
          </w:tcPr>
          <w:p>
            <w:pPr>
              <w:jc w:val="center"/>
              <w:spacing w:after="0"/>
              <w:rPr>
                <w:sz w:val="20"/>
                <w:szCs w:val="20"/>
                <w:color w:val="auto"/>
              </w:rPr>
            </w:pPr>
            <w:r>
              <w:rPr>
                <w:rFonts w:ascii="Arial" w:cs="Arial" w:eastAsia="Arial" w:hAnsi="Arial"/>
                <w:sz w:val="16"/>
                <w:szCs w:val="16"/>
                <w:color w:val="auto"/>
                <w:w w:val="97"/>
              </w:rPr>
              <w:t>381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800" w:hanging="512"/>
        <w:spacing w:after="0" w:line="251"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actual capital expenditures for the six months ended June 30, 2024.</w:t>
      </w:r>
    </w:p>
    <w:p>
      <w:pPr>
        <w:spacing w:after="0" w:line="1" w:lineRule="exact"/>
        <w:rPr>
          <w:rFonts w:ascii="Arial" w:cs="Arial" w:eastAsia="Arial" w:hAnsi="Arial"/>
          <w:sz w:val="14"/>
          <w:szCs w:val="14"/>
          <w:color w:val="auto"/>
        </w:rPr>
      </w:pPr>
    </w:p>
    <w:p>
      <w:pPr>
        <w:ind w:left="520" w:hanging="512"/>
        <w:spacing w:after="0" w:line="237"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-317500</wp:posOffset>
            </wp:positionV>
            <wp:extent cx="16249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Dividends paid on our common stock totaled $89.3 million for the six months ended June 30, 2024, or $0.65 per share. On July 22, 2024, our board of directors declared a quarterly dividend of $0.65 per share payable September 1, 2024, equivalent to an annual dividend of $2.60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summary of our critical accounting estimates is included in our 2023 Annual Report on Form 10-K. There were no material changes made as of June 30, 2024.</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Other than the pronouncements reported in our 2023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there have been no new accounting pronouncements that are expected to have a material effect on our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-276225</wp:posOffset>
            </wp:positionV>
            <wp:extent cx="302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2023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June 30, 2024. Based on their evaluation, they have concluded that our disclosure controls and procedures were effective at June 30, 2024.</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quarter ended June 30, 2024, there have been no changes in our internal controls over financial reporting that have materially affected or are reasonably likely to materially affect our internal control over financial reporting.</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2023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May Yet Be</w:t>
            </w:r>
          </w:p>
        </w:tc>
      </w:tr>
      <w:tr>
        <w:trPr>
          <w:trHeight w:val="163"/>
        </w:trPr>
        <w:tc>
          <w:tcPr>
            <w:tcW w:w="3820" w:type="dxa"/>
            <w:vAlign w:val="bottom"/>
          </w:tcPr>
          <w:p>
            <w:pPr>
              <w:spacing w:after="0"/>
              <w:rPr>
                <w:sz w:val="14"/>
                <w:szCs w:val="14"/>
                <w:color w:val="auto"/>
              </w:rPr>
            </w:pPr>
          </w:p>
        </w:tc>
        <w:tc>
          <w:tcPr>
            <w:tcW w:w="198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Total Number of Shares</w:t>
            </w:r>
          </w:p>
        </w:tc>
        <w:tc>
          <w:tcPr>
            <w:tcW w:w="1420" w:type="dxa"/>
            <w:vAlign w:val="bottom"/>
            <w:gridSpan w:val="2"/>
          </w:tcPr>
          <w:p>
            <w:pPr>
              <w:jc w:val="right"/>
              <w:ind w:right="139"/>
              <w:spacing w:after="0" w:line="163" w:lineRule="exact"/>
              <w:rPr>
                <w:sz w:val="20"/>
                <w:szCs w:val="20"/>
                <w:color w:val="auto"/>
              </w:rPr>
            </w:pPr>
            <w:r>
              <w:rPr>
                <w:rFonts w:ascii="Arial" w:cs="Arial" w:eastAsia="Arial" w:hAnsi="Arial"/>
                <w:sz w:val="16"/>
                <w:szCs w:val="16"/>
                <w:b w:val="1"/>
                <w:bCs w:val="1"/>
                <w:color w:val="auto"/>
              </w:rPr>
              <w:t>Average Price</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40" w:type="dxa"/>
            <w:vAlign w:val="bottom"/>
          </w:tcPr>
          <w:p>
            <w:pPr>
              <w:spacing w:after="0"/>
              <w:rPr>
                <w:sz w:val="14"/>
                <w:szCs w:val="14"/>
                <w:color w:val="auto"/>
              </w:rPr>
            </w:pPr>
          </w:p>
        </w:tc>
        <w:tc>
          <w:tcPr>
            <w:tcW w:w="192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Purchased Under the</w:t>
            </w:r>
          </w:p>
        </w:tc>
      </w:tr>
      <w:tr>
        <w:trPr>
          <w:trHeight w:val="243"/>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9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Plans or Programs</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2024 - April 30, 2024</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53.86</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May 1, 2024 - May 31, 2024</w:t>
            </w:r>
          </w:p>
        </w:tc>
        <w:tc>
          <w:tcPr>
            <w:tcW w:w="1980" w:type="dxa"/>
            <w:vAlign w:val="bottom"/>
          </w:tcPr>
          <w:p>
            <w:pPr>
              <w:jc w:val="right"/>
              <w:spacing w:after="0"/>
              <w:rPr>
                <w:sz w:val="20"/>
                <w:szCs w:val="20"/>
                <w:color w:val="auto"/>
              </w:rPr>
            </w:pPr>
            <w:r>
              <w:rPr>
                <w:rFonts w:ascii="Arial" w:cs="Arial" w:eastAsia="Arial" w:hAnsi="Arial"/>
                <w:sz w:val="16"/>
                <w:szCs w:val="16"/>
                <w:color w:val="auto"/>
              </w:rPr>
              <w:t>70</w:t>
            </w:r>
          </w:p>
        </w:tc>
        <w:tc>
          <w:tcPr>
            <w:tcW w:w="5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56.47</w:t>
            </w:r>
          </w:p>
        </w:tc>
        <w:tc>
          <w:tcPr>
            <w:tcW w:w="1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June 1, 2024 - June 30, 2024</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56.44</w:t>
            </w:r>
          </w:p>
        </w:tc>
        <w:tc>
          <w:tcPr>
            <w:tcW w:w="19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20" w:type="dxa"/>
            <w:vAlign w:val="bottom"/>
          </w:tcPr>
          <w:p>
            <w:pPr>
              <w:ind w:left="30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56.44</w:t>
            </w:r>
          </w:p>
        </w:tc>
        <w:tc>
          <w:tcPr>
            <w:tcW w:w="1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June 30,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9"/>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5"/>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Arial" w:cs="Arial" w:eastAsia="Arial" w:hAnsi="Arial"/>
                <w:sz w:val="16"/>
                <w:szCs w:val="16"/>
                <w:color w:val="auto"/>
              </w:rPr>
              <w:t>4.1</w:t>
            </w:r>
          </w:p>
        </w:tc>
        <w:tc>
          <w:tcPr>
            <w:tcW w:w="9580" w:type="dxa"/>
            <w:vAlign w:val="bottom"/>
            <w:tcBorders>
              <w:bottom w:val="single" w:sz="8" w:color="0000FF"/>
            </w:tcBorders>
            <w:gridSpan w:val="10"/>
          </w:tcPr>
          <w:p>
            <w:pPr>
              <w:spacing w:after="0"/>
              <w:rPr>
                <w:rFonts w:ascii="Arial" w:cs="Arial" w:eastAsia="Arial" w:hAnsi="Arial"/>
                <w:sz w:val="16"/>
                <w:szCs w:val="16"/>
                <w:color w:val="0000FF"/>
              </w:rPr>
            </w:pPr>
            <w:hyperlink r:id="rId146">
              <w:r>
                <w:rPr>
                  <w:rFonts w:ascii="Arial" w:cs="Arial" w:eastAsia="Arial" w:hAnsi="Arial"/>
                  <w:sz w:val="16"/>
                  <w:szCs w:val="16"/>
                  <w:color w:val="0000FF"/>
                </w:rPr>
                <w:t>Thirteenth Supplemental Indenture dated as of May 16, 2024, (filed as Exhibit 4.1 to the Registrant's Form 8-K filed on May 16, 2024).</w:t>
              </w:r>
            </w:hyperlink>
          </w:p>
        </w:tc>
        <w:tc>
          <w:tcPr>
            <w:tcW w:w="2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10.1</w:t>
            </w:r>
          </w:p>
        </w:tc>
        <w:tc>
          <w:tcPr>
            <w:tcW w:w="9800" w:type="dxa"/>
            <w:vAlign w:val="bottom"/>
            <w:gridSpan w:val="13"/>
          </w:tcPr>
          <w:p>
            <w:pPr>
              <w:spacing w:after="0"/>
              <w:rPr>
                <w:rFonts w:ascii="Arial" w:cs="Arial" w:eastAsia="Arial" w:hAnsi="Arial"/>
                <w:sz w:val="16"/>
                <w:szCs w:val="16"/>
                <w:color w:val="0000FF"/>
              </w:rPr>
            </w:pPr>
            <w:hyperlink r:id="rId147">
              <w:r>
                <w:rPr>
                  <w:rFonts w:ascii="Arial" w:cs="Arial" w:eastAsia="Arial" w:hAnsi="Arial"/>
                  <w:sz w:val="16"/>
                  <w:szCs w:val="16"/>
                  <w:color w:val="0000FF"/>
                </w:rPr>
                <w:t xml:space="preserve">Second Amendment to Fourth Amended and Restated Credit Agreement dated as of May 31, 2024,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w:t>
              </w:r>
            </w:hyperlink>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66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Credit Facility), among Black Hills Corporation, as Borrower, the financial institutions party there, as Banks, and U.S. Bank, National</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754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Association, as Administrative Agent. (filed as Exhibit 10.1 to the Registrant's Form 8-K on June 5, 2024).</w:t>
              </w:r>
            </w:hyperlink>
          </w:p>
        </w:tc>
        <w:tc>
          <w:tcPr>
            <w:tcW w:w="1920" w:type="dxa"/>
            <w:vAlign w:val="bottom"/>
            <w:tcBorders>
              <w:top w:val="single" w:sz="8" w:color="0000FF"/>
            </w:tcBorders>
            <w:gridSpan w:val="4"/>
          </w:tcPr>
          <w:p>
            <w:pPr>
              <w:spacing w:after="0"/>
              <w:rPr>
                <w:sz w:val="14"/>
                <w:szCs w:val="14"/>
                <w:color w:val="auto"/>
              </w:rPr>
            </w:pPr>
          </w:p>
        </w:tc>
        <w:tc>
          <w:tcPr>
            <w:tcW w:w="2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800" w:type="dxa"/>
            <w:vAlign w:val="bottom"/>
            <w:gridSpan w:val="13"/>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4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31.2*</w:t>
            </w:r>
          </w:p>
        </w:tc>
        <w:tc>
          <w:tcPr>
            <w:tcW w:w="9800" w:type="dxa"/>
            <w:vAlign w:val="bottom"/>
            <w:gridSpan w:val="13"/>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3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32.1*</w:t>
            </w:r>
          </w:p>
        </w:tc>
        <w:tc>
          <w:tcPr>
            <w:tcW w:w="9800" w:type="dxa"/>
            <w:vAlign w:val="bottom"/>
            <w:gridSpan w:val="13"/>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4"/>
          </w:tcPr>
          <w:p>
            <w:pPr>
              <w:spacing w:after="0"/>
              <w:rPr>
                <w:sz w:val="14"/>
                <w:szCs w:val="14"/>
                <w:color w:val="auto"/>
              </w:rPr>
            </w:pPr>
          </w:p>
        </w:tc>
        <w:tc>
          <w:tcPr>
            <w:tcW w:w="40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32.2*</w:t>
            </w:r>
          </w:p>
        </w:tc>
        <w:tc>
          <w:tcPr>
            <w:tcW w:w="9800" w:type="dxa"/>
            <w:vAlign w:val="bottom"/>
            <w:gridSpan w:val="13"/>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840" w:type="dxa"/>
            <w:vAlign w:val="bottom"/>
            <w:tcBorders>
              <w:top w:val="single" w:sz="8" w:color="0000FF"/>
            </w:tcBorders>
            <w:gridSpan w:val="1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95*</w:t>
            </w:r>
          </w:p>
        </w:tc>
        <w:tc>
          <w:tcPr>
            <w:tcW w:w="9800" w:type="dxa"/>
            <w:vAlign w:val="bottom"/>
            <w:gridSpan w:val="13"/>
          </w:tcPr>
          <w:p>
            <w:pPr>
              <w:spacing w:after="0"/>
              <w:rPr>
                <w:sz w:val="20"/>
                <w:szCs w:val="20"/>
                <w:color w:val="auto"/>
              </w:rPr>
            </w:pPr>
            <w:r>
              <w:rPr>
                <w:rFonts w:ascii="Arial" w:cs="Arial" w:eastAsia="Arial" w:hAnsi="Arial"/>
                <w:sz w:val="16"/>
                <w:szCs w:val="16"/>
                <w:color w:val="0000FF"/>
              </w:rPr>
              <w:t>Mine Safety and Health Administration Safety Data.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40" w:type="dxa"/>
            <w:vAlign w:val="bottom"/>
          </w:tcPr>
          <w:p>
            <w:pPr>
              <w:ind w:left="120"/>
              <w:spacing w:after="0"/>
              <w:rPr>
                <w:sz w:val="20"/>
                <w:szCs w:val="20"/>
                <w:color w:val="auto"/>
              </w:rPr>
            </w:pPr>
            <w:r>
              <w:rPr>
                <w:rFonts w:ascii="Arial" w:cs="Arial" w:eastAsia="Arial" w:hAnsi="Arial"/>
                <w:sz w:val="16"/>
                <w:szCs w:val="16"/>
                <w:color w:val="auto"/>
              </w:rPr>
              <w:t>101.INS*</w:t>
            </w:r>
          </w:p>
        </w:tc>
        <w:tc>
          <w:tcPr>
            <w:tcW w:w="9800" w:type="dxa"/>
            <w:vAlign w:val="bottom"/>
            <w:gridSpan w:val="13"/>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9800" w:type="dxa"/>
            <w:vAlign w:val="bottom"/>
            <w:gridSpan w:val="13"/>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3"/>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45"/>
        </w:trPr>
        <w:tc>
          <w:tcPr>
            <w:tcW w:w="1440" w:type="dxa"/>
            <w:vAlign w:val="bottom"/>
          </w:tcPr>
          <w:p>
            <w:pPr>
              <w:spacing w:after="0"/>
              <w:rPr>
                <w:sz w:val="24"/>
                <w:szCs w:val="24"/>
                <w:color w:val="auto"/>
              </w:rPr>
            </w:pPr>
          </w:p>
        </w:tc>
        <w:tc>
          <w:tcPr>
            <w:tcW w:w="7540" w:type="dxa"/>
            <w:vAlign w:val="bottom"/>
            <w:gridSpan w:val="5"/>
          </w:tcPr>
          <w:p>
            <w:pPr>
              <w:ind w:left="4100"/>
              <w:spacing w:after="0"/>
              <w:rPr>
                <w:sz w:val="20"/>
                <w:szCs w:val="20"/>
                <w:color w:val="auto"/>
              </w:rPr>
            </w:pPr>
            <w:r>
              <w:rPr>
                <w:rFonts w:ascii="Arial" w:cs="Arial" w:eastAsia="Arial" w:hAnsi="Arial"/>
                <w:sz w:val="16"/>
                <w:szCs w:val="16"/>
                <w:color w:val="auto"/>
              </w:rPr>
              <w:t>41</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6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Executive Officer</w:t>
      </w:r>
    </w:p>
    <w:p>
      <w:pPr>
        <w:spacing w:after="0" w:line="38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Kimberly F. Nooney, Senior Vice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383"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August 1, 2024</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773"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August 1, 2024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August 1, 2024</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488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2024,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August 1,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2024,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August 1,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2024.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60" w:hanging="518"/>
        <w:spacing w:after="0" w:line="256"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20" w:hanging="518"/>
        <w:spacing w:after="0" w:line="256" w:lineRule="auto"/>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three months ended June 30, 2024, and legal actions pending before the Federal Mine Safety and Health Review Commission, together with the Administrative Law Judges thereof, for BHE – Wyodak Mine, our only mining complex. All citations were abated within 24 hours of issue.</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100" w:type="dxa"/>
            <w:vAlign w:val="bottom"/>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Citations issued</w:t>
            </w:r>
          </w:p>
        </w:tc>
        <w:tc>
          <w:tcPr>
            <w:tcW w:w="66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880" w:type="dxa"/>
            <w:vAlign w:val="bottom"/>
            <w:vMerge w:val="continue"/>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during three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6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(2) Violations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Danger</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Proposed 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Period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80"/>
        </w:trPr>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June 30, 2024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2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00" w:type="dxa"/>
            <w:vAlign w:val="bottom"/>
          </w:tcPr>
          <w:p>
            <w:pPr>
              <w:spacing w:after="0"/>
              <w:rPr>
                <w:sz w:val="15"/>
                <w:szCs w:val="15"/>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 (b)</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rPr>
                <w:sz w:val="20"/>
                <w:szCs w:val="20"/>
                <w:color w:val="auto"/>
              </w:rPr>
            </w:pPr>
            <w:r>
              <w:rPr>
                <w:rFonts w:ascii="Arial" w:cs="Arial" w:eastAsia="Arial" w:hAnsi="Arial"/>
                <w:sz w:val="14"/>
                <w:szCs w:val="14"/>
                <w:color w:val="auto"/>
              </w:rPr>
              <w:t>Wyodak Coal Mine</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right"/>
              <w:ind w:right="513"/>
              <w:spacing w:after="0"/>
              <w:rPr>
                <w:sz w:val="20"/>
                <w:szCs w:val="20"/>
                <w:color w:val="auto"/>
              </w:rPr>
            </w:pPr>
            <w:r>
              <w:rPr>
                <w:rFonts w:ascii="Arial" w:cs="Arial" w:eastAsia="Arial" w:hAnsi="Arial"/>
                <w:sz w:val="14"/>
                <w:szCs w:val="14"/>
                <w:color w:val="auto"/>
                <w:w w:val="98"/>
              </w:rPr>
              <w:t>- 4800083</w:t>
            </w:r>
          </w:p>
        </w:tc>
        <w:tc>
          <w:tcPr>
            <w:tcW w:w="1100" w:type="dxa"/>
            <w:vAlign w:val="bottom"/>
          </w:tcPr>
          <w:p>
            <w:pPr>
              <w:jc w:val="right"/>
              <w:ind w:right="496"/>
              <w:spacing w:after="0"/>
              <w:rPr>
                <w:sz w:val="20"/>
                <w:szCs w:val="20"/>
                <w:color w:val="auto"/>
              </w:rPr>
            </w:pPr>
            <w:r>
              <w:rPr>
                <w:rFonts w:ascii="Arial" w:cs="Arial" w:eastAsia="Arial" w:hAnsi="Arial"/>
                <w:sz w:val="14"/>
                <w:szCs w:val="14"/>
                <w:color w:val="auto"/>
              </w:rPr>
              <w:t>1</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4,533</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9030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5" w:lineRule="exact"/>
        <w:rPr>
          <w:sz w:val="20"/>
          <w:szCs w:val="20"/>
          <w:color w:val="auto"/>
        </w:rPr>
      </w:pPr>
    </w:p>
    <w:p>
      <w:pPr>
        <w:ind w:left="520" w:right="80" w:hanging="512"/>
        <w:spacing w:after="0" w:line="262" w:lineRule="auto"/>
        <w:tabs>
          <w:tab w:leader="none" w:pos="520" w:val="left"/>
        </w:tabs>
        <w:numPr>
          <w:ilvl w:val="0"/>
          <w:numId w:val="50"/>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decimal"/>
      <w:start w:val="9"/>
    </w:lvl>
  </w:abstractNum>
  <w:abstractNum w:abstractNumId="17">
    <w:nsid w:val="614FD4A1"/>
    <w:multiLevelType w:val="hybridMultilevel"/>
    <w:lvl w:ilvl="0">
      <w:lvlJc w:val="left"/>
      <w:lvlText w:val="(%1)"/>
      <w:numFmt w:val="decimal"/>
      <w:start w:val="12"/>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1)"/>
      <w:numFmt w:val="decimal"/>
      <w:start w:val="13"/>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lvl w:ilvl="1">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46" Type="http://schemas.openxmlformats.org/officeDocument/2006/relationships/hyperlink" Target="https://www.sec.gov/Archives/edgar/data/1130464/000110465924062524/tm2413281d5_ex4-1.htm" TargetMode="External"/><Relationship Id="rId147" Type="http://schemas.openxmlformats.org/officeDocument/2006/relationships/hyperlink" Target="https://www.sec.gov/Archives/edgar/data/1130464/000095017024069365/bk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2024-08-01T10:39:09Z</dcterms:created>
  <dcterms:modified xsi:type="dcterms:W3CDTF">2024-08-01T10:39:09Z</dcterms:modified>
</cp:coreProperties>
</file>