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UNITED STATES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SECURITIES AND EXCHANGE COMMISSION</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Form 10-K</w:t>
      </w:r>
    </w:p>
    <w:p>
      <w:pPr>
        <w:spacing w:after="0" w:line="177" w:lineRule="exact"/>
        <w:rPr>
          <w:sz w:val="24"/>
          <w:szCs w:val="24"/>
          <w:color w:val="auto"/>
        </w:rPr>
      </w:pPr>
    </w:p>
    <w:p>
      <w:pPr>
        <w:ind w:left="1420" w:hanging="291"/>
        <w:spacing w:after="0"/>
        <w:tabs>
          <w:tab w:leader="none" w:pos="1420" w:val="left"/>
        </w:tabs>
        <w:numPr>
          <w:ilvl w:val="0"/>
          <w:numId w:val="1"/>
        </w:numPr>
        <w:rPr>
          <w:rFonts w:ascii="MS PGothic" w:cs="MS PGothic" w:eastAsia="MS PGothic" w:hAnsi="MS PGothic"/>
          <w:sz w:val="15"/>
          <w:szCs w:val="15"/>
          <w:color w:val="auto"/>
        </w:rPr>
      </w:pPr>
      <w:r>
        <w:rPr>
          <w:rFonts w:ascii="Arial" w:cs="Arial" w:eastAsia="Arial" w:hAnsi="Arial"/>
          <w:sz w:val="15"/>
          <w:szCs w:val="15"/>
          <w:color w:val="auto"/>
        </w:rPr>
        <w:t>ANNUAL REPORT PURSUANT TO SECTION 13 OR 15(d) OF THE SECURITIES EXCHANGE ACT OF 1934</w:t>
      </w:r>
    </w:p>
    <w:p>
      <w:pPr>
        <w:spacing w:after="0" w:line="233" w:lineRule="exact"/>
        <w:rPr>
          <w:sz w:val="24"/>
          <w:szCs w:val="24"/>
          <w:color w:val="auto"/>
        </w:rPr>
      </w:pPr>
    </w:p>
    <w:p>
      <w:pPr>
        <w:ind w:left="4220"/>
        <w:spacing w:after="0"/>
        <w:rPr>
          <w:sz w:val="20"/>
          <w:szCs w:val="20"/>
          <w:color w:val="auto"/>
        </w:rPr>
      </w:pPr>
      <w:r>
        <w:rPr>
          <w:rFonts w:ascii="Arial" w:cs="Arial" w:eastAsia="Arial" w:hAnsi="Arial"/>
          <w:sz w:val="16"/>
          <w:szCs w:val="16"/>
          <w:color w:val="auto"/>
        </w:rPr>
        <w:t>For the fiscal year ended December 31, 2019</w:t>
      </w:r>
    </w:p>
    <w:p>
      <w:pPr>
        <w:spacing w:after="0" w:line="86" w:lineRule="exact"/>
        <w:rPr>
          <w:sz w:val="24"/>
          <w:szCs w:val="24"/>
          <w:color w:val="auto"/>
        </w:rPr>
      </w:pPr>
    </w:p>
    <w:p>
      <w:pPr>
        <w:ind w:left="5780"/>
        <w:spacing w:after="0"/>
        <w:rPr>
          <w:sz w:val="20"/>
          <w:szCs w:val="20"/>
          <w:color w:val="auto"/>
        </w:rPr>
      </w:pPr>
      <w:r>
        <w:rPr>
          <w:rFonts w:ascii="Arial" w:cs="Arial" w:eastAsia="Arial" w:hAnsi="Arial"/>
          <w:sz w:val="16"/>
          <w:szCs w:val="16"/>
          <w:color w:val="auto"/>
        </w:rPr>
        <w:t>Or</w:t>
      </w:r>
    </w:p>
    <w:p>
      <w:pPr>
        <w:spacing w:after="0" w:line="73" w:lineRule="exact"/>
        <w:rPr>
          <w:sz w:val="24"/>
          <w:szCs w:val="24"/>
          <w:color w:val="auto"/>
        </w:rPr>
      </w:pPr>
    </w:p>
    <w:p>
      <w:pPr>
        <w:ind w:left="1420" w:hanging="291"/>
        <w:spacing w:after="0"/>
        <w:tabs>
          <w:tab w:leader="none" w:pos="1420" w:val="left"/>
        </w:tabs>
        <w:numPr>
          <w:ilvl w:val="0"/>
          <w:numId w:val="2"/>
        </w:numPr>
        <w:rPr>
          <w:rFonts w:ascii="MS PGothic" w:cs="MS PGothic" w:eastAsia="MS PGothic" w:hAnsi="MS PGothic"/>
          <w:sz w:val="15"/>
          <w:szCs w:val="15"/>
          <w:color w:val="auto"/>
        </w:rPr>
      </w:pPr>
      <w:r>
        <w:rPr>
          <w:rFonts w:ascii="Arial" w:cs="Arial" w:eastAsia="Arial" w:hAnsi="Arial"/>
          <w:sz w:val="15"/>
          <w:szCs w:val="15"/>
          <w:color w:val="auto"/>
        </w:rPr>
        <w:t>TRANSITION REPORT PURSUANT TO SECTION 13 OR 15(d) OF THE SECURITIES EXCHANGE ACT OF 1934</w:t>
      </w:r>
    </w:p>
    <w:p>
      <w:pPr>
        <w:spacing w:after="0" w:line="233" w:lineRule="exact"/>
        <w:rPr>
          <w:sz w:val="24"/>
          <w:szCs w:val="24"/>
          <w:color w:val="auto"/>
        </w:rPr>
      </w:pPr>
    </w:p>
    <w:p>
      <w:pPr>
        <w:ind w:left="1420"/>
        <w:spacing w:after="0"/>
        <w:rPr>
          <w:sz w:val="20"/>
          <w:szCs w:val="20"/>
          <w:color w:val="auto"/>
        </w:rPr>
      </w:pPr>
      <w:r>
        <w:rPr>
          <w:rFonts w:ascii="Arial" w:cs="Arial" w:eastAsia="Arial" w:hAnsi="Arial"/>
          <w:sz w:val="16"/>
          <w:szCs w:val="16"/>
          <w:color w:val="auto"/>
        </w:rPr>
        <w:t>For the transition period from ___________________ to __________________</w:t>
      </w:r>
    </w:p>
    <w:p>
      <w:pPr>
        <w:spacing w:after="0" w:line="221" w:lineRule="exact"/>
        <w:rPr>
          <w:sz w:val="24"/>
          <w:szCs w:val="24"/>
          <w:color w:val="auto"/>
        </w:rPr>
      </w:pPr>
    </w:p>
    <w:p>
      <w:pPr>
        <w:ind w:left="4140"/>
        <w:spacing w:after="0"/>
        <w:rPr>
          <w:sz w:val="20"/>
          <w:szCs w:val="20"/>
          <w:color w:val="auto"/>
        </w:rPr>
      </w:pPr>
      <w:r>
        <w:rPr>
          <w:rFonts w:ascii="Arial" w:cs="Arial" w:eastAsia="Arial" w:hAnsi="Arial"/>
          <w:sz w:val="16"/>
          <w:szCs w:val="16"/>
          <w:color w:val="auto"/>
        </w:rPr>
        <w:t>Commission File Number 001-31303</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ectPr>
          <w:pgSz w:w="11900" w:h="16838" w:orient="portrait"/>
          <w:cols w:equalWidth="0" w:num="1">
            <w:col w:w="11420"/>
          </w:cols>
          <w:pgMar w:left="240" w:top="234" w:right="239" w:bottom="1440" w:gutter="0" w:footer="0" w:header="0"/>
        </w:sectPr>
      </w:pPr>
    </w:p>
    <w:p>
      <w:pPr>
        <w:spacing w:after="0" w:line="212" w:lineRule="exact"/>
        <w:rPr>
          <w:sz w:val="24"/>
          <w:szCs w:val="24"/>
          <w:color w:val="auto"/>
        </w:rPr>
      </w:pPr>
    </w:p>
    <w:p>
      <w:pPr>
        <w:ind w:left="3900"/>
        <w:spacing w:after="0"/>
        <w:rPr>
          <w:sz w:val="20"/>
          <w:szCs w:val="20"/>
          <w:color w:val="auto"/>
        </w:rPr>
      </w:pPr>
      <w:r>
        <w:rPr>
          <w:rFonts w:ascii="Arial" w:cs="Arial" w:eastAsia="Arial" w:hAnsi="Arial"/>
          <w:sz w:val="14"/>
          <w:szCs w:val="14"/>
          <w:color w:val="auto"/>
        </w:rPr>
        <w:t>Incorporated in</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4"/>
          <w:szCs w:val="14"/>
          <w:color w:val="auto"/>
        </w:rPr>
        <w:t>South Dakota</w:t>
      </w:r>
    </w:p>
    <w:p>
      <w:pPr>
        <w:spacing w:after="0" w:line="20" w:lineRule="exact"/>
        <w:rPr>
          <w:sz w:val="24"/>
          <w:szCs w:val="24"/>
          <w:color w:val="auto"/>
        </w:rPr>
      </w:pPr>
      <w:r>
        <w:rPr>
          <w:sz w:val="24"/>
          <w:szCs w:val="24"/>
          <w:color w:val="auto"/>
        </w:rPr>
        <w:br w:type="column"/>
      </w:r>
    </w:p>
    <w:p>
      <w:pPr>
        <w:spacing w:after="0" w:line="205" w:lineRule="exact"/>
        <w:rPr>
          <w:sz w:val="24"/>
          <w:szCs w:val="24"/>
          <w:color w:val="auto"/>
        </w:rPr>
      </w:pPr>
    </w:p>
    <w:p>
      <w:pPr>
        <w:spacing w:after="0"/>
        <w:rPr>
          <w:sz w:val="20"/>
          <w:szCs w:val="20"/>
          <w:color w:val="auto"/>
        </w:rPr>
      </w:pPr>
      <w:r>
        <w:rPr>
          <w:rFonts w:ascii="Arial" w:cs="Arial" w:eastAsia="Arial" w:hAnsi="Arial"/>
          <w:sz w:val="15"/>
          <w:szCs w:val="15"/>
          <w:color w:val="auto"/>
        </w:rPr>
        <w:t>IRS Identification Number</w:t>
      </w:r>
    </w:p>
    <w:p>
      <w:pPr>
        <w:spacing w:after="0" w:line="20" w:lineRule="exact"/>
        <w:rPr>
          <w:sz w:val="24"/>
          <w:szCs w:val="24"/>
          <w:color w:val="auto"/>
        </w:rPr>
      </w:pPr>
      <w:r>
        <w:rPr>
          <w:sz w:val="24"/>
          <w:szCs w:val="24"/>
          <w:color w:val="auto"/>
        </w:rPr>
        <w:br w:type="column"/>
      </w:r>
    </w:p>
    <w:p>
      <w:pPr>
        <w:spacing w:after="0" w:line="192" w:lineRule="exact"/>
        <w:rPr>
          <w:sz w:val="24"/>
          <w:szCs w:val="24"/>
          <w:color w:val="auto"/>
        </w:rPr>
      </w:pPr>
    </w:p>
    <w:p>
      <w:pPr>
        <w:spacing w:after="0"/>
        <w:rPr>
          <w:sz w:val="20"/>
          <w:szCs w:val="20"/>
          <w:color w:val="auto"/>
        </w:rPr>
      </w:pPr>
      <w:r>
        <w:rPr>
          <w:rFonts w:ascii="Arial" w:cs="Arial" w:eastAsia="Arial" w:hAnsi="Arial"/>
          <w:sz w:val="14"/>
          <w:szCs w:val="14"/>
          <w:color w:val="auto"/>
        </w:rPr>
        <w:t>46-0458824</w:t>
      </w:r>
    </w:p>
    <w:p>
      <w:pPr>
        <w:spacing w:after="0" w:line="224" w:lineRule="exact"/>
        <w:rPr>
          <w:sz w:val="24"/>
          <w:szCs w:val="24"/>
          <w:color w:val="auto"/>
        </w:rPr>
      </w:pPr>
    </w:p>
    <w:p>
      <w:pPr>
        <w:sectPr>
          <w:pgSz w:w="11900" w:h="16838" w:orient="portrait"/>
          <w:cols w:equalWidth="0" w:num="4">
            <w:col w:w="4900" w:space="260"/>
            <w:col w:w="1780" w:space="720"/>
            <w:col w:w="1820" w:space="720"/>
            <w:col w:w="1220"/>
          </w:cols>
          <w:pgMar w:left="240" w:top="234" w:right="239" w:bottom="1440" w:gutter="0" w:footer="0" w:header="0"/>
          <w:type w:val="continuous"/>
        </w:sectPr>
      </w:pPr>
    </w:p>
    <w:p>
      <w:pPr>
        <w:spacing w:after="0" w:line="33" w:lineRule="exact"/>
        <w:rPr>
          <w:sz w:val="24"/>
          <w:szCs w:val="24"/>
          <w:color w:val="auto"/>
        </w:rPr>
      </w:pPr>
    </w:p>
    <w:p>
      <w:pPr>
        <w:ind w:left="3020"/>
        <w:spacing w:after="0"/>
        <w:rPr>
          <w:sz w:val="20"/>
          <w:szCs w:val="20"/>
          <w:color w:val="auto"/>
        </w:rPr>
      </w:pPr>
      <w:r>
        <w:rPr>
          <w:rFonts w:ascii="Arial" w:cs="Arial" w:eastAsia="Arial" w:hAnsi="Arial"/>
          <w:sz w:val="14"/>
          <w:szCs w:val="14"/>
          <w:color w:val="auto"/>
        </w:rPr>
        <w:t>7001 Mount Rushmore Road</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Rapid City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South Dakota</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4"/>
          <w:szCs w:val="14"/>
          <w:color w:val="auto"/>
        </w:rPr>
        <w:t>57702</w:t>
      </w:r>
    </w:p>
    <w:p>
      <w:pPr>
        <w:spacing w:after="0" w:line="211" w:lineRule="exact"/>
        <w:rPr>
          <w:sz w:val="24"/>
          <w:szCs w:val="24"/>
          <w:color w:val="auto"/>
        </w:rPr>
      </w:pPr>
    </w:p>
    <w:p>
      <w:pPr>
        <w:sectPr>
          <w:pgSz w:w="11900" w:h="16838" w:orient="portrait"/>
          <w:cols w:equalWidth="0" w:num="4">
            <w:col w:w="4900" w:space="360"/>
            <w:col w:w="920" w:space="720"/>
            <w:col w:w="900" w:space="480"/>
            <w:col w:w="3140"/>
          </w:cols>
          <w:pgMar w:left="240" w:top="234" w:right="239" w:bottom="1440" w:gutter="0" w:footer="0" w:header="0"/>
          <w:type w:val="continuous"/>
        </w:sectPr>
      </w:pPr>
    </w:p>
    <w:p>
      <w:pPr>
        <w:spacing w:after="0" w:line="33" w:lineRule="exact"/>
        <w:rPr>
          <w:sz w:val="24"/>
          <w:szCs w:val="24"/>
          <w:color w:val="auto"/>
        </w:rPr>
      </w:pPr>
    </w:p>
    <w:p>
      <w:pPr>
        <w:ind w:left="2960"/>
        <w:spacing w:after="0"/>
        <w:rPr>
          <w:sz w:val="20"/>
          <w:szCs w:val="20"/>
          <w:color w:val="auto"/>
        </w:rPr>
      </w:pPr>
      <w:r>
        <w:rPr>
          <w:rFonts w:ascii="Arial" w:cs="Arial" w:eastAsia="Arial" w:hAnsi="Arial"/>
          <w:sz w:val="14"/>
          <w:szCs w:val="14"/>
          <w:color w:val="auto"/>
        </w:rPr>
        <w:t>Registrant’s telephone number, including area code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(605)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5"/>
          <w:szCs w:val="15"/>
          <w:color w:val="auto"/>
        </w:rPr>
        <w:t>721-1700</w:t>
      </w:r>
    </w:p>
    <w:p>
      <w:pPr>
        <w:spacing w:after="0" w:line="200" w:lineRule="exact"/>
        <w:rPr>
          <w:sz w:val="24"/>
          <w:szCs w:val="24"/>
          <w:color w:val="auto"/>
        </w:rPr>
      </w:pPr>
    </w:p>
    <w:p>
      <w:pPr>
        <w:sectPr>
          <w:pgSz w:w="11900" w:h="16838" w:orient="portrait"/>
          <w:cols w:equalWidth="0" w:num="3">
            <w:col w:w="6280" w:space="140"/>
            <w:col w:w="340" w:space="140"/>
            <w:col w:w="4520"/>
          </w:cols>
          <w:pgMar w:left="240" w:top="234" w:right="239" w:bottom="1440" w:gutter="0" w:footer="0" w:header="0"/>
          <w:type w:val="continuous"/>
        </w:sectPr>
      </w:pPr>
    </w:p>
    <w:p>
      <w:pPr>
        <w:spacing w:after="0" w:line="1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Securities registered pursuant to Section 12(b) of the Act:</w:t>
      </w:r>
    </w:p>
    <w:p>
      <w:pPr>
        <w:sectPr>
          <w:pgSz w:w="11900" w:h="16838" w:orient="portrait"/>
          <w:cols w:equalWidth="0" w:num="1">
            <w:col w:w="11420"/>
          </w:cols>
          <w:pgMar w:left="240" w:top="234" w:right="239" w:bottom="1440" w:gutter="0" w:footer="0" w:header="0"/>
          <w:type w:val="continuous"/>
        </w:sectPr>
      </w:pPr>
    </w:p>
    <w:p>
      <w:pPr>
        <w:spacing w:after="0" w:line="96" w:lineRule="exact"/>
        <w:rPr>
          <w:sz w:val="24"/>
          <w:szCs w:val="24"/>
          <w:color w:val="auto"/>
        </w:rPr>
      </w:pPr>
    </w:p>
    <w:p>
      <w:pPr>
        <w:ind w:left="1880"/>
        <w:spacing w:after="0"/>
        <w:rPr>
          <w:sz w:val="20"/>
          <w:szCs w:val="20"/>
          <w:color w:val="auto"/>
        </w:rPr>
      </w:pPr>
      <w:r>
        <w:rPr>
          <w:rFonts w:ascii="Arial" w:cs="Arial" w:eastAsia="Arial" w:hAnsi="Arial"/>
          <w:sz w:val="14"/>
          <w:szCs w:val="14"/>
          <w:color w:val="auto"/>
        </w:rPr>
        <w:t>Title of each class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Trading Symbol(s)</w:t>
      </w:r>
    </w:p>
    <w:p>
      <w:pPr>
        <w:spacing w:after="0" w:line="20" w:lineRule="exact"/>
        <w:rPr>
          <w:sz w:val="24"/>
          <w:szCs w:val="24"/>
          <w:color w:val="auto"/>
        </w:rPr>
      </w:pPr>
      <w:r>
        <w:rPr>
          <w:sz w:val="24"/>
          <w:szCs w:val="24"/>
          <w:color w:val="auto"/>
        </w:rPr>
        <w:br w:type="column"/>
      </w:r>
    </w:p>
    <w:p>
      <w:pPr>
        <w:spacing w:after="0" w:line="76" w:lineRule="exact"/>
        <w:rPr>
          <w:sz w:val="24"/>
          <w:szCs w:val="24"/>
          <w:color w:val="auto"/>
        </w:rPr>
      </w:pPr>
    </w:p>
    <w:p>
      <w:pPr>
        <w:spacing w:after="0"/>
        <w:rPr>
          <w:sz w:val="20"/>
          <w:szCs w:val="20"/>
          <w:color w:val="auto"/>
        </w:rPr>
      </w:pPr>
      <w:r>
        <w:rPr>
          <w:rFonts w:ascii="Arial" w:cs="Arial" w:eastAsia="Arial" w:hAnsi="Arial"/>
          <w:sz w:val="14"/>
          <w:szCs w:val="14"/>
          <w:color w:val="auto"/>
        </w:rPr>
        <w:t>Name of each exchange on which registered</w:t>
      </w:r>
    </w:p>
    <w:p>
      <w:pPr>
        <w:spacing w:after="0" w:line="96" w:lineRule="exact"/>
        <w:rPr>
          <w:sz w:val="24"/>
          <w:szCs w:val="24"/>
          <w:color w:val="auto"/>
        </w:rPr>
      </w:pPr>
    </w:p>
    <w:p>
      <w:pPr>
        <w:sectPr>
          <w:pgSz w:w="11900" w:h="16838" w:orient="portrait"/>
          <w:cols w:equalWidth="0" w:num="3">
            <w:col w:w="4580" w:space="720"/>
            <w:col w:w="1700" w:space="720"/>
            <w:col w:w="3700"/>
          </w:cols>
          <w:pgMar w:left="240" w:top="234" w:right="239" w:bottom="1440" w:gutter="0" w:footer="0" w:header="0"/>
          <w:type w:val="continuous"/>
        </w:sectPr>
      </w:pPr>
    </w:p>
    <w:p>
      <w:pPr>
        <w:ind w:left="1360"/>
        <w:spacing w:after="0"/>
        <w:rPr>
          <w:sz w:val="20"/>
          <w:szCs w:val="20"/>
          <w:color w:val="auto"/>
        </w:rPr>
      </w:pPr>
      <w:r>
        <w:rPr>
          <w:rFonts w:ascii="Arial" w:cs="Arial" w:eastAsia="Arial" w:hAnsi="Arial"/>
          <w:sz w:val="14"/>
          <w:szCs w:val="14"/>
          <w:color w:val="auto"/>
        </w:rPr>
        <w:t>Common stock of $1.00 par value</w:t>
      </w:r>
    </w:p>
    <w:p>
      <w:pPr>
        <w:spacing w:after="0" w:line="20" w:lineRule="exact"/>
        <w:rPr>
          <w:sz w:val="24"/>
          <w:szCs w:val="24"/>
          <w:color w:val="auto"/>
        </w:rPr>
      </w:pPr>
      <w:r>
        <w:rPr>
          <w:sz w:val="24"/>
          <w:szCs w:val="24"/>
          <w:color w:val="auto"/>
        </w:rPr>
        <w:br w:type="column"/>
      </w:r>
    </w:p>
    <w:p>
      <w:pPr>
        <w:jc w:val="center"/>
        <w:ind w:right="1480"/>
        <w:spacing w:after="0"/>
        <w:rPr>
          <w:sz w:val="20"/>
          <w:szCs w:val="20"/>
          <w:color w:val="auto"/>
        </w:rPr>
      </w:pPr>
      <w:r>
        <w:rPr>
          <w:rFonts w:ascii="Arial" w:cs="Arial" w:eastAsia="Arial" w:hAnsi="Arial"/>
          <w:sz w:val="16"/>
          <w:szCs w:val="16"/>
          <w:color w:val="auto"/>
        </w:rPr>
        <w:t>BKH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New York Stock Exchange</w:t>
      </w:r>
    </w:p>
    <w:p>
      <w:pPr>
        <w:spacing w:after="0" w:line="222" w:lineRule="exact"/>
        <w:rPr>
          <w:sz w:val="24"/>
          <w:szCs w:val="24"/>
          <w:color w:val="auto"/>
        </w:rPr>
      </w:pPr>
    </w:p>
    <w:p>
      <w:pPr>
        <w:sectPr>
          <w:pgSz w:w="11900" w:h="16838" w:orient="portrait"/>
          <w:cols w:equalWidth="0" w:num="3">
            <w:col w:w="5020" w:space="720"/>
            <w:col w:w="1820" w:space="720"/>
            <w:col w:w="3140"/>
          </w:cols>
          <w:pgMar w:left="240" w:top="234" w:right="23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a well-known seasoned issuer, as defined in Rule 405 of the Securities Act.</w:t>
      </w:r>
    </w:p>
    <w:p>
      <w:pPr>
        <w:spacing w:after="0" w:line="43" w:lineRule="exact"/>
        <w:rPr>
          <w:sz w:val="24"/>
          <w:szCs w:val="24"/>
          <w:color w:val="auto"/>
        </w:rPr>
      </w:pPr>
    </w:p>
    <w:p>
      <w:pPr>
        <w:ind w:left="4440"/>
        <w:spacing w:after="0" w:line="184" w:lineRule="exact"/>
        <w:tabs>
          <w:tab w:leader="none" w:pos="4840" w:val="left"/>
          <w:tab w:leader="none" w:pos="6620" w:val="left"/>
          <w:tab w:leader="none" w:pos="7000" w:val="left"/>
        </w:tabs>
        <w:rPr>
          <w:sz w:val="20"/>
          <w:szCs w:val="20"/>
          <w:color w:val="auto"/>
        </w:rPr>
      </w:pPr>
      <w:r>
        <w:rPr>
          <w:rFonts w:ascii="Arial" w:cs="Arial" w:eastAsia="Arial" w:hAnsi="Arial"/>
          <w:sz w:val="16"/>
          <w:szCs w:val="16"/>
          <w:color w:val="auto"/>
        </w:rPr>
        <w:t>Yes</w:t>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if the registrant is not required to file reports pursuant to Section 13 or Section 15(d) of the Act.</w:t>
      </w:r>
    </w:p>
    <w:p>
      <w:pPr>
        <w:spacing w:after="0" w:line="43" w:lineRule="exact"/>
        <w:rPr>
          <w:sz w:val="24"/>
          <w:szCs w:val="24"/>
          <w:color w:val="auto"/>
        </w:rPr>
      </w:pPr>
    </w:p>
    <w:p>
      <w:pPr>
        <w:ind w:left="4440"/>
        <w:spacing w:after="0" w:line="184" w:lineRule="exact"/>
        <w:tabs>
          <w:tab w:leader="none" w:pos="4840" w:val="left"/>
          <w:tab w:leader="none" w:pos="6620" w:val="left"/>
          <w:tab w:leader="none" w:pos="7000" w:val="left"/>
        </w:tabs>
        <w:rPr>
          <w:sz w:val="20"/>
          <w:szCs w:val="20"/>
          <w:color w:val="auto"/>
        </w:rPr>
      </w:pPr>
      <w:r>
        <w:rPr>
          <w:rFonts w:ascii="Arial" w:cs="Arial" w:eastAsia="Arial" w:hAnsi="Arial"/>
          <w:sz w:val="16"/>
          <w:szCs w:val="16"/>
          <w:color w:val="auto"/>
        </w:rPr>
        <w:t>Yes</w:t>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ind w:left="40" w:right="160"/>
        <w:spacing w:after="0" w:line="319"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ind w:left="4440"/>
        <w:spacing w:after="0" w:line="184" w:lineRule="exact"/>
        <w:tabs>
          <w:tab w:leader="none" w:pos="4840" w:val="left"/>
          <w:tab w:leader="none" w:pos="6620" w:val="left"/>
          <w:tab w:leader="none" w:pos="7000" w:val="left"/>
        </w:tabs>
        <w:rPr>
          <w:sz w:val="20"/>
          <w:szCs w:val="20"/>
          <w:color w:val="auto"/>
        </w:rPr>
      </w:pPr>
      <w:r>
        <w:rPr>
          <w:rFonts w:ascii="Arial" w:cs="Arial" w:eastAsia="Arial" w:hAnsi="Arial"/>
          <w:sz w:val="16"/>
          <w:szCs w:val="16"/>
          <w:color w:val="auto"/>
        </w:rPr>
        <w:t>Yes</w:t>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ind w:left="40" w:right="380"/>
        <w:spacing w:after="0" w:line="279"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w:t>
      </w:r>
    </w:p>
    <w:p>
      <w:pPr>
        <w:spacing w:after="0" w:line="1" w:lineRule="exact"/>
        <w:rPr>
          <w:sz w:val="24"/>
          <w:szCs w:val="24"/>
          <w:color w:val="auto"/>
        </w:rPr>
      </w:pPr>
    </w:p>
    <w:p>
      <w:pPr>
        <w:ind w:left="4440"/>
        <w:spacing w:after="0" w:line="184" w:lineRule="exact"/>
        <w:tabs>
          <w:tab w:leader="none" w:pos="4840" w:val="left"/>
          <w:tab w:leader="none" w:pos="6620" w:val="left"/>
          <w:tab w:leader="none" w:pos="7000" w:val="left"/>
        </w:tabs>
        <w:rPr>
          <w:sz w:val="20"/>
          <w:szCs w:val="20"/>
          <w:color w:val="auto"/>
        </w:rPr>
      </w:pPr>
      <w:r>
        <w:rPr>
          <w:rFonts w:ascii="Arial" w:cs="Arial" w:eastAsia="Arial" w:hAnsi="Arial"/>
          <w:sz w:val="16"/>
          <w:szCs w:val="16"/>
          <w:color w:val="auto"/>
        </w:rPr>
        <w:t>Yes</w:t>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4"/>
          <w:szCs w:val="14"/>
          <w:color w:val="auto"/>
        </w:rPr>
        <w:t>☐</w:t>
      </w:r>
    </w:p>
    <w:p>
      <w:pPr>
        <w:spacing w:after="0" w:line="224" w:lineRule="exact"/>
        <w:rPr>
          <w:sz w:val="24"/>
          <w:szCs w:val="24"/>
          <w:color w:val="auto"/>
        </w:rPr>
      </w:pPr>
    </w:p>
    <w:p>
      <w:pPr>
        <w:ind w:right="300"/>
        <w:spacing w:after="0" w:line="296"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86" w:lineRule="exact"/>
        <w:rPr>
          <w:sz w:val="24"/>
          <w:szCs w:val="24"/>
          <w:color w:val="auto"/>
        </w:rPr>
      </w:pPr>
    </w:p>
    <w:tbl>
      <w:tblPr>
        <w:tblLayout w:type="fixed"/>
        <w:tblInd w:w="1860" w:type="dxa"/>
        <w:tblCellMar>
          <w:top w:w="0" w:type="dxa"/>
          <w:left w:w="0" w:type="dxa"/>
          <w:bottom w:w="0" w:type="dxa"/>
          <w:right w:w="0" w:type="dxa"/>
        </w:tblCellMar>
      </w:tblPr>
      <w:tr>
        <w:trPr>
          <w:trHeight w:val="254"/>
        </w:trPr>
        <w:tc>
          <w:tcPr>
            <w:tcW w:w="204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1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1020"/>
              <w:spacing w:after="0"/>
              <w:rPr>
                <w:sz w:val="20"/>
                <w:szCs w:val="20"/>
                <w:color w:val="auto"/>
              </w:rPr>
            </w:pPr>
            <w:r>
              <w:rPr>
                <w:rFonts w:ascii="Arial" w:cs="Arial" w:eastAsia="Arial" w:hAnsi="Arial"/>
                <w:sz w:val="16"/>
                <w:szCs w:val="16"/>
                <w:color w:val="auto"/>
              </w:rPr>
              <w:t>Accelerated filer</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40" w:type="dxa"/>
            <w:vAlign w:val="bottom"/>
          </w:tcPr>
          <w:p>
            <w:pPr>
              <w:spacing w:after="0"/>
              <w:rPr>
                <w:sz w:val="20"/>
                <w:szCs w:val="20"/>
                <w:color w:val="auto"/>
              </w:rPr>
            </w:pPr>
            <w:r>
              <w:rPr>
                <w:rFonts w:ascii="Arial" w:cs="Arial" w:eastAsia="Arial" w:hAnsi="Arial"/>
                <w:sz w:val="16"/>
                <w:szCs w:val="16"/>
                <w:color w:val="auto"/>
              </w:rPr>
              <w:t>Non-accelerated filer</w:t>
            </w:r>
          </w:p>
        </w:tc>
        <w:tc>
          <w:tcPr>
            <w:tcW w:w="174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3220" w:type="dxa"/>
            <w:vAlign w:val="bottom"/>
          </w:tcPr>
          <w:p>
            <w:pPr>
              <w:ind w:left="1020"/>
              <w:spacing w:after="0"/>
              <w:rPr>
                <w:sz w:val="20"/>
                <w:szCs w:val="20"/>
                <w:color w:val="auto"/>
              </w:rPr>
            </w:pPr>
            <w:r>
              <w:rPr>
                <w:rFonts w:ascii="Arial" w:cs="Arial" w:eastAsia="Arial" w:hAnsi="Arial"/>
                <w:sz w:val="16"/>
                <w:szCs w:val="16"/>
                <w:color w:val="auto"/>
              </w:rPr>
              <w:t>Smaller reporting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r>
        <w:trPr>
          <w:trHeight w:val="405"/>
        </w:trPr>
        <w:tc>
          <w:tcPr>
            <w:tcW w:w="20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3220" w:type="dxa"/>
            <w:vAlign w:val="bottom"/>
          </w:tcPr>
          <w:p>
            <w:pPr>
              <w:ind w:left="1020"/>
              <w:spacing w:after="0"/>
              <w:rPr>
                <w:sz w:val="20"/>
                <w:szCs w:val="20"/>
                <w:color w:val="auto"/>
              </w:rPr>
            </w:pPr>
            <w:r>
              <w:rPr>
                <w:rFonts w:ascii="Arial" w:cs="Arial" w:eastAsia="Arial" w:hAnsi="Arial"/>
                <w:sz w:val="16"/>
                <w:szCs w:val="16"/>
                <w:color w:val="auto"/>
              </w:rPr>
              <w:t>Emerging growth company</w:t>
            </w:r>
          </w:p>
        </w:tc>
        <w:tc>
          <w:tcPr>
            <w:tcW w:w="580" w:type="dxa"/>
            <w:vAlign w:val="bottom"/>
          </w:tcPr>
          <w:p>
            <w:pPr>
              <w:ind w:left="420"/>
              <w:spacing w:after="0" w:line="161" w:lineRule="exact"/>
              <w:rPr>
                <w:sz w:val="20"/>
                <w:szCs w:val="20"/>
                <w:color w:val="auto"/>
              </w:rPr>
            </w:pPr>
            <w:r>
              <w:rPr>
                <w:rFonts w:ascii="MS PGothic" w:cs="MS PGothic" w:eastAsia="MS PGothic" w:hAnsi="MS PGothic"/>
                <w:sz w:val="16"/>
                <w:szCs w:val="16"/>
                <w:color w:val="auto"/>
                <w:w w:val="87"/>
              </w:rPr>
              <w:t>☐</w:t>
            </w:r>
          </w:p>
        </w:tc>
      </w:tr>
    </w:tbl>
    <w:p>
      <w:pPr>
        <w:spacing w:after="0" w:line="19"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119"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Exchange Act).</w:t>
      </w:r>
    </w:p>
    <w:p>
      <w:pPr>
        <w:spacing w:after="0" w:line="43" w:lineRule="exact"/>
        <w:rPr>
          <w:sz w:val="24"/>
          <w:szCs w:val="24"/>
          <w:color w:val="auto"/>
        </w:rPr>
      </w:pPr>
    </w:p>
    <w:p>
      <w:pPr>
        <w:ind w:left="4440"/>
        <w:spacing w:after="0" w:line="184" w:lineRule="exact"/>
        <w:tabs>
          <w:tab w:leader="none" w:pos="4840" w:val="left"/>
          <w:tab w:leader="none" w:pos="6620" w:val="left"/>
          <w:tab w:leader="none" w:pos="7000" w:val="left"/>
        </w:tabs>
        <w:rPr>
          <w:sz w:val="20"/>
          <w:szCs w:val="20"/>
          <w:color w:val="auto"/>
        </w:rPr>
      </w:pPr>
      <w:r>
        <w:rPr>
          <w:rFonts w:ascii="Arial" w:cs="Arial" w:eastAsia="Arial" w:hAnsi="Arial"/>
          <w:sz w:val="16"/>
          <w:szCs w:val="16"/>
          <w:color w:val="auto"/>
        </w:rPr>
        <w:t>Yes</w:t>
        <w:tab/>
      </w:r>
      <w:r>
        <w:rPr>
          <w:rFonts w:ascii="MS PGothic" w:cs="MS PGothic" w:eastAsia="MS PGothic" w:hAnsi="MS PGothic"/>
          <w:sz w:val="16"/>
          <w:szCs w:val="16"/>
          <w:color w:val="auto"/>
        </w:rPr>
        <w:t>☐</w:t>
      </w:r>
      <w:r>
        <w:rPr>
          <w:sz w:val="20"/>
          <w:szCs w:val="20"/>
          <w:color w:val="auto"/>
        </w:rPr>
        <w:tab/>
      </w:r>
      <w:r>
        <w:rPr>
          <w:rFonts w:ascii="Arial" w:cs="Arial" w:eastAsia="Arial" w:hAnsi="Arial"/>
          <w:sz w:val="16"/>
          <w:szCs w:val="16"/>
          <w:color w:val="auto"/>
        </w:rPr>
        <w:t>No</w:t>
      </w:r>
      <w:r>
        <w:rPr>
          <w:sz w:val="20"/>
          <w:szCs w:val="20"/>
          <w:color w:val="auto"/>
        </w:rPr>
        <w:tab/>
      </w:r>
      <w:r>
        <w:rPr>
          <w:rFonts w:ascii="MS PGothic" w:cs="MS PGothic" w:eastAsia="MS PGothic" w:hAnsi="MS PGothic"/>
          <w:sz w:val="14"/>
          <w:szCs w:val="14"/>
          <w:color w:val="auto"/>
        </w:rPr>
        <w:t>☒</w:t>
      </w:r>
    </w:p>
    <w:p>
      <w:pPr>
        <w:spacing w:after="0" w:line="251" w:lineRule="exact"/>
        <w:rPr>
          <w:sz w:val="24"/>
          <w:szCs w:val="24"/>
          <w:color w:val="auto"/>
        </w:rPr>
      </w:pPr>
    </w:p>
    <w:p>
      <w:pPr>
        <w:ind w:left="40"/>
        <w:spacing w:after="0"/>
        <w:rPr>
          <w:sz w:val="20"/>
          <w:szCs w:val="20"/>
          <w:color w:val="auto"/>
        </w:rPr>
      </w:pPr>
      <w:r>
        <w:rPr>
          <w:rFonts w:ascii="Arial" w:cs="Arial" w:eastAsia="Arial" w:hAnsi="Arial"/>
          <w:sz w:val="16"/>
          <w:szCs w:val="16"/>
          <w:color w:val="auto"/>
        </w:rPr>
        <w:t>The aggregate market value of the voting common equity held by non-affiliates of the registrant on the last business day of the registrant’s</w:t>
      </w:r>
    </w:p>
    <w:p>
      <w:pPr>
        <w:spacing w:after="0" w:line="73" w:lineRule="exact"/>
        <w:rPr>
          <w:sz w:val="24"/>
          <w:szCs w:val="24"/>
          <w:color w:val="auto"/>
        </w:rPr>
      </w:pPr>
    </w:p>
    <w:tbl>
      <w:tblPr>
        <w:tblLayout w:type="fixed"/>
        <w:tblInd w:w="40" w:type="dxa"/>
        <w:tblCellMar>
          <w:top w:w="0" w:type="dxa"/>
          <w:left w:w="0" w:type="dxa"/>
          <w:bottom w:w="0" w:type="dxa"/>
          <w:right w:w="0" w:type="dxa"/>
        </w:tblCellMar>
      </w:tblPr>
      <w:tr>
        <w:trPr>
          <w:trHeight w:val="220"/>
        </w:trPr>
        <w:tc>
          <w:tcPr>
            <w:tcW w:w="5000" w:type="dxa"/>
            <w:vAlign w:val="bottom"/>
          </w:tcPr>
          <w:p>
            <w:pPr>
              <w:spacing w:after="0"/>
              <w:rPr>
                <w:sz w:val="20"/>
                <w:szCs w:val="20"/>
                <w:color w:val="auto"/>
              </w:rPr>
            </w:pPr>
            <w:r>
              <w:rPr>
                <w:rFonts w:ascii="Arial" w:cs="Arial" w:eastAsia="Arial" w:hAnsi="Arial"/>
                <w:sz w:val="16"/>
                <w:szCs w:val="16"/>
                <w:color w:val="auto"/>
              </w:rPr>
              <w:t>most recently completed second fiscal quarter, June 30, 2019, was</w:t>
            </w:r>
          </w:p>
        </w:tc>
        <w:tc>
          <w:tcPr>
            <w:tcW w:w="1740" w:type="dxa"/>
            <w:vAlign w:val="bottom"/>
          </w:tcPr>
          <w:p>
            <w:pPr>
              <w:jc w:val="right"/>
              <w:spacing w:after="0"/>
              <w:rPr>
                <w:sz w:val="20"/>
                <w:szCs w:val="20"/>
                <w:color w:val="auto"/>
              </w:rPr>
            </w:pPr>
            <w:r>
              <w:rPr>
                <w:rFonts w:ascii="Arial" w:cs="Arial" w:eastAsia="Arial" w:hAnsi="Arial"/>
                <w:sz w:val="16"/>
                <w:szCs w:val="16"/>
                <w:color w:val="auto"/>
              </w:rPr>
              <w:t>$4,727,278,183</w:t>
            </w:r>
          </w:p>
        </w:tc>
      </w:tr>
    </w:tbl>
    <w:p>
      <w:pPr>
        <w:spacing w:after="0" w:line="200" w:lineRule="exact"/>
        <w:rPr>
          <w:sz w:val="24"/>
          <w:szCs w:val="24"/>
          <w:color w:val="auto"/>
        </w:rPr>
      </w:pPr>
    </w:p>
    <w:p>
      <w:pPr>
        <w:spacing w:after="0" w:line="255" w:lineRule="exact"/>
        <w:rPr>
          <w:sz w:val="24"/>
          <w:szCs w:val="24"/>
          <w:color w:val="auto"/>
        </w:rPr>
      </w:pPr>
    </w:p>
    <w:p>
      <w:pPr>
        <w:ind w:left="40"/>
        <w:spacing w:after="0"/>
        <w:rPr>
          <w:sz w:val="20"/>
          <w:szCs w:val="20"/>
          <w:color w:val="auto"/>
        </w:rPr>
      </w:pPr>
      <w:r>
        <w:rPr>
          <w:rFonts w:ascii="Arial" w:cs="Arial" w:eastAsia="Arial" w:hAnsi="Arial"/>
          <w:sz w:val="16"/>
          <w:szCs w:val="16"/>
          <w:color w:val="auto"/>
        </w:rPr>
        <w:t>Indicate the number of shares outstanding of each of the registrant’s classes of common stock, as of the latest practicable date.</w:t>
      </w:r>
    </w:p>
    <w:p>
      <w:pPr>
        <w:spacing w:after="0" w:line="74" w:lineRule="exact"/>
        <w:rPr>
          <w:sz w:val="24"/>
          <w:szCs w:val="24"/>
          <w:color w:val="auto"/>
        </w:rPr>
      </w:pPr>
    </w:p>
    <w:tbl>
      <w:tblPr>
        <w:tblLayout w:type="fixed"/>
        <w:tblInd w:w="1780" w:type="dxa"/>
        <w:tblCellMar>
          <w:top w:w="0" w:type="dxa"/>
          <w:left w:w="0" w:type="dxa"/>
          <w:bottom w:w="0" w:type="dxa"/>
          <w:right w:w="0" w:type="dxa"/>
        </w:tblCellMar>
      </w:tblPr>
      <w:tr>
        <w:trPr>
          <w:trHeight w:val="184"/>
        </w:trPr>
        <w:tc>
          <w:tcPr>
            <w:tcW w:w="860" w:type="dxa"/>
            <w:vAlign w:val="bottom"/>
          </w:tcPr>
          <w:p>
            <w:pPr>
              <w:spacing w:after="0"/>
              <w:rPr>
                <w:sz w:val="16"/>
                <w:szCs w:val="16"/>
                <w:color w:val="auto"/>
              </w:rPr>
            </w:pPr>
          </w:p>
        </w:tc>
        <w:tc>
          <w:tcPr>
            <w:tcW w:w="2420" w:type="dxa"/>
            <w:vAlign w:val="bottom"/>
            <w:gridSpan w:val="2"/>
          </w:tcPr>
          <w:p>
            <w:pPr>
              <w:jc w:val="center"/>
              <w:ind w:right="2080"/>
              <w:spacing w:after="0"/>
              <w:rPr>
                <w:sz w:val="20"/>
                <w:szCs w:val="20"/>
                <w:color w:val="auto"/>
              </w:rPr>
            </w:pPr>
            <w:r>
              <w:rPr>
                <w:rFonts w:ascii="Arial" w:cs="Arial" w:eastAsia="Arial" w:hAnsi="Arial"/>
                <w:sz w:val="16"/>
                <w:szCs w:val="16"/>
                <w:color w:val="auto"/>
                <w:w w:val="84"/>
              </w:rPr>
              <w:t>Class</w:t>
            </w:r>
          </w:p>
        </w:tc>
        <w:tc>
          <w:tcPr>
            <w:tcW w:w="1340" w:type="dxa"/>
            <w:vAlign w:val="bottom"/>
          </w:tcPr>
          <w:p>
            <w:pPr>
              <w:spacing w:after="0"/>
              <w:rPr>
                <w:sz w:val="16"/>
                <w:szCs w:val="16"/>
                <w:color w:val="auto"/>
              </w:rPr>
            </w:pPr>
          </w:p>
        </w:tc>
        <w:tc>
          <w:tcPr>
            <w:tcW w:w="2100" w:type="dxa"/>
            <w:vAlign w:val="bottom"/>
          </w:tcPr>
          <w:p>
            <w:pPr>
              <w:spacing w:after="0"/>
              <w:rPr>
                <w:sz w:val="20"/>
                <w:szCs w:val="20"/>
                <w:color w:val="auto"/>
              </w:rPr>
            </w:pPr>
            <w:r>
              <w:rPr>
                <w:rFonts w:ascii="Arial" w:cs="Arial" w:eastAsia="Arial" w:hAnsi="Arial"/>
                <w:sz w:val="16"/>
                <w:szCs w:val="16"/>
                <w:color w:val="auto"/>
                <w:w w:val="89"/>
              </w:rPr>
              <w:t>Outstanding at January 31, 2020</w:t>
            </w:r>
          </w:p>
        </w:tc>
      </w:tr>
      <w:tr>
        <w:trPr>
          <w:trHeight w:val="20"/>
        </w:trPr>
        <w:tc>
          <w:tcPr>
            <w:tcW w:w="8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2100" w:type="dxa"/>
            <w:vAlign w:val="bottom"/>
            <w:shd w:val="clear" w:color="auto" w:fill="000000"/>
          </w:tcPr>
          <w:p>
            <w:pPr>
              <w:spacing w:after="0" w:line="20" w:lineRule="exact"/>
              <w:rPr>
                <w:sz w:val="1"/>
                <w:szCs w:val="1"/>
                <w:color w:val="auto"/>
              </w:rPr>
            </w:pPr>
          </w:p>
        </w:tc>
      </w:tr>
      <w:tr>
        <w:trPr>
          <w:trHeight w:val="285"/>
        </w:trPr>
        <w:tc>
          <w:tcPr>
            <w:tcW w:w="3280" w:type="dxa"/>
            <w:vAlign w:val="bottom"/>
            <w:gridSpan w:val="3"/>
          </w:tcPr>
          <w:p>
            <w:pPr>
              <w:jc w:val="center"/>
              <w:ind w:right="1220"/>
              <w:spacing w:after="0"/>
              <w:rPr>
                <w:sz w:val="20"/>
                <w:szCs w:val="20"/>
                <w:color w:val="auto"/>
              </w:rPr>
            </w:pPr>
            <w:r>
              <w:rPr>
                <w:rFonts w:ascii="Arial" w:cs="Arial" w:eastAsia="Arial" w:hAnsi="Arial"/>
                <w:sz w:val="16"/>
                <w:szCs w:val="16"/>
                <w:color w:val="auto"/>
                <w:w w:val="91"/>
              </w:rPr>
              <w:t>Common stock, $1.00 par value</w:t>
            </w:r>
          </w:p>
        </w:tc>
        <w:tc>
          <w:tcPr>
            <w:tcW w:w="3440" w:type="dxa"/>
            <w:vAlign w:val="bottom"/>
            <w:gridSpan w:val="2"/>
          </w:tcPr>
          <w:p>
            <w:pPr>
              <w:ind w:left="1200"/>
              <w:spacing w:after="0"/>
              <w:rPr>
                <w:sz w:val="20"/>
                <w:szCs w:val="20"/>
                <w:color w:val="auto"/>
              </w:rPr>
            </w:pPr>
            <w:r>
              <w:rPr>
                <w:rFonts w:ascii="Arial" w:cs="Arial" w:eastAsia="Arial" w:hAnsi="Arial"/>
                <w:sz w:val="16"/>
                <w:szCs w:val="16"/>
                <w:color w:val="auto"/>
              </w:rPr>
              <w:t>61,475,403  shares</w:t>
            </w:r>
          </w:p>
        </w:tc>
      </w:tr>
    </w:tbl>
    <w:p>
      <w:pPr>
        <w:spacing w:after="0" w:line="208"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Documents Incorporated by Reference</w:t>
      </w:r>
    </w:p>
    <w:p>
      <w:pPr>
        <w:spacing w:after="0" w:line="23" w:lineRule="exact"/>
        <w:rPr>
          <w:sz w:val="24"/>
          <w:szCs w:val="24"/>
          <w:color w:val="auto"/>
        </w:rPr>
      </w:pPr>
    </w:p>
    <w:p>
      <w:pPr>
        <w:ind w:right="60"/>
        <w:spacing w:after="0" w:line="257" w:lineRule="auto"/>
        <w:rPr>
          <w:sz w:val="20"/>
          <w:szCs w:val="20"/>
          <w:color w:val="auto"/>
        </w:rPr>
      </w:pPr>
      <w:r>
        <w:rPr>
          <w:rFonts w:ascii="Arial" w:cs="Arial" w:eastAsia="Arial" w:hAnsi="Arial"/>
          <w:sz w:val="16"/>
          <w:szCs w:val="16"/>
          <w:color w:val="auto"/>
        </w:rPr>
        <w:t>Portions of the registrant’s Definitive Proxy Statement being prepared for the solicitation of proxies in connection with the 2020 Annual Meeting of Stockholders to be held on April 28, 2020, are incorporated by reference in Part III of this Form 10-K.</w:t>
      </w:r>
    </w:p>
    <w:p>
      <w:pPr>
        <w:sectPr>
          <w:pgSz w:w="11900" w:h="16838" w:orient="portrait"/>
          <w:cols w:equalWidth="0" w:num="1">
            <w:col w:w="11420"/>
          </w:cols>
          <w:pgMar w:left="240" w:top="234"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540" w:type="dxa"/>
            <w:vAlign w:val="bottom"/>
            <w:gridSpan w:val="12"/>
          </w:tcPr>
          <w:p>
            <w:pPr>
              <w:ind w:left="100"/>
              <w:spacing w:after="0"/>
              <w:rPr>
                <w:sz w:val="20"/>
                <w:szCs w:val="20"/>
                <w:color w:val="auto"/>
              </w:rPr>
            </w:pPr>
            <w:r>
              <w:rPr>
                <w:rFonts w:ascii="Arial" w:cs="Arial" w:eastAsia="Arial" w:hAnsi="Arial"/>
                <w:sz w:val="18"/>
                <w:szCs w:val="18"/>
                <w:b w:val="1"/>
                <w:bCs w:val="1"/>
                <w:color w:val="auto"/>
              </w:rPr>
              <w:t>TABLE OF CONTENTS</w:t>
            </w: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594"/>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5"/>
          </w:tcPr>
          <w:p>
            <w:pPr>
              <w:jc w:val="right"/>
              <w:ind w:right="380"/>
              <w:spacing w:after="0"/>
              <w:rPr>
                <w:sz w:val="20"/>
                <w:szCs w:val="20"/>
                <w:color w:val="auto"/>
              </w:rPr>
            </w:pPr>
            <w:r>
              <w:rPr>
                <w:rFonts w:ascii="Arial" w:cs="Arial" w:eastAsia="Arial" w:hAnsi="Arial"/>
                <w:sz w:val="18"/>
                <w:szCs w:val="18"/>
                <w:color w:val="auto"/>
              </w:rPr>
              <w:t>Page</w:t>
            </w:r>
          </w:p>
        </w:tc>
      </w:tr>
      <w:tr>
        <w:trPr>
          <w:trHeight w:val="27"/>
        </w:trPr>
        <w:tc>
          <w:tcPr>
            <w:tcW w:w="20" w:type="dxa"/>
            <w:vAlign w:val="bottom"/>
            <w:tcBorders>
              <w:bottom w:val="single" w:sz="8" w:color="CEFFE7"/>
            </w:tcBorders>
          </w:tcPr>
          <w:p>
            <w:pPr>
              <w:spacing w:after="0"/>
              <w:rPr>
                <w:sz w:val="2"/>
                <w:szCs w:val="2"/>
                <w:color w:val="auto"/>
              </w:rPr>
            </w:pPr>
          </w:p>
        </w:tc>
        <w:tc>
          <w:tcPr>
            <w:tcW w:w="40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680" w:type="dxa"/>
            <w:vAlign w:val="bottom"/>
            <w:tcBorders>
              <w:bottom w:val="single" w:sz="8" w:color="CEFFE7"/>
            </w:tcBorders>
            <w:gridSpan w:val="2"/>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14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80" w:type="dxa"/>
            <w:vAlign w:val="bottom"/>
            <w:tcBorders>
              <w:bottom w:val="single" w:sz="8" w:color="CEFFE7"/>
            </w:tcBorders>
          </w:tcPr>
          <w:p>
            <w:pPr>
              <w:spacing w:after="0"/>
              <w:rPr>
                <w:sz w:val="2"/>
                <w:szCs w:val="2"/>
                <w:color w:val="auto"/>
              </w:rPr>
            </w:pPr>
          </w:p>
        </w:tc>
        <w:tc>
          <w:tcPr>
            <w:tcW w:w="2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8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620" w:type="dxa"/>
            <w:vAlign w:val="bottom"/>
            <w:tcBorders>
              <w:bottom w:val="single" w:sz="8" w:color="CEFFE7"/>
            </w:tcBorders>
          </w:tcPr>
          <w:p>
            <w:pPr>
              <w:spacing w:after="0"/>
              <w:rPr>
                <w:sz w:val="2"/>
                <w:szCs w:val="2"/>
                <w:color w:val="auto"/>
              </w:rPr>
            </w:pPr>
          </w:p>
        </w:tc>
        <w:tc>
          <w:tcPr>
            <w:tcW w:w="1140" w:type="dxa"/>
            <w:vAlign w:val="bottom"/>
            <w:tcBorders>
              <w:bottom w:val="single" w:sz="8" w:color="CEFFE7"/>
            </w:tcBorders>
          </w:tcPr>
          <w:p>
            <w:pPr>
              <w:spacing w:after="0"/>
              <w:rPr>
                <w:sz w:val="2"/>
                <w:szCs w:val="2"/>
                <w:color w:val="auto"/>
              </w:rPr>
            </w:pPr>
          </w:p>
        </w:tc>
        <w:tc>
          <w:tcPr>
            <w:tcW w:w="1900" w:type="dxa"/>
            <w:vAlign w:val="bottom"/>
            <w:tcBorders>
              <w:bottom w:val="single" w:sz="8" w:color="CEFFE7"/>
            </w:tcBorders>
          </w:tcPr>
          <w:p>
            <w:pPr>
              <w:spacing w:after="0"/>
              <w:rPr>
                <w:sz w:val="2"/>
                <w:szCs w:val="2"/>
                <w:color w:val="auto"/>
              </w:rPr>
            </w:pPr>
          </w:p>
        </w:tc>
        <w:tc>
          <w:tcPr>
            <w:tcW w:w="2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60" w:type="dxa"/>
            <w:vAlign w:val="bottom"/>
            <w:tcBorders>
              <w:bottom w:val="single" w:sz="8" w:color="CEFFE7"/>
            </w:tcBorders>
          </w:tcPr>
          <w:p>
            <w:pPr>
              <w:spacing w:after="0"/>
              <w:rPr>
                <w:sz w:val="2"/>
                <w:szCs w:val="2"/>
                <w:color w:val="auto"/>
              </w:rPr>
            </w:pPr>
          </w:p>
        </w:tc>
        <w:tc>
          <w:tcPr>
            <w:tcW w:w="260" w:type="dxa"/>
            <w:vAlign w:val="bottom"/>
            <w:tcBorders>
              <w:bottom w:val="single" w:sz="8" w:color="CEFFE7"/>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r>
      <w:tr>
        <w:trPr>
          <w:trHeight w:val="203"/>
        </w:trPr>
        <w:tc>
          <w:tcPr>
            <w:tcW w:w="20" w:type="dxa"/>
            <w:vAlign w:val="bottom"/>
            <w:shd w:val="clear" w:color="auto" w:fill="CEFFE7"/>
          </w:tcPr>
          <w:p>
            <w:pPr>
              <w:spacing w:after="0"/>
              <w:rPr>
                <w:sz w:val="17"/>
                <w:szCs w:val="17"/>
                <w:color w:val="auto"/>
              </w:rPr>
            </w:pPr>
          </w:p>
        </w:tc>
        <w:tc>
          <w:tcPr>
            <w:tcW w:w="3780" w:type="dxa"/>
            <w:vAlign w:val="bottom"/>
            <w:gridSpan w:val="25"/>
            <w:shd w:val="clear" w:color="auto" w:fill="CEFFE7"/>
          </w:tcPr>
          <w:p>
            <w:pPr>
              <w:spacing w:after="0" w:line="163" w:lineRule="exact"/>
              <w:rPr>
                <w:rFonts w:ascii="Arial" w:cs="Arial" w:eastAsia="Arial" w:hAnsi="Arial"/>
                <w:sz w:val="18"/>
                <w:szCs w:val="18"/>
                <w:color w:val="0000EE"/>
                <w:w w:val="96"/>
              </w:rPr>
            </w:pPr>
            <w:hyperlink w:anchor="page3">
              <w:r>
                <w:rPr>
                  <w:rFonts w:ascii="Arial" w:cs="Arial" w:eastAsia="Arial" w:hAnsi="Arial"/>
                  <w:sz w:val="18"/>
                  <w:szCs w:val="18"/>
                  <w:color w:val="0000EE"/>
                  <w:w w:val="96"/>
                </w:rPr>
                <w:t>GLOSSARY OF TERMS AND ABBREVIATIONS</w:t>
              </w:r>
            </w:hyperlink>
          </w:p>
        </w:tc>
        <w:tc>
          <w:tcPr>
            <w:tcW w:w="6260" w:type="dxa"/>
            <w:vAlign w:val="bottom"/>
            <w:gridSpan w:val="19"/>
            <w:shd w:val="clear" w:color="auto" w:fill="CEFFE7"/>
          </w:tcPr>
          <w:p>
            <w:pPr>
              <w:spacing w:after="0"/>
              <w:rPr>
                <w:sz w:val="17"/>
                <w:szCs w:val="17"/>
                <w:color w:val="auto"/>
              </w:rPr>
            </w:pPr>
          </w:p>
        </w:tc>
        <w:tc>
          <w:tcPr>
            <w:tcW w:w="1100" w:type="dxa"/>
            <w:vAlign w:val="bottom"/>
            <w:gridSpan w:val="5"/>
            <w:shd w:val="clear" w:color="auto" w:fill="CEFFE7"/>
          </w:tcPr>
          <w:p>
            <w:pPr>
              <w:jc w:val="right"/>
              <w:ind w:right="4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3</w:t>
              </w:r>
            </w:hyperlink>
          </w:p>
        </w:tc>
      </w:tr>
      <w:tr>
        <w:trPr>
          <w:trHeight w:val="41"/>
        </w:trPr>
        <w:tc>
          <w:tcPr>
            <w:tcW w:w="20" w:type="dxa"/>
            <w:vAlign w:val="bottom"/>
            <w:tcBorders>
              <w:top w:val="single" w:sz="8" w:color="CEFFE7"/>
            </w:tcBorders>
            <w:shd w:val="clear" w:color="auto" w:fill="CEFFE7"/>
          </w:tcPr>
          <w:p>
            <w:pPr>
              <w:spacing w:after="0"/>
              <w:rPr>
                <w:sz w:val="3"/>
                <w:szCs w:val="3"/>
                <w:color w:val="auto"/>
              </w:rPr>
            </w:pPr>
          </w:p>
        </w:tc>
        <w:tc>
          <w:tcPr>
            <w:tcW w:w="400" w:type="dxa"/>
            <w:vAlign w:val="bottom"/>
            <w:tcBorders>
              <w:top w:val="single" w:sz="8" w:color="0000EE"/>
            </w:tcBorders>
            <w:shd w:val="clear" w:color="auto" w:fill="CEFFE7"/>
          </w:tcPr>
          <w:p>
            <w:pPr>
              <w:spacing w:after="0"/>
              <w:rPr>
                <w:sz w:val="3"/>
                <w:szCs w:val="3"/>
                <w:color w:val="auto"/>
              </w:rPr>
            </w:pPr>
          </w:p>
        </w:tc>
        <w:tc>
          <w:tcPr>
            <w:tcW w:w="60" w:type="dxa"/>
            <w:vAlign w:val="bottom"/>
            <w:tcBorders>
              <w:top w:val="single" w:sz="8" w:color="0000EE"/>
            </w:tcBorders>
            <w:shd w:val="clear" w:color="auto" w:fill="CEFFE7"/>
          </w:tcPr>
          <w:p>
            <w:pPr>
              <w:spacing w:after="0"/>
              <w:rPr>
                <w:sz w:val="3"/>
                <w:szCs w:val="3"/>
                <w:color w:val="auto"/>
              </w:rPr>
            </w:pPr>
          </w:p>
        </w:tc>
        <w:tc>
          <w:tcPr>
            <w:tcW w:w="60" w:type="dxa"/>
            <w:vAlign w:val="bottom"/>
            <w:tcBorders>
              <w:top w:val="single" w:sz="8" w:color="0000EE"/>
            </w:tcBorders>
            <w:shd w:val="clear" w:color="auto" w:fill="CEFFE7"/>
          </w:tcPr>
          <w:p>
            <w:pPr>
              <w:spacing w:after="0"/>
              <w:rPr>
                <w:sz w:val="3"/>
                <w:szCs w:val="3"/>
                <w:color w:val="auto"/>
              </w:rPr>
            </w:pPr>
          </w:p>
        </w:tc>
        <w:tc>
          <w:tcPr>
            <w:tcW w:w="100" w:type="dxa"/>
            <w:vAlign w:val="bottom"/>
            <w:tcBorders>
              <w:top w:val="single" w:sz="8" w:color="0000EE"/>
            </w:tcBorders>
            <w:shd w:val="clear" w:color="auto" w:fill="CEFFE7"/>
          </w:tcPr>
          <w:p>
            <w:pPr>
              <w:spacing w:after="0"/>
              <w:rPr>
                <w:sz w:val="3"/>
                <w:szCs w:val="3"/>
                <w:color w:val="auto"/>
              </w:rPr>
            </w:pPr>
          </w:p>
        </w:tc>
        <w:tc>
          <w:tcPr>
            <w:tcW w:w="80" w:type="dxa"/>
            <w:vAlign w:val="bottom"/>
            <w:tcBorders>
              <w:top w:val="single" w:sz="8" w:color="0000EE"/>
            </w:tcBorders>
            <w:shd w:val="clear" w:color="auto" w:fill="CEFFE7"/>
          </w:tcPr>
          <w:p>
            <w:pPr>
              <w:spacing w:after="0"/>
              <w:rPr>
                <w:sz w:val="3"/>
                <w:szCs w:val="3"/>
                <w:color w:val="auto"/>
              </w:rPr>
            </w:pPr>
          </w:p>
        </w:tc>
        <w:tc>
          <w:tcPr>
            <w:tcW w:w="20" w:type="dxa"/>
            <w:vAlign w:val="bottom"/>
            <w:tcBorders>
              <w:top w:val="single" w:sz="8" w:color="0000EE"/>
            </w:tcBorders>
            <w:shd w:val="clear" w:color="auto" w:fill="CEFFE7"/>
          </w:tcPr>
          <w:p>
            <w:pPr>
              <w:spacing w:after="0"/>
              <w:rPr>
                <w:sz w:val="3"/>
                <w:szCs w:val="3"/>
                <w:color w:val="auto"/>
              </w:rPr>
            </w:pPr>
          </w:p>
        </w:tc>
        <w:tc>
          <w:tcPr>
            <w:tcW w:w="20" w:type="dxa"/>
            <w:vAlign w:val="bottom"/>
            <w:tcBorders>
              <w:top w:val="single" w:sz="8" w:color="0000EE"/>
            </w:tcBorders>
            <w:shd w:val="clear" w:color="auto" w:fill="CEFFE7"/>
          </w:tcPr>
          <w:p>
            <w:pPr>
              <w:spacing w:after="0"/>
              <w:rPr>
                <w:sz w:val="3"/>
                <w:szCs w:val="3"/>
                <w:color w:val="auto"/>
              </w:rPr>
            </w:pPr>
          </w:p>
        </w:tc>
        <w:tc>
          <w:tcPr>
            <w:tcW w:w="20" w:type="dxa"/>
            <w:vAlign w:val="bottom"/>
            <w:tcBorders>
              <w:top w:val="single" w:sz="8" w:color="0000EE"/>
            </w:tcBorders>
            <w:shd w:val="clear" w:color="auto" w:fill="CEFFE7"/>
          </w:tcPr>
          <w:p>
            <w:pPr>
              <w:spacing w:after="0"/>
              <w:rPr>
                <w:sz w:val="3"/>
                <w:szCs w:val="3"/>
                <w:color w:val="auto"/>
              </w:rPr>
            </w:pPr>
          </w:p>
        </w:tc>
        <w:tc>
          <w:tcPr>
            <w:tcW w:w="340" w:type="dxa"/>
            <w:vAlign w:val="bottom"/>
            <w:tcBorders>
              <w:top w:val="single" w:sz="8" w:color="0000EE"/>
            </w:tcBorders>
            <w:shd w:val="clear" w:color="auto" w:fill="CEFFE7"/>
          </w:tcPr>
          <w:p>
            <w:pPr>
              <w:spacing w:after="0"/>
              <w:rPr>
                <w:sz w:val="3"/>
                <w:szCs w:val="3"/>
                <w:color w:val="auto"/>
              </w:rPr>
            </w:pPr>
          </w:p>
        </w:tc>
        <w:tc>
          <w:tcPr>
            <w:tcW w:w="100" w:type="dxa"/>
            <w:vAlign w:val="bottom"/>
            <w:tcBorders>
              <w:top w:val="single" w:sz="8" w:color="0000EE"/>
            </w:tcBorders>
            <w:shd w:val="clear" w:color="auto" w:fill="CEFFE7"/>
          </w:tcPr>
          <w:p>
            <w:pPr>
              <w:spacing w:after="0"/>
              <w:rPr>
                <w:sz w:val="3"/>
                <w:szCs w:val="3"/>
                <w:color w:val="auto"/>
              </w:rPr>
            </w:pPr>
          </w:p>
        </w:tc>
        <w:tc>
          <w:tcPr>
            <w:tcW w:w="140" w:type="dxa"/>
            <w:vAlign w:val="bottom"/>
            <w:tcBorders>
              <w:top w:val="single" w:sz="8" w:color="0000EE"/>
            </w:tcBorders>
            <w:shd w:val="clear" w:color="auto" w:fill="CEFFE7"/>
          </w:tcPr>
          <w:p>
            <w:pPr>
              <w:spacing w:after="0"/>
              <w:rPr>
                <w:sz w:val="3"/>
                <w:szCs w:val="3"/>
                <w:color w:val="auto"/>
              </w:rPr>
            </w:pPr>
          </w:p>
        </w:tc>
        <w:tc>
          <w:tcPr>
            <w:tcW w:w="340" w:type="dxa"/>
            <w:vAlign w:val="bottom"/>
            <w:tcBorders>
              <w:top w:val="single" w:sz="8" w:color="0000EE"/>
            </w:tcBorders>
            <w:shd w:val="clear" w:color="auto" w:fill="CEFFE7"/>
          </w:tcPr>
          <w:p>
            <w:pPr>
              <w:spacing w:after="0"/>
              <w:rPr>
                <w:sz w:val="3"/>
                <w:szCs w:val="3"/>
                <w:color w:val="auto"/>
              </w:rPr>
            </w:pPr>
          </w:p>
        </w:tc>
        <w:tc>
          <w:tcPr>
            <w:tcW w:w="340" w:type="dxa"/>
            <w:vAlign w:val="bottom"/>
            <w:tcBorders>
              <w:top w:val="single" w:sz="8" w:color="0000EE"/>
            </w:tcBorders>
            <w:shd w:val="clear" w:color="auto" w:fill="CEFFE7"/>
          </w:tcPr>
          <w:p>
            <w:pPr>
              <w:spacing w:after="0"/>
              <w:rPr>
                <w:sz w:val="3"/>
                <w:szCs w:val="3"/>
                <w:color w:val="auto"/>
              </w:rPr>
            </w:pPr>
          </w:p>
        </w:tc>
        <w:tc>
          <w:tcPr>
            <w:tcW w:w="540" w:type="dxa"/>
            <w:vAlign w:val="bottom"/>
            <w:tcBorders>
              <w:top w:val="single" w:sz="8" w:color="0000EE"/>
            </w:tcBorders>
            <w:shd w:val="clear" w:color="auto" w:fill="CEFFE7"/>
          </w:tcPr>
          <w:p>
            <w:pPr>
              <w:spacing w:after="0"/>
              <w:rPr>
                <w:sz w:val="3"/>
                <w:szCs w:val="3"/>
                <w:color w:val="auto"/>
              </w:rPr>
            </w:pPr>
          </w:p>
        </w:tc>
        <w:tc>
          <w:tcPr>
            <w:tcW w:w="60" w:type="dxa"/>
            <w:vAlign w:val="bottom"/>
            <w:tcBorders>
              <w:top w:val="single" w:sz="8" w:color="0000EE"/>
            </w:tcBorders>
            <w:shd w:val="clear" w:color="auto" w:fill="CEFFE7"/>
          </w:tcPr>
          <w:p>
            <w:pPr>
              <w:spacing w:after="0"/>
              <w:rPr>
                <w:sz w:val="3"/>
                <w:szCs w:val="3"/>
                <w:color w:val="auto"/>
              </w:rPr>
            </w:pPr>
          </w:p>
        </w:tc>
        <w:tc>
          <w:tcPr>
            <w:tcW w:w="160" w:type="dxa"/>
            <w:vAlign w:val="bottom"/>
            <w:tcBorders>
              <w:top w:val="single" w:sz="8" w:color="0000EE"/>
            </w:tcBorders>
            <w:shd w:val="clear" w:color="auto" w:fill="CEFFE7"/>
          </w:tcPr>
          <w:p>
            <w:pPr>
              <w:spacing w:after="0"/>
              <w:rPr>
                <w:sz w:val="3"/>
                <w:szCs w:val="3"/>
                <w:color w:val="auto"/>
              </w:rPr>
            </w:pPr>
          </w:p>
        </w:tc>
        <w:tc>
          <w:tcPr>
            <w:tcW w:w="40" w:type="dxa"/>
            <w:vAlign w:val="bottom"/>
            <w:tcBorders>
              <w:top w:val="single" w:sz="8" w:color="0000EE"/>
            </w:tcBorders>
            <w:shd w:val="clear" w:color="auto" w:fill="CEFFE7"/>
          </w:tcPr>
          <w:p>
            <w:pPr>
              <w:spacing w:after="0"/>
              <w:rPr>
                <w:sz w:val="3"/>
                <w:szCs w:val="3"/>
                <w:color w:val="auto"/>
              </w:rPr>
            </w:pPr>
          </w:p>
        </w:tc>
        <w:tc>
          <w:tcPr>
            <w:tcW w:w="100" w:type="dxa"/>
            <w:vAlign w:val="bottom"/>
            <w:tcBorders>
              <w:top w:val="single" w:sz="8" w:color="0000EE"/>
            </w:tcBorders>
            <w:shd w:val="clear" w:color="auto" w:fill="CEFFE7"/>
          </w:tcPr>
          <w:p>
            <w:pPr>
              <w:spacing w:after="0"/>
              <w:rPr>
                <w:sz w:val="3"/>
                <w:szCs w:val="3"/>
                <w:color w:val="auto"/>
              </w:rPr>
            </w:pPr>
          </w:p>
        </w:tc>
        <w:tc>
          <w:tcPr>
            <w:tcW w:w="20" w:type="dxa"/>
            <w:vAlign w:val="bottom"/>
            <w:tcBorders>
              <w:top w:val="single" w:sz="8" w:color="0000EE"/>
            </w:tcBorders>
            <w:shd w:val="clear" w:color="auto" w:fill="CEFFE7"/>
          </w:tcPr>
          <w:p>
            <w:pPr>
              <w:spacing w:after="0"/>
              <w:rPr>
                <w:sz w:val="3"/>
                <w:szCs w:val="3"/>
                <w:color w:val="auto"/>
              </w:rPr>
            </w:pPr>
          </w:p>
        </w:tc>
        <w:tc>
          <w:tcPr>
            <w:tcW w:w="100" w:type="dxa"/>
            <w:vAlign w:val="bottom"/>
            <w:tcBorders>
              <w:top w:val="single" w:sz="8" w:color="0000EE"/>
            </w:tcBorders>
            <w:shd w:val="clear" w:color="auto" w:fill="CEFFE7"/>
          </w:tcPr>
          <w:p>
            <w:pPr>
              <w:spacing w:after="0"/>
              <w:rPr>
                <w:sz w:val="3"/>
                <w:szCs w:val="3"/>
                <w:color w:val="auto"/>
              </w:rPr>
            </w:pPr>
          </w:p>
        </w:tc>
        <w:tc>
          <w:tcPr>
            <w:tcW w:w="180" w:type="dxa"/>
            <w:vAlign w:val="bottom"/>
            <w:tcBorders>
              <w:top w:val="single" w:sz="8" w:color="0000EE"/>
            </w:tcBorders>
            <w:shd w:val="clear" w:color="auto" w:fill="CEFFE7"/>
          </w:tcPr>
          <w:p>
            <w:pPr>
              <w:spacing w:after="0"/>
              <w:rPr>
                <w:sz w:val="3"/>
                <w:szCs w:val="3"/>
                <w:color w:val="auto"/>
              </w:rPr>
            </w:pPr>
          </w:p>
        </w:tc>
        <w:tc>
          <w:tcPr>
            <w:tcW w:w="120" w:type="dxa"/>
            <w:vAlign w:val="bottom"/>
            <w:tcBorders>
              <w:top w:val="single" w:sz="8" w:color="0000EE"/>
            </w:tcBorders>
            <w:shd w:val="clear" w:color="auto" w:fill="CEFFE7"/>
          </w:tcPr>
          <w:p>
            <w:pPr>
              <w:spacing w:after="0"/>
              <w:rPr>
                <w:sz w:val="3"/>
                <w:szCs w:val="3"/>
                <w:color w:val="auto"/>
              </w:rPr>
            </w:pPr>
          </w:p>
        </w:tc>
        <w:tc>
          <w:tcPr>
            <w:tcW w:w="220" w:type="dxa"/>
            <w:vAlign w:val="bottom"/>
            <w:tcBorders>
              <w:top w:val="single" w:sz="8" w:color="0000EE"/>
            </w:tcBorders>
            <w:shd w:val="clear" w:color="auto" w:fill="CEFFE7"/>
          </w:tcPr>
          <w:p>
            <w:pPr>
              <w:spacing w:after="0"/>
              <w:rPr>
                <w:sz w:val="3"/>
                <w:szCs w:val="3"/>
                <w:color w:val="auto"/>
              </w:rPr>
            </w:pPr>
          </w:p>
        </w:tc>
        <w:tc>
          <w:tcPr>
            <w:tcW w:w="140" w:type="dxa"/>
            <w:vAlign w:val="bottom"/>
            <w:tcBorders>
              <w:top w:val="single" w:sz="8" w:color="0000EE"/>
            </w:tcBorders>
            <w:shd w:val="clear" w:color="auto" w:fill="CEFFE7"/>
          </w:tcPr>
          <w:p>
            <w:pPr>
              <w:spacing w:after="0"/>
              <w:rPr>
                <w:sz w:val="3"/>
                <w:szCs w:val="3"/>
                <w:color w:val="auto"/>
              </w:rPr>
            </w:pPr>
          </w:p>
        </w:tc>
        <w:tc>
          <w:tcPr>
            <w:tcW w:w="80" w:type="dxa"/>
            <w:vAlign w:val="bottom"/>
            <w:tcBorders>
              <w:top w:val="single" w:sz="8" w:color="0000EE"/>
            </w:tcBorders>
            <w:shd w:val="clear" w:color="auto" w:fill="CEFFE7"/>
          </w:tcPr>
          <w:p>
            <w:pPr>
              <w:spacing w:after="0"/>
              <w:rPr>
                <w:sz w:val="3"/>
                <w:szCs w:val="3"/>
                <w:color w:val="auto"/>
              </w:rPr>
            </w:pPr>
          </w:p>
        </w:tc>
        <w:tc>
          <w:tcPr>
            <w:tcW w:w="80" w:type="dxa"/>
            <w:vAlign w:val="bottom"/>
            <w:tcBorders>
              <w:top w:val="single" w:sz="8" w:color="CEFFE7"/>
            </w:tcBorders>
            <w:shd w:val="clear" w:color="auto" w:fill="CEFFE7"/>
          </w:tcPr>
          <w:p>
            <w:pPr>
              <w:spacing w:after="0"/>
              <w:rPr>
                <w:sz w:val="3"/>
                <w:szCs w:val="3"/>
                <w:color w:val="auto"/>
              </w:rPr>
            </w:pPr>
          </w:p>
        </w:tc>
        <w:tc>
          <w:tcPr>
            <w:tcW w:w="200" w:type="dxa"/>
            <w:vAlign w:val="bottom"/>
            <w:tcBorders>
              <w:top w:val="single" w:sz="8" w:color="CEFFE7"/>
            </w:tcBorders>
            <w:shd w:val="clear" w:color="auto" w:fill="CEFFE7"/>
          </w:tcPr>
          <w:p>
            <w:pPr>
              <w:spacing w:after="0"/>
              <w:rPr>
                <w:sz w:val="3"/>
                <w:szCs w:val="3"/>
                <w:color w:val="auto"/>
              </w:rPr>
            </w:pPr>
          </w:p>
        </w:tc>
        <w:tc>
          <w:tcPr>
            <w:tcW w:w="40" w:type="dxa"/>
            <w:vAlign w:val="bottom"/>
            <w:tcBorders>
              <w:top w:val="single" w:sz="8" w:color="CEFFE7"/>
            </w:tcBorders>
            <w:shd w:val="clear" w:color="auto" w:fill="CEFFE7"/>
          </w:tcPr>
          <w:p>
            <w:pPr>
              <w:spacing w:after="0"/>
              <w:rPr>
                <w:sz w:val="3"/>
                <w:szCs w:val="3"/>
                <w:color w:val="auto"/>
              </w:rPr>
            </w:pPr>
          </w:p>
        </w:tc>
        <w:tc>
          <w:tcPr>
            <w:tcW w:w="20" w:type="dxa"/>
            <w:vAlign w:val="bottom"/>
            <w:tcBorders>
              <w:top w:val="single" w:sz="8" w:color="CEFFE7"/>
            </w:tcBorders>
            <w:shd w:val="clear" w:color="auto" w:fill="CEFFE7"/>
          </w:tcPr>
          <w:p>
            <w:pPr>
              <w:spacing w:after="0"/>
              <w:rPr>
                <w:sz w:val="3"/>
                <w:szCs w:val="3"/>
                <w:color w:val="auto"/>
              </w:rPr>
            </w:pPr>
          </w:p>
        </w:tc>
        <w:tc>
          <w:tcPr>
            <w:tcW w:w="160" w:type="dxa"/>
            <w:vAlign w:val="bottom"/>
            <w:tcBorders>
              <w:top w:val="single" w:sz="8" w:color="CEFFE7"/>
            </w:tcBorders>
            <w:shd w:val="clear" w:color="auto" w:fill="CEFFE7"/>
          </w:tcPr>
          <w:p>
            <w:pPr>
              <w:spacing w:after="0"/>
              <w:rPr>
                <w:sz w:val="3"/>
                <w:szCs w:val="3"/>
                <w:color w:val="auto"/>
              </w:rPr>
            </w:pPr>
          </w:p>
        </w:tc>
        <w:tc>
          <w:tcPr>
            <w:tcW w:w="160" w:type="dxa"/>
            <w:vAlign w:val="bottom"/>
            <w:tcBorders>
              <w:top w:val="single" w:sz="8" w:color="CEFFE7"/>
            </w:tcBorders>
            <w:shd w:val="clear" w:color="auto" w:fill="CEFFE7"/>
          </w:tcPr>
          <w:p>
            <w:pPr>
              <w:spacing w:after="0"/>
              <w:rPr>
                <w:sz w:val="3"/>
                <w:szCs w:val="3"/>
                <w:color w:val="auto"/>
              </w:rPr>
            </w:pPr>
          </w:p>
        </w:tc>
        <w:tc>
          <w:tcPr>
            <w:tcW w:w="60" w:type="dxa"/>
            <w:vAlign w:val="bottom"/>
            <w:tcBorders>
              <w:top w:val="single" w:sz="8" w:color="CEFFE7"/>
            </w:tcBorders>
            <w:shd w:val="clear" w:color="auto" w:fill="CEFFE7"/>
          </w:tcPr>
          <w:p>
            <w:pPr>
              <w:spacing w:after="0"/>
              <w:rPr>
                <w:sz w:val="3"/>
                <w:szCs w:val="3"/>
                <w:color w:val="auto"/>
              </w:rPr>
            </w:pPr>
          </w:p>
        </w:tc>
        <w:tc>
          <w:tcPr>
            <w:tcW w:w="280" w:type="dxa"/>
            <w:vAlign w:val="bottom"/>
            <w:tcBorders>
              <w:top w:val="single" w:sz="8" w:color="CEFFE7"/>
            </w:tcBorders>
            <w:shd w:val="clear" w:color="auto" w:fill="CEFFE7"/>
          </w:tcPr>
          <w:p>
            <w:pPr>
              <w:spacing w:after="0"/>
              <w:rPr>
                <w:sz w:val="3"/>
                <w:szCs w:val="3"/>
                <w:color w:val="auto"/>
              </w:rPr>
            </w:pPr>
          </w:p>
        </w:tc>
        <w:tc>
          <w:tcPr>
            <w:tcW w:w="820" w:type="dxa"/>
            <w:vAlign w:val="bottom"/>
            <w:tcBorders>
              <w:top w:val="single" w:sz="8" w:color="CEFFE7"/>
            </w:tcBorders>
            <w:shd w:val="clear" w:color="auto" w:fill="CEFFE7"/>
          </w:tcPr>
          <w:p>
            <w:pPr>
              <w:spacing w:after="0"/>
              <w:rPr>
                <w:sz w:val="3"/>
                <w:szCs w:val="3"/>
                <w:color w:val="auto"/>
              </w:rPr>
            </w:pPr>
          </w:p>
        </w:tc>
        <w:tc>
          <w:tcPr>
            <w:tcW w:w="120" w:type="dxa"/>
            <w:vAlign w:val="bottom"/>
            <w:tcBorders>
              <w:top w:val="single" w:sz="8" w:color="CEFFE7"/>
            </w:tcBorders>
            <w:shd w:val="clear" w:color="auto" w:fill="CEFFE7"/>
          </w:tcPr>
          <w:p>
            <w:pPr>
              <w:spacing w:after="0"/>
              <w:rPr>
                <w:sz w:val="3"/>
                <w:szCs w:val="3"/>
                <w:color w:val="auto"/>
              </w:rPr>
            </w:pPr>
          </w:p>
        </w:tc>
        <w:tc>
          <w:tcPr>
            <w:tcW w:w="620" w:type="dxa"/>
            <w:vAlign w:val="bottom"/>
            <w:tcBorders>
              <w:top w:val="single" w:sz="8" w:color="CEFFE7"/>
            </w:tcBorders>
            <w:shd w:val="clear" w:color="auto" w:fill="CEFFE7"/>
          </w:tcPr>
          <w:p>
            <w:pPr>
              <w:spacing w:after="0"/>
              <w:rPr>
                <w:sz w:val="3"/>
                <w:szCs w:val="3"/>
                <w:color w:val="auto"/>
              </w:rPr>
            </w:pPr>
          </w:p>
        </w:tc>
        <w:tc>
          <w:tcPr>
            <w:tcW w:w="1140" w:type="dxa"/>
            <w:vAlign w:val="bottom"/>
            <w:tcBorders>
              <w:top w:val="single" w:sz="8" w:color="CEFFE7"/>
            </w:tcBorders>
            <w:shd w:val="clear" w:color="auto" w:fill="CEFFE7"/>
          </w:tcPr>
          <w:p>
            <w:pPr>
              <w:spacing w:after="0"/>
              <w:rPr>
                <w:sz w:val="3"/>
                <w:szCs w:val="3"/>
                <w:color w:val="auto"/>
              </w:rPr>
            </w:pPr>
          </w:p>
        </w:tc>
        <w:tc>
          <w:tcPr>
            <w:tcW w:w="1900" w:type="dxa"/>
            <w:vAlign w:val="bottom"/>
            <w:tcBorders>
              <w:top w:val="single" w:sz="8" w:color="CEFFE7"/>
            </w:tcBorders>
            <w:shd w:val="clear" w:color="auto" w:fill="CEFFE7"/>
          </w:tcPr>
          <w:p>
            <w:pPr>
              <w:spacing w:after="0"/>
              <w:rPr>
                <w:sz w:val="3"/>
                <w:szCs w:val="3"/>
                <w:color w:val="auto"/>
              </w:rPr>
            </w:pPr>
          </w:p>
        </w:tc>
        <w:tc>
          <w:tcPr>
            <w:tcW w:w="20" w:type="dxa"/>
            <w:vAlign w:val="bottom"/>
            <w:tcBorders>
              <w:top w:val="single" w:sz="8" w:color="CEFFE7"/>
            </w:tcBorders>
            <w:shd w:val="clear" w:color="auto" w:fill="CEFFE7"/>
          </w:tcPr>
          <w:p>
            <w:pPr>
              <w:spacing w:after="0"/>
              <w:rPr>
                <w:sz w:val="3"/>
                <w:szCs w:val="3"/>
                <w:color w:val="auto"/>
              </w:rPr>
            </w:pPr>
          </w:p>
        </w:tc>
        <w:tc>
          <w:tcPr>
            <w:tcW w:w="40" w:type="dxa"/>
            <w:vAlign w:val="bottom"/>
            <w:tcBorders>
              <w:top w:val="single" w:sz="8" w:color="CEFFE7"/>
            </w:tcBorders>
            <w:shd w:val="clear" w:color="auto" w:fill="CEFFE7"/>
          </w:tcPr>
          <w:p>
            <w:pPr>
              <w:spacing w:after="0"/>
              <w:rPr>
                <w:sz w:val="3"/>
                <w:szCs w:val="3"/>
                <w:color w:val="auto"/>
              </w:rPr>
            </w:pPr>
          </w:p>
        </w:tc>
        <w:tc>
          <w:tcPr>
            <w:tcW w:w="180" w:type="dxa"/>
            <w:vAlign w:val="bottom"/>
            <w:tcBorders>
              <w:top w:val="single" w:sz="8" w:color="CEFFE7"/>
            </w:tcBorders>
            <w:shd w:val="clear" w:color="auto" w:fill="CEFFE7"/>
          </w:tcPr>
          <w:p>
            <w:pPr>
              <w:spacing w:after="0"/>
              <w:rPr>
                <w:sz w:val="3"/>
                <w:szCs w:val="3"/>
                <w:color w:val="auto"/>
              </w:rPr>
            </w:pPr>
          </w:p>
        </w:tc>
        <w:tc>
          <w:tcPr>
            <w:tcW w:w="60" w:type="dxa"/>
            <w:vAlign w:val="bottom"/>
            <w:tcBorders>
              <w:top w:val="single" w:sz="8" w:color="CEFFE7"/>
            </w:tcBorders>
            <w:shd w:val="clear" w:color="auto" w:fill="CEFFE7"/>
          </w:tcPr>
          <w:p>
            <w:pPr>
              <w:spacing w:after="0"/>
              <w:rPr>
                <w:sz w:val="3"/>
                <w:szCs w:val="3"/>
                <w:color w:val="auto"/>
              </w:rPr>
            </w:pPr>
          </w:p>
        </w:tc>
        <w:tc>
          <w:tcPr>
            <w:tcW w:w="260" w:type="dxa"/>
            <w:vAlign w:val="bottom"/>
            <w:tcBorders>
              <w:top w:val="single" w:sz="8" w:color="CEFFE7"/>
            </w:tcBorders>
            <w:shd w:val="clear" w:color="auto" w:fill="CEFFE7"/>
          </w:tcPr>
          <w:p>
            <w:pPr>
              <w:spacing w:after="0"/>
              <w:rPr>
                <w:sz w:val="3"/>
                <w:szCs w:val="3"/>
                <w:color w:val="auto"/>
              </w:rPr>
            </w:pPr>
          </w:p>
        </w:tc>
        <w:tc>
          <w:tcPr>
            <w:tcW w:w="100" w:type="dxa"/>
            <w:vAlign w:val="bottom"/>
            <w:tcBorders>
              <w:top w:val="single" w:sz="8" w:color="CEFFE7"/>
            </w:tcBorders>
            <w:shd w:val="clear" w:color="auto" w:fill="CEFFE7"/>
          </w:tcPr>
          <w:p>
            <w:pPr>
              <w:spacing w:after="0"/>
              <w:rPr>
                <w:sz w:val="3"/>
                <w:szCs w:val="3"/>
                <w:color w:val="auto"/>
              </w:rPr>
            </w:pPr>
          </w:p>
        </w:tc>
        <w:tc>
          <w:tcPr>
            <w:tcW w:w="800" w:type="dxa"/>
            <w:vAlign w:val="bottom"/>
            <w:tcBorders>
              <w:top w:val="single" w:sz="8" w:color="CEFFE7"/>
            </w:tcBorders>
            <w:shd w:val="clear" w:color="auto" w:fill="CEFFE7"/>
          </w:tcPr>
          <w:p>
            <w:pPr>
              <w:spacing w:after="0"/>
              <w:rPr>
                <w:sz w:val="3"/>
                <w:szCs w:val="3"/>
                <w:color w:val="auto"/>
              </w:rPr>
            </w:pPr>
          </w:p>
        </w:tc>
        <w:tc>
          <w:tcPr>
            <w:tcW w:w="80" w:type="dxa"/>
            <w:vAlign w:val="bottom"/>
            <w:tcBorders>
              <w:top w:val="single" w:sz="8" w:color="CEFFE7"/>
            </w:tcBorders>
            <w:shd w:val="clear" w:color="auto" w:fill="CEFFE7"/>
          </w:tcPr>
          <w:p>
            <w:pPr>
              <w:spacing w:after="0"/>
              <w:rPr>
                <w:sz w:val="3"/>
                <w:szCs w:val="3"/>
                <w:color w:val="auto"/>
              </w:rPr>
            </w:pPr>
          </w:p>
        </w:tc>
        <w:tc>
          <w:tcPr>
            <w:tcW w:w="100" w:type="dxa"/>
            <w:vAlign w:val="bottom"/>
            <w:tcBorders>
              <w:top w:val="single" w:sz="8" w:color="CEFFE7"/>
            </w:tcBorders>
            <w:shd w:val="clear" w:color="auto" w:fill="CEFFE7"/>
          </w:tcPr>
          <w:p>
            <w:pPr>
              <w:spacing w:after="0"/>
              <w:rPr>
                <w:sz w:val="3"/>
                <w:szCs w:val="3"/>
                <w:color w:val="auto"/>
              </w:rPr>
            </w:pPr>
          </w:p>
        </w:tc>
        <w:tc>
          <w:tcPr>
            <w:tcW w:w="80" w:type="dxa"/>
            <w:vAlign w:val="bottom"/>
            <w:tcBorders>
              <w:top w:val="single" w:sz="8" w:color="0000EE"/>
            </w:tcBorders>
            <w:shd w:val="clear" w:color="auto" w:fill="CEFFE7"/>
          </w:tcPr>
          <w:p>
            <w:pPr>
              <w:spacing w:after="0"/>
              <w:rPr>
                <w:sz w:val="3"/>
                <w:szCs w:val="3"/>
                <w:color w:val="auto"/>
              </w:rPr>
            </w:pPr>
          </w:p>
        </w:tc>
        <w:tc>
          <w:tcPr>
            <w:tcW w:w="40" w:type="dxa"/>
            <w:vAlign w:val="bottom"/>
            <w:tcBorders>
              <w:top w:val="single" w:sz="8" w:color="CEFFE7"/>
            </w:tcBorders>
            <w:shd w:val="clear" w:color="auto" w:fill="CEFFE7"/>
          </w:tcPr>
          <w:p>
            <w:pPr>
              <w:spacing w:after="0"/>
              <w:rPr>
                <w:sz w:val="3"/>
                <w:szCs w:val="3"/>
                <w:color w:val="auto"/>
              </w:rPr>
            </w:pPr>
          </w:p>
        </w:tc>
      </w:tr>
      <w:tr>
        <w:trPr>
          <w:trHeight w:val="203"/>
        </w:trPr>
        <w:tc>
          <w:tcPr>
            <w:tcW w:w="20" w:type="dxa"/>
            <w:vAlign w:val="bottom"/>
          </w:tcPr>
          <w:p>
            <w:pPr>
              <w:spacing w:after="0"/>
              <w:rPr>
                <w:sz w:val="17"/>
                <w:szCs w:val="17"/>
                <w:color w:val="auto"/>
              </w:rPr>
            </w:pPr>
          </w:p>
        </w:tc>
        <w:tc>
          <w:tcPr>
            <w:tcW w:w="3780" w:type="dxa"/>
            <w:vAlign w:val="bottom"/>
            <w:gridSpan w:val="25"/>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WEBSITE ACCESS TO REPORTS</w:t>
              </w:r>
            </w:hyperlink>
          </w:p>
        </w:tc>
        <w:tc>
          <w:tcPr>
            <w:tcW w:w="6260" w:type="dxa"/>
            <w:vAlign w:val="bottom"/>
            <w:gridSpan w:val="19"/>
          </w:tcPr>
          <w:p>
            <w:pPr>
              <w:spacing w:after="0"/>
              <w:rPr>
                <w:sz w:val="17"/>
                <w:szCs w:val="17"/>
                <w:color w:val="auto"/>
              </w:rPr>
            </w:pPr>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10040" w:type="dxa"/>
            <w:vAlign w:val="bottom"/>
            <w:gridSpan w:val="44"/>
            <w:shd w:val="clear" w:color="auto" w:fill="CEFFE7"/>
          </w:tcPr>
          <w:p>
            <w:pPr>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INFORMATION</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8">
              <w:r>
                <w:rPr>
                  <w:rFonts w:ascii="Arial" w:cs="Arial" w:eastAsia="Arial" w:hAnsi="Arial"/>
                  <w:sz w:val="18"/>
                  <w:szCs w:val="18"/>
                  <w:color w:val="0000EE"/>
                </w:rPr>
                <w:t>8</w:t>
              </w:r>
            </w:hyperlink>
          </w:p>
        </w:tc>
      </w:tr>
      <w:tr>
        <w:trPr>
          <w:trHeight w:val="203"/>
        </w:trPr>
        <w:tc>
          <w:tcPr>
            <w:tcW w:w="20" w:type="dxa"/>
            <w:vAlign w:val="bottom"/>
            <w:tcBorders>
              <w:top w:val="single" w:sz="8" w:color="CEFFE7"/>
            </w:tcBorders>
          </w:tcPr>
          <w:p>
            <w:pPr>
              <w:spacing w:after="0"/>
              <w:rPr>
                <w:sz w:val="17"/>
                <w:szCs w:val="17"/>
                <w:color w:val="auto"/>
              </w:rPr>
            </w:pPr>
          </w:p>
        </w:tc>
        <w:tc>
          <w:tcPr>
            <w:tcW w:w="1680" w:type="dxa"/>
            <w:vAlign w:val="bottom"/>
            <w:tcBorders>
              <w:top w:val="single" w:sz="8" w:color="0000EE"/>
            </w:tcBorders>
            <w:gridSpan w:val="12"/>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Part I</w:t>
              </w:r>
            </w:hyperlink>
          </w:p>
        </w:tc>
        <w:tc>
          <w:tcPr>
            <w:tcW w:w="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CEFFE7"/>
            </w:tcBorders>
          </w:tcPr>
          <w:p>
            <w:pPr>
              <w:spacing w:after="0"/>
              <w:rPr>
                <w:sz w:val="17"/>
                <w:szCs w:val="17"/>
                <w:color w:val="auto"/>
              </w:rPr>
            </w:pPr>
          </w:p>
        </w:tc>
        <w:tc>
          <w:tcPr>
            <w:tcW w:w="120" w:type="dxa"/>
            <w:vAlign w:val="bottom"/>
            <w:tcBorders>
              <w:top w:val="single" w:sz="8" w:color="CEFFE7"/>
            </w:tcBorders>
          </w:tcPr>
          <w:p>
            <w:pPr>
              <w:spacing w:after="0"/>
              <w:rPr>
                <w:sz w:val="17"/>
                <w:szCs w:val="17"/>
                <w:color w:val="auto"/>
              </w:rPr>
            </w:pPr>
          </w:p>
        </w:tc>
        <w:tc>
          <w:tcPr>
            <w:tcW w:w="220" w:type="dxa"/>
            <w:vAlign w:val="bottom"/>
            <w:tcBorders>
              <w:top w:val="single" w:sz="8" w:color="CEFFE7"/>
            </w:tcBorders>
          </w:tcPr>
          <w:p>
            <w:pPr>
              <w:spacing w:after="0"/>
              <w:rPr>
                <w:sz w:val="17"/>
                <w:szCs w:val="17"/>
                <w:color w:val="auto"/>
              </w:rPr>
            </w:pPr>
          </w:p>
        </w:tc>
        <w:tc>
          <w:tcPr>
            <w:tcW w:w="14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20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160" w:type="dxa"/>
            <w:vAlign w:val="bottom"/>
            <w:tcBorders>
              <w:top w:val="single" w:sz="8" w:color="CEFFE7"/>
            </w:tcBorders>
          </w:tcPr>
          <w:p>
            <w:pPr>
              <w:spacing w:after="0"/>
              <w:rPr>
                <w:sz w:val="17"/>
                <w:szCs w:val="17"/>
                <w:color w:val="auto"/>
              </w:rPr>
            </w:pPr>
          </w:p>
        </w:tc>
        <w:tc>
          <w:tcPr>
            <w:tcW w:w="16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80" w:type="dxa"/>
            <w:vAlign w:val="bottom"/>
            <w:tcBorders>
              <w:top w:val="single" w:sz="8" w:color="CEFFE7"/>
            </w:tcBorders>
          </w:tcPr>
          <w:p>
            <w:pPr>
              <w:spacing w:after="0"/>
              <w:rPr>
                <w:sz w:val="17"/>
                <w:szCs w:val="17"/>
                <w:color w:val="auto"/>
              </w:rPr>
            </w:pPr>
          </w:p>
        </w:tc>
        <w:tc>
          <w:tcPr>
            <w:tcW w:w="820" w:type="dxa"/>
            <w:vAlign w:val="bottom"/>
            <w:tcBorders>
              <w:top w:val="single" w:sz="8" w:color="CEFFE7"/>
            </w:tcBorders>
          </w:tcPr>
          <w:p>
            <w:pPr>
              <w:spacing w:after="0"/>
              <w:rPr>
                <w:sz w:val="17"/>
                <w:szCs w:val="17"/>
                <w:color w:val="auto"/>
              </w:rPr>
            </w:pPr>
          </w:p>
        </w:tc>
        <w:tc>
          <w:tcPr>
            <w:tcW w:w="120" w:type="dxa"/>
            <w:vAlign w:val="bottom"/>
            <w:tcBorders>
              <w:top w:val="single" w:sz="8" w:color="CEFFE7"/>
            </w:tcBorders>
          </w:tcPr>
          <w:p>
            <w:pPr>
              <w:spacing w:after="0"/>
              <w:rPr>
                <w:sz w:val="17"/>
                <w:szCs w:val="17"/>
                <w:color w:val="auto"/>
              </w:rPr>
            </w:pPr>
          </w:p>
        </w:tc>
        <w:tc>
          <w:tcPr>
            <w:tcW w:w="620" w:type="dxa"/>
            <w:vAlign w:val="bottom"/>
            <w:tcBorders>
              <w:top w:val="single" w:sz="8" w:color="CEFFE7"/>
            </w:tcBorders>
          </w:tcPr>
          <w:p>
            <w:pPr>
              <w:spacing w:after="0"/>
              <w:rPr>
                <w:sz w:val="17"/>
                <w:szCs w:val="17"/>
                <w:color w:val="auto"/>
              </w:rPr>
            </w:pPr>
          </w:p>
        </w:tc>
        <w:tc>
          <w:tcPr>
            <w:tcW w:w="1140" w:type="dxa"/>
            <w:vAlign w:val="bottom"/>
            <w:tcBorders>
              <w:top w:val="single" w:sz="8" w:color="CEFFE7"/>
            </w:tcBorders>
          </w:tcPr>
          <w:p>
            <w:pPr>
              <w:spacing w:after="0"/>
              <w:rPr>
                <w:sz w:val="17"/>
                <w:szCs w:val="17"/>
                <w:color w:val="auto"/>
              </w:rPr>
            </w:pPr>
          </w:p>
        </w:tc>
        <w:tc>
          <w:tcPr>
            <w:tcW w:w="190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18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6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ITEMS 1. and 2.</w:t>
              </w:r>
            </w:hyperlink>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BUSINESS AND PROPERTIES</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82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40" w:type="dxa"/>
            <w:vAlign w:val="bottom"/>
            <w:gridSpan w:val="1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History and Organization</w:t>
              </w:r>
            </w:hyperlink>
          </w:p>
        </w:tc>
        <w:tc>
          <w:tcPr>
            <w:tcW w:w="5980" w:type="dxa"/>
            <w:vAlign w:val="bottom"/>
            <w:gridSpan w:val="17"/>
          </w:tcPr>
          <w:p>
            <w:pPr>
              <w:spacing w:after="0"/>
              <w:rPr>
                <w:sz w:val="17"/>
                <w:szCs w:val="17"/>
                <w:color w:val="auto"/>
              </w:rPr>
            </w:pPr>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40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6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8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1200" w:type="dxa"/>
            <w:vAlign w:val="bottom"/>
            <w:gridSpan w:val="8"/>
            <w:shd w:val="clear" w:color="auto" w:fill="CEFFE7"/>
          </w:tcPr>
          <w:p>
            <w:pPr>
              <w:spacing w:after="0" w:line="202" w:lineRule="exact"/>
              <w:rPr>
                <w:rFonts w:ascii="Arial" w:cs="Arial" w:eastAsia="Arial" w:hAnsi="Arial"/>
                <w:sz w:val="18"/>
                <w:szCs w:val="18"/>
                <w:color w:val="0000EE"/>
                <w:w w:val="96"/>
              </w:rPr>
            </w:pPr>
            <w:hyperlink w:anchor="page9">
              <w:r>
                <w:rPr>
                  <w:rFonts w:ascii="Arial" w:cs="Arial" w:eastAsia="Arial" w:hAnsi="Arial"/>
                  <w:sz w:val="18"/>
                  <w:szCs w:val="18"/>
                  <w:color w:val="0000EE"/>
                  <w:w w:val="96"/>
                </w:rPr>
                <w:t>Electric Utilities</w:t>
              </w:r>
            </w:hyperlink>
          </w:p>
        </w:tc>
        <w:tc>
          <w:tcPr>
            <w:tcW w:w="6820" w:type="dxa"/>
            <w:vAlign w:val="bottom"/>
            <w:gridSpan w:val="23"/>
            <w:shd w:val="clear" w:color="auto" w:fill="CEFFE7"/>
          </w:tcPr>
          <w:p>
            <w:pPr>
              <w:spacing w:after="0"/>
              <w:rPr>
                <w:sz w:val="17"/>
                <w:szCs w:val="17"/>
                <w:color w:val="auto"/>
              </w:rPr>
            </w:pPr>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9</w:t>
              </w:r>
            </w:hyperlink>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82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gridSpan w:val="8"/>
          </w:tcPr>
          <w:p>
            <w:pPr>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Gas Utilities</w:t>
              </w:r>
            </w:hyperlink>
          </w:p>
        </w:tc>
        <w:tc>
          <w:tcPr>
            <w:tcW w:w="6820" w:type="dxa"/>
            <w:vAlign w:val="bottom"/>
            <w:gridSpan w:val="23"/>
          </w:tcPr>
          <w:p>
            <w:pPr>
              <w:spacing w:after="0"/>
              <w:rPr>
                <w:sz w:val="17"/>
                <w:szCs w:val="17"/>
                <w:color w:val="auto"/>
              </w:rPr>
            </w:pPr>
          </w:p>
        </w:tc>
        <w:tc>
          <w:tcPr>
            <w:tcW w:w="1060" w:type="dxa"/>
            <w:vAlign w:val="bottom"/>
            <w:gridSpan w:val="4"/>
          </w:tcPr>
          <w:p>
            <w:pPr>
              <w:jc w:val="right"/>
              <w:spacing w:after="0" w:line="202" w:lineRule="exact"/>
              <w:rPr>
                <w:rFonts w:ascii="Arial" w:cs="Arial" w:eastAsia="Arial" w:hAnsi="Arial"/>
                <w:sz w:val="18"/>
                <w:szCs w:val="18"/>
                <w:color w:val="0000EE"/>
              </w:rPr>
            </w:pPr>
            <w:hyperlink w:anchor="page17">
              <w:r>
                <w:rPr>
                  <w:rFonts w:ascii="Arial" w:cs="Arial" w:eastAsia="Arial" w:hAnsi="Arial"/>
                  <w:sz w:val="18"/>
                  <w:szCs w:val="18"/>
                  <w:color w:val="0000EE"/>
                </w:rPr>
                <w:t>17</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400" w:type="dxa"/>
            <w:vAlign w:val="bottom"/>
            <w:shd w:val="clear" w:color="auto" w:fill="CEFFE7"/>
          </w:tcPr>
          <w:p>
            <w:pPr>
              <w:spacing w:after="0"/>
              <w:rPr>
                <w:sz w:val="21"/>
                <w:szCs w:val="21"/>
                <w:color w:val="auto"/>
              </w:rPr>
            </w:pPr>
          </w:p>
        </w:tc>
        <w:tc>
          <w:tcPr>
            <w:tcW w:w="60" w:type="dxa"/>
            <w:vAlign w:val="bottom"/>
            <w:shd w:val="clear" w:color="auto" w:fill="CEFFE7"/>
          </w:tcPr>
          <w:p>
            <w:pPr>
              <w:spacing w:after="0"/>
              <w:rPr>
                <w:sz w:val="21"/>
                <w:szCs w:val="21"/>
                <w:color w:val="auto"/>
              </w:rPr>
            </w:pPr>
          </w:p>
        </w:tc>
        <w:tc>
          <w:tcPr>
            <w:tcW w:w="6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340" w:type="dxa"/>
            <w:vAlign w:val="bottom"/>
            <w:shd w:val="clear" w:color="auto" w:fill="CEFFE7"/>
          </w:tcPr>
          <w:p>
            <w:pPr>
              <w:spacing w:after="0"/>
              <w:rPr>
                <w:sz w:val="21"/>
                <w:szCs w:val="21"/>
                <w:color w:val="auto"/>
              </w:rPr>
            </w:pPr>
          </w:p>
        </w:tc>
        <w:tc>
          <w:tcPr>
            <w:tcW w:w="8020" w:type="dxa"/>
            <w:vAlign w:val="bottom"/>
            <w:gridSpan w:val="31"/>
            <w:shd w:val="clear" w:color="auto" w:fill="CEFFE7"/>
          </w:tcPr>
          <w:p>
            <w:pPr>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Utility Regulation Characteristics</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22">
              <w:r>
                <w:rPr>
                  <w:rFonts w:ascii="Arial" w:cs="Arial" w:eastAsia="Arial" w:hAnsi="Arial"/>
                  <w:sz w:val="18"/>
                  <w:szCs w:val="18"/>
                  <w:color w:val="0000EE"/>
                </w:rPr>
                <w:t>22</w:t>
              </w:r>
            </w:hyperlink>
          </w:p>
        </w:tc>
        <w:tc>
          <w:tcPr>
            <w:tcW w:w="40" w:type="dxa"/>
            <w:vAlign w:val="bottom"/>
            <w:shd w:val="clear" w:color="auto" w:fill="CEFFE7"/>
          </w:tcPr>
          <w:p>
            <w:pPr>
              <w:spacing w:after="0"/>
              <w:rPr>
                <w:sz w:val="21"/>
                <w:szCs w:val="21"/>
                <w:color w:val="auto"/>
              </w:rPr>
            </w:pPr>
          </w:p>
        </w:tc>
      </w:tr>
      <w:tr>
        <w:trPr>
          <w:trHeight w:val="203"/>
        </w:trPr>
        <w:tc>
          <w:tcPr>
            <w:tcW w:w="20" w:type="dxa"/>
            <w:vAlign w:val="bottom"/>
            <w:tcBorders>
              <w:top w:val="single" w:sz="8" w:color="CEFFE7"/>
            </w:tcBorders>
          </w:tcPr>
          <w:p>
            <w:pPr>
              <w:spacing w:after="0"/>
              <w:rPr>
                <w:sz w:val="17"/>
                <w:szCs w:val="17"/>
                <w:color w:val="auto"/>
              </w:rPr>
            </w:pPr>
          </w:p>
        </w:tc>
        <w:tc>
          <w:tcPr>
            <w:tcW w:w="40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34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140" w:type="dxa"/>
            <w:vAlign w:val="bottom"/>
            <w:tcBorders>
              <w:top w:val="single" w:sz="8" w:color="CEFFE7"/>
            </w:tcBorders>
          </w:tcPr>
          <w:p>
            <w:pPr>
              <w:spacing w:after="0"/>
              <w:rPr>
                <w:sz w:val="17"/>
                <w:szCs w:val="17"/>
                <w:color w:val="auto"/>
              </w:rPr>
            </w:pPr>
          </w:p>
        </w:tc>
        <w:tc>
          <w:tcPr>
            <w:tcW w:w="340" w:type="dxa"/>
            <w:vAlign w:val="bottom"/>
            <w:tcBorders>
              <w:top w:val="single" w:sz="8" w:color="CEFFE7"/>
            </w:tcBorders>
          </w:tcPr>
          <w:p>
            <w:pPr>
              <w:spacing w:after="0"/>
              <w:rPr>
                <w:sz w:val="17"/>
                <w:szCs w:val="17"/>
                <w:color w:val="auto"/>
              </w:rPr>
            </w:pPr>
          </w:p>
        </w:tc>
        <w:tc>
          <w:tcPr>
            <w:tcW w:w="340" w:type="dxa"/>
            <w:vAlign w:val="bottom"/>
            <w:tcBorders>
              <w:top w:val="single" w:sz="8" w:color="CEFFE7"/>
            </w:tcBorders>
          </w:tcPr>
          <w:p>
            <w:pPr>
              <w:spacing w:after="0"/>
              <w:rPr>
                <w:sz w:val="17"/>
                <w:szCs w:val="17"/>
                <w:color w:val="auto"/>
              </w:rPr>
            </w:pPr>
          </w:p>
        </w:tc>
        <w:tc>
          <w:tcPr>
            <w:tcW w:w="2420" w:type="dxa"/>
            <w:vAlign w:val="bottom"/>
            <w:tcBorders>
              <w:top w:val="single" w:sz="8" w:color="0000EE"/>
            </w:tcBorders>
            <w:gridSpan w:val="18"/>
          </w:tcPr>
          <w:p>
            <w:pPr>
              <w:spacing w:after="0" w:line="202" w:lineRule="exact"/>
              <w:rPr>
                <w:rFonts w:ascii="Arial" w:cs="Arial" w:eastAsia="Arial" w:hAnsi="Arial"/>
                <w:sz w:val="18"/>
                <w:szCs w:val="18"/>
                <w:color w:val="0000EE"/>
              </w:rPr>
            </w:pPr>
            <w:hyperlink w:anchor="page23">
              <w:r>
                <w:rPr>
                  <w:rFonts w:ascii="Arial" w:cs="Arial" w:eastAsia="Arial" w:hAnsi="Arial"/>
                  <w:sz w:val="18"/>
                  <w:szCs w:val="18"/>
                  <w:color w:val="0000EE"/>
                </w:rPr>
                <w:t>Power Generation</w:t>
              </w:r>
            </w:hyperlink>
          </w:p>
        </w:tc>
        <w:tc>
          <w:tcPr>
            <w:tcW w:w="5600" w:type="dxa"/>
            <w:vAlign w:val="bottom"/>
            <w:tcBorders>
              <w:top w:val="single" w:sz="8" w:color="CEFFE7"/>
            </w:tcBorders>
            <w:gridSpan w:val="13"/>
          </w:tcPr>
          <w:p>
            <w:pPr>
              <w:spacing w:after="0"/>
              <w:rPr>
                <w:sz w:val="17"/>
                <w:szCs w:val="17"/>
                <w:color w:val="auto"/>
              </w:rPr>
            </w:pPr>
          </w:p>
        </w:tc>
        <w:tc>
          <w:tcPr>
            <w:tcW w:w="880" w:type="dxa"/>
            <w:vAlign w:val="bottom"/>
            <w:tcBorders>
              <w:top w:val="single" w:sz="8" w:color="CEFFE7"/>
            </w:tcBorders>
            <w:gridSpan w:val="2"/>
          </w:tcPr>
          <w:p>
            <w:pPr>
              <w:spacing w:after="0"/>
              <w:rPr>
                <w:sz w:val="17"/>
                <w:szCs w:val="17"/>
                <w:color w:val="auto"/>
              </w:rPr>
            </w:pPr>
          </w:p>
        </w:tc>
        <w:tc>
          <w:tcPr>
            <w:tcW w:w="180" w:type="dxa"/>
            <w:vAlign w:val="bottom"/>
            <w:tcBorders>
              <w:top w:val="single" w:sz="8" w:color="0000EE"/>
            </w:tcBorders>
            <w:gridSpan w:val="2"/>
          </w:tcPr>
          <w:p>
            <w:pPr>
              <w:jc w:val="right"/>
              <w:spacing w:after="0" w:line="202" w:lineRule="exact"/>
              <w:rPr>
                <w:rFonts w:ascii="Arial" w:cs="Arial" w:eastAsia="Arial" w:hAnsi="Arial"/>
                <w:sz w:val="18"/>
                <w:szCs w:val="18"/>
                <w:color w:val="0000EE"/>
                <w:w w:val="79"/>
              </w:rPr>
            </w:pPr>
            <w:hyperlink w:anchor="page23">
              <w:r>
                <w:rPr>
                  <w:rFonts w:ascii="Arial" w:cs="Arial" w:eastAsia="Arial" w:hAnsi="Arial"/>
                  <w:sz w:val="18"/>
                  <w:szCs w:val="18"/>
                  <w:color w:val="0000EE"/>
                  <w:w w:val="79"/>
                </w:rPr>
                <w:t>23</w:t>
              </w:r>
            </w:hyperlink>
          </w:p>
        </w:tc>
        <w:tc>
          <w:tcPr>
            <w:tcW w:w="40" w:type="dxa"/>
            <w:vAlign w:val="bottom"/>
            <w:tcBorders>
              <w:top w:val="single" w:sz="8" w:color="CEFFE7"/>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0000EE"/>
            </w:tcBorders>
            <w:shd w:val="clear" w:color="auto" w:fill="CEFFE7"/>
          </w:tcPr>
          <w:p>
            <w:pPr>
              <w:spacing w:after="0" w:line="202" w:lineRule="exact"/>
              <w:rPr>
                <w:rFonts w:ascii="Arial" w:cs="Arial" w:eastAsia="Arial" w:hAnsi="Arial"/>
                <w:sz w:val="18"/>
                <w:szCs w:val="18"/>
                <w:color w:val="0000EE"/>
                <w:w w:val="97"/>
              </w:rPr>
            </w:pPr>
            <w:hyperlink w:anchor="page25">
              <w:r>
                <w:rPr>
                  <w:rFonts w:ascii="Arial" w:cs="Arial" w:eastAsia="Arial" w:hAnsi="Arial"/>
                  <w:sz w:val="18"/>
                  <w:szCs w:val="18"/>
                  <w:color w:val="0000EE"/>
                  <w:w w:val="97"/>
                </w:rPr>
                <w:t>Mining</w:t>
              </w:r>
            </w:hyperlink>
          </w:p>
        </w:tc>
        <w:tc>
          <w:tcPr>
            <w:tcW w:w="7480" w:type="dxa"/>
            <w:vAlign w:val="bottom"/>
            <w:tcBorders>
              <w:bottom w:val="single" w:sz="8" w:color="CEFFE7"/>
            </w:tcBorders>
            <w:gridSpan w:val="30"/>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spacing w:after="0"/>
              <w:rPr>
                <w:sz w:val="21"/>
                <w:szCs w:val="21"/>
                <w:color w:val="auto"/>
              </w:rPr>
            </w:pPr>
          </w:p>
        </w:tc>
        <w:tc>
          <w:tcPr>
            <w:tcW w:w="180" w:type="dxa"/>
            <w:vAlign w:val="bottom"/>
            <w:tcBorders>
              <w:bottom w:val="single" w:sz="8" w:color="0000EE"/>
            </w:tcBorders>
            <w:gridSpan w:val="2"/>
            <w:shd w:val="clear" w:color="auto" w:fill="CEFFE7"/>
          </w:tcPr>
          <w:p>
            <w:pPr>
              <w:jc w:val="right"/>
              <w:spacing w:after="0" w:line="202" w:lineRule="exact"/>
              <w:rPr>
                <w:rFonts w:ascii="Arial" w:cs="Arial" w:eastAsia="Arial" w:hAnsi="Arial"/>
                <w:sz w:val="18"/>
                <w:szCs w:val="18"/>
                <w:color w:val="0000EE"/>
                <w:w w:val="79"/>
              </w:rPr>
            </w:pPr>
            <w:hyperlink w:anchor="page25">
              <w:r>
                <w:rPr>
                  <w:rFonts w:ascii="Arial" w:cs="Arial" w:eastAsia="Arial" w:hAnsi="Arial"/>
                  <w:sz w:val="18"/>
                  <w:szCs w:val="18"/>
                  <w:color w:val="0000EE"/>
                  <w:w w:val="79"/>
                </w:rPr>
                <w:t>25</w:t>
              </w:r>
            </w:hyperlink>
          </w:p>
        </w:tc>
        <w:tc>
          <w:tcPr>
            <w:tcW w:w="40" w:type="dxa"/>
            <w:vAlign w:val="bottom"/>
            <w:tcBorders>
              <w:bottom w:val="single" w:sz="8" w:color="CEFFE7"/>
            </w:tcBorders>
            <w:shd w:val="clear" w:color="auto" w:fill="CEFFE7"/>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20" w:type="dxa"/>
            <w:vAlign w:val="bottom"/>
            <w:gridSpan w:val="31"/>
          </w:tcPr>
          <w:p>
            <w:pPr>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Environmental Matters</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27">
              <w:r>
                <w:rPr>
                  <w:rFonts w:ascii="Arial" w:cs="Arial" w:eastAsia="Arial" w:hAnsi="Arial"/>
                  <w:sz w:val="18"/>
                  <w:szCs w:val="18"/>
                  <w:color w:val="0000EE"/>
                </w:rPr>
                <w:t>27</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6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8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0000EE"/>
            </w:tcBorders>
            <w:gridSpan w:val="8"/>
            <w:shd w:val="clear" w:color="auto" w:fill="CEFFE7"/>
          </w:tcPr>
          <w:p>
            <w:pPr>
              <w:spacing w:after="0" w:line="202" w:lineRule="exact"/>
              <w:rPr>
                <w:rFonts w:ascii="Arial" w:cs="Arial" w:eastAsia="Arial" w:hAnsi="Arial"/>
                <w:sz w:val="18"/>
                <w:szCs w:val="18"/>
                <w:color w:val="0000EE"/>
                <w:w w:val="89"/>
              </w:rPr>
            </w:pPr>
            <w:hyperlink w:anchor="page28">
              <w:r>
                <w:rPr>
                  <w:rFonts w:ascii="Arial" w:cs="Arial" w:eastAsia="Arial" w:hAnsi="Arial"/>
                  <w:sz w:val="18"/>
                  <w:szCs w:val="18"/>
                  <w:color w:val="0000EE"/>
                  <w:w w:val="89"/>
                </w:rPr>
                <w:t>Other Properties</w:t>
              </w:r>
            </w:hyperlink>
          </w:p>
        </w:tc>
        <w:tc>
          <w:tcPr>
            <w:tcW w:w="6820" w:type="dxa"/>
            <w:vAlign w:val="bottom"/>
            <w:tcBorders>
              <w:bottom w:val="single" w:sz="8" w:color="CEFFE7"/>
            </w:tcBorders>
            <w:gridSpan w:val="23"/>
            <w:shd w:val="clear" w:color="auto" w:fill="CEFFE7"/>
          </w:tcPr>
          <w:p>
            <w:pPr>
              <w:spacing w:after="0"/>
              <w:rPr>
                <w:sz w:val="21"/>
                <w:szCs w:val="21"/>
                <w:color w:val="auto"/>
              </w:rPr>
            </w:pPr>
          </w:p>
        </w:tc>
        <w:tc>
          <w:tcPr>
            <w:tcW w:w="880" w:type="dxa"/>
            <w:vAlign w:val="bottom"/>
            <w:tcBorders>
              <w:bottom w:val="single" w:sz="8" w:color="CEFFE7"/>
            </w:tcBorders>
            <w:gridSpan w:val="2"/>
            <w:shd w:val="clear" w:color="auto" w:fill="CEFFE7"/>
          </w:tcPr>
          <w:p>
            <w:pPr>
              <w:spacing w:after="0"/>
              <w:rPr>
                <w:sz w:val="21"/>
                <w:szCs w:val="21"/>
                <w:color w:val="auto"/>
              </w:rPr>
            </w:pPr>
          </w:p>
        </w:tc>
        <w:tc>
          <w:tcPr>
            <w:tcW w:w="180" w:type="dxa"/>
            <w:vAlign w:val="bottom"/>
            <w:tcBorders>
              <w:bottom w:val="single" w:sz="8" w:color="0000EE"/>
            </w:tcBorders>
            <w:gridSpan w:val="2"/>
            <w:shd w:val="clear" w:color="auto" w:fill="CEFFE7"/>
          </w:tcPr>
          <w:p>
            <w:pPr>
              <w:jc w:val="right"/>
              <w:spacing w:after="0" w:line="202" w:lineRule="exact"/>
              <w:rPr>
                <w:rFonts w:ascii="Arial" w:cs="Arial" w:eastAsia="Arial" w:hAnsi="Arial"/>
                <w:sz w:val="18"/>
                <w:szCs w:val="18"/>
                <w:color w:val="0000EE"/>
                <w:w w:val="79"/>
              </w:rPr>
            </w:pPr>
            <w:hyperlink w:anchor="page28">
              <w:r>
                <w:rPr>
                  <w:rFonts w:ascii="Arial" w:cs="Arial" w:eastAsia="Arial" w:hAnsi="Arial"/>
                  <w:sz w:val="18"/>
                  <w:szCs w:val="18"/>
                  <w:color w:val="0000EE"/>
                  <w:w w:val="79"/>
                </w:rPr>
                <w:t>28</w:t>
              </w:r>
            </w:hyperlink>
          </w:p>
        </w:tc>
        <w:tc>
          <w:tcPr>
            <w:tcW w:w="40" w:type="dxa"/>
            <w:vAlign w:val="bottom"/>
            <w:tcBorders>
              <w:bottom w:val="single" w:sz="8" w:color="CEFFE7"/>
            </w:tcBorders>
            <w:shd w:val="clear" w:color="auto" w:fill="CEFFE7"/>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20" w:type="dxa"/>
            <w:vAlign w:val="bottom"/>
            <w:gridSpan w:val="31"/>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Employees</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760" w:type="dxa"/>
            <w:vAlign w:val="bottom"/>
            <w:gridSpan w:val="8"/>
            <w:shd w:val="clear" w:color="auto" w:fill="CEFFE7"/>
          </w:tcPr>
          <w:p>
            <w:pPr>
              <w:spacing w:after="0" w:line="202" w:lineRule="exact"/>
              <w:rPr>
                <w:rFonts w:ascii="Arial" w:cs="Arial" w:eastAsia="Arial" w:hAnsi="Arial"/>
                <w:sz w:val="18"/>
                <w:szCs w:val="18"/>
                <w:color w:val="0000EE"/>
                <w:w w:val="98"/>
              </w:rPr>
            </w:pPr>
            <w:hyperlink w:anchor="page29">
              <w:r>
                <w:rPr>
                  <w:rFonts w:ascii="Arial" w:cs="Arial" w:eastAsia="Arial" w:hAnsi="Arial"/>
                  <w:sz w:val="18"/>
                  <w:szCs w:val="18"/>
                  <w:color w:val="0000EE"/>
                  <w:w w:val="98"/>
                </w:rPr>
                <w:t>ITEM 1A.</w:t>
              </w:r>
            </w:hyperlink>
          </w:p>
        </w:tc>
        <w:tc>
          <w:tcPr>
            <w:tcW w:w="920" w:type="dxa"/>
            <w:vAlign w:val="bottom"/>
            <w:gridSpan w:val="4"/>
            <w:shd w:val="clear" w:color="auto" w:fill="CEFFE7"/>
          </w:tcPr>
          <w:p>
            <w:pPr>
              <w:spacing w:after="0"/>
              <w:rPr>
                <w:sz w:val="17"/>
                <w:szCs w:val="17"/>
                <w:color w:val="auto"/>
              </w:rPr>
            </w:pPr>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RISK FACTORS</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29">
              <w:r>
                <w:rPr>
                  <w:rFonts w:ascii="Arial" w:cs="Arial" w:eastAsia="Arial" w:hAnsi="Arial"/>
                  <w:sz w:val="18"/>
                  <w:szCs w:val="18"/>
                  <w:color w:val="0000EE"/>
                </w:rPr>
                <w:t>29</w:t>
              </w:r>
            </w:hyperlink>
          </w:p>
        </w:tc>
        <w:tc>
          <w:tcPr>
            <w:tcW w:w="40" w:type="dxa"/>
            <w:vAlign w:val="bottom"/>
            <w:shd w:val="clear" w:color="auto" w:fill="CEFFE7"/>
          </w:tcPr>
          <w:p>
            <w:pPr>
              <w:spacing w:after="0"/>
              <w:rPr>
                <w:sz w:val="17"/>
                <w:szCs w:val="17"/>
                <w:color w:val="auto"/>
              </w:rPr>
            </w:pPr>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82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60" w:type="dxa"/>
            <w:vAlign w:val="bottom"/>
            <w:gridSpan w:val="8"/>
          </w:tcPr>
          <w:p>
            <w:pPr>
              <w:spacing w:after="0" w:line="202" w:lineRule="exact"/>
              <w:rPr>
                <w:rFonts w:ascii="Arial" w:cs="Arial" w:eastAsia="Arial" w:hAnsi="Arial"/>
                <w:sz w:val="18"/>
                <w:szCs w:val="18"/>
                <w:color w:val="0000EE"/>
                <w:w w:val="98"/>
              </w:rPr>
            </w:pPr>
            <w:hyperlink w:anchor="page37">
              <w:r>
                <w:rPr>
                  <w:rFonts w:ascii="Arial" w:cs="Arial" w:eastAsia="Arial" w:hAnsi="Arial"/>
                  <w:sz w:val="18"/>
                  <w:szCs w:val="18"/>
                  <w:color w:val="0000EE"/>
                  <w:w w:val="98"/>
                </w:rPr>
                <w:t>ITEM 1B.</w:t>
              </w:r>
            </w:hyperlink>
          </w:p>
        </w:tc>
        <w:tc>
          <w:tcPr>
            <w:tcW w:w="920" w:type="dxa"/>
            <w:vAlign w:val="bottom"/>
            <w:gridSpan w:val="4"/>
          </w:tcPr>
          <w:p>
            <w:pPr>
              <w:spacing w:after="0"/>
              <w:rPr>
                <w:sz w:val="17"/>
                <w:szCs w:val="17"/>
                <w:color w:val="auto"/>
              </w:rPr>
            </w:pPr>
          </w:p>
        </w:tc>
        <w:tc>
          <w:tcPr>
            <w:tcW w:w="8360" w:type="dxa"/>
            <w:vAlign w:val="bottom"/>
            <w:gridSpan w:val="32"/>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UNRESOLVED STAFF COMMENTS</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3.</w:t>
              </w:r>
            </w:hyperlink>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40" w:type="dxa"/>
            <w:vAlign w:val="bottom"/>
            <w:shd w:val="clear" w:color="auto" w:fill="CEFFE7"/>
          </w:tcPr>
          <w:p>
            <w:pPr>
              <w:spacing w:after="0"/>
              <w:rPr>
                <w:sz w:val="17"/>
                <w:szCs w:val="17"/>
                <w:color w:val="auto"/>
              </w:rPr>
            </w:pPr>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82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680" w:type="dxa"/>
            <w:vAlign w:val="bottom"/>
            <w:gridSpan w:val="12"/>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ITEM 4.</w:t>
              </w:r>
            </w:hyperlink>
          </w:p>
        </w:tc>
        <w:tc>
          <w:tcPr>
            <w:tcW w:w="8360" w:type="dxa"/>
            <w:vAlign w:val="bottom"/>
            <w:gridSpan w:val="32"/>
          </w:tcPr>
          <w:p>
            <w:pPr>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MINE SAFETY DISCLOSURES</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37">
              <w:r>
                <w:rPr>
                  <w:rFonts w:ascii="Arial" w:cs="Arial" w:eastAsia="Arial" w:hAnsi="Arial"/>
                  <w:sz w:val="18"/>
                  <w:szCs w:val="18"/>
                  <w:color w:val="0000EE"/>
                </w:rPr>
                <w:t>37</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10040" w:type="dxa"/>
            <w:vAlign w:val="bottom"/>
            <w:gridSpan w:val="44"/>
            <w:shd w:val="clear" w:color="auto" w:fill="CEFFE7"/>
          </w:tcPr>
          <w:p>
            <w:pPr>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INFORMATION ABOUT OUR EXECUTIVE OFFICERS</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38">
              <w:r>
                <w:rPr>
                  <w:rFonts w:ascii="Arial" w:cs="Arial" w:eastAsia="Arial" w:hAnsi="Arial"/>
                  <w:sz w:val="18"/>
                  <w:szCs w:val="18"/>
                  <w:color w:val="0000EE"/>
                </w:rPr>
                <w:t>38</w:t>
              </w:r>
            </w:hyperlink>
          </w:p>
        </w:tc>
        <w:tc>
          <w:tcPr>
            <w:tcW w:w="40" w:type="dxa"/>
            <w:vAlign w:val="bottom"/>
            <w:shd w:val="clear" w:color="auto" w:fill="CEFFE7"/>
          </w:tcPr>
          <w:p>
            <w:pPr>
              <w:spacing w:after="0"/>
              <w:rPr>
                <w:sz w:val="21"/>
                <w:szCs w:val="21"/>
                <w:color w:val="auto"/>
              </w:rPr>
            </w:pPr>
          </w:p>
        </w:tc>
      </w:tr>
      <w:tr>
        <w:trPr>
          <w:trHeight w:val="203"/>
        </w:trPr>
        <w:tc>
          <w:tcPr>
            <w:tcW w:w="20" w:type="dxa"/>
            <w:vAlign w:val="bottom"/>
            <w:tcBorders>
              <w:top w:val="single" w:sz="8" w:color="CEFFE7"/>
            </w:tcBorders>
          </w:tcPr>
          <w:p>
            <w:pPr>
              <w:spacing w:after="0"/>
              <w:rPr>
                <w:sz w:val="17"/>
                <w:szCs w:val="17"/>
                <w:color w:val="auto"/>
              </w:rPr>
            </w:pPr>
          </w:p>
        </w:tc>
        <w:tc>
          <w:tcPr>
            <w:tcW w:w="1680" w:type="dxa"/>
            <w:vAlign w:val="bottom"/>
            <w:tcBorders>
              <w:top w:val="single" w:sz="8" w:color="0000EE"/>
            </w:tcBorders>
            <w:gridSpan w:val="12"/>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Part II</w:t>
              </w:r>
            </w:hyperlink>
          </w:p>
        </w:tc>
        <w:tc>
          <w:tcPr>
            <w:tcW w:w="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80" w:type="dxa"/>
            <w:vAlign w:val="bottom"/>
            <w:tcBorders>
              <w:top w:val="single" w:sz="8" w:color="CEFFE7"/>
            </w:tcBorders>
          </w:tcPr>
          <w:p>
            <w:pPr>
              <w:spacing w:after="0"/>
              <w:rPr>
                <w:sz w:val="17"/>
                <w:szCs w:val="17"/>
                <w:color w:val="auto"/>
              </w:rPr>
            </w:pPr>
          </w:p>
        </w:tc>
        <w:tc>
          <w:tcPr>
            <w:tcW w:w="820" w:type="dxa"/>
            <w:vAlign w:val="bottom"/>
            <w:tcBorders>
              <w:top w:val="single" w:sz="8" w:color="CEFFE7"/>
            </w:tcBorders>
          </w:tcPr>
          <w:p>
            <w:pPr>
              <w:spacing w:after="0"/>
              <w:rPr>
                <w:sz w:val="17"/>
                <w:szCs w:val="17"/>
                <w:color w:val="auto"/>
              </w:rPr>
            </w:pPr>
          </w:p>
        </w:tc>
        <w:tc>
          <w:tcPr>
            <w:tcW w:w="120" w:type="dxa"/>
            <w:vAlign w:val="bottom"/>
            <w:tcBorders>
              <w:top w:val="single" w:sz="8" w:color="CEFFE7"/>
            </w:tcBorders>
          </w:tcPr>
          <w:p>
            <w:pPr>
              <w:spacing w:after="0"/>
              <w:rPr>
                <w:sz w:val="17"/>
                <w:szCs w:val="17"/>
                <w:color w:val="auto"/>
              </w:rPr>
            </w:pPr>
          </w:p>
        </w:tc>
        <w:tc>
          <w:tcPr>
            <w:tcW w:w="620" w:type="dxa"/>
            <w:vAlign w:val="bottom"/>
            <w:tcBorders>
              <w:top w:val="single" w:sz="8" w:color="CEFFE7"/>
            </w:tcBorders>
          </w:tcPr>
          <w:p>
            <w:pPr>
              <w:spacing w:after="0"/>
              <w:rPr>
                <w:sz w:val="17"/>
                <w:szCs w:val="17"/>
                <w:color w:val="auto"/>
              </w:rPr>
            </w:pPr>
          </w:p>
        </w:tc>
        <w:tc>
          <w:tcPr>
            <w:tcW w:w="1140" w:type="dxa"/>
            <w:vAlign w:val="bottom"/>
            <w:tcBorders>
              <w:top w:val="single" w:sz="8" w:color="CEFFE7"/>
            </w:tcBorders>
          </w:tcPr>
          <w:p>
            <w:pPr>
              <w:spacing w:after="0"/>
              <w:rPr>
                <w:sz w:val="17"/>
                <w:szCs w:val="17"/>
                <w:color w:val="auto"/>
              </w:rPr>
            </w:pPr>
          </w:p>
        </w:tc>
        <w:tc>
          <w:tcPr>
            <w:tcW w:w="190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18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6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5.</w:t>
              </w:r>
            </w:hyperlink>
          </w:p>
        </w:tc>
        <w:tc>
          <w:tcPr>
            <w:tcW w:w="8360" w:type="dxa"/>
            <w:vAlign w:val="bottom"/>
            <w:gridSpan w:val="32"/>
            <w:shd w:val="clear" w:color="auto" w:fill="CEFFE7"/>
          </w:tcPr>
          <w:p>
            <w:pPr>
              <w:spacing w:after="0" w:line="202" w:lineRule="exact"/>
              <w:rPr>
                <w:rFonts w:ascii="Arial" w:cs="Arial" w:eastAsia="Arial" w:hAnsi="Arial"/>
                <w:sz w:val="18"/>
                <w:szCs w:val="18"/>
                <w:color w:val="0000EE"/>
                <w:w w:val="97"/>
              </w:rPr>
            </w:pPr>
            <w:hyperlink w:anchor="page39">
              <w:r>
                <w:rPr>
                  <w:rFonts w:ascii="Arial" w:cs="Arial" w:eastAsia="Arial" w:hAnsi="Arial"/>
                  <w:sz w:val="18"/>
                  <w:szCs w:val="18"/>
                  <w:color w:val="0000EE"/>
                  <w:w w:val="97"/>
                </w:rPr>
                <w:t>MARKET FOR REGISTRANT’S COMMON EQUITY, RELATED STOCKHOLDER MATTERS AND ISSUER</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39</w:t>
              </w:r>
            </w:hyperlink>
          </w:p>
        </w:tc>
        <w:tc>
          <w:tcPr>
            <w:tcW w:w="40" w:type="dxa"/>
            <w:vAlign w:val="bottom"/>
            <w:shd w:val="clear" w:color="auto" w:fill="CEFFE7"/>
          </w:tcPr>
          <w:p>
            <w:pPr>
              <w:spacing w:after="0"/>
              <w:rPr>
                <w:sz w:val="17"/>
                <w:szCs w:val="17"/>
                <w:color w:val="auto"/>
              </w:rPr>
            </w:pPr>
          </w:p>
        </w:tc>
      </w:tr>
      <w:tr>
        <w:trPr>
          <w:trHeight w:val="244"/>
        </w:trPr>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40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CEFFE7"/>
              <w:bottom w:val="single" w:sz="8" w:color="CEFFE7"/>
            </w:tcBorders>
            <w:shd w:val="clear" w:color="auto" w:fill="CEFFE7"/>
          </w:tcPr>
          <w:p>
            <w:pPr>
              <w:spacing w:after="0"/>
              <w:rPr>
                <w:sz w:val="21"/>
                <w:szCs w:val="21"/>
                <w:color w:val="auto"/>
              </w:rPr>
            </w:pPr>
          </w:p>
        </w:tc>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340" w:type="dxa"/>
            <w:vAlign w:val="bottom"/>
            <w:tcBorders>
              <w:top w:val="single" w:sz="8" w:color="CEFFE7"/>
              <w:bottom w:val="single" w:sz="8" w:color="CEFFE7"/>
            </w:tcBorders>
            <w:shd w:val="clear" w:color="auto" w:fill="CEFFE7"/>
          </w:tcPr>
          <w:p>
            <w:pPr>
              <w:spacing w:after="0"/>
              <w:rPr>
                <w:sz w:val="21"/>
                <w:szCs w:val="21"/>
                <w:color w:val="auto"/>
              </w:rPr>
            </w:pP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40" w:type="dxa"/>
            <w:vAlign w:val="bottom"/>
            <w:tcBorders>
              <w:top w:val="single" w:sz="8" w:color="CEFFE7"/>
              <w:bottom w:val="single" w:sz="8" w:color="CEFFE7"/>
            </w:tcBorders>
            <w:shd w:val="clear" w:color="auto" w:fill="CEFFE7"/>
          </w:tcPr>
          <w:p>
            <w:pPr>
              <w:spacing w:after="0"/>
              <w:rPr>
                <w:sz w:val="21"/>
                <w:szCs w:val="21"/>
                <w:color w:val="auto"/>
              </w:rPr>
            </w:pPr>
          </w:p>
        </w:tc>
        <w:tc>
          <w:tcPr>
            <w:tcW w:w="340" w:type="dxa"/>
            <w:vAlign w:val="bottom"/>
            <w:tcBorders>
              <w:top w:val="single" w:sz="8" w:color="CEFFE7"/>
              <w:bottom w:val="single" w:sz="8" w:color="CEFFE7"/>
            </w:tcBorders>
            <w:shd w:val="clear" w:color="auto" w:fill="CEFFE7"/>
          </w:tcPr>
          <w:p>
            <w:pPr>
              <w:spacing w:after="0"/>
              <w:rPr>
                <w:sz w:val="21"/>
                <w:szCs w:val="21"/>
                <w:color w:val="auto"/>
              </w:rPr>
            </w:pPr>
          </w:p>
        </w:tc>
        <w:tc>
          <w:tcPr>
            <w:tcW w:w="3100" w:type="dxa"/>
            <w:vAlign w:val="bottom"/>
            <w:tcBorders>
              <w:top w:val="single" w:sz="8" w:color="0000EE"/>
              <w:bottom w:val="single" w:sz="8" w:color="0000EE"/>
            </w:tcBorders>
            <w:gridSpan w:val="21"/>
            <w:shd w:val="clear" w:color="auto" w:fill="CEFFE7"/>
          </w:tcPr>
          <w:p>
            <w:pPr>
              <w:spacing w:after="0" w:line="196" w:lineRule="exact"/>
              <w:rPr>
                <w:rFonts w:ascii="Arial" w:cs="Arial" w:eastAsia="Arial" w:hAnsi="Arial"/>
                <w:sz w:val="18"/>
                <w:szCs w:val="18"/>
                <w:color w:val="0000EE"/>
                <w:w w:val="94"/>
              </w:rPr>
            </w:pPr>
            <w:hyperlink w:anchor="page39">
              <w:r>
                <w:rPr>
                  <w:rFonts w:ascii="Arial" w:cs="Arial" w:eastAsia="Arial" w:hAnsi="Arial"/>
                  <w:sz w:val="18"/>
                  <w:szCs w:val="18"/>
                  <w:color w:val="0000EE"/>
                  <w:w w:val="94"/>
                </w:rPr>
                <w:t>PURCHASES OF EQUITY SECURITIES</w:t>
              </w:r>
            </w:hyperlink>
          </w:p>
        </w:tc>
        <w:tc>
          <w:tcPr>
            <w:tcW w:w="5160" w:type="dxa"/>
            <w:vAlign w:val="bottom"/>
            <w:tcBorders>
              <w:top w:val="single" w:sz="8" w:color="0000EE"/>
              <w:bottom w:val="single" w:sz="8" w:color="CEFFE7"/>
            </w:tcBorders>
            <w:gridSpan w:val="10"/>
            <w:shd w:val="clear" w:color="auto" w:fill="CEFFE7"/>
          </w:tcPr>
          <w:p>
            <w:pPr>
              <w:spacing w:after="0"/>
              <w:rPr>
                <w:sz w:val="21"/>
                <w:szCs w:val="21"/>
                <w:color w:val="auto"/>
              </w:rPr>
            </w:pP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800" w:type="dxa"/>
            <w:vAlign w:val="bottom"/>
            <w:tcBorders>
              <w:top w:val="single" w:sz="8" w:color="CEFFE7"/>
              <w:bottom w:val="single" w:sz="8" w:color="CEFFE7"/>
            </w:tcBorders>
            <w:shd w:val="clear" w:color="auto" w:fill="CEFFE7"/>
          </w:tcPr>
          <w:p>
            <w:pPr>
              <w:spacing w:after="0"/>
              <w:rPr>
                <w:sz w:val="21"/>
                <w:szCs w:val="21"/>
                <w:color w:val="auto"/>
              </w:rPr>
            </w:pPr>
          </w:p>
        </w:tc>
        <w:tc>
          <w:tcPr>
            <w:tcW w:w="80" w:type="dxa"/>
            <w:vAlign w:val="bottom"/>
            <w:tcBorders>
              <w:top w:val="single" w:sz="8" w:color="CEFFE7"/>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40" w:type="dxa"/>
            <w:vAlign w:val="bottom"/>
            <w:tcBorders>
              <w:top w:val="single" w:sz="8" w:color="CEFFE7"/>
              <w:bottom w:val="single" w:sz="8" w:color="CEFFE7"/>
            </w:tcBorders>
            <w:shd w:val="clear" w:color="auto" w:fill="CEFFE7"/>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680" w:type="dxa"/>
            <w:vAlign w:val="bottom"/>
            <w:gridSpan w:val="12"/>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ITEM 6.</w:t>
              </w:r>
            </w:hyperlink>
          </w:p>
        </w:tc>
        <w:tc>
          <w:tcPr>
            <w:tcW w:w="8360" w:type="dxa"/>
            <w:vAlign w:val="bottom"/>
            <w:gridSpan w:val="32"/>
          </w:tcPr>
          <w:p>
            <w:pPr>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SELECTED FINANCIAL DATA</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40">
              <w:r>
                <w:rPr>
                  <w:rFonts w:ascii="Arial" w:cs="Arial" w:eastAsia="Arial" w:hAnsi="Arial"/>
                  <w:sz w:val="18"/>
                  <w:szCs w:val="18"/>
                  <w:color w:val="0000EE"/>
                </w:rPr>
                <w:t>40</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1340" w:type="dxa"/>
            <w:vAlign w:val="bottom"/>
            <w:gridSpan w:val="11"/>
            <w:shd w:val="clear" w:color="auto" w:fill="CEFFE7"/>
          </w:tcPr>
          <w:p>
            <w:pPr>
              <w:spacing w:after="0" w:line="202" w:lineRule="exact"/>
              <w:rPr>
                <w:rFonts w:ascii="Arial" w:cs="Arial" w:eastAsia="Arial" w:hAnsi="Arial"/>
                <w:sz w:val="18"/>
                <w:szCs w:val="18"/>
                <w:color w:val="0000EE"/>
                <w:w w:val="92"/>
              </w:rPr>
            </w:pPr>
            <w:hyperlink w:anchor="page42">
              <w:r>
                <w:rPr>
                  <w:rFonts w:ascii="Arial" w:cs="Arial" w:eastAsia="Arial" w:hAnsi="Arial"/>
                  <w:sz w:val="18"/>
                  <w:szCs w:val="18"/>
                  <w:color w:val="0000EE"/>
                  <w:w w:val="92"/>
                </w:rPr>
                <w:t>ITEMS 7. and 7A.</w:t>
              </w:r>
            </w:hyperlink>
          </w:p>
        </w:tc>
        <w:tc>
          <w:tcPr>
            <w:tcW w:w="340" w:type="dxa"/>
            <w:vAlign w:val="bottom"/>
            <w:shd w:val="clear" w:color="auto" w:fill="CEFFE7"/>
          </w:tcPr>
          <w:p>
            <w:pPr>
              <w:spacing w:after="0"/>
              <w:rPr>
                <w:sz w:val="17"/>
                <w:szCs w:val="17"/>
                <w:color w:val="auto"/>
              </w:rPr>
            </w:pPr>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MANAGEMENT’S DISCUSSION AND ANALYSIS OF FINANCIAL CONDITION AND RESULTS OF</w:t>
              </w:r>
            </w:hyperlink>
          </w:p>
        </w:tc>
        <w:tc>
          <w:tcPr>
            <w:tcW w:w="1060" w:type="dxa"/>
            <w:vAlign w:val="bottom"/>
            <w:gridSpan w:val="4"/>
            <w:shd w:val="clear" w:color="auto" w:fill="CEFFE7"/>
          </w:tcPr>
          <w:p>
            <w:pPr>
              <w:jc w:val="right"/>
              <w:spacing w:after="0" w:line="202" w:lineRule="exact"/>
              <w:rPr>
                <w:rFonts w:ascii="Arial" w:cs="Arial" w:eastAsia="Arial" w:hAnsi="Arial"/>
                <w:sz w:val="18"/>
                <w:szCs w:val="18"/>
                <w:color w:val="0000EE"/>
              </w:rPr>
            </w:pPr>
            <w:hyperlink w:anchor="page42">
              <w:r>
                <w:rPr>
                  <w:rFonts w:ascii="Arial" w:cs="Arial" w:eastAsia="Arial" w:hAnsi="Arial"/>
                  <w:sz w:val="18"/>
                  <w:szCs w:val="18"/>
                  <w:color w:val="0000EE"/>
                </w:rPr>
                <w:t>42</w:t>
              </w:r>
            </w:hyperlink>
          </w:p>
        </w:tc>
        <w:tc>
          <w:tcPr>
            <w:tcW w:w="40" w:type="dxa"/>
            <w:vAlign w:val="bottom"/>
            <w:shd w:val="clear" w:color="auto" w:fill="CEFFE7"/>
          </w:tcPr>
          <w:p>
            <w:pPr>
              <w:spacing w:after="0"/>
              <w:rPr>
                <w:sz w:val="17"/>
                <w:szCs w:val="17"/>
                <w:color w:val="auto"/>
              </w:rPr>
            </w:pPr>
          </w:p>
        </w:tc>
      </w:tr>
      <w:tr>
        <w:trPr>
          <w:trHeight w:val="244"/>
        </w:trPr>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40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20" w:type="dxa"/>
            <w:vAlign w:val="bottom"/>
            <w:tcBorders>
              <w:top w:val="single" w:sz="8" w:color="0000EE"/>
              <w:bottom w:val="single" w:sz="8" w:color="CEFFE7"/>
            </w:tcBorders>
            <w:shd w:val="clear" w:color="auto" w:fill="CEFFE7"/>
          </w:tcPr>
          <w:p>
            <w:pPr>
              <w:spacing w:after="0"/>
              <w:rPr>
                <w:sz w:val="21"/>
                <w:szCs w:val="21"/>
                <w:color w:val="auto"/>
              </w:rPr>
            </w:pPr>
          </w:p>
        </w:tc>
        <w:tc>
          <w:tcPr>
            <w:tcW w:w="20" w:type="dxa"/>
            <w:vAlign w:val="bottom"/>
            <w:tcBorders>
              <w:top w:val="single" w:sz="8" w:color="0000EE"/>
              <w:bottom w:val="single" w:sz="8" w:color="CEFFE7"/>
            </w:tcBorders>
            <w:shd w:val="clear" w:color="auto" w:fill="CEFFE7"/>
          </w:tcPr>
          <w:p>
            <w:pPr>
              <w:spacing w:after="0"/>
              <w:rPr>
                <w:sz w:val="21"/>
                <w:szCs w:val="21"/>
                <w:color w:val="auto"/>
              </w:rPr>
            </w:pPr>
          </w:p>
        </w:tc>
        <w:tc>
          <w:tcPr>
            <w:tcW w:w="20" w:type="dxa"/>
            <w:vAlign w:val="bottom"/>
            <w:tcBorders>
              <w:top w:val="single" w:sz="8" w:color="0000EE"/>
              <w:bottom w:val="single" w:sz="8" w:color="CEFFE7"/>
            </w:tcBorders>
            <w:shd w:val="clear" w:color="auto" w:fill="CEFFE7"/>
          </w:tcPr>
          <w:p>
            <w:pPr>
              <w:spacing w:after="0"/>
              <w:rPr>
                <w:sz w:val="21"/>
                <w:szCs w:val="21"/>
                <w:color w:val="auto"/>
              </w:rPr>
            </w:pPr>
          </w:p>
        </w:tc>
        <w:tc>
          <w:tcPr>
            <w:tcW w:w="340" w:type="dxa"/>
            <w:vAlign w:val="bottom"/>
            <w:tcBorders>
              <w:top w:val="single" w:sz="8" w:color="0000EE"/>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140" w:type="dxa"/>
            <w:vAlign w:val="bottom"/>
            <w:tcBorders>
              <w:top w:val="single" w:sz="8" w:color="0000EE"/>
              <w:bottom w:val="single" w:sz="8" w:color="CEFFE7"/>
            </w:tcBorders>
            <w:shd w:val="clear" w:color="auto" w:fill="CEFFE7"/>
          </w:tcPr>
          <w:p>
            <w:pPr>
              <w:spacing w:after="0"/>
              <w:rPr>
                <w:sz w:val="21"/>
                <w:szCs w:val="21"/>
                <w:color w:val="auto"/>
              </w:rPr>
            </w:pPr>
          </w:p>
        </w:tc>
        <w:tc>
          <w:tcPr>
            <w:tcW w:w="340" w:type="dxa"/>
            <w:vAlign w:val="bottom"/>
            <w:tcBorders>
              <w:top w:val="single" w:sz="8" w:color="CEFFE7"/>
              <w:bottom w:val="single" w:sz="8" w:color="CEFFE7"/>
            </w:tcBorders>
            <w:shd w:val="clear" w:color="auto" w:fill="CEFFE7"/>
          </w:tcPr>
          <w:p>
            <w:pPr>
              <w:spacing w:after="0"/>
              <w:rPr>
                <w:sz w:val="21"/>
                <w:szCs w:val="21"/>
                <w:color w:val="auto"/>
              </w:rPr>
            </w:pPr>
          </w:p>
        </w:tc>
        <w:tc>
          <w:tcPr>
            <w:tcW w:w="7720" w:type="dxa"/>
            <w:vAlign w:val="bottom"/>
            <w:tcBorders>
              <w:top w:val="single" w:sz="8" w:color="0000EE"/>
              <w:bottom w:val="single" w:sz="8" w:color="0000EE"/>
            </w:tcBorders>
            <w:gridSpan w:val="27"/>
            <w:shd w:val="clear" w:color="auto" w:fill="CEFFE7"/>
          </w:tcPr>
          <w:p>
            <w:pPr>
              <w:spacing w:after="0" w:line="196" w:lineRule="exact"/>
              <w:rPr>
                <w:rFonts w:ascii="Arial" w:cs="Arial" w:eastAsia="Arial" w:hAnsi="Arial"/>
                <w:sz w:val="18"/>
                <w:szCs w:val="18"/>
                <w:color w:val="0000EE"/>
                <w:w w:val="97"/>
              </w:rPr>
            </w:pPr>
            <w:hyperlink w:anchor="page42">
              <w:r>
                <w:rPr>
                  <w:rFonts w:ascii="Arial" w:cs="Arial" w:eastAsia="Arial" w:hAnsi="Arial"/>
                  <w:sz w:val="18"/>
                  <w:szCs w:val="18"/>
                  <w:color w:val="0000EE"/>
                  <w:w w:val="97"/>
                </w:rPr>
                <w:t>OPERATIONS AND QUANTITATIVE AND QUALITATIVE DISCLOSURES ABOUT MARKET RISK</w:t>
              </w:r>
            </w:hyperlink>
          </w:p>
        </w:tc>
        <w:tc>
          <w:tcPr>
            <w:tcW w:w="40" w:type="dxa"/>
            <w:vAlign w:val="bottom"/>
            <w:tcBorders>
              <w:top w:val="single" w:sz="8" w:color="0000EE"/>
              <w:bottom w:val="single" w:sz="8" w:color="CEFFE7"/>
            </w:tcBorders>
            <w:shd w:val="clear" w:color="auto" w:fill="CEFFE7"/>
          </w:tcPr>
          <w:p>
            <w:pPr>
              <w:spacing w:after="0"/>
              <w:rPr>
                <w:sz w:val="21"/>
                <w:szCs w:val="21"/>
                <w:color w:val="auto"/>
              </w:rPr>
            </w:pPr>
          </w:p>
        </w:tc>
        <w:tc>
          <w:tcPr>
            <w:tcW w:w="600" w:type="dxa"/>
            <w:vAlign w:val="bottom"/>
            <w:tcBorders>
              <w:top w:val="single" w:sz="8" w:color="CEFFE7"/>
              <w:bottom w:val="single" w:sz="8" w:color="CEFFE7"/>
            </w:tcBorders>
            <w:gridSpan w:val="4"/>
            <w:shd w:val="clear" w:color="auto" w:fill="CEFFE7"/>
          </w:tcPr>
          <w:p>
            <w:pPr>
              <w:spacing w:after="0"/>
              <w:rPr>
                <w:sz w:val="21"/>
                <w:szCs w:val="21"/>
                <w:color w:val="auto"/>
              </w:rPr>
            </w:pPr>
          </w:p>
        </w:tc>
        <w:tc>
          <w:tcPr>
            <w:tcW w:w="800" w:type="dxa"/>
            <w:vAlign w:val="bottom"/>
            <w:tcBorders>
              <w:top w:val="single" w:sz="8" w:color="CEFFE7"/>
              <w:bottom w:val="single" w:sz="8" w:color="CEFFE7"/>
            </w:tcBorders>
            <w:shd w:val="clear" w:color="auto" w:fill="CEFFE7"/>
          </w:tcPr>
          <w:p>
            <w:pPr>
              <w:spacing w:after="0"/>
              <w:rPr>
                <w:sz w:val="21"/>
                <w:szCs w:val="21"/>
                <w:color w:val="auto"/>
              </w:rPr>
            </w:pPr>
          </w:p>
        </w:tc>
        <w:tc>
          <w:tcPr>
            <w:tcW w:w="80" w:type="dxa"/>
            <w:vAlign w:val="bottom"/>
            <w:tcBorders>
              <w:top w:val="single" w:sz="8" w:color="CEFFE7"/>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40" w:type="dxa"/>
            <w:vAlign w:val="bottom"/>
            <w:tcBorders>
              <w:top w:val="single" w:sz="8" w:color="CEFFE7"/>
              <w:bottom w:val="single" w:sz="8" w:color="CEFFE7"/>
            </w:tcBorders>
            <w:shd w:val="clear" w:color="auto" w:fill="CEFFE7"/>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680" w:type="dxa"/>
            <w:vAlign w:val="bottom"/>
            <w:gridSpan w:val="12"/>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ITEM 8.</w:t>
              </w:r>
            </w:hyperlink>
          </w:p>
        </w:tc>
        <w:tc>
          <w:tcPr>
            <w:tcW w:w="8360" w:type="dxa"/>
            <w:vAlign w:val="bottom"/>
            <w:gridSpan w:val="32"/>
          </w:tcPr>
          <w:p>
            <w:pPr>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1060" w:type="dxa"/>
            <w:vAlign w:val="bottom"/>
            <w:gridSpan w:val="4"/>
          </w:tcPr>
          <w:p>
            <w:pPr>
              <w:jc w:val="right"/>
              <w:spacing w:after="0" w:line="202" w:lineRule="exact"/>
              <w:rPr>
                <w:rFonts w:ascii="Arial" w:cs="Arial" w:eastAsia="Arial" w:hAnsi="Arial"/>
                <w:sz w:val="18"/>
                <w:szCs w:val="18"/>
                <w:color w:val="0000EE"/>
              </w:rPr>
            </w:pPr>
            <w:hyperlink w:anchor="page72">
              <w:r>
                <w:rPr>
                  <w:rFonts w:ascii="Arial" w:cs="Arial" w:eastAsia="Arial" w:hAnsi="Arial"/>
                  <w:sz w:val="18"/>
                  <w:szCs w:val="18"/>
                  <w:color w:val="0000EE"/>
                </w:rPr>
                <w:t>72</w:t>
              </w:r>
            </w:hyperlink>
          </w:p>
        </w:tc>
        <w:tc>
          <w:tcPr>
            <w:tcW w:w="4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ITEM 9.</w:t>
              </w:r>
            </w:hyperlink>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CHANGES IN AND DISAGREEMENTS WITH ACCOUNTANTS ON ACCOUNTING AND FINANCIAL</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143</w:t>
              </w:r>
            </w:hyperlink>
          </w:p>
        </w:tc>
      </w:tr>
      <w:tr>
        <w:trPr>
          <w:trHeight w:val="196"/>
        </w:trPr>
        <w:tc>
          <w:tcPr>
            <w:tcW w:w="20" w:type="dxa"/>
            <w:vAlign w:val="bottom"/>
            <w:tcBorders>
              <w:top w:val="single" w:sz="8" w:color="CEFFE7"/>
            </w:tcBorders>
            <w:shd w:val="clear" w:color="auto" w:fill="CEFFE7"/>
          </w:tcPr>
          <w:p>
            <w:pPr>
              <w:spacing w:after="0"/>
              <w:rPr>
                <w:sz w:val="17"/>
                <w:szCs w:val="17"/>
                <w:color w:val="auto"/>
              </w:rPr>
            </w:pPr>
          </w:p>
        </w:tc>
        <w:tc>
          <w:tcPr>
            <w:tcW w:w="400" w:type="dxa"/>
            <w:vAlign w:val="bottom"/>
            <w:tcBorders>
              <w:top w:val="single" w:sz="8" w:color="0000EE"/>
            </w:tcBorders>
            <w:shd w:val="clear" w:color="auto" w:fill="CEFFE7"/>
          </w:tcPr>
          <w:p>
            <w:pPr>
              <w:spacing w:after="0"/>
              <w:rPr>
                <w:sz w:val="17"/>
                <w:szCs w:val="17"/>
                <w:color w:val="auto"/>
              </w:rPr>
            </w:pPr>
          </w:p>
        </w:tc>
        <w:tc>
          <w:tcPr>
            <w:tcW w:w="60" w:type="dxa"/>
            <w:vAlign w:val="bottom"/>
            <w:tcBorders>
              <w:top w:val="single" w:sz="8" w:color="0000EE"/>
            </w:tcBorders>
            <w:shd w:val="clear" w:color="auto" w:fill="CEFFE7"/>
          </w:tcPr>
          <w:p>
            <w:pPr>
              <w:spacing w:after="0"/>
              <w:rPr>
                <w:sz w:val="17"/>
                <w:szCs w:val="17"/>
                <w:color w:val="auto"/>
              </w:rPr>
            </w:pPr>
          </w:p>
        </w:tc>
        <w:tc>
          <w:tcPr>
            <w:tcW w:w="60" w:type="dxa"/>
            <w:vAlign w:val="bottom"/>
            <w:tcBorders>
              <w:top w:val="single" w:sz="8" w:color="0000EE"/>
            </w:tcBorders>
            <w:shd w:val="clear" w:color="auto" w:fill="CEFFE7"/>
          </w:tcPr>
          <w:p>
            <w:pPr>
              <w:spacing w:after="0"/>
              <w:rPr>
                <w:sz w:val="17"/>
                <w:szCs w:val="17"/>
                <w:color w:val="auto"/>
              </w:rPr>
            </w:pPr>
          </w:p>
        </w:tc>
        <w:tc>
          <w:tcPr>
            <w:tcW w:w="100" w:type="dxa"/>
            <w:vAlign w:val="bottom"/>
            <w:tcBorders>
              <w:top w:val="single" w:sz="8" w:color="0000EE"/>
            </w:tcBorders>
            <w:shd w:val="clear" w:color="auto" w:fill="CEFFE7"/>
          </w:tcPr>
          <w:p>
            <w:pPr>
              <w:spacing w:after="0"/>
              <w:rPr>
                <w:sz w:val="17"/>
                <w:szCs w:val="17"/>
                <w:color w:val="auto"/>
              </w:rPr>
            </w:pPr>
          </w:p>
        </w:tc>
        <w:tc>
          <w:tcPr>
            <w:tcW w:w="80" w:type="dxa"/>
            <w:vAlign w:val="bottom"/>
            <w:tcBorders>
              <w:top w:val="single" w:sz="8" w:color="CEFFE7"/>
            </w:tcBorders>
            <w:shd w:val="clear" w:color="auto" w:fill="CEFFE7"/>
          </w:tcPr>
          <w:p>
            <w:pPr>
              <w:spacing w:after="0"/>
              <w:rPr>
                <w:sz w:val="17"/>
                <w:szCs w:val="17"/>
                <w:color w:val="auto"/>
              </w:rPr>
            </w:pPr>
          </w:p>
        </w:tc>
        <w:tc>
          <w:tcPr>
            <w:tcW w:w="20" w:type="dxa"/>
            <w:vAlign w:val="bottom"/>
            <w:tcBorders>
              <w:top w:val="single" w:sz="8" w:color="CEFFE7"/>
            </w:tcBorders>
            <w:shd w:val="clear" w:color="auto" w:fill="CEFFE7"/>
          </w:tcPr>
          <w:p>
            <w:pPr>
              <w:spacing w:after="0"/>
              <w:rPr>
                <w:sz w:val="17"/>
                <w:szCs w:val="17"/>
                <w:color w:val="auto"/>
              </w:rPr>
            </w:pPr>
          </w:p>
        </w:tc>
        <w:tc>
          <w:tcPr>
            <w:tcW w:w="20" w:type="dxa"/>
            <w:vAlign w:val="bottom"/>
            <w:tcBorders>
              <w:top w:val="single" w:sz="8" w:color="CEFFE7"/>
            </w:tcBorders>
            <w:shd w:val="clear" w:color="auto" w:fill="CEFFE7"/>
          </w:tcPr>
          <w:p>
            <w:pPr>
              <w:spacing w:after="0"/>
              <w:rPr>
                <w:sz w:val="17"/>
                <w:szCs w:val="17"/>
                <w:color w:val="auto"/>
              </w:rPr>
            </w:pPr>
          </w:p>
        </w:tc>
        <w:tc>
          <w:tcPr>
            <w:tcW w:w="20" w:type="dxa"/>
            <w:vAlign w:val="bottom"/>
            <w:tcBorders>
              <w:top w:val="single" w:sz="8" w:color="CEFFE7"/>
            </w:tcBorders>
            <w:shd w:val="clear" w:color="auto" w:fill="CEFFE7"/>
          </w:tcPr>
          <w:p>
            <w:pPr>
              <w:spacing w:after="0"/>
              <w:rPr>
                <w:sz w:val="17"/>
                <w:szCs w:val="17"/>
                <w:color w:val="auto"/>
              </w:rPr>
            </w:pPr>
          </w:p>
        </w:tc>
        <w:tc>
          <w:tcPr>
            <w:tcW w:w="340" w:type="dxa"/>
            <w:vAlign w:val="bottom"/>
            <w:tcBorders>
              <w:top w:val="single" w:sz="8" w:color="CEFFE7"/>
            </w:tcBorders>
            <w:shd w:val="clear" w:color="auto" w:fill="CEFFE7"/>
          </w:tcPr>
          <w:p>
            <w:pPr>
              <w:spacing w:after="0"/>
              <w:rPr>
                <w:sz w:val="17"/>
                <w:szCs w:val="17"/>
                <w:color w:val="auto"/>
              </w:rPr>
            </w:pPr>
          </w:p>
        </w:tc>
        <w:tc>
          <w:tcPr>
            <w:tcW w:w="100" w:type="dxa"/>
            <w:vAlign w:val="bottom"/>
            <w:tcBorders>
              <w:top w:val="single" w:sz="8" w:color="CEFFE7"/>
            </w:tcBorders>
            <w:shd w:val="clear" w:color="auto" w:fill="CEFFE7"/>
          </w:tcPr>
          <w:p>
            <w:pPr>
              <w:spacing w:after="0"/>
              <w:rPr>
                <w:sz w:val="17"/>
                <w:szCs w:val="17"/>
                <w:color w:val="auto"/>
              </w:rPr>
            </w:pPr>
          </w:p>
        </w:tc>
        <w:tc>
          <w:tcPr>
            <w:tcW w:w="140" w:type="dxa"/>
            <w:vAlign w:val="bottom"/>
            <w:tcBorders>
              <w:top w:val="single" w:sz="8" w:color="CEFFE7"/>
            </w:tcBorders>
            <w:shd w:val="clear" w:color="auto" w:fill="CEFFE7"/>
          </w:tcPr>
          <w:p>
            <w:pPr>
              <w:spacing w:after="0"/>
              <w:rPr>
                <w:sz w:val="17"/>
                <w:szCs w:val="17"/>
                <w:color w:val="auto"/>
              </w:rPr>
            </w:pPr>
          </w:p>
        </w:tc>
        <w:tc>
          <w:tcPr>
            <w:tcW w:w="340" w:type="dxa"/>
            <w:vAlign w:val="bottom"/>
            <w:tcBorders>
              <w:top w:val="single" w:sz="8" w:color="CEFFE7"/>
            </w:tcBorders>
            <w:shd w:val="clear" w:color="auto" w:fill="CEFFE7"/>
          </w:tcPr>
          <w:p>
            <w:pPr>
              <w:spacing w:after="0"/>
              <w:rPr>
                <w:sz w:val="17"/>
                <w:szCs w:val="17"/>
                <w:color w:val="auto"/>
              </w:rPr>
            </w:pPr>
          </w:p>
        </w:tc>
        <w:tc>
          <w:tcPr>
            <w:tcW w:w="7940" w:type="dxa"/>
            <w:vAlign w:val="bottom"/>
            <w:tcBorders>
              <w:top w:val="single" w:sz="8" w:color="0000EE"/>
            </w:tcBorders>
            <w:gridSpan w:val="29"/>
            <w:shd w:val="clear" w:color="auto" w:fill="CEFFE7"/>
          </w:tcPr>
          <w:p>
            <w:pPr>
              <w:spacing w:after="0" w:line="196" w:lineRule="exact"/>
              <w:rPr>
                <w:rFonts w:ascii="Arial" w:cs="Arial" w:eastAsia="Arial" w:hAnsi="Arial"/>
                <w:sz w:val="18"/>
                <w:szCs w:val="18"/>
                <w:color w:val="0000EE"/>
              </w:rPr>
            </w:pPr>
            <w:hyperlink w:anchor="page144">
              <w:r>
                <w:rPr>
                  <w:rFonts w:ascii="Arial" w:cs="Arial" w:eastAsia="Arial" w:hAnsi="Arial"/>
                  <w:sz w:val="18"/>
                  <w:szCs w:val="18"/>
                  <w:color w:val="0000EE"/>
                </w:rPr>
                <w:t>DISCLOSURE</w:t>
              </w:r>
            </w:hyperlink>
          </w:p>
        </w:tc>
        <w:tc>
          <w:tcPr>
            <w:tcW w:w="420" w:type="dxa"/>
            <w:vAlign w:val="bottom"/>
            <w:tcBorders>
              <w:top w:val="single" w:sz="8" w:color="CEFFE7"/>
            </w:tcBorders>
            <w:gridSpan w:val="3"/>
            <w:shd w:val="clear" w:color="auto" w:fill="CEFFE7"/>
          </w:tcPr>
          <w:p>
            <w:pPr>
              <w:spacing w:after="0"/>
              <w:rPr>
                <w:sz w:val="17"/>
                <w:szCs w:val="17"/>
                <w:color w:val="auto"/>
              </w:rPr>
            </w:pPr>
          </w:p>
        </w:tc>
        <w:tc>
          <w:tcPr>
            <w:tcW w:w="800" w:type="dxa"/>
            <w:vAlign w:val="bottom"/>
            <w:tcBorders>
              <w:top w:val="single" w:sz="8" w:color="CEFFE7"/>
            </w:tcBorders>
            <w:shd w:val="clear" w:color="auto" w:fill="CEFFE7"/>
          </w:tcPr>
          <w:p>
            <w:pPr>
              <w:spacing w:after="0"/>
              <w:rPr>
                <w:sz w:val="17"/>
                <w:szCs w:val="17"/>
                <w:color w:val="auto"/>
              </w:rPr>
            </w:pPr>
          </w:p>
        </w:tc>
        <w:tc>
          <w:tcPr>
            <w:tcW w:w="80" w:type="dxa"/>
            <w:vAlign w:val="bottom"/>
            <w:tcBorders>
              <w:top w:val="single" w:sz="8" w:color="0000EE"/>
            </w:tcBorders>
            <w:shd w:val="clear" w:color="auto" w:fill="CEFFE7"/>
          </w:tcPr>
          <w:p>
            <w:pPr>
              <w:spacing w:after="0"/>
              <w:rPr>
                <w:sz w:val="17"/>
                <w:szCs w:val="17"/>
                <w:color w:val="auto"/>
              </w:rPr>
            </w:pPr>
          </w:p>
        </w:tc>
        <w:tc>
          <w:tcPr>
            <w:tcW w:w="100" w:type="dxa"/>
            <w:vAlign w:val="bottom"/>
            <w:tcBorders>
              <w:top w:val="single" w:sz="8" w:color="0000EE"/>
            </w:tcBorders>
            <w:shd w:val="clear" w:color="auto" w:fill="CEFFE7"/>
          </w:tcPr>
          <w:p>
            <w:pPr>
              <w:spacing w:after="0"/>
              <w:rPr>
                <w:sz w:val="17"/>
                <w:szCs w:val="17"/>
                <w:color w:val="auto"/>
              </w:rPr>
            </w:pPr>
          </w:p>
        </w:tc>
        <w:tc>
          <w:tcPr>
            <w:tcW w:w="80" w:type="dxa"/>
            <w:vAlign w:val="bottom"/>
            <w:tcBorders>
              <w:top w:val="single" w:sz="8" w:color="0000EE"/>
            </w:tcBorders>
            <w:shd w:val="clear" w:color="auto" w:fill="CEFFE7"/>
          </w:tcPr>
          <w:p>
            <w:pPr>
              <w:spacing w:after="0"/>
              <w:rPr>
                <w:sz w:val="17"/>
                <w:szCs w:val="17"/>
                <w:color w:val="auto"/>
              </w:rPr>
            </w:pPr>
          </w:p>
        </w:tc>
        <w:tc>
          <w:tcPr>
            <w:tcW w:w="40" w:type="dxa"/>
            <w:vAlign w:val="bottom"/>
            <w:tcBorders>
              <w:top w:val="single" w:sz="8" w:color="CEFFE7"/>
            </w:tcBorders>
            <w:shd w:val="clear" w:color="auto" w:fill="CEFFE7"/>
          </w:tcPr>
          <w:p>
            <w:pPr>
              <w:spacing w:after="0"/>
              <w:rPr>
                <w:sz w:val="17"/>
                <w:szCs w:val="17"/>
                <w:color w:val="auto"/>
              </w:rPr>
            </w:pPr>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1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82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1680" w:type="dxa"/>
            <w:vAlign w:val="bottom"/>
            <w:gridSpan w:val="12"/>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ITEM 9A.</w:t>
              </w:r>
            </w:hyperlink>
          </w:p>
        </w:tc>
        <w:tc>
          <w:tcPr>
            <w:tcW w:w="8360" w:type="dxa"/>
            <w:vAlign w:val="bottom"/>
            <w:gridSpan w:val="32"/>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CONTROLS AND PROCEDURES</w:t>
              </w:r>
            </w:hyperlink>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143</w:t>
              </w:r>
            </w:hyperlink>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ITEM 9B.</w:t>
              </w:r>
            </w:hyperlink>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OTHER INFORMATION</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4">
              <w:r>
                <w:rPr>
                  <w:rFonts w:ascii="Arial" w:cs="Arial" w:eastAsia="Arial" w:hAnsi="Arial"/>
                  <w:sz w:val="18"/>
                  <w:szCs w:val="18"/>
                  <w:color w:val="0000EE"/>
                </w:rPr>
                <w:t>143</w:t>
              </w:r>
            </w:hyperlink>
          </w:p>
        </w:tc>
      </w:tr>
      <w:tr>
        <w:trPr>
          <w:trHeight w:val="203"/>
        </w:trPr>
        <w:tc>
          <w:tcPr>
            <w:tcW w:w="20" w:type="dxa"/>
            <w:vAlign w:val="bottom"/>
            <w:tcBorders>
              <w:top w:val="single" w:sz="8" w:color="CEFFE7"/>
            </w:tcBorders>
          </w:tcPr>
          <w:p>
            <w:pPr>
              <w:spacing w:after="0"/>
              <w:rPr>
                <w:sz w:val="17"/>
                <w:szCs w:val="17"/>
                <w:color w:val="auto"/>
              </w:rPr>
            </w:pPr>
          </w:p>
        </w:tc>
        <w:tc>
          <w:tcPr>
            <w:tcW w:w="740" w:type="dxa"/>
            <w:vAlign w:val="bottom"/>
            <w:tcBorders>
              <w:top w:val="single" w:sz="8" w:color="0000EE"/>
            </w:tcBorders>
            <w:gridSpan w:val="7"/>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Part III</w:t>
              </w:r>
            </w:hyperlink>
          </w:p>
        </w:tc>
        <w:tc>
          <w:tcPr>
            <w:tcW w:w="940" w:type="dxa"/>
            <w:vAlign w:val="bottom"/>
            <w:tcBorders>
              <w:top w:val="single" w:sz="8" w:color="CEFFE7"/>
            </w:tcBorders>
            <w:gridSpan w:val="5"/>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80" w:type="dxa"/>
            <w:vAlign w:val="bottom"/>
            <w:tcBorders>
              <w:top w:val="single" w:sz="8" w:color="CEFFE7"/>
            </w:tcBorders>
          </w:tcPr>
          <w:p>
            <w:pPr>
              <w:spacing w:after="0"/>
              <w:rPr>
                <w:sz w:val="17"/>
                <w:szCs w:val="17"/>
                <w:color w:val="auto"/>
              </w:rPr>
            </w:pPr>
          </w:p>
        </w:tc>
        <w:tc>
          <w:tcPr>
            <w:tcW w:w="20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160" w:type="dxa"/>
            <w:vAlign w:val="bottom"/>
            <w:tcBorders>
              <w:top w:val="single" w:sz="8" w:color="CEFFE7"/>
            </w:tcBorders>
          </w:tcPr>
          <w:p>
            <w:pPr>
              <w:spacing w:after="0"/>
              <w:rPr>
                <w:sz w:val="17"/>
                <w:szCs w:val="17"/>
                <w:color w:val="auto"/>
              </w:rPr>
            </w:pPr>
          </w:p>
        </w:tc>
        <w:tc>
          <w:tcPr>
            <w:tcW w:w="16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80" w:type="dxa"/>
            <w:vAlign w:val="bottom"/>
            <w:tcBorders>
              <w:top w:val="single" w:sz="8" w:color="CEFFE7"/>
            </w:tcBorders>
          </w:tcPr>
          <w:p>
            <w:pPr>
              <w:spacing w:after="0"/>
              <w:rPr>
                <w:sz w:val="17"/>
                <w:szCs w:val="17"/>
                <w:color w:val="auto"/>
              </w:rPr>
            </w:pPr>
          </w:p>
        </w:tc>
        <w:tc>
          <w:tcPr>
            <w:tcW w:w="820" w:type="dxa"/>
            <w:vAlign w:val="bottom"/>
            <w:tcBorders>
              <w:top w:val="single" w:sz="8" w:color="CEFFE7"/>
            </w:tcBorders>
          </w:tcPr>
          <w:p>
            <w:pPr>
              <w:spacing w:after="0"/>
              <w:rPr>
                <w:sz w:val="17"/>
                <w:szCs w:val="17"/>
                <w:color w:val="auto"/>
              </w:rPr>
            </w:pPr>
          </w:p>
        </w:tc>
        <w:tc>
          <w:tcPr>
            <w:tcW w:w="120" w:type="dxa"/>
            <w:vAlign w:val="bottom"/>
            <w:tcBorders>
              <w:top w:val="single" w:sz="8" w:color="CEFFE7"/>
            </w:tcBorders>
          </w:tcPr>
          <w:p>
            <w:pPr>
              <w:spacing w:after="0"/>
              <w:rPr>
                <w:sz w:val="17"/>
                <w:szCs w:val="17"/>
                <w:color w:val="auto"/>
              </w:rPr>
            </w:pPr>
          </w:p>
        </w:tc>
        <w:tc>
          <w:tcPr>
            <w:tcW w:w="620" w:type="dxa"/>
            <w:vAlign w:val="bottom"/>
            <w:tcBorders>
              <w:top w:val="single" w:sz="8" w:color="CEFFE7"/>
            </w:tcBorders>
          </w:tcPr>
          <w:p>
            <w:pPr>
              <w:spacing w:after="0"/>
              <w:rPr>
                <w:sz w:val="17"/>
                <w:szCs w:val="17"/>
                <w:color w:val="auto"/>
              </w:rPr>
            </w:pPr>
          </w:p>
        </w:tc>
        <w:tc>
          <w:tcPr>
            <w:tcW w:w="1140" w:type="dxa"/>
            <w:vAlign w:val="bottom"/>
            <w:tcBorders>
              <w:top w:val="single" w:sz="8" w:color="CEFFE7"/>
            </w:tcBorders>
          </w:tcPr>
          <w:p>
            <w:pPr>
              <w:spacing w:after="0"/>
              <w:rPr>
                <w:sz w:val="17"/>
                <w:szCs w:val="17"/>
                <w:color w:val="auto"/>
              </w:rPr>
            </w:pPr>
          </w:p>
        </w:tc>
        <w:tc>
          <w:tcPr>
            <w:tcW w:w="190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18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6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0" w:type="dxa"/>
            <w:vAlign w:val="bottom"/>
            <w:tcBorders>
              <w:top w:val="single" w:sz="8" w:color="CEFFE7"/>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720" w:type="dxa"/>
            <w:vAlign w:val="bottom"/>
            <w:gridSpan w:val="6"/>
            <w:shd w:val="clear" w:color="auto" w:fill="CEFFE7"/>
          </w:tcPr>
          <w:p>
            <w:pPr>
              <w:spacing w:after="0" w:line="202"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ITEM 10.</w:t>
              </w:r>
            </w:hyperlink>
          </w:p>
        </w:tc>
        <w:tc>
          <w:tcPr>
            <w:tcW w:w="960" w:type="dxa"/>
            <w:vAlign w:val="bottom"/>
            <w:gridSpan w:val="6"/>
            <w:shd w:val="clear" w:color="auto" w:fill="CEFFE7"/>
          </w:tcPr>
          <w:p>
            <w:pPr>
              <w:spacing w:after="0"/>
              <w:rPr>
                <w:sz w:val="17"/>
                <w:szCs w:val="17"/>
                <w:color w:val="auto"/>
              </w:rPr>
            </w:pPr>
          </w:p>
        </w:tc>
        <w:tc>
          <w:tcPr>
            <w:tcW w:w="5800" w:type="dxa"/>
            <w:vAlign w:val="bottom"/>
            <w:gridSpan w:val="25"/>
            <w:shd w:val="clear" w:color="auto" w:fill="CEFFE7"/>
          </w:tcPr>
          <w:p>
            <w:pPr>
              <w:spacing w:after="0" w:line="202"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DIRECTORS, EXECUTIVE OFFICERS AND CORPORATE GOVERNANCE</w:t>
              </w:r>
            </w:hyperlink>
          </w:p>
        </w:tc>
        <w:tc>
          <w:tcPr>
            <w:tcW w:w="2560" w:type="dxa"/>
            <w:vAlign w:val="bottom"/>
            <w:gridSpan w:val="7"/>
            <w:shd w:val="clear" w:color="auto" w:fill="CEFFE7"/>
          </w:tcPr>
          <w:p>
            <w:pPr>
              <w:spacing w:after="0"/>
              <w:rPr>
                <w:sz w:val="17"/>
                <w:szCs w:val="17"/>
                <w:color w:val="auto"/>
              </w:rPr>
            </w:pPr>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82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620" w:type="dxa"/>
            <w:vAlign w:val="bottom"/>
            <w:tcBorders>
              <w:top w:val="single" w:sz="8" w:color="0000EE"/>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20" w:type="dxa"/>
            <w:vAlign w:val="bottom"/>
            <w:gridSpan w:val="6"/>
          </w:tcPr>
          <w:p>
            <w:pPr>
              <w:spacing w:after="0" w:line="202"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ITEM 11.</w:t>
              </w:r>
            </w:hyperlink>
          </w:p>
        </w:tc>
        <w:tc>
          <w:tcPr>
            <w:tcW w:w="960" w:type="dxa"/>
            <w:vAlign w:val="bottom"/>
            <w:gridSpan w:val="6"/>
          </w:tcPr>
          <w:p>
            <w:pPr>
              <w:spacing w:after="0"/>
              <w:rPr>
                <w:sz w:val="17"/>
                <w:szCs w:val="17"/>
                <w:color w:val="auto"/>
              </w:rPr>
            </w:pPr>
          </w:p>
        </w:tc>
        <w:tc>
          <w:tcPr>
            <w:tcW w:w="5800" w:type="dxa"/>
            <w:vAlign w:val="bottom"/>
            <w:gridSpan w:val="25"/>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EXECUTIVE COMPENSATION</w:t>
              </w:r>
            </w:hyperlink>
          </w:p>
        </w:tc>
        <w:tc>
          <w:tcPr>
            <w:tcW w:w="2560" w:type="dxa"/>
            <w:vAlign w:val="bottom"/>
            <w:gridSpan w:val="7"/>
          </w:tcPr>
          <w:p>
            <w:pPr>
              <w:spacing w:after="0"/>
              <w:rPr>
                <w:sz w:val="17"/>
                <w:szCs w:val="17"/>
                <w:color w:val="auto"/>
              </w:rPr>
            </w:pPr>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720" w:type="dxa"/>
            <w:vAlign w:val="bottom"/>
            <w:gridSpan w:val="6"/>
            <w:shd w:val="clear" w:color="auto" w:fill="CEFFE7"/>
          </w:tcPr>
          <w:p>
            <w:pPr>
              <w:spacing w:after="0" w:line="202"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ITEM 12.</w:t>
              </w:r>
            </w:hyperlink>
          </w:p>
        </w:tc>
        <w:tc>
          <w:tcPr>
            <w:tcW w:w="960" w:type="dxa"/>
            <w:vAlign w:val="bottom"/>
            <w:gridSpan w:val="6"/>
            <w:shd w:val="clear" w:color="auto" w:fill="CEFFE7"/>
          </w:tcPr>
          <w:p>
            <w:pPr>
              <w:spacing w:after="0"/>
              <w:rPr>
                <w:sz w:val="17"/>
                <w:szCs w:val="17"/>
                <w:color w:val="auto"/>
              </w:rPr>
            </w:pPr>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SECURITY OWNERSHIP OF CERTAIN BENEFICIAL OWNERS AND MANAGEMENT AND RELATED</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244"/>
        </w:trPr>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40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60" w:type="dxa"/>
            <w:vAlign w:val="bottom"/>
            <w:tcBorders>
              <w:top w:val="single" w:sz="8" w:color="0000EE"/>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20" w:type="dxa"/>
            <w:vAlign w:val="bottom"/>
            <w:tcBorders>
              <w:top w:val="single" w:sz="8" w:color="0000EE"/>
              <w:bottom w:val="single" w:sz="8" w:color="CEFFE7"/>
            </w:tcBorders>
            <w:shd w:val="clear" w:color="auto" w:fill="CEFFE7"/>
          </w:tcPr>
          <w:p>
            <w:pPr>
              <w:spacing w:after="0"/>
              <w:rPr>
                <w:sz w:val="21"/>
                <w:szCs w:val="21"/>
                <w:color w:val="auto"/>
              </w:rPr>
            </w:pPr>
          </w:p>
        </w:tc>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20" w:type="dxa"/>
            <w:vAlign w:val="bottom"/>
            <w:tcBorders>
              <w:top w:val="single" w:sz="8" w:color="CEFFE7"/>
              <w:bottom w:val="single" w:sz="8" w:color="CEFFE7"/>
            </w:tcBorders>
            <w:shd w:val="clear" w:color="auto" w:fill="CEFFE7"/>
          </w:tcPr>
          <w:p>
            <w:pPr>
              <w:spacing w:after="0"/>
              <w:rPr>
                <w:sz w:val="21"/>
                <w:szCs w:val="21"/>
                <w:color w:val="auto"/>
              </w:rPr>
            </w:pPr>
          </w:p>
        </w:tc>
        <w:tc>
          <w:tcPr>
            <w:tcW w:w="340" w:type="dxa"/>
            <w:vAlign w:val="bottom"/>
            <w:tcBorders>
              <w:top w:val="single" w:sz="8" w:color="CEFFE7"/>
              <w:bottom w:val="single" w:sz="8" w:color="CEFFE7"/>
            </w:tcBorders>
            <w:shd w:val="clear" w:color="auto" w:fill="CEFFE7"/>
          </w:tcPr>
          <w:p>
            <w:pPr>
              <w:spacing w:after="0"/>
              <w:rPr>
                <w:sz w:val="21"/>
                <w:szCs w:val="21"/>
                <w:color w:val="auto"/>
              </w:rPr>
            </w:pPr>
          </w:p>
        </w:tc>
        <w:tc>
          <w:tcPr>
            <w:tcW w:w="100" w:type="dxa"/>
            <w:vAlign w:val="bottom"/>
            <w:tcBorders>
              <w:top w:val="single" w:sz="8" w:color="CEFFE7"/>
              <w:bottom w:val="single" w:sz="8" w:color="CEFFE7"/>
            </w:tcBorders>
            <w:shd w:val="clear" w:color="auto" w:fill="CEFFE7"/>
          </w:tcPr>
          <w:p>
            <w:pPr>
              <w:spacing w:after="0"/>
              <w:rPr>
                <w:sz w:val="21"/>
                <w:szCs w:val="21"/>
                <w:color w:val="auto"/>
              </w:rPr>
            </w:pPr>
          </w:p>
        </w:tc>
        <w:tc>
          <w:tcPr>
            <w:tcW w:w="140" w:type="dxa"/>
            <w:vAlign w:val="bottom"/>
            <w:tcBorders>
              <w:top w:val="single" w:sz="8" w:color="CEFFE7"/>
              <w:bottom w:val="single" w:sz="8" w:color="CEFFE7"/>
            </w:tcBorders>
            <w:shd w:val="clear" w:color="auto" w:fill="CEFFE7"/>
          </w:tcPr>
          <w:p>
            <w:pPr>
              <w:spacing w:after="0"/>
              <w:rPr>
                <w:sz w:val="21"/>
                <w:szCs w:val="21"/>
                <w:color w:val="auto"/>
              </w:rPr>
            </w:pPr>
          </w:p>
        </w:tc>
        <w:tc>
          <w:tcPr>
            <w:tcW w:w="340" w:type="dxa"/>
            <w:vAlign w:val="bottom"/>
            <w:tcBorders>
              <w:top w:val="single" w:sz="8" w:color="CEFFE7"/>
              <w:bottom w:val="single" w:sz="8" w:color="CEFFE7"/>
            </w:tcBorders>
            <w:shd w:val="clear" w:color="auto" w:fill="CEFFE7"/>
          </w:tcPr>
          <w:p>
            <w:pPr>
              <w:spacing w:after="0"/>
              <w:rPr>
                <w:sz w:val="21"/>
                <w:szCs w:val="21"/>
                <w:color w:val="auto"/>
              </w:rPr>
            </w:pPr>
          </w:p>
        </w:tc>
        <w:tc>
          <w:tcPr>
            <w:tcW w:w="2180" w:type="dxa"/>
            <w:vAlign w:val="bottom"/>
            <w:tcBorders>
              <w:top w:val="single" w:sz="8" w:color="0000EE"/>
              <w:bottom w:val="single" w:sz="8" w:color="0000EE"/>
            </w:tcBorders>
            <w:gridSpan w:val="14"/>
            <w:shd w:val="clear" w:color="auto" w:fill="CEFFE7"/>
          </w:tcPr>
          <w:p>
            <w:pPr>
              <w:spacing w:after="0" w:line="196" w:lineRule="exact"/>
              <w:rPr>
                <w:rFonts w:ascii="Arial" w:cs="Arial" w:eastAsia="Arial" w:hAnsi="Arial"/>
                <w:sz w:val="18"/>
                <w:szCs w:val="18"/>
                <w:color w:val="0000EE"/>
                <w:w w:val="94"/>
              </w:rPr>
            </w:pPr>
            <w:hyperlink w:anchor="page145">
              <w:r>
                <w:rPr>
                  <w:rFonts w:ascii="Arial" w:cs="Arial" w:eastAsia="Arial" w:hAnsi="Arial"/>
                  <w:sz w:val="18"/>
                  <w:szCs w:val="18"/>
                  <w:color w:val="0000EE"/>
                  <w:w w:val="94"/>
                </w:rPr>
                <w:t>STOCKHOLDER MATTERS</w:t>
              </w:r>
            </w:hyperlink>
          </w:p>
        </w:tc>
        <w:tc>
          <w:tcPr>
            <w:tcW w:w="5820" w:type="dxa"/>
            <w:vAlign w:val="bottom"/>
            <w:tcBorders>
              <w:top w:val="single" w:sz="8" w:color="0000EE"/>
              <w:bottom w:val="single" w:sz="8" w:color="CEFFE7"/>
            </w:tcBorders>
            <w:gridSpan w:val="16"/>
            <w:shd w:val="clear" w:color="auto" w:fill="CEFFE7"/>
          </w:tcPr>
          <w:p>
            <w:pPr>
              <w:spacing w:after="0"/>
              <w:rPr>
                <w:sz w:val="21"/>
                <w:szCs w:val="21"/>
                <w:color w:val="auto"/>
              </w:rPr>
            </w:pPr>
          </w:p>
        </w:tc>
        <w:tc>
          <w:tcPr>
            <w:tcW w:w="360" w:type="dxa"/>
            <w:vAlign w:val="bottom"/>
            <w:tcBorders>
              <w:top w:val="single" w:sz="8" w:color="CEFFE7"/>
              <w:bottom w:val="single" w:sz="8" w:color="CEFFE7"/>
            </w:tcBorders>
            <w:gridSpan w:val="2"/>
            <w:shd w:val="clear" w:color="auto" w:fill="CEFFE7"/>
          </w:tcPr>
          <w:p>
            <w:pPr>
              <w:spacing w:after="0"/>
              <w:rPr>
                <w:sz w:val="21"/>
                <w:szCs w:val="21"/>
                <w:color w:val="auto"/>
              </w:rPr>
            </w:pPr>
          </w:p>
        </w:tc>
        <w:tc>
          <w:tcPr>
            <w:tcW w:w="800" w:type="dxa"/>
            <w:vAlign w:val="bottom"/>
            <w:tcBorders>
              <w:top w:val="single" w:sz="8" w:color="CEFFE7"/>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100" w:type="dxa"/>
            <w:vAlign w:val="bottom"/>
            <w:tcBorders>
              <w:top w:val="single" w:sz="8" w:color="0000EE"/>
              <w:bottom w:val="single" w:sz="8" w:color="CEFFE7"/>
            </w:tcBorders>
            <w:shd w:val="clear" w:color="auto" w:fill="CEFFE7"/>
          </w:tcPr>
          <w:p>
            <w:pPr>
              <w:spacing w:after="0"/>
              <w:rPr>
                <w:sz w:val="21"/>
                <w:szCs w:val="21"/>
                <w:color w:val="auto"/>
              </w:rPr>
            </w:pPr>
          </w:p>
        </w:tc>
        <w:tc>
          <w:tcPr>
            <w:tcW w:w="80" w:type="dxa"/>
            <w:vAlign w:val="bottom"/>
            <w:tcBorders>
              <w:top w:val="single" w:sz="8" w:color="0000EE"/>
              <w:bottom w:val="single" w:sz="8" w:color="CEFFE7"/>
            </w:tcBorders>
            <w:shd w:val="clear" w:color="auto" w:fill="CEFFE7"/>
          </w:tcPr>
          <w:p>
            <w:pPr>
              <w:spacing w:after="0"/>
              <w:rPr>
                <w:sz w:val="21"/>
                <w:szCs w:val="21"/>
                <w:color w:val="auto"/>
              </w:rPr>
            </w:pPr>
          </w:p>
        </w:tc>
        <w:tc>
          <w:tcPr>
            <w:tcW w:w="40" w:type="dxa"/>
            <w:vAlign w:val="bottom"/>
            <w:tcBorders>
              <w:top w:val="single" w:sz="8" w:color="CEFFE7"/>
              <w:bottom w:val="single" w:sz="8" w:color="CEFFE7"/>
            </w:tcBorders>
            <w:shd w:val="clear" w:color="auto" w:fill="CEFFE7"/>
          </w:tcPr>
          <w:p>
            <w:pPr>
              <w:spacing w:after="0"/>
              <w:rPr>
                <w:sz w:val="21"/>
                <w:szCs w:val="21"/>
                <w:color w:val="auto"/>
              </w:rPr>
            </w:pPr>
          </w:p>
        </w:tc>
      </w:tr>
      <w:tr>
        <w:trPr>
          <w:trHeight w:val="203"/>
        </w:trPr>
        <w:tc>
          <w:tcPr>
            <w:tcW w:w="20" w:type="dxa"/>
            <w:vAlign w:val="bottom"/>
          </w:tcPr>
          <w:p>
            <w:pPr>
              <w:spacing w:after="0"/>
              <w:rPr>
                <w:sz w:val="17"/>
                <w:szCs w:val="17"/>
                <w:color w:val="auto"/>
              </w:rPr>
            </w:pPr>
          </w:p>
        </w:tc>
        <w:tc>
          <w:tcPr>
            <w:tcW w:w="1680" w:type="dxa"/>
            <w:vAlign w:val="bottom"/>
            <w:gridSpan w:val="12"/>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ITEM 13.</w:t>
              </w:r>
            </w:hyperlink>
          </w:p>
        </w:tc>
        <w:tc>
          <w:tcPr>
            <w:tcW w:w="8360" w:type="dxa"/>
            <w:vAlign w:val="bottom"/>
            <w:gridSpan w:val="32"/>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CERTAIN RELATIONSHIPS AND RELATED TRANSACTIONS, AND DIRECTOR INDEPENDENCE</w:t>
              </w:r>
            </w:hyperlink>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82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62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190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720" w:type="dxa"/>
            <w:vAlign w:val="bottom"/>
            <w:gridSpan w:val="6"/>
            <w:shd w:val="clear" w:color="auto" w:fill="CEFFE7"/>
          </w:tcPr>
          <w:p>
            <w:pPr>
              <w:spacing w:after="0" w:line="202" w:lineRule="exact"/>
              <w:rPr>
                <w:rFonts w:ascii="Arial" w:cs="Arial" w:eastAsia="Arial" w:hAnsi="Arial"/>
                <w:sz w:val="18"/>
                <w:szCs w:val="18"/>
                <w:color w:val="0000EE"/>
                <w:w w:val="95"/>
              </w:rPr>
            </w:pPr>
            <w:hyperlink w:anchor="page145">
              <w:r>
                <w:rPr>
                  <w:rFonts w:ascii="Arial" w:cs="Arial" w:eastAsia="Arial" w:hAnsi="Arial"/>
                  <w:sz w:val="18"/>
                  <w:szCs w:val="18"/>
                  <w:color w:val="0000EE"/>
                  <w:w w:val="95"/>
                </w:rPr>
                <w:t>ITEM 14.</w:t>
              </w:r>
            </w:hyperlink>
          </w:p>
        </w:tc>
        <w:tc>
          <w:tcPr>
            <w:tcW w:w="960" w:type="dxa"/>
            <w:vAlign w:val="bottom"/>
            <w:gridSpan w:val="6"/>
            <w:shd w:val="clear" w:color="auto" w:fill="CEFFE7"/>
          </w:tcPr>
          <w:p>
            <w:pPr>
              <w:spacing w:after="0"/>
              <w:rPr>
                <w:sz w:val="21"/>
                <w:szCs w:val="21"/>
                <w:color w:val="auto"/>
              </w:rPr>
            </w:pPr>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PRINCIPAL ACCOUNTING FEES AND SERVICES</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5">
              <w:r>
                <w:rPr>
                  <w:rFonts w:ascii="Arial" w:cs="Arial" w:eastAsia="Arial" w:hAnsi="Arial"/>
                  <w:sz w:val="18"/>
                  <w:szCs w:val="18"/>
                  <w:color w:val="0000EE"/>
                </w:rPr>
                <w:t>144</w:t>
              </w:r>
            </w:hyperlink>
          </w:p>
        </w:tc>
      </w:tr>
      <w:tr>
        <w:trPr>
          <w:trHeight w:val="203"/>
        </w:trPr>
        <w:tc>
          <w:tcPr>
            <w:tcW w:w="20" w:type="dxa"/>
            <w:vAlign w:val="bottom"/>
            <w:tcBorders>
              <w:top w:val="single" w:sz="8" w:color="CEFFE7"/>
            </w:tcBorders>
          </w:tcPr>
          <w:p>
            <w:pPr>
              <w:spacing w:after="0"/>
              <w:rPr>
                <w:sz w:val="17"/>
                <w:szCs w:val="17"/>
                <w:color w:val="auto"/>
              </w:rPr>
            </w:pPr>
          </w:p>
        </w:tc>
        <w:tc>
          <w:tcPr>
            <w:tcW w:w="720" w:type="dxa"/>
            <w:vAlign w:val="bottom"/>
            <w:tcBorders>
              <w:top w:val="single" w:sz="8" w:color="0000EE"/>
            </w:tcBorders>
            <w:gridSpan w:val="6"/>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Part IV</w:t>
              </w:r>
            </w:hyperlink>
          </w:p>
        </w:tc>
        <w:tc>
          <w:tcPr>
            <w:tcW w:w="960" w:type="dxa"/>
            <w:vAlign w:val="bottom"/>
            <w:tcBorders>
              <w:top w:val="single" w:sz="8" w:color="CEFFE7"/>
            </w:tcBorders>
            <w:gridSpan w:val="6"/>
          </w:tcPr>
          <w:p>
            <w:pPr>
              <w:spacing w:after="0"/>
              <w:rPr>
                <w:sz w:val="17"/>
                <w:szCs w:val="17"/>
                <w:color w:val="auto"/>
              </w:rPr>
            </w:pPr>
          </w:p>
        </w:tc>
        <w:tc>
          <w:tcPr>
            <w:tcW w:w="340" w:type="dxa"/>
            <w:vAlign w:val="bottom"/>
            <w:tcBorders>
              <w:top w:val="single" w:sz="8" w:color="0000EE"/>
            </w:tcBorders>
          </w:tcPr>
          <w:p>
            <w:pPr>
              <w:spacing w:after="0"/>
              <w:rPr>
                <w:sz w:val="17"/>
                <w:szCs w:val="17"/>
                <w:color w:val="auto"/>
              </w:rPr>
            </w:pPr>
          </w:p>
        </w:tc>
        <w:tc>
          <w:tcPr>
            <w:tcW w:w="54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4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4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820" w:type="dxa"/>
            <w:vAlign w:val="bottom"/>
            <w:tcBorders>
              <w:top w:val="single" w:sz="8" w:color="0000EE"/>
            </w:tcBorders>
          </w:tcPr>
          <w:p>
            <w:pPr>
              <w:spacing w:after="0"/>
              <w:rPr>
                <w:sz w:val="17"/>
                <w:szCs w:val="17"/>
                <w:color w:val="auto"/>
              </w:rPr>
            </w:pPr>
          </w:p>
        </w:tc>
        <w:tc>
          <w:tcPr>
            <w:tcW w:w="120" w:type="dxa"/>
            <w:vAlign w:val="bottom"/>
            <w:tcBorders>
              <w:top w:val="single" w:sz="8" w:color="CEFFE7"/>
            </w:tcBorders>
          </w:tcPr>
          <w:p>
            <w:pPr>
              <w:spacing w:after="0"/>
              <w:rPr>
                <w:sz w:val="17"/>
                <w:szCs w:val="17"/>
                <w:color w:val="auto"/>
              </w:rPr>
            </w:pPr>
          </w:p>
        </w:tc>
        <w:tc>
          <w:tcPr>
            <w:tcW w:w="620" w:type="dxa"/>
            <w:vAlign w:val="bottom"/>
            <w:tcBorders>
              <w:top w:val="single" w:sz="8" w:color="CEFFE7"/>
            </w:tcBorders>
          </w:tcPr>
          <w:p>
            <w:pPr>
              <w:spacing w:after="0"/>
              <w:rPr>
                <w:sz w:val="17"/>
                <w:szCs w:val="17"/>
                <w:color w:val="auto"/>
              </w:rPr>
            </w:pPr>
          </w:p>
        </w:tc>
        <w:tc>
          <w:tcPr>
            <w:tcW w:w="1140" w:type="dxa"/>
            <w:vAlign w:val="bottom"/>
            <w:tcBorders>
              <w:top w:val="single" w:sz="8" w:color="CEFFE7"/>
            </w:tcBorders>
          </w:tcPr>
          <w:p>
            <w:pPr>
              <w:spacing w:after="0"/>
              <w:rPr>
                <w:sz w:val="17"/>
                <w:szCs w:val="17"/>
                <w:color w:val="auto"/>
              </w:rPr>
            </w:pPr>
          </w:p>
        </w:tc>
        <w:tc>
          <w:tcPr>
            <w:tcW w:w="1900" w:type="dxa"/>
            <w:vAlign w:val="bottom"/>
            <w:tcBorders>
              <w:top w:val="single" w:sz="8" w:color="CEFFE7"/>
            </w:tcBorders>
          </w:tcPr>
          <w:p>
            <w:pPr>
              <w:spacing w:after="0"/>
              <w:rPr>
                <w:sz w:val="17"/>
                <w:szCs w:val="17"/>
                <w:color w:val="auto"/>
              </w:rPr>
            </w:pPr>
          </w:p>
        </w:tc>
        <w:tc>
          <w:tcPr>
            <w:tcW w:w="20" w:type="dxa"/>
            <w:vAlign w:val="bottom"/>
            <w:tcBorders>
              <w:top w:val="single" w:sz="8" w:color="CEFFE7"/>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c>
          <w:tcPr>
            <w:tcW w:w="180" w:type="dxa"/>
            <w:vAlign w:val="bottom"/>
            <w:tcBorders>
              <w:top w:val="single" w:sz="8" w:color="CEFFE7"/>
            </w:tcBorders>
          </w:tcPr>
          <w:p>
            <w:pPr>
              <w:spacing w:after="0"/>
              <w:rPr>
                <w:sz w:val="17"/>
                <w:szCs w:val="17"/>
                <w:color w:val="auto"/>
              </w:rPr>
            </w:pPr>
          </w:p>
        </w:tc>
        <w:tc>
          <w:tcPr>
            <w:tcW w:w="60" w:type="dxa"/>
            <w:vAlign w:val="bottom"/>
            <w:tcBorders>
              <w:top w:val="single" w:sz="8" w:color="CEFFE7"/>
            </w:tcBorders>
          </w:tcPr>
          <w:p>
            <w:pPr>
              <w:spacing w:after="0"/>
              <w:rPr>
                <w:sz w:val="17"/>
                <w:szCs w:val="17"/>
                <w:color w:val="auto"/>
              </w:rPr>
            </w:pPr>
          </w:p>
        </w:tc>
        <w:tc>
          <w:tcPr>
            <w:tcW w:w="260" w:type="dxa"/>
            <w:vAlign w:val="bottom"/>
            <w:tcBorders>
              <w:top w:val="single" w:sz="8" w:color="CEFFE7"/>
            </w:tcBorders>
          </w:tcPr>
          <w:p>
            <w:pPr>
              <w:spacing w:after="0"/>
              <w:rPr>
                <w:sz w:val="17"/>
                <w:szCs w:val="17"/>
                <w:color w:val="auto"/>
              </w:rPr>
            </w:pPr>
          </w:p>
        </w:tc>
        <w:tc>
          <w:tcPr>
            <w:tcW w:w="100" w:type="dxa"/>
            <w:vAlign w:val="bottom"/>
            <w:tcBorders>
              <w:top w:val="single" w:sz="8" w:color="CEFFE7"/>
            </w:tcBorders>
          </w:tcPr>
          <w:p>
            <w:pPr>
              <w:spacing w:after="0"/>
              <w:rPr>
                <w:sz w:val="17"/>
                <w:szCs w:val="17"/>
                <w:color w:val="auto"/>
              </w:rPr>
            </w:pPr>
          </w:p>
        </w:tc>
        <w:tc>
          <w:tcPr>
            <w:tcW w:w="800" w:type="dxa"/>
            <w:vAlign w:val="bottom"/>
            <w:tcBorders>
              <w:top w:val="single" w:sz="8" w:color="CEFFE7"/>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40" w:type="dxa"/>
            <w:vAlign w:val="bottom"/>
            <w:tcBorders>
              <w:top w:val="single" w:sz="8" w:color="CEFFE7"/>
            </w:tcBorders>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 w:type="dxa"/>
            <w:vAlign w:val="bottom"/>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20" w:type="dxa"/>
            <w:vAlign w:val="bottom"/>
            <w:shd w:val="clear" w:color="auto" w:fill="CEFFE7"/>
          </w:tcPr>
          <w:p>
            <w:pPr>
              <w:spacing w:after="0"/>
              <w:rPr>
                <w:sz w:val="17"/>
                <w:szCs w:val="17"/>
                <w:color w:val="auto"/>
              </w:rPr>
            </w:pPr>
          </w:p>
        </w:tc>
        <w:tc>
          <w:tcPr>
            <w:tcW w:w="720" w:type="dxa"/>
            <w:vAlign w:val="bottom"/>
            <w:gridSpan w:val="6"/>
            <w:shd w:val="clear" w:color="auto" w:fill="CEFFE7"/>
          </w:tcPr>
          <w:p>
            <w:pPr>
              <w:spacing w:after="0" w:line="202" w:lineRule="exact"/>
              <w:rPr>
                <w:rFonts w:ascii="Arial" w:cs="Arial" w:eastAsia="Arial" w:hAnsi="Arial"/>
                <w:sz w:val="18"/>
                <w:szCs w:val="18"/>
                <w:color w:val="0000EE"/>
                <w:w w:val="95"/>
              </w:rPr>
            </w:pPr>
            <w:hyperlink w:anchor="page146">
              <w:r>
                <w:rPr>
                  <w:rFonts w:ascii="Arial" w:cs="Arial" w:eastAsia="Arial" w:hAnsi="Arial"/>
                  <w:sz w:val="18"/>
                  <w:szCs w:val="18"/>
                  <w:color w:val="0000EE"/>
                  <w:w w:val="95"/>
                </w:rPr>
                <w:t>ITEM 15.</w:t>
              </w:r>
            </w:hyperlink>
          </w:p>
        </w:tc>
        <w:tc>
          <w:tcPr>
            <w:tcW w:w="960" w:type="dxa"/>
            <w:vAlign w:val="bottom"/>
            <w:gridSpan w:val="6"/>
            <w:shd w:val="clear" w:color="auto" w:fill="CEFFE7"/>
          </w:tcPr>
          <w:p>
            <w:pPr>
              <w:spacing w:after="0"/>
              <w:rPr>
                <w:sz w:val="17"/>
                <w:szCs w:val="17"/>
                <w:color w:val="auto"/>
              </w:rPr>
            </w:pPr>
          </w:p>
        </w:tc>
        <w:tc>
          <w:tcPr>
            <w:tcW w:w="8360" w:type="dxa"/>
            <w:vAlign w:val="bottom"/>
            <w:gridSpan w:val="32"/>
            <w:shd w:val="clear" w:color="auto" w:fill="CEFFE7"/>
          </w:tcPr>
          <w:p>
            <w:pPr>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EXHIBITS, FINANCIAL STATEMENT SCHEDULES</w:t>
              </w:r>
            </w:hyperlink>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46">
              <w:r>
                <w:rPr>
                  <w:rFonts w:ascii="Arial" w:cs="Arial" w:eastAsia="Arial" w:hAnsi="Arial"/>
                  <w:sz w:val="18"/>
                  <w:szCs w:val="18"/>
                  <w:color w:val="0000EE"/>
                </w:rPr>
                <w:t>145</w:t>
              </w:r>
            </w:hyperlink>
          </w:p>
        </w:tc>
      </w:tr>
      <w:tr>
        <w:trPr>
          <w:trHeight w:val="48"/>
        </w:trPr>
        <w:tc>
          <w:tcPr>
            <w:tcW w:w="20" w:type="dxa"/>
            <w:vAlign w:val="bottom"/>
            <w:tcBorders>
              <w:top w:val="single" w:sz="8" w:color="CEFFE7"/>
            </w:tcBorders>
            <w:shd w:val="clear" w:color="auto" w:fill="CEFFE7"/>
          </w:tcPr>
          <w:p>
            <w:pPr>
              <w:spacing w:after="0"/>
              <w:rPr>
                <w:sz w:val="4"/>
                <w:szCs w:val="4"/>
                <w:color w:val="auto"/>
              </w:rPr>
            </w:pPr>
          </w:p>
        </w:tc>
        <w:tc>
          <w:tcPr>
            <w:tcW w:w="40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CEFFE7"/>
            </w:tcBorders>
            <w:shd w:val="clear" w:color="auto" w:fill="CEFFE7"/>
          </w:tcPr>
          <w:p>
            <w:pPr>
              <w:spacing w:after="0"/>
              <w:rPr>
                <w:sz w:val="4"/>
                <w:szCs w:val="4"/>
                <w:color w:val="auto"/>
              </w:rPr>
            </w:pPr>
          </w:p>
        </w:tc>
        <w:tc>
          <w:tcPr>
            <w:tcW w:w="3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1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82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62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CEFFE7"/>
            </w:tcBorders>
            <w:shd w:val="clear" w:color="auto" w:fill="CEFFE7"/>
          </w:tcPr>
          <w:p>
            <w:pPr>
              <w:spacing w:after="0"/>
              <w:rPr>
                <w:sz w:val="4"/>
                <w:szCs w:val="4"/>
                <w:color w:val="auto"/>
              </w:rPr>
            </w:pPr>
          </w:p>
        </w:tc>
        <w:tc>
          <w:tcPr>
            <w:tcW w:w="190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80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r>
      <w:tr>
        <w:trPr>
          <w:trHeight w:val="203"/>
        </w:trPr>
        <w:tc>
          <w:tcPr>
            <w:tcW w:w="20" w:type="dxa"/>
            <w:vAlign w:val="bottom"/>
          </w:tcPr>
          <w:p>
            <w:pPr>
              <w:spacing w:after="0"/>
              <w:rPr>
                <w:sz w:val="17"/>
                <w:szCs w:val="17"/>
                <w:color w:val="auto"/>
              </w:rPr>
            </w:pPr>
          </w:p>
        </w:tc>
        <w:tc>
          <w:tcPr>
            <w:tcW w:w="720" w:type="dxa"/>
            <w:vAlign w:val="bottom"/>
            <w:gridSpan w:val="6"/>
          </w:tcPr>
          <w:p>
            <w:pPr>
              <w:spacing w:after="0" w:line="202" w:lineRule="exact"/>
              <w:rPr>
                <w:rFonts w:ascii="Arial" w:cs="Arial" w:eastAsia="Arial" w:hAnsi="Arial"/>
                <w:sz w:val="18"/>
                <w:szCs w:val="18"/>
                <w:color w:val="0000EE"/>
                <w:w w:val="95"/>
              </w:rPr>
            </w:pPr>
            <w:hyperlink w:anchor="page149">
              <w:r>
                <w:rPr>
                  <w:rFonts w:ascii="Arial" w:cs="Arial" w:eastAsia="Arial" w:hAnsi="Arial"/>
                  <w:sz w:val="18"/>
                  <w:szCs w:val="18"/>
                  <w:color w:val="0000EE"/>
                  <w:w w:val="95"/>
                </w:rPr>
                <w:t>ITEM 16.</w:t>
              </w:r>
            </w:hyperlink>
          </w:p>
        </w:tc>
        <w:tc>
          <w:tcPr>
            <w:tcW w:w="960" w:type="dxa"/>
            <w:vAlign w:val="bottom"/>
            <w:gridSpan w:val="6"/>
          </w:tcPr>
          <w:p>
            <w:pPr>
              <w:spacing w:after="0"/>
              <w:rPr>
                <w:sz w:val="17"/>
                <w:szCs w:val="17"/>
                <w:color w:val="auto"/>
              </w:rPr>
            </w:pPr>
          </w:p>
        </w:tc>
        <w:tc>
          <w:tcPr>
            <w:tcW w:w="4040" w:type="dxa"/>
            <w:vAlign w:val="bottom"/>
            <w:gridSpan w:val="23"/>
          </w:tcPr>
          <w:p>
            <w:pPr>
              <w:spacing w:after="0" w:line="202" w:lineRule="exact"/>
              <w:rPr>
                <w:rFonts w:ascii="Arial" w:cs="Arial" w:eastAsia="Arial" w:hAnsi="Arial"/>
                <w:sz w:val="18"/>
                <w:szCs w:val="18"/>
                <w:color w:val="0000EE"/>
              </w:rPr>
            </w:pPr>
            <w:hyperlink w:anchor="page149">
              <w:r>
                <w:rPr>
                  <w:rFonts w:ascii="Arial" w:cs="Arial" w:eastAsia="Arial" w:hAnsi="Arial"/>
                  <w:sz w:val="18"/>
                  <w:szCs w:val="18"/>
                  <w:color w:val="0000EE"/>
                </w:rPr>
                <w:t>FORM 10-K SUMMARY</w:t>
              </w:r>
            </w:hyperlink>
          </w:p>
        </w:tc>
        <w:tc>
          <w:tcPr>
            <w:tcW w:w="4320" w:type="dxa"/>
            <w:vAlign w:val="bottom"/>
            <w:gridSpan w:val="9"/>
          </w:tcPr>
          <w:p>
            <w:pPr>
              <w:spacing w:after="0"/>
              <w:rPr>
                <w:sz w:val="17"/>
                <w:szCs w:val="17"/>
                <w:color w:val="auto"/>
              </w:rPr>
            </w:pPr>
          </w:p>
        </w:tc>
        <w:tc>
          <w:tcPr>
            <w:tcW w:w="1100" w:type="dxa"/>
            <w:vAlign w:val="bottom"/>
            <w:gridSpan w:val="5"/>
          </w:tcPr>
          <w:p>
            <w:pPr>
              <w:jc w:val="right"/>
              <w:ind w:right="40"/>
              <w:spacing w:after="0" w:line="202" w:lineRule="exact"/>
              <w:rPr>
                <w:rFonts w:ascii="Arial" w:cs="Arial" w:eastAsia="Arial" w:hAnsi="Arial"/>
                <w:sz w:val="18"/>
                <w:szCs w:val="18"/>
                <w:color w:val="0000EE"/>
              </w:rPr>
            </w:pPr>
            <w:hyperlink w:anchor="page149">
              <w:r>
                <w:rPr>
                  <w:rFonts w:ascii="Arial" w:cs="Arial" w:eastAsia="Arial" w:hAnsi="Arial"/>
                  <w:sz w:val="18"/>
                  <w:szCs w:val="18"/>
                  <w:color w:val="0000EE"/>
                </w:rPr>
                <w:t>148</w:t>
              </w:r>
            </w:hyperlink>
          </w:p>
        </w:tc>
      </w:tr>
      <w:tr>
        <w:trPr>
          <w:trHeight w:val="48"/>
        </w:trPr>
        <w:tc>
          <w:tcPr>
            <w:tcW w:w="20" w:type="dxa"/>
            <w:vAlign w:val="bottom"/>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0" w:type="dxa"/>
            <w:vAlign w:val="bottom"/>
          </w:tcPr>
          <w:p>
            <w:pPr>
              <w:spacing w:after="0"/>
              <w:rPr>
                <w:sz w:val="4"/>
                <w:szCs w:val="4"/>
                <w:color w:val="auto"/>
              </w:rPr>
            </w:pPr>
          </w:p>
        </w:tc>
        <w:tc>
          <w:tcPr>
            <w:tcW w:w="340" w:type="dxa"/>
            <w:vAlign w:val="bottom"/>
          </w:tcPr>
          <w:p>
            <w:pPr>
              <w:spacing w:after="0"/>
              <w:rPr>
                <w:sz w:val="4"/>
                <w:szCs w:val="4"/>
                <w:color w:val="auto"/>
              </w:rPr>
            </w:pPr>
          </w:p>
        </w:tc>
        <w:tc>
          <w:tcPr>
            <w:tcW w:w="3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90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20" w:type="dxa"/>
            <w:vAlign w:val="bottom"/>
            <w:shd w:val="clear" w:color="auto" w:fill="CEFFE7"/>
          </w:tcPr>
          <w:p>
            <w:pPr>
              <w:spacing w:after="0"/>
              <w:rPr>
                <w:sz w:val="21"/>
                <w:szCs w:val="21"/>
                <w:color w:val="auto"/>
              </w:rPr>
            </w:pPr>
          </w:p>
        </w:tc>
        <w:tc>
          <w:tcPr>
            <w:tcW w:w="1680" w:type="dxa"/>
            <w:vAlign w:val="bottom"/>
            <w:gridSpan w:val="12"/>
            <w:shd w:val="clear" w:color="auto" w:fill="CEFFE7"/>
          </w:tcPr>
          <w:p>
            <w:pPr>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SIGNATURES</w:t>
              </w:r>
            </w:hyperlink>
          </w:p>
        </w:tc>
        <w:tc>
          <w:tcPr>
            <w:tcW w:w="340" w:type="dxa"/>
            <w:vAlign w:val="bottom"/>
            <w:shd w:val="clear" w:color="auto" w:fill="CEFFE7"/>
          </w:tcPr>
          <w:p>
            <w:pPr>
              <w:spacing w:after="0"/>
              <w:rPr>
                <w:sz w:val="21"/>
                <w:szCs w:val="21"/>
                <w:color w:val="auto"/>
              </w:rPr>
            </w:pPr>
          </w:p>
        </w:tc>
        <w:tc>
          <w:tcPr>
            <w:tcW w:w="540" w:type="dxa"/>
            <w:vAlign w:val="bottom"/>
            <w:shd w:val="clear" w:color="auto" w:fill="CEFFE7"/>
          </w:tcPr>
          <w:p>
            <w:pPr>
              <w:spacing w:after="0"/>
              <w:rPr>
                <w:sz w:val="21"/>
                <w:szCs w:val="21"/>
                <w:color w:val="auto"/>
              </w:rPr>
            </w:pPr>
          </w:p>
        </w:tc>
        <w:tc>
          <w:tcPr>
            <w:tcW w:w="6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120" w:type="dxa"/>
            <w:vAlign w:val="bottom"/>
            <w:shd w:val="clear" w:color="auto" w:fill="CEFFE7"/>
          </w:tcPr>
          <w:p>
            <w:pPr>
              <w:spacing w:after="0"/>
              <w:rPr>
                <w:sz w:val="21"/>
                <w:szCs w:val="21"/>
                <w:color w:val="auto"/>
              </w:rPr>
            </w:pPr>
          </w:p>
        </w:tc>
        <w:tc>
          <w:tcPr>
            <w:tcW w:w="22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80" w:type="dxa"/>
            <w:vAlign w:val="bottom"/>
            <w:shd w:val="clear" w:color="auto" w:fill="CEFFE7"/>
          </w:tcPr>
          <w:p>
            <w:pPr>
              <w:spacing w:after="0"/>
              <w:rPr>
                <w:sz w:val="21"/>
                <w:szCs w:val="21"/>
                <w:color w:val="auto"/>
              </w:rPr>
            </w:pPr>
          </w:p>
        </w:tc>
        <w:tc>
          <w:tcPr>
            <w:tcW w:w="20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60" w:type="dxa"/>
            <w:vAlign w:val="bottom"/>
            <w:shd w:val="clear" w:color="auto" w:fill="CEFFE7"/>
          </w:tcPr>
          <w:p>
            <w:pPr>
              <w:spacing w:after="0"/>
              <w:rPr>
                <w:sz w:val="21"/>
                <w:szCs w:val="21"/>
                <w:color w:val="auto"/>
              </w:rPr>
            </w:pPr>
          </w:p>
        </w:tc>
        <w:tc>
          <w:tcPr>
            <w:tcW w:w="28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120" w:type="dxa"/>
            <w:vAlign w:val="bottom"/>
            <w:shd w:val="clear" w:color="auto" w:fill="CEFFE7"/>
          </w:tcPr>
          <w:p>
            <w:pPr>
              <w:spacing w:after="0"/>
              <w:rPr>
                <w:sz w:val="21"/>
                <w:szCs w:val="21"/>
                <w:color w:val="auto"/>
              </w:rPr>
            </w:pPr>
          </w:p>
        </w:tc>
        <w:tc>
          <w:tcPr>
            <w:tcW w:w="620" w:type="dxa"/>
            <w:vAlign w:val="bottom"/>
            <w:shd w:val="clear" w:color="auto" w:fill="CEFFE7"/>
          </w:tcPr>
          <w:p>
            <w:pPr>
              <w:spacing w:after="0"/>
              <w:rPr>
                <w:sz w:val="21"/>
                <w:szCs w:val="21"/>
                <w:color w:val="auto"/>
              </w:rPr>
            </w:pPr>
          </w:p>
        </w:tc>
        <w:tc>
          <w:tcPr>
            <w:tcW w:w="1140" w:type="dxa"/>
            <w:vAlign w:val="bottom"/>
            <w:shd w:val="clear" w:color="auto" w:fill="CEFFE7"/>
          </w:tcPr>
          <w:p>
            <w:pPr>
              <w:spacing w:after="0"/>
              <w:rPr>
                <w:sz w:val="21"/>
                <w:szCs w:val="21"/>
                <w:color w:val="auto"/>
              </w:rPr>
            </w:pPr>
          </w:p>
        </w:tc>
        <w:tc>
          <w:tcPr>
            <w:tcW w:w="1900" w:type="dxa"/>
            <w:vAlign w:val="bottom"/>
            <w:shd w:val="clear" w:color="auto" w:fill="CEFFE7"/>
          </w:tcPr>
          <w:p>
            <w:pPr>
              <w:spacing w:after="0"/>
              <w:rPr>
                <w:sz w:val="21"/>
                <w:szCs w:val="21"/>
                <w:color w:val="auto"/>
              </w:rPr>
            </w:pPr>
          </w:p>
        </w:tc>
        <w:tc>
          <w:tcPr>
            <w:tcW w:w="20" w:type="dxa"/>
            <w:vAlign w:val="bottom"/>
            <w:shd w:val="clear" w:color="auto" w:fill="CEFFE7"/>
          </w:tcPr>
          <w:p>
            <w:pPr>
              <w:spacing w:after="0"/>
              <w:rPr>
                <w:sz w:val="21"/>
                <w:szCs w:val="21"/>
                <w:color w:val="auto"/>
              </w:rPr>
            </w:pPr>
          </w:p>
        </w:tc>
        <w:tc>
          <w:tcPr>
            <w:tcW w:w="4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60" w:type="dxa"/>
            <w:vAlign w:val="bottom"/>
            <w:shd w:val="clear" w:color="auto" w:fill="CEFFE7"/>
          </w:tcPr>
          <w:p>
            <w:pPr>
              <w:spacing w:after="0"/>
              <w:rPr>
                <w:sz w:val="21"/>
                <w:szCs w:val="21"/>
                <w:color w:val="auto"/>
              </w:rPr>
            </w:pPr>
          </w:p>
        </w:tc>
        <w:tc>
          <w:tcPr>
            <w:tcW w:w="260" w:type="dxa"/>
            <w:vAlign w:val="bottom"/>
            <w:shd w:val="clear" w:color="auto" w:fill="CEFFE7"/>
          </w:tcPr>
          <w:p>
            <w:pPr>
              <w:spacing w:after="0"/>
              <w:rPr>
                <w:sz w:val="21"/>
                <w:szCs w:val="21"/>
                <w:color w:val="auto"/>
              </w:rPr>
            </w:pPr>
          </w:p>
        </w:tc>
        <w:tc>
          <w:tcPr>
            <w:tcW w:w="100" w:type="dxa"/>
            <w:vAlign w:val="bottom"/>
            <w:shd w:val="clear" w:color="auto" w:fill="CEFFE7"/>
          </w:tcPr>
          <w:p>
            <w:pPr>
              <w:spacing w:after="0"/>
              <w:rPr>
                <w:sz w:val="21"/>
                <w:szCs w:val="21"/>
                <w:color w:val="auto"/>
              </w:rPr>
            </w:pPr>
          </w:p>
        </w:tc>
        <w:tc>
          <w:tcPr>
            <w:tcW w:w="1100" w:type="dxa"/>
            <w:vAlign w:val="bottom"/>
            <w:gridSpan w:val="5"/>
            <w:shd w:val="clear" w:color="auto" w:fill="CEFFE7"/>
          </w:tcPr>
          <w:p>
            <w:pPr>
              <w:jc w:val="right"/>
              <w:ind w:right="40"/>
              <w:spacing w:after="0" w:line="202" w:lineRule="exact"/>
              <w:rPr>
                <w:rFonts w:ascii="Arial" w:cs="Arial" w:eastAsia="Arial" w:hAnsi="Arial"/>
                <w:sz w:val="18"/>
                <w:szCs w:val="18"/>
                <w:color w:val="0000EE"/>
              </w:rPr>
            </w:pPr>
            <w:hyperlink w:anchor="page150">
              <w:r>
                <w:rPr>
                  <w:rFonts w:ascii="Arial" w:cs="Arial" w:eastAsia="Arial" w:hAnsi="Arial"/>
                  <w:sz w:val="18"/>
                  <w:szCs w:val="18"/>
                  <w:color w:val="0000EE"/>
                </w:rPr>
                <w:t>149</w:t>
              </w:r>
            </w:hyperlink>
          </w:p>
        </w:tc>
      </w:tr>
      <w:tr>
        <w:trPr>
          <w:trHeight w:val="432"/>
        </w:trPr>
        <w:tc>
          <w:tcPr>
            <w:tcW w:w="20" w:type="dxa"/>
            <w:vAlign w:val="bottom"/>
            <w:tcBorders>
              <w:top w:val="single" w:sz="8" w:color="CEFFE7"/>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140" w:type="dxa"/>
            <w:vAlign w:val="bottom"/>
            <w:tcBorders>
              <w:top w:val="single" w:sz="8" w:color="CEFFE7"/>
            </w:tcBorders>
          </w:tcPr>
          <w:p>
            <w:pPr>
              <w:spacing w:after="0"/>
              <w:rPr>
                <w:sz w:val="24"/>
                <w:szCs w:val="24"/>
                <w:color w:val="auto"/>
              </w:rPr>
            </w:pPr>
          </w:p>
        </w:tc>
        <w:tc>
          <w:tcPr>
            <w:tcW w:w="340" w:type="dxa"/>
            <w:vAlign w:val="bottom"/>
            <w:tcBorders>
              <w:top w:val="single" w:sz="8" w:color="CEFFE7"/>
            </w:tcBorders>
          </w:tcPr>
          <w:p>
            <w:pPr>
              <w:spacing w:after="0"/>
              <w:rPr>
                <w:sz w:val="24"/>
                <w:szCs w:val="24"/>
                <w:color w:val="auto"/>
              </w:rPr>
            </w:pPr>
          </w:p>
        </w:tc>
        <w:tc>
          <w:tcPr>
            <w:tcW w:w="3920" w:type="dxa"/>
            <w:vAlign w:val="bottom"/>
            <w:tcBorders>
              <w:top w:val="single" w:sz="8" w:color="CEFFE7"/>
            </w:tcBorders>
            <w:gridSpan w:val="22"/>
          </w:tcPr>
          <w:p>
            <w:pPr>
              <w:ind w:left="3820"/>
              <w:spacing w:after="0"/>
              <w:rPr>
                <w:sz w:val="20"/>
                <w:szCs w:val="20"/>
                <w:color w:val="auto"/>
              </w:rPr>
            </w:pPr>
            <w:r>
              <w:rPr>
                <w:rFonts w:ascii="Arial" w:cs="Arial" w:eastAsia="Arial" w:hAnsi="Arial"/>
                <w:sz w:val="18"/>
                <w:szCs w:val="18"/>
                <w:color w:val="auto"/>
                <w:w w:val="79"/>
              </w:rPr>
              <w:t>2</w:t>
            </w:r>
          </w:p>
        </w:tc>
        <w:tc>
          <w:tcPr>
            <w:tcW w:w="120" w:type="dxa"/>
            <w:vAlign w:val="bottom"/>
            <w:tcBorders>
              <w:top w:val="single" w:sz="8" w:color="CEFFE7"/>
            </w:tcBorders>
          </w:tcPr>
          <w:p>
            <w:pPr>
              <w:spacing w:after="0"/>
              <w:rPr>
                <w:sz w:val="24"/>
                <w:szCs w:val="24"/>
                <w:color w:val="auto"/>
              </w:rPr>
            </w:pPr>
          </w:p>
        </w:tc>
        <w:tc>
          <w:tcPr>
            <w:tcW w:w="620" w:type="dxa"/>
            <w:vAlign w:val="bottom"/>
            <w:tcBorders>
              <w:top w:val="single" w:sz="8" w:color="CEFFE7"/>
            </w:tcBorders>
          </w:tcPr>
          <w:p>
            <w:pPr>
              <w:spacing w:after="0"/>
              <w:rPr>
                <w:sz w:val="24"/>
                <w:szCs w:val="24"/>
                <w:color w:val="auto"/>
              </w:rPr>
            </w:pPr>
          </w:p>
        </w:tc>
        <w:tc>
          <w:tcPr>
            <w:tcW w:w="1140" w:type="dxa"/>
            <w:vAlign w:val="bottom"/>
            <w:tcBorders>
              <w:top w:val="single" w:sz="8" w:color="CEFFE7"/>
            </w:tcBorders>
          </w:tcPr>
          <w:p>
            <w:pPr>
              <w:spacing w:after="0"/>
              <w:rPr>
                <w:sz w:val="24"/>
                <w:szCs w:val="24"/>
                <w:color w:val="auto"/>
              </w:rPr>
            </w:pPr>
          </w:p>
        </w:tc>
        <w:tc>
          <w:tcPr>
            <w:tcW w:w="1900" w:type="dxa"/>
            <w:vAlign w:val="bottom"/>
            <w:tcBorders>
              <w:top w:val="single" w:sz="8" w:color="CEFFE7"/>
            </w:tcBorders>
          </w:tcPr>
          <w:p>
            <w:pPr>
              <w:spacing w:after="0"/>
              <w:rPr>
                <w:sz w:val="24"/>
                <w:szCs w:val="24"/>
                <w:color w:val="auto"/>
              </w:rPr>
            </w:pPr>
          </w:p>
        </w:tc>
        <w:tc>
          <w:tcPr>
            <w:tcW w:w="20" w:type="dxa"/>
            <w:vAlign w:val="bottom"/>
            <w:tcBorders>
              <w:top w:val="single" w:sz="8" w:color="CEFFE7"/>
            </w:tcBorders>
          </w:tcPr>
          <w:p>
            <w:pPr>
              <w:spacing w:after="0"/>
              <w:rPr>
                <w:sz w:val="24"/>
                <w:szCs w:val="24"/>
                <w:color w:val="auto"/>
              </w:rPr>
            </w:pPr>
          </w:p>
        </w:tc>
        <w:tc>
          <w:tcPr>
            <w:tcW w:w="40" w:type="dxa"/>
            <w:vAlign w:val="bottom"/>
            <w:tcBorders>
              <w:top w:val="single" w:sz="8" w:color="CEFFE7"/>
            </w:tcBorders>
          </w:tcPr>
          <w:p>
            <w:pPr>
              <w:spacing w:after="0"/>
              <w:rPr>
                <w:sz w:val="24"/>
                <w:szCs w:val="24"/>
                <w:color w:val="auto"/>
              </w:rPr>
            </w:pPr>
          </w:p>
        </w:tc>
        <w:tc>
          <w:tcPr>
            <w:tcW w:w="180" w:type="dxa"/>
            <w:vAlign w:val="bottom"/>
            <w:tcBorders>
              <w:top w:val="single" w:sz="8" w:color="CEFFE7"/>
            </w:tcBorders>
          </w:tcPr>
          <w:p>
            <w:pPr>
              <w:spacing w:after="0"/>
              <w:rPr>
                <w:sz w:val="24"/>
                <w:szCs w:val="24"/>
                <w:color w:val="auto"/>
              </w:rPr>
            </w:pPr>
          </w:p>
        </w:tc>
        <w:tc>
          <w:tcPr>
            <w:tcW w:w="60" w:type="dxa"/>
            <w:vAlign w:val="bottom"/>
            <w:tcBorders>
              <w:top w:val="single" w:sz="8" w:color="CEFFE7"/>
            </w:tcBorders>
          </w:tcPr>
          <w:p>
            <w:pPr>
              <w:spacing w:after="0"/>
              <w:rPr>
                <w:sz w:val="24"/>
                <w:szCs w:val="24"/>
                <w:color w:val="auto"/>
              </w:rPr>
            </w:pPr>
          </w:p>
        </w:tc>
        <w:tc>
          <w:tcPr>
            <w:tcW w:w="26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800" w:type="dxa"/>
            <w:vAlign w:val="bottom"/>
            <w:tcBorders>
              <w:top w:val="single" w:sz="8" w:color="CEFFE7"/>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40" w:type="dxa"/>
            <w:vAlign w:val="bottom"/>
            <w:tcBorders>
              <w:top w:val="single" w:sz="8" w:color="CEFFE7"/>
            </w:tcBorders>
          </w:tcPr>
          <w:p>
            <w:pPr>
              <w:spacing w:after="0"/>
              <w:rPr>
                <w:sz w:val="24"/>
                <w:szCs w:val="24"/>
                <w:color w:val="auto"/>
              </w:rPr>
            </w:pPr>
          </w:p>
        </w:tc>
      </w:tr>
    </w:tbl>
    <w:p>
      <w:pPr>
        <w:sectPr>
          <w:pgSz w:w="11900" w:h="16838" w:orient="portrait"/>
          <w:cols w:equalWidth="0" w:num="1">
            <w:col w:w="11160"/>
          </w:cols>
          <w:pgMar w:left="380" w:top="337" w:right="359" w:bottom="1440" w:gutter="0" w:footer="0" w:header="0"/>
        </w:sectPr>
      </w:pPr>
    </w:p>
    <w:bookmarkStart w:id="2" w:name="page3"/>
    <w:bookmarkEnd w:id="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GLOSSARY OF TERMS AND ABBREVIATIONS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terms and abbreviations appear in the text of this report and have the definitions described below:</w:t>
      </w:r>
    </w:p>
    <w:p>
      <w:pPr>
        <w:spacing w:after="0" w:line="158" w:lineRule="exact"/>
        <w:rPr>
          <w:sz w:val="20"/>
          <w:szCs w:val="20"/>
          <w:color w:val="auto"/>
        </w:rPr>
      </w:pPr>
    </w:p>
    <w:tbl>
      <w:tblPr>
        <w:tblLayout w:type="fixed"/>
        <w:tblInd w:w="20" w:type="dxa"/>
        <w:tblCellMar>
          <w:top w:w="0" w:type="dxa"/>
          <w:left w:w="0" w:type="dxa"/>
          <w:bottom w:w="0" w:type="dxa"/>
          <w:right w:w="0" w:type="dxa"/>
        </w:tblCellMar>
      </w:tblPr>
      <w:tr>
        <w:trPr>
          <w:trHeight w:val="270"/>
        </w:trPr>
        <w:tc>
          <w:tcPr>
            <w:tcW w:w="2980" w:type="dxa"/>
            <w:vAlign w:val="bottom"/>
            <w:shd w:val="clear" w:color="auto" w:fill="CEFFE7"/>
          </w:tcPr>
          <w:p>
            <w:pPr>
              <w:ind w:left="20"/>
              <w:spacing w:after="0"/>
              <w:rPr>
                <w:sz w:val="20"/>
                <w:szCs w:val="20"/>
                <w:color w:val="auto"/>
              </w:rPr>
            </w:pPr>
            <w:r>
              <w:rPr>
                <w:rFonts w:ascii="Arial" w:cs="Arial" w:eastAsia="Arial" w:hAnsi="Arial"/>
                <w:sz w:val="18"/>
                <w:szCs w:val="18"/>
                <w:color w:val="auto"/>
              </w:rPr>
              <w:t>AC</w:t>
            </w:r>
          </w:p>
        </w:tc>
        <w:tc>
          <w:tcPr>
            <w:tcW w:w="8400" w:type="dxa"/>
            <w:vAlign w:val="bottom"/>
            <w:shd w:val="clear" w:color="auto" w:fill="CEFFE7"/>
          </w:tcPr>
          <w:p>
            <w:pPr>
              <w:ind w:left="360"/>
              <w:spacing w:after="0"/>
              <w:rPr>
                <w:sz w:val="20"/>
                <w:szCs w:val="20"/>
                <w:color w:val="auto"/>
              </w:rPr>
            </w:pPr>
            <w:r>
              <w:rPr>
                <w:rFonts w:ascii="Arial" w:cs="Arial" w:eastAsia="Arial" w:hAnsi="Arial"/>
                <w:sz w:val="18"/>
                <w:szCs w:val="18"/>
                <w:color w:val="auto"/>
              </w:rPr>
              <w:t>Alternating Current</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AFUDC</w:t>
            </w:r>
          </w:p>
        </w:tc>
        <w:tc>
          <w:tcPr>
            <w:tcW w:w="8400" w:type="dxa"/>
            <w:vAlign w:val="bottom"/>
          </w:tcPr>
          <w:p>
            <w:pPr>
              <w:ind w:left="360"/>
              <w:spacing w:after="0"/>
              <w:rPr>
                <w:sz w:val="20"/>
                <w:szCs w:val="20"/>
                <w:color w:val="auto"/>
              </w:rPr>
            </w:pPr>
            <w:r>
              <w:rPr>
                <w:rFonts w:ascii="Arial" w:cs="Arial" w:eastAsia="Arial" w:hAnsi="Arial"/>
                <w:sz w:val="18"/>
                <w:szCs w:val="18"/>
                <w:color w:val="auto"/>
              </w:rPr>
              <w:t>Allowance for Funds Used During Construction</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AOCI</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Accumulated Other Comprehensive Income (Loss)</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Aquila Transaction</w:t>
            </w:r>
          </w:p>
        </w:tc>
        <w:tc>
          <w:tcPr>
            <w:tcW w:w="8400" w:type="dxa"/>
            <w:vAlign w:val="bottom"/>
          </w:tcPr>
          <w:p>
            <w:pPr>
              <w:ind w:left="360"/>
              <w:spacing w:after="0"/>
              <w:rPr>
                <w:sz w:val="20"/>
                <w:szCs w:val="20"/>
                <w:color w:val="auto"/>
              </w:rPr>
            </w:pPr>
            <w:r>
              <w:rPr>
                <w:rFonts w:ascii="Arial" w:cs="Arial" w:eastAsia="Arial" w:hAnsi="Arial"/>
                <w:sz w:val="18"/>
                <w:szCs w:val="18"/>
                <w:color w:val="auto"/>
              </w:rPr>
              <w:t>Our July 14, 2008 acquisition of five utilities from Aquila, Inc.</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APSC</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Arkansas Public Service Commission</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Arkansas Gas</w:t>
            </w:r>
          </w:p>
        </w:tc>
        <w:tc>
          <w:tcPr>
            <w:tcW w:w="8400" w:type="dxa"/>
            <w:vAlign w:val="bottom"/>
          </w:tcPr>
          <w:p>
            <w:pPr>
              <w:ind w:left="360"/>
              <w:spacing w:after="0"/>
              <w:rPr>
                <w:sz w:val="20"/>
                <w:szCs w:val="20"/>
                <w:color w:val="auto"/>
              </w:rPr>
            </w:pPr>
            <w:r>
              <w:rPr>
                <w:rFonts w:ascii="Arial" w:cs="Arial" w:eastAsia="Arial" w:hAnsi="Arial"/>
                <w:sz w:val="18"/>
                <w:szCs w:val="18"/>
                <w:color w:val="auto"/>
              </w:rPr>
              <w:t>Black Hills Energy Arkansas, Inc., an indirect, wholly-owned subsidiary of Black Hills Utility Holdings,</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providing natural gas services to customers in Arkansas (doing business as Black Hills Energy).</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ARO</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Asset Retirement Obligations</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ASC</w:t>
            </w:r>
          </w:p>
        </w:tc>
        <w:tc>
          <w:tcPr>
            <w:tcW w:w="8400" w:type="dxa"/>
            <w:vAlign w:val="bottom"/>
          </w:tcPr>
          <w:p>
            <w:pPr>
              <w:ind w:left="360"/>
              <w:spacing w:after="0"/>
              <w:rPr>
                <w:sz w:val="20"/>
                <w:szCs w:val="20"/>
                <w:color w:val="auto"/>
              </w:rPr>
            </w:pPr>
            <w:r>
              <w:rPr>
                <w:rFonts w:ascii="Arial" w:cs="Arial" w:eastAsia="Arial" w:hAnsi="Arial"/>
                <w:sz w:val="18"/>
                <w:szCs w:val="18"/>
                <w:color w:val="auto"/>
              </w:rPr>
              <w:t>Accounting Standards Codification</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ASU</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Accounting Standards Update as issued by the FASB</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ATM</w:t>
            </w:r>
          </w:p>
        </w:tc>
        <w:tc>
          <w:tcPr>
            <w:tcW w:w="8400" w:type="dxa"/>
            <w:vAlign w:val="bottom"/>
          </w:tcPr>
          <w:p>
            <w:pPr>
              <w:ind w:left="360"/>
              <w:spacing w:after="0"/>
              <w:rPr>
                <w:sz w:val="20"/>
                <w:szCs w:val="20"/>
                <w:color w:val="auto"/>
              </w:rPr>
            </w:pPr>
            <w:r>
              <w:rPr>
                <w:rFonts w:ascii="Arial" w:cs="Arial" w:eastAsia="Arial" w:hAnsi="Arial"/>
                <w:sz w:val="18"/>
                <w:szCs w:val="18"/>
                <w:color w:val="auto"/>
              </w:rPr>
              <w:t>At-the-market equity offering program</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Availability</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w w:val="97"/>
              </w:rPr>
              <w:t>The availability factor of a power plant is the percentage of the time that it is available to provide energy.</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Basin Electric</w:t>
            </w:r>
          </w:p>
        </w:tc>
        <w:tc>
          <w:tcPr>
            <w:tcW w:w="8400" w:type="dxa"/>
            <w:vAlign w:val="bottom"/>
          </w:tcPr>
          <w:p>
            <w:pPr>
              <w:ind w:left="360"/>
              <w:spacing w:after="0"/>
              <w:rPr>
                <w:sz w:val="20"/>
                <w:szCs w:val="20"/>
                <w:color w:val="auto"/>
              </w:rPr>
            </w:pPr>
            <w:r>
              <w:rPr>
                <w:rFonts w:ascii="Arial" w:cs="Arial" w:eastAsia="Arial" w:hAnsi="Arial"/>
                <w:sz w:val="18"/>
                <w:szCs w:val="18"/>
                <w:color w:val="auto"/>
              </w:rPr>
              <w:t>Basin Electric Power Cooperative</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BHC</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Black Hills Corporation; the Company</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BHSC</w:t>
            </w:r>
          </w:p>
        </w:tc>
        <w:tc>
          <w:tcPr>
            <w:tcW w:w="8400" w:type="dxa"/>
            <w:vAlign w:val="bottom"/>
          </w:tcPr>
          <w:p>
            <w:pPr>
              <w:ind w:left="360"/>
              <w:spacing w:after="0"/>
              <w:rPr>
                <w:sz w:val="20"/>
                <w:szCs w:val="20"/>
                <w:color w:val="auto"/>
              </w:rPr>
            </w:pPr>
            <w:r>
              <w:rPr>
                <w:rFonts w:ascii="Arial" w:cs="Arial" w:eastAsia="Arial" w:hAnsi="Arial"/>
                <w:sz w:val="18"/>
                <w:szCs w:val="18"/>
                <w:color w:val="auto"/>
                <w:w w:val="99"/>
              </w:rPr>
              <w:t>Black Hills Service Company, LLC, a direct, wholly-owned subsidiary of Black Hills Corporation (doing</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business as Black Hills Energy)</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Colorado IPP</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Black Hills Colorado IPP, LLC, a 50.1% owned subsidiary of Black Hills Electric Generation</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Black Hills Electric Generation</w:t>
            </w:r>
          </w:p>
        </w:tc>
        <w:tc>
          <w:tcPr>
            <w:tcW w:w="8400" w:type="dxa"/>
            <w:vAlign w:val="bottom"/>
          </w:tcPr>
          <w:p>
            <w:pPr>
              <w:ind w:left="360"/>
              <w:spacing w:after="0"/>
              <w:rPr>
                <w:sz w:val="20"/>
                <w:szCs w:val="20"/>
                <w:color w:val="auto"/>
              </w:rPr>
            </w:pPr>
            <w:r>
              <w:rPr>
                <w:rFonts w:ascii="Arial" w:cs="Arial" w:eastAsia="Arial" w:hAnsi="Arial"/>
                <w:sz w:val="18"/>
                <w:szCs w:val="18"/>
                <w:color w:val="auto"/>
              </w:rPr>
              <w:t>Black Hills Electric Generation, LLC, a direct, wholly-owned subsidiary of Black Hills Non-regulated</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Holdings, providing wholesale electric capacity and energy primarily to our affiliate utilities.</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Energy</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The name used to conduct the business of our utility companies</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Black Hills Energy Services</w:t>
            </w:r>
          </w:p>
        </w:tc>
        <w:tc>
          <w:tcPr>
            <w:tcW w:w="8400" w:type="dxa"/>
            <w:vAlign w:val="bottom"/>
          </w:tcPr>
          <w:p>
            <w:pPr>
              <w:ind w:left="360"/>
              <w:spacing w:after="0"/>
              <w:rPr>
                <w:sz w:val="20"/>
                <w:szCs w:val="20"/>
                <w:color w:val="auto"/>
              </w:rPr>
            </w:pPr>
            <w:r>
              <w:rPr>
                <w:rFonts w:ascii="Arial" w:cs="Arial" w:eastAsia="Arial" w:hAnsi="Arial"/>
                <w:sz w:val="18"/>
                <w:szCs w:val="18"/>
                <w:color w:val="auto"/>
                <w:w w:val="95"/>
              </w:rPr>
              <w:t>Black Hills Energy Services Company, an indirect, wholly-owned subsidiary of Black Hills Utility Holdings,</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2"/>
              </w:rPr>
              <w:t>providing natural gas commodity supply for the Choice Gas Programs (doing business as Black Hills Energy).</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Non-regulated Holdings</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Black Hills Non-regulated Holdings, LLC, a direct, wholly-owned subsidiary of Black Hills Corporation</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Black Hills Utility Holdings</w:t>
            </w:r>
          </w:p>
        </w:tc>
        <w:tc>
          <w:tcPr>
            <w:tcW w:w="8400" w:type="dxa"/>
            <w:vAlign w:val="bottom"/>
          </w:tcPr>
          <w:p>
            <w:pPr>
              <w:ind w:left="360"/>
              <w:spacing w:after="0"/>
              <w:rPr>
                <w:sz w:val="20"/>
                <w:szCs w:val="20"/>
                <w:color w:val="auto"/>
              </w:rPr>
            </w:pPr>
            <w:r>
              <w:rPr>
                <w:rFonts w:ascii="Arial" w:cs="Arial" w:eastAsia="Arial" w:hAnsi="Arial"/>
                <w:sz w:val="18"/>
                <w:szCs w:val="18"/>
                <w:color w:val="auto"/>
              </w:rPr>
              <w:t>Black Hills Utility Holdings, Inc., a direct, wholly-owned subsidiary of Black Hills Corporation (doing</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business as Black Hills Energy)</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Black Hills Wyoming</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Black Hills Wyoming, LLC, a direct, wholly-owned subsidiary of Black Hills Electric Generation</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BLM</w:t>
            </w:r>
          </w:p>
        </w:tc>
        <w:tc>
          <w:tcPr>
            <w:tcW w:w="8400" w:type="dxa"/>
            <w:vAlign w:val="bottom"/>
          </w:tcPr>
          <w:p>
            <w:pPr>
              <w:ind w:left="360"/>
              <w:spacing w:after="0"/>
              <w:rPr>
                <w:sz w:val="20"/>
                <w:szCs w:val="20"/>
                <w:color w:val="auto"/>
              </w:rPr>
            </w:pPr>
            <w:r>
              <w:rPr>
                <w:rFonts w:ascii="Arial" w:cs="Arial" w:eastAsia="Arial" w:hAnsi="Arial"/>
                <w:sz w:val="18"/>
                <w:szCs w:val="18"/>
                <w:color w:val="auto"/>
              </w:rPr>
              <w:t>United States Bureau of Land Management</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Btu</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British thermal unit</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Busch Ranch I</w:t>
            </w:r>
          </w:p>
        </w:tc>
        <w:tc>
          <w:tcPr>
            <w:tcW w:w="8400" w:type="dxa"/>
            <w:vAlign w:val="bottom"/>
          </w:tcPr>
          <w:p>
            <w:pPr>
              <w:ind w:left="360"/>
              <w:spacing w:after="0"/>
              <w:rPr>
                <w:sz w:val="20"/>
                <w:szCs w:val="20"/>
                <w:color w:val="auto"/>
              </w:rPr>
            </w:pPr>
            <w:r>
              <w:rPr>
                <w:rFonts w:ascii="Arial" w:cs="Arial" w:eastAsia="Arial" w:hAnsi="Arial"/>
                <w:sz w:val="18"/>
                <w:szCs w:val="18"/>
                <w:color w:val="auto"/>
              </w:rPr>
              <w:t>29 MW wind farm near Pueblo, Colorado, jointly owned by Colorado Electric and Black Hills Electric</w:t>
            </w:r>
          </w:p>
        </w:tc>
      </w:tr>
      <w:tr>
        <w:trPr>
          <w:trHeight w:val="216"/>
        </w:trPr>
        <w:tc>
          <w:tcPr>
            <w:tcW w:w="298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3"/>
              </w:rPr>
              <w:t>Generation. Colorado Electric and Black Hills Electric Generation each have a 50% ownership interest in the</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wind farm.</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29"/>
        </w:trPr>
        <w:tc>
          <w:tcPr>
            <w:tcW w:w="2980" w:type="dxa"/>
            <w:vAlign w:val="bottom"/>
            <w:shd w:val="clear" w:color="auto" w:fill="CEFFE7"/>
          </w:tcPr>
          <w:p>
            <w:pPr>
              <w:ind w:left="20"/>
              <w:spacing w:after="0"/>
              <w:rPr>
                <w:sz w:val="20"/>
                <w:szCs w:val="20"/>
                <w:color w:val="auto"/>
              </w:rPr>
            </w:pPr>
            <w:r>
              <w:rPr>
                <w:rFonts w:ascii="Arial" w:cs="Arial" w:eastAsia="Arial" w:hAnsi="Arial"/>
                <w:sz w:val="18"/>
                <w:szCs w:val="18"/>
                <w:color w:val="auto"/>
              </w:rPr>
              <w:t>Busch Ranch II</w:t>
            </w:r>
          </w:p>
        </w:tc>
        <w:tc>
          <w:tcPr>
            <w:tcW w:w="8400" w:type="dxa"/>
            <w:vAlign w:val="bottom"/>
            <w:shd w:val="clear" w:color="auto" w:fill="CEFFE7"/>
          </w:tcPr>
          <w:p>
            <w:pPr>
              <w:ind w:left="360"/>
              <w:spacing w:after="0"/>
              <w:rPr>
                <w:sz w:val="20"/>
                <w:szCs w:val="20"/>
                <w:color w:val="auto"/>
              </w:rPr>
            </w:pPr>
            <w:r>
              <w:rPr>
                <w:rFonts w:ascii="Arial" w:cs="Arial" w:eastAsia="Arial" w:hAnsi="Arial"/>
                <w:sz w:val="18"/>
                <w:szCs w:val="18"/>
                <w:color w:val="auto"/>
                <w:w w:val="93"/>
              </w:rPr>
              <w:t>60 MW wind farm near Pueblo, Colorado owned by Black Hills Electric Generation to provide wind energy to</w:t>
            </w:r>
          </w:p>
        </w:tc>
      </w:tr>
      <w:tr>
        <w:trPr>
          <w:trHeight w:val="230"/>
        </w:trPr>
        <w:tc>
          <w:tcPr>
            <w:tcW w:w="2980" w:type="dxa"/>
            <w:vAlign w:val="bottom"/>
            <w:shd w:val="clear" w:color="auto" w:fill="CEFFE7"/>
          </w:tcPr>
          <w:p>
            <w:pPr>
              <w:spacing w:after="0"/>
              <w:rPr>
                <w:sz w:val="20"/>
                <w:szCs w:val="20"/>
                <w:color w:val="auto"/>
              </w:rPr>
            </w:pPr>
          </w:p>
        </w:tc>
        <w:tc>
          <w:tcPr>
            <w:tcW w:w="8400" w:type="dxa"/>
            <w:vAlign w:val="bottom"/>
            <w:shd w:val="clear" w:color="auto" w:fill="CEFFE7"/>
          </w:tcPr>
          <w:p>
            <w:pPr>
              <w:ind w:left="360"/>
              <w:spacing w:after="0"/>
              <w:rPr>
                <w:sz w:val="20"/>
                <w:szCs w:val="20"/>
                <w:color w:val="auto"/>
              </w:rPr>
            </w:pPr>
            <w:r>
              <w:rPr>
                <w:rFonts w:ascii="Arial" w:cs="Arial" w:eastAsia="Arial" w:hAnsi="Arial"/>
                <w:sz w:val="18"/>
                <w:szCs w:val="18"/>
                <w:color w:val="auto"/>
              </w:rPr>
              <w:t>Colorado Electric through a power purchase agreement expiring in November 2044.</w:t>
            </w:r>
          </w:p>
        </w:tc>
      </w:tr>
      <w:tr>
        <w:trPr>
          <w:trHeight w:val="243"/>
        </w:trPr>
        <w:tc>
          <w:tcPr>
            <w:tcW w:w="2980" w:type="dxa"/>
            <w:vAlign w:val="bottom"/>
            <w:shd w:val="clear" w:color="auto" w:fill="CEFFE7"/>
          </w:tcPr>
          <w:p>
            <w:pPr>
              <w:spacing w:after="0"/>
              <w:rPr>
                <w:sz w:val="21"/>
                <w:szCs w:val="21"/>
                <w:color w:val="auto"/>
              </w:rPr>
            </w:pPr>
          </w:p>
        </w:tc>
        <w:tc>
          <w:tcPr>
            <w:tcW w:w="8400" w:type="dxa"/>
            <w:vAlign w:val="bottom"/>
            <w:shd w:val="clear" w:color="auto" w:fill="CEFFE7"/>
          </w:tcPr>
          <w:p>
            <w:pPr>
              <w:spacing w:after="0"/>
              <w:rPr>
                <w:sz w:val="21"/>
                <w:szCs w:val="21"/>
                <w:color w:val="auto"/>
              </w:rPr>
            </w:pP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CAPP</w:t>
            </w:r>
          </w:p>
        </w:tc>
        <w:tc>
          <w:tcPr>
            <w:tcW w:w="8400" w:type="dxa"/>
            <w:vAlign w:val="bottom"/>
          </w:tcPr>
          <w:p>
            <w:pPr>
              <w:ind w:left="360"/>
              <w:spacing w:after="0"/>
              <w:rPr>
                <w:sz w:val="20"/>
                <w:szCs w:val="20"/>
                <w:color w:val="auto"/>
              </w:rPr>
            </w:pPr>
            <w:r>
              <w:rPr>
                <w:rFonts w:ascii="Arial" w:cs="Arial" w:eastAsia="Arial" w:hAnsi="Arial"/>
                <w:sz w:val="18"/>
                <w:szCs w:val="18"/>
                <w:color w:val="auto"/>
                <w:w w:val="97"/>
              </w:rPr>
              <w:t>Customer Appliance Protection Plan, which provides appliance repair services to residential natural gas</w:t>
            </w:r>
          </w:p>
        </w:tc>
      </w:tr>
      <w:tr>
        <w:trPr>
          <w:trHeight w:val="216"/>
        </w:trPr>
        <w:tc>
          <w:tcPr>
            <w:tcW w:w="298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1"/>
              </w:rPr>
              <w:t>customers through on-going monthly service agreements. The consolidation of the existing Service Guard and</w:t>
            </w:r>
          </w:p>
        </w:tc>
      </w:tr>
      <w:tr>
        <w:trPr>
          <w:trHeight w:val="216"/>
        </w:trPr>
        <w:tc>
          <w:tcPr>
            <w:tcW w:w="2980" w:type="dxa"/>
            <w:vAlign w:val="bottom"/>
          </w:tcPr>
          <w:p>
            <w:pPr>
              <w:spacing w:after="0"/>
              <w:rPr>
                <w:sz w:val="18"/>
                <w:szCs w:val="18"/>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w w:val="99"/>
              </w:rPr>
              <w:t>CAPP plans into the revamped Service Guard Comfort Plan is currently underway across our service</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territories.</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CFTC</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United States Commodity Futures Trading Commission</w:t>
            </w:r>
          </w:p>
        </w:tc>
      </w:tr>
      <w:tr>
        <w:trPr>
          <w:trHeight w:val="229"/>
        </w:trPr>
        <w:tc>
          <w:tcPr>
            <w:tcW w:w="2980" w:type="dxa"/>
            <w:vAlign w:val="bottom"/>
          </w:tcPr>
          <w:p>
            <w:pPr>
              <w:ind w:left="20"/>
              <w:spacing w:after="0"/>
              <w:rPr>
                <w:sz w:val="20"/>
                <w:szCs w:val="20"/>
                <w:color w:val="auto"/>
              </w:rPr>
            </w:pPr>
            <w:r>
              <w:rPr>
                <w:rFonts w:ascii="Arial" w:cs="Arial" w:eastAsia="Arial" w:hAnsi="Arial"/>
                <w:sz w:val="18"/>
                <w:szCs w:val="18"/>
                <w:color w:val="auto"/>
              </w:rPr>
              <w:t>Cheyenne Prairie</w:t>
            </w:r>
          </w:p>
        </w:tc>
        <w:tc>
          <w:tcPr>
            <w:tcW w:w="8400" w:type="dxa"/>
            <w:vAlign w:val="bottom"/>
          </w:tcPr>
          <w:p>
            <w:pPr>
              <w:ind w:left="360"/>
              <w:spacing w:after="0"/>
              <w:rPr>
                <w:sz w:val="20"/>
                <w:szCs w:val="20"/>
                <w:color w:val="auto"/>
              </w:rPr>
            </w:pPr>
            <w:r>
              <w:rPr>
                <w:rFonts w:ascii="Arial" w:cs="Arial" w:eastAsia="Arial" w:hAnsi="Arial"/>
                <w:sz w:val="18"/>
                <w:szCs w:val="18"/>
                <w:color w:val="auto"/>
                <w:w w:val="93"/>
              </w:rPr>
              <w:t>132 MW natural-gas fired generating facility jointly owned by South Dakota Electric and Wyoming Electric in</w:t>
            </w:r>
          </w:p>
        </w:tc>
      </w:tr>
      <w:tr>
        <w:trPr>
          <w:trHeight w:val="230"/>
        </w:trPr>
        <w:tc>
          <w:tcPr>
            <w:tcW w:w="2980" w:type="dxa"/>
            <w:vAlign w:val="bottom"/>
          </w:tcPr>
          <w:p>
            <w:pPr>
              <w:spacing w:after="0"/>
              <w:rPr>
                <w:sz w:val="20"/>
                <w:szCs w:val="20"/>
                <w:color w:val="auto"/>
              </w:rPr>
            </w:pPr>
          </w:p>
        </w:tc>
        <w:tc>
          <w:tcPr>
            <w:tcW w:w="8400" w:type="dxa"/>
            <w:vAlign w:val="bottom"/>
          </w:tcPr>
          <w:p>
            <w:pPr>
              <w:ind w:left="360"/>
              <w:spacing w:after="0"/>
              <w:rPr>
                <w:sz w:val="20"/>
                <w:szCs w:val="20"/>
                <w:color w:val="auto"/>
              </w:rPr>
            </w:pPr>
            <w:r>
              <w:rPr>
                <w:rFonts w:ascii="Arial" w:cs="Arial" w:eastAsia="Arial" w:hAnsi="Arial"/>
                <w:sz w:val="18"/>
                <w:szCs w:val="18"/>
                <w:color w:val="auto"/>
              </w:rPr>
              <w:t>Cheyenne, Wyoming. Cheyenne Prairie was placed into commercial service on October 1, 2014.</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29"/>
        </w:trPr>
        <w:tc>
          <w:tcPr>
            <w:tcW w:w="2980" w:type="dxa"/>
            <w:vAlign w:val="bottom"/>
            <w:shd w:val="clear" w:color="auto" w:fill="CEFFE7"/>
          </w:tcPr>
          <w:p>
            <w:pPr>
              <w:ind w:left="20"/>
              <w:spacing w:after="0"/>
              <w:rPr>
                <w:sz w:val="20"/>
                <w:szCs w:val="20"/>
                <w:color w:val="auto"/>
              </w:rPr>
            </w:pPr>
            <w:r>
              <w:rPr>
                <w:rFonts w:ascii="Arial" w:cs="Arial" w:eastAsia="Arial" w:hAnsi="Arial"/>
                <w:sz w:val="18"/>
                <w:szCs w:val="18"/>
                <w:color w:val="auto"/>
              </w:rPr>
              <w:t>Choice Gas Program</w:t>
            </w:r>
          </w:p>
        </w:tc>
        <w:tc>
          <w:tcPr>
            <w:tcW w:w="8400" w:type="dxa"/>
            <w:vAlign w:val="bottom"/>
            <w:shd w:val="clear" w:color="auto" w:fill="CEFFE7"/>
          </w:tcPr>
          <w:p>
            <w:pPr>
              <w:ind w:left="360"/>
              <w:spacing w:after="0"/>
              <w:rPr>
                <w:sz w:val="20"/>
                <w:szCs w:val="20"/>
                <w:color w:val="auto"/>
              </w:rPr>
            </w:pPr>
            <w:r>
              <w:rPr>
                <w:rFonts w:ascii="Arial" w:cs="Arial" w:eastAsia="Arial" w:hAnsi="Arial"/>
                <w:sz w:val="18"/>
                <w:szCs w:val="18"/>
                <w:color w:val="auto"/>
                <w:w w:val="95"/>
              </w:rPr>
              <w:t>Regulator approved programs in Wyoming and Nebraska that allow certain utility customers to select their</w:t>
            </w:r>
          </w:p>
        </w:tc>
      </w:tr>
      <w:tr>
        <w:trPr>
          <w:trHeight w:val="216"/>
        </w:trPr>
        <w:tc>
          <w:tcPr>
            <w:tcW w:w="2980" w:type="dxa"/>
            <w:vAlign w:val="bottom"/>
            <w:shd w:val="clear" w:color="auto" w:fill="CEFFE7"/>
          </w:tcPr>
          <w:p>
            <w:pPr>
              <w:spacing w:after="0"/>
              <w:rPr>
                <w:sz w:val="18"/>
                <w:szCs w:val="18"/>
                <w:color w:val="auto"/>
              </w:rPr>
            </w:pPr>
          </w:p>
        </w:tc>
        <w:tc>
          <w:tcPr>
            <w:tcW w:w="8400" w:type="dxa"/>
            <w:vAlign w:val="bottom"/>
            <w:shd w:val="clear" w:color="auto" w:fill="CEFFE7"/>
          </w:tcPr>
          <w:p>
            <w:pPr>
              <w:ind w:left="360"/>
              <w:spacing w:after="0"/>
              <w:rPr>
                <w:sz w:val="20"/>
                <w:szCs w:val="20"/>
                <w:color w:val="auto"/>
              </w:rPr>
            </w:pPr>
            <w:r>
              <w:rPr>
                <w:rFonts w:ascii="Arial" w:cs="Arial" w:eastAsia="Arial" w:hAnsi="Arial"/>
                <w:sz w:val="18"/>
                <w:szCs w:val="18"/>
                <w:color w:val="auto"/>
                <w:w w:val="97"/>
              </w:rPr>
              <w:t>natural gas commodity supplier, providing the unbundling of the commodity service from the distribution</w:t>
            </w:r>
          </w:p>
        </w:tc>
      </w:tr>
      <w:tr>
        <w:trPr>
          <w:trHeight w:val="237"/>
        </w:trPr>
        <w:tc>
          <w:tcPr>
            <w:tcW w:w="2980" w:type="dxa"/>
            <w:vAlign w:val="bottom"/>
            <w:tcBorders>
              <w:bottom w:val="single" w:sz="8" w:color="CEFFE7"/>
            </w:tcBorders>
            <w:shd w:val="clear" w:color="auto" w:fill="CEFFE7"/>
          </w:tcPr>
          <w:p>
            <w:pPr>
              <w:spacing w:after="0"/>
              <w:rPr>
                <w:sz w:val="20"/>
                <w:szCs w:val="20"/>
                <w:color w:val="auto"/>
              </w:rPr>
            </w:pP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delivery service.</w:t>
            </w:r>
          </w:p>
        </w:tc>
      </w:tr>
      <w:tr>
        <w:trPr>
          <w:trHeight w:val="243"/>
        </w:trPr>
        <w:tc>
          <w:tcPr>
            <w:tcW w:w="2980" w:type="dxa"/>
            <w:vAlign w:val="bottom"/>
          </w:tcPr>
          <w:p>
            <w:pPr>
              <w:ind w:left="20"/>
              <w:spacing w:after="0"/>
              <w:rPr>
                <w:sz w:val="20"/>
                <w:szCs w:val="20"/>
                <w:color w:val="auto"/>
              </w:rPr>
            </w:pPr>
            <w:r>
              <w:rPr>
                <w:rFonts w:ascii="Arial" w:cs="Arial" w:eastAsia="Arial" w:hAnsi="Arial"/>
                <w:sz w:val="18"/>
                <w:szCs w:val="18"/>
                <w:color w:val="auto"/>
              </w:rPr>
              <w:t>City of Gillette</w:t>
            </w:r>
          </w:p>
        </w:tc>
        <w:tc>
          <w:tcPr>
            <w:tcW w:w="8400" w:type="dxa"/>
            <w:vAlign w:val="bottom"/>
          </w:tcPr>
          <w:p>
            <w:pPr>
              <w:ind w:left="360"/>
              <w:spacing w:after="0"/>
              <w:rPr>
                <w:sz w:val="20"/>
                <w:szCs w:val="20"/>
                <w:color w:val="auto"/>
              </w:rPr>
            </w:pPr>
            <w:r>
              <w:rPr>
                <w:rFonts w:ascii="Arial" w:cs="Arial" w:eastAsia="Arial" w:hAnsi="Arial"/>
                <w:sz w:val="18"/>
                <w:szCs w:val="18"/>
                <w:color w:val="auto"/>
              </w:rPr>
              <w:t>Gillette, Wyoming</w:t>
            </w:r>
          </w:p>
        </w:tc>
      </w:tr>
      <w:tr>
        <w:trPr>
          <w:trHeight w:val="27"/>
        </w:trPr>
        <w:tc>
          <w:tcPr>
            <w:tcW w:w="2980" w:type="dxa"/>
            <w:vAlign w:val="bottom"/>
          </w:tcPr>
          <w:p>
            <w:pPr>
              <w:spacing w:after="0"/>
              <w:rPr>
                <w:sz w:val="2"/>
                <w:szCs w:val="2"/>
                <w:color w:val="auto"/>
              </w:rPr>
            </w:pPr>
          </w:p>
        </w:tc>
        <w:tc>
          <w:tcPr>
            <w:tcW w:w="840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City of Cheyenne</w:t>
            </w:r>
          </w:p>
        </w:tc>
        <w:tc>
          <w:tcPr>
            <w:tcW w:w="840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Cheyenne, Wyoming</w:t>
            </w:r>
          </w:p>
        </w:tc>
      </w:tr>
      <w:tr>
        <w:trPr>
          <w:trHeight w:val="432"/>
        </w:trPr>
        <w:tc>
          <w:tcPr>
            <w:tcW w:w="2980" w:type="dxa"/>
            <w:vAlign w:val="bottom"/>
          </w:tcPr>
          <w:p>
            <w:pPr>
              <w:spacing w:after="0"/>
              <w:rPr>
                <w:sz w:val="24"/>
                <w:szCs w:val="24"/>
                <w:color w:val="auto"/>
              </w:rPr>
            </w:pPr>
          </w:p>
        </w:tc>
        <w:tc>
          <w:tcPr>
            <w:tcW w:w="8400" w:type="dxa"/>
            <w:vAlign w:val="bottom"/>
          </w:tcPr>
          <w:p>
            <w:pPr>
              <w:ind w:left="2660"/>
              <w:spacing w:after="0"/>
              <w:rPr>
                <w:sz w:val="20"/>
                <w:szCs w:val="20"/>
                <w:color w:val="auto"/>
              </w:rPr>
            </w:pPr>
            <w:r>
              <w:rPr>
                <w:rFonts w:ascii="Arial" w:cs="Arial" w:eastAsia="Arial" w:hAnsi="Arial"/>
                <w:sz w:val="18"/>
                <w:szCs w:val="18"/>
                <w:color w:val="auto"/>
              </w:rPr>
              <w:t>3</w:t>
            </w:r>
          </w:p>
        </w:tc>
      </w:tr>
    </w:tbl>
    <w:p>
      <w:pPr>
        <w:sectPr>
          <w:pgSz w:w="11900" w:h="16838" w:orient="portrait"/>
          <w:cols w:equalWidth="0" w:num="1">
            <w:col w:w="11400"/>
          </w:cols>
          <w:pgMar w:left="240" w:top="126" w:right="25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8100" w:type="dxa"/>
            <w:vAlign w:val="bottom"/>
          </w:tcPr>
          <w:p>
            <w:pPr>
              <w:spacing w:after="0"/>
              <w:rPr>
                <w:sz w:val="16"/>
                <w:szCs w:val="16"/>
                <w:color w:val="auto"/>
              </w:rPr>
            </w:pPr>
          </w:p>
        </w:tc>
      </w:tr>
      <w:tr>
        <w:trPr>
          <w:trHeight w:val="20"/>
        </w:trPr>
        <w:tc>
          <w:tcPr>
            <w:tcW w:w="20" w:type="dxa"/>
            <w:vAlign w:val="bottom"/>
            <w:shd w:val="clear" w:color="auto" w:fill="0000EE"/>
          </w:tcPr>
          <w:p>
            <w:pPr>
              <w:spacing w:after="0" w:line="20" w:lineRule="exact"/>
              <w:rPr>
                <w:sz w:val="1"/>
                <w:szCs w:val="1"/>
                <w:color w:val="auto"/>
              </w:rPr>
            </w:pPr>
          </w:p>
        </w:tc>
        <w:tc>
          <w:tcPr>
            <w:tcW w:w="1200" w:type="dxa"/>
            <w:vAlign w:val="bottom"/>
            <w:shd w:val="clear" w:color="auto" w:fill="0000EE"/>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r>
      <w:tr>
        <w:trPr>
          <w:trHeight w:val="587"/>
        </w:trPr>
        <w:tc>
          <w:tcPr>
            <w:tcW w:w="20" w:type="dxa"/>
            <w:vAlign w:val="bottom"/>
          </w:tcPr>
          <w:p>
            <w:pPr>
              <w:spacing w:after="0"/>
              <w:rPr>
                <w:sz w:val="24"/>
                <w:szCs w:val="24"/>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Colorado Electric</w:t>
            </w:r>
          </w:p>
        </w:tc>
        <w:tc>
          <w:tcPr>
            <w:tcW w:w="8100" w:type="dxa"/>
            <w:vAlign w:val="bottom"/>
          </w:tcPr>
          <w:p>
            <w:pPr>
              <w:ind w:left="60"/>
              <w:spacing w:after="0"/>
              <w:rPr>
                <w:sz w:val="20"/>
                <w:szCs w:val="20"/>
                <w:color w:val="auto"/>
              </w:rPr>
            </w:pPr>
            <w:r>
              <w:rPr>
                <w:rFonts w:ascii="Arial" w:cs="Arial" w:eastAsia="Arial" w:hAnsi="Arial"/>
                <w:sz w:val="18"/>
                <w:szCs w:val="18"/>
                <w:color w:val="auto"/>
              </w:rPr>
              <w:t>Black Hills Colorado Electric, LLC, a direct, wholly-owned subsidiary of Black Hills Utility Holdings,</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providing electric service to customers in Colorado (doing business as Black Hills Energy).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Colorado Gas</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rPr>
              <w:t>Black Hills Colorado Gas, Inc., an indirect, wholly-owned subsidiary of Black Hills Utility Holdings,</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providing natural gas services to customers in Colorado (doing business as Black Hills Energy).</w:t>
            </w:r>
          </w:p>
        </w:tc>
      </w:tr>
      <w:tr>
        <w:trPr>
          <w:trHeight w:val="229"/>
        </w:trPr>
        <w:tc>
          <w:tcPr>
            <w:tcW w:w="2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Common Use System (CUS)</w:t>
            </w:r>
          </w:p>
        </w:tc>
        <w:tc>
          <w:tcPr>
            <w:tcW w:w="8100" w:type="dxa"/>
            <w:vAlign w:val="bottom"/>
          </w:tcPr>
          <w:p>
            <w:pPr>
              <w:ind w:left="60"/>
              <w:spacing w:after="0"/>
              <w:rPr>
                <w:sz w:val="20"/>
                <w:szCs w:val="20"/>
                <w:color w:val="auto"/>
              </w:rPr>
            </w:pPr>
            <w:r>
              <w:rPr>
                <w:rFonts w:ascii="Arial" w:cs="Arial" w:eastAsia="Arial" w:hAnsi="Arial"/>
                <w:sz w:val="18"/>
                <w:szCs w:val="18"/>
                <w:color w:val="auto"/>
                <w:w w:val="95"/>
              </w:rPr>
              <w:t>The Common Use System is a joint transmission system we participate in with Basin Electric and Powder</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8"/>
              </w:rPr>
              <w:t>River Energy Corporation. The Common Use System provides transmission service over these utilities'</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8"/>
              </w:rPr>
              <w:t>combined 230-kilovolt (kV) and limited 69-kV transmission facilities within areas of southwestern South</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Dakota and northeastern Wyoming.</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w w:val="92"/>
              </w:rPr>
              <w:t>Consolidated Indebtedness to Capitalization</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4"/>
              </w:rPr>
              <w:t>Any Indebtedness outstanding at such time, divided by capital at such time. Capital being consolidated net-</w:t>
            </w:r>
          </w:p>
        </w:tc>
      </w:tr>
      <w:tr>
        <w:trPr>
          <w:trHeight w:val="216"/>
        </w:trPr>
        <w:tc>
          <w:tcPr>
            <w:tcW w:w="20" w:type="dxa"/>
            <w:vAlign w:val="bottom"/>
          </w:tcPr>
          <w:p>
            <w:pPr>
              <w:spacing w:after="0"/>
              <w:rPr>
                <w:sz w:val="18"/>
                <w:szCs w:val="18"/>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Ratio</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1"/>
              </w:rPr>
              <w:t>worth (excluding noncontrolling interest) plus consolidated indebtedness (including letters of credit and certain</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guarantees issued) as defined within the current Revolving Credit Facility.</w:t>
            </w:r>
          </w:p>
        </w:tc>
      </w:tr>
      <w:tr>
        <w:trPr>
          <w:trHeight w:val="229"/>
        </w:trPr>
        <w:tc>
          <w:tcPr>
            <w:tcW w:w="2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Cooling Degree Day (CDD)</w:t>
            </w:r>
          </w:p>
        </w:tc>
        <w:tc>
          <w:tcPr>
            <w:tcW w:w="8100" w:type="dxa"/>
            <w:vAlign w:val="bottom"/>
          </w:tcPr>
          <w:p>
            <w:pPr>
              <w:ind w:left="60"/>
              <w:spacing w:after="0"/>
              <w:rPr>
                <w:sz w:val="20"/>
                <w:szCs w:val="20"/>
                <w:color w:val="auto"/>
              </w:rPr>
            </w:pPr>
            <w:r>
              <w:rPr>
                <w:rFonts w:ascii="Arial" w:cs="Arial" w:eastAsia="Arial" w:hAnsi="Arial"/>
                <w:sz w:val="18"/>
                <w:szCs w:val="18"/>
                <w:color w:val="auto"/>
                <w:w w:val="90"/>
              </w:rPr>
              <w:t>A cooling degree day is equivalent to each degree that the average of the high and low temperature for a day is</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3"/>
              </w:rPr>
              <w:t>above 65 degrees. The warmer the climate, the greater the number of cooling degree days. Cooling degree</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8"/>
              </w:rPr>
              <w:t>days are used in the utility industry to measure the relative warmth of weather and to compare relative</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6"/>
              </w:rPr>
              <w:t>temperatures between one geographic area and another. Normal degree days are based on the National</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Weather Service data for selected locations.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Corriedale</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6"/>
              </w:rPr>
              <w:t>Wind project near Cheyenne, Wyoming, that will be a 52.5 MW wind farm jointly owned by South Dakota</w:t>
            </w:r>
          </w:p>
        </w:tc>
      </w:tr>
      <w:tr>
        <w:trPr>
          <w:trHeight w:val="216"/>
        </w:trPr>
        <w:tc>
          <w:tcPr>
            <w:tcW w:w="20" w:type="dxa"/>
            <w:vAlign w:val="bottom"/>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20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4"/>
              </w:rPr>
              <w:t>Electric and Wyoming Electric and will serve as the dedicated wind energy supply to the Renewable Ready</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program.</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CPCN</w:t>
            </w:r>
          </w:p>
        </w:tc>
        <w:tc>
          <w:tcPr>
            <w:tcW w:w="8100" w:type="dxa"/>
            <w:vAlign w:val="bottom"/>
          </w:tcPr>
          <w:p>
            <w:pPr>
              <w:ind w:left="60"/>
              <w:spacing w:after="0"/>
              <w:rPr>
                <w:sz w:val="20"/>
                <w:szCs w:val="20"/>
                <w:color w:val="auto"/>
              </w:rPr>
            </w:pPr>
            <w:r>
              <w:rPr>
                <w:rFonts w:ascii="Arial" w:cs="Arial" w:eastAsia="Arial" w:hAnsi="Arial"/>
                <w:sz w:val="18"/>
                <w:szCs w:val="18"/>
                <w:color w:val="auto"/>
              </w:rPr>
              <w:t>Certificate of Public Convenience and Necessity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CPP</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Clean Power Plan</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CP Program</w:t>
            </w:r>
          </w:p>
        </w:tc>
        <w:tc>
          <w:tcPr>
            <w:tcW w:w="8100" w:type="dxa"/>
            <w:vAlign w:val="bottom"/>
          </w:tcPr>
          <w:p>
            <w:pPr>
              <w:ind w:left="60"/>
              <w:spacing w:after="0"/>
              <w:rPr>
                <w:sz w:val="20"/>
                <w:szCs w:val="20"/>
                <w:color w:val="auto"/>
              </w:rPr>
            </w:pPr>
            <w:r>
              <w:rPr>
                <w:rFonts w:ascii="Arial" w:cs="Arial" w:eastAsia="Arial" w:hAnsi="Arial"/>
                <w:sz w:val="18"/>
                <w:szCs w:val="18"/>
                <w:color w:val="auto"/>
              </w:rPr>
              <w:t>Commercial Paper Program</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CPUC</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Colorado Public Utilities Commission</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CT</w:t>
            </w:r>
          </w:p>
        </w:tc>
        <w:tc>
          <w:tcPr>
            <w:tcW w:w="8100" w:type="dxa"/>
            <w:vAlign w:val="bottom"/>
          </w:tcPr>
          <w:p>
            <w:pPr>
              <w:ind w:left="60"/>
              <w:spacing w:after="0"/>
              <w:rPr>
                <w:sz w:val="20"/>
                <w:szCs w:val="20"/>
                <w:color w:val="auto"/>
              </w:rPr>
            </w:pPr>
            <w:r>
              <w:rPr>
                <w:rFonts w:ascii="Arial" w:cs="Arial" w:eastAsia="Arial" w:hAnsi="Arial"/>
                <w:sz w:val="18"/>
                <w:szCs w:val="18"/>
                <w:color w:val="auto"/>
              </w:rPr>
              <w:t>Combustion turbine</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CTII</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The 40 MW Gillette CT, a simple-cycle, gas-fired combustion turbine owned by the City of Gillette.</w:t>
            </w:r>
          </w:p>
        </w:tc>
      </w:tr>
      <w:tr>
        <w:trPr>
          <w:trHeight w:val="229"/>
        </w:trPr>
        <w:tc>
          <w:tcPr>
            <w:tcW w:w="20" w:type="dxa"/>
            <w:vAlign w:val="bottom"/>
          </w:tcPr>
          <w:p>
            <w:pPr>
              <w:spacing w:after="0"/>
              <w:rPr>
                <w:sz w:val="19"/>
                <w:szCs w:val="19"/>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Cushion Gas</w:t>
            </w:r>
          </w:p>
        </w:tc>
        <w:tc>
          <w:tcPr>
            <w:tcW w:w="8100" w:type="dxa"/>
            <w:vAlign w:val="bottom"/>
          </w:tcPr>
          <w:p>
            <w:pPr>
              <w:ind w:left="60"/>
              <w:spacing w:after="0"/>
              <w:rPr>
                <w:sz w:val="20"/>
                <w:szCs w:val="20"/>
                <w:color w:val="auto"/>
              </w:rPr>
            </w:pPr>
            <w:r>
              <w:rPr>
                <w:rFonts w:ascii="Arial" w:cs="Arial" w:eastAsia="Arial" w:hAnsi="Arial"/>
                <w:sz w:val="18"/>
                <w:szCs w:val="18"/>
                <w:color w:val="auto"/>
                <w:w w:val="90"/>
              </w:rPr>
              <w:t>The portion of natural gas necessary to force saleable gas from a storage field into the transmission system and</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w w:val="93"/>
              </w:rPr>
              <w:t>for system balancing, representing a permanent investment necessary to use storage facilities and maintain</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8100" w:type="dxa"/>
            <w:vAlign w:val="bottom"/>
          </w:tcPr>
          <w:p>
            <w:pPr>
              <w:ind w:left="60"/>
              <w:spacing w:after="0"/>
              <w:rPr>
                <w:sz w:val="20"/>
                <w:szCs w:val="20"/>
                <w:color w:val="auto"/>
              </w:rPr>
            </w:pPr>
            <w:r>
              <w:rPr>
                <w:rFonts w:ascii="Arial" w:cs="Arial" w:eastAsia="Arial" w:hAnsi="Arial"/>
                <w:sz w:val="18"/>
                <w:szCs w:val="18"/>
                <w:color w:val="auto"/>
              </w:rPr>
              <w:t>reliability.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CVA</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Credit Valuation Adjustment</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DC</w:t>
            </w:r>
          </w:p>
        </w:tc>
        <w:tc>
          <w:tcPr>
            <w:tcW w:w="8100" w:type="dxa"/>
            <w:vAlign w:val="bottom"/>
          </w:tcPr>
          <w:p>
            <w:pPr>
              <w:ind w:left="60"/>
              <w:spacing w:after="0"/>
              <w:rPr>
                <w:sz w:val="20"/>
                <w:szCs w:val="20"/>
                <w:color w:val="auto"/>
              </w:rPr>
            </w:pPr>
            <w:r>
              <w:rPr>
                <w:rFonts w:ascii="Arial" w:cs="Arial" w:eastAsia="Arial" w:hAnsi="Arial"/>
                <w:sz w:val="18"/>
                <w:szCs w:val="18"/>
                <w:color w:val="auto"/>
              </w:rPr>
              <w:t>Direct current</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Dividend payout ratio</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Annual dividends paid on common stock divided by net income from continuing operations available for</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common stock</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Dodd-Frank</w:t>
            </w:r>
          </w:p>
        </w:tc>
        <w:tc>
          <w:tcPr>
            <w:tcW w:w="8100" w:type="dxa"/>
            <w:vAlign w:val="bottom"/>
          </w:tcPr>
          <w:p>
            <w:pPr>
              <w:ind w:left="60"/>
              <w:spacing w:after="0"/>
              <w:rPr>
                <w:sz w:val="20"/>
                <w:szCs w:val="20"/>
                <w:color w:val="auto"/>
              </w:rPr>
            </w:pPr>
            <w:r>
              <w:rPr>
                <w:rFonts w:ascii="Arial" w:cs="Arial" w:eastAsia="Arial" w:hAnsi="Arial"/>
                <w:sz w:val="18"/>
                <w:szCs w:val="18"/>
                <w:color w:val="auto"/>
              </w:rPr>
              <w:t>Dodd-Frank Wall Street Reform and Consumer Protection Act</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DSM</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Demand Side Management</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DRSPP</w:t>
            </w:r>
          </w:p>
        </w:tc>
        <w:tc>
          <w:tcPr>
            <w:tcW w:w="8100" w:type="dxa"/>
            <w:vAlign w:val="bottom"/>
          </w:tcPr>
          <w:p>
            <w:pPr>
              <w:ind w:left="60"/>
              <w:spacing w:after="0"/>
              <w:rPr>
                <w:sz w:val="20"/>
                <w:szCs w:val="20"/>
                <w:color w:val="auto"/>
              </w:rPr>
            </w:pPr>
            <w:r>
              <w:rPr>
                <w:rFonts w:ascii="Arial" w:cs="Arial" w:eastAsia="Arial" w:hAnsi="Arial"/>
                <w:sz w:val="18"/>
                <w:szCs w:val="18"/>
                <w:color w:val="auto"/>
              </w:rPr>
              <w:t>Dividend Reinvestment and Stock Purchase Plan</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Dth</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Dekatherm. A unit of energy equal to 10 therms or one million British thermal units (MMBtu).</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EBITDA</w:t>
            </w:r>
          </w:p>
        </w:tc>
        <w:tc>
          <w:tcPr>
            <w:tcW w:w="8100" w:type="dxa"/>
            <w:vAlign w:val="bottom"/>
          </w:tcPr>
          <w:p>
            <w:pPr>
              <w:ind w:left="60"/>
              <w:spacing w:after="0"/>
              <w:rPr>
                <w:sz w:val="20"/>
                <w:szCs w:val="20"/>
                <w:color w:val="auto"/>
              </w:rPr>
            </w:pPr>
            <w:r>
              <w:rPr>
                <w:rFonts w:ascii="Arial" w:cs="Arial" w:eastAsia="Arial" w:hAnsi="Arial"/>
                <w:sz w:val="18"/>
                <w:szCs w:val="18"/>
                <w:color w:val="auto"/>
              </w:rPr>
              <w:t>Earnings before interest, taxes, depreciation and amortization, a non-GAAP measurement</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ECA</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1"/>
              </w:rPr>
              <w:t>Energy Cost Adjustment -- adjustments that allow us to pass the prudently-incurred cost of fuel and purchased</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energy through to customers.</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Economy Energy</w:t>
            </w:r>
          </w:p>
        </w:tc>
        <w:tc>
          <w:tcPr>
            <w:tcW w:w="8100" w:type="dxa"/>
            <w:vAlign w:val="bottom"/>
          </w:tcPr>
          <w:p>
            <w:pPr>
              <w:ind w:left="60"/>
              <w:spacing w:after="0"/>
              <w:rPr>
                <w:sz w:val="20"/>
                <w:szCs w:val="20"/>
                <w:color w:val="auto"/>
              </w:rPr>
            </w:pPr>
            <w:r>
              <w:rPr>
                <w:rFonts w:ascii="Arial" w:cs="Arial" w:eastAsia="Arial" w:hAnsi="Arial"/>
                <w:sz w:val="18"/>
                <w:szCs w:val="18"/>
                <w:color w:val="auto"/>
              </w:rPr>
              <w:t>Purchased energy that costs less than that produced with the utilities’ owned generation.</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EIA</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7"/>
              </w:rPr>
              <w:t>Environmental Improvement Adjustment -- annual adjustment mechanism that allows us to recover from</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customers eligible investments in, and expense related to, new environmental measures.</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EPA</w:t>
            </w:r>
          </w:p>
        </w:tc>
        <w:tc>
          <w:tcPr>
            <w:tcW w:w="8100" w:type="dxa"/>
            <w:vAlign w:val="bottom"/>
          </w:tcPr>
          <w:p>
            <w:pPr>
              <w:ind w:left="60"/>
              <w:spacing w:after="0"/>
              <w:rPr>
                <w:sz w:val="20"/>
                <w:szCs w:val="20"/>
                <w:color w:val="auto"/>
              </w:rPr>
            </w:pPr>
            <w:r>
              <w:rPr>
                <w:rFonts w:ascii="Arial" w:cs="Arial" w:eastAsia="Arial" w:hAnsi="Arial"/>
                <w:sz w:val="18"/>
                <w:szCs w:val="18"/>
                <w:color w:val="auto"/>
              </w:rPr>
              <w:t>United States Environmental Protection Agency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328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Equity Unit</w:t>
            </w: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4"/>
              </w:rPr>
              <w:t>Each Equity Unit has a stated amount of $50, consisting of a purchase contract issued by BHC to purchase</w:t>
            </w:r>
          </w:p>
        </w:tc>
      </w:tr>
      <w:tr>
        <w:trPr>
          <w:trHeight w:val="216"/>
        </w:trPr>
        <w:tc>
          <w:tcPr>
            <w:tcW w:w="20" w:type="dxa"/>
            <w:vAlign w:val="bottom"/>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20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4"/>
              </w:rPr>
              <w:t>shares of BHC common stock and a 1/20, or 5% undivided beneficial ownership interest in $1,000 principal</w:t>
            </w:r>
          </w:p>
        </w:tc>
      </w:tr>
      <w:tr>
        <w:trPr>
          <w:trHeight w:val="216"/>
        </w:trPr>
        <w:tc>
          <w:tcPr>
            <w:tcW w:w="20" w:type="dxa"/>
            <w:vAlign w:val="bottom"/>
          </w:tcPr>
          <w:p>
            <w:pPr>
              <w:spacing w:after="0"/>
              <w:rPr>
                <w:sz w:val="18"/>
                <w:szCs w:val="18"/>
                <w:color w:val="auto"/>
              </w:rPr>
            </w:pPr>
          </w:p>
        </w:tc>
        <w:tc>
          <w:tcPr>
            <w:tcW w:w="1200" w:type="dxa"/>
            <w:vAlign w:val="bottom"/>
            <w:shd w:val="clear" w:color="auto" w:fill="CEFFE7"/>
          </w:tcPr>
          <w:p>
            <w:pPr>
              <w:spacing w:after="0"/>
              <w:rPr>
                <w:sz w:val="18"/>
                <w:szCs w:val="18"/>
                <w:color w:val="auto"/>
              </w:rPr>
            </w:pPr>
          </w:p>
        </w:tc>
        <w:tc>
          <w:tcPr>
            <w:tcW w:w="2080" w:type="dxa"/>
            <w:vAlign w:val="bottom"/>
            <w:shd w:val="clear" w:color="auto" w:fill="CEFFE7"/>
          </w:tcPr>
          <w:p>
            <w:pPr>
              <w:spacing w:after="0"/>
              <w:rPr>
                <w:sz w:val="18"/>
                <w:szCs w:val="18"/>
                <w:color w:val="auto"/>
              </w:rPr>
            </w:pPr>
          </w:p>
        </w:tc>
        <w:tc>
          <w:tcPr>
            <w:tcW w:w="8100" w:type="dxa"/>
            <w:vAlign w:val="bottom"/>
            <w:shd w:val="clear" w:color="auto" w:fill="CEFFE7"/>
          </w:tcPr>
          <w:p>
            <w:pPr>
              <w:ind w:left="60"/>
              <w:spacing w:after="0"/>
              <w:rPr>
                <w:sz w:val="20"/>
                <w:szCs w:val="20"/>
                <w:color w:val="auto"/>
              </w:rPr>
            </w:pPr>
            <w:r>
              <w:rPr>
                <w:rFonts w:ascii="Arial" w:cs="Arial" w:eastAsia="Arial" w:hAnsi="Arial"/>
                <w:sz w:val="18"/>
                <w:szCs w:val="18"/>
                <w:color w:val="auto"/>
                <w:w w:val="96"/>
              </w:rPr>
              <w:t>amount of BHC RSNs due 2028. On November 1, 2018, we completed settlement of the stock purchase</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2080" w:type="dxa"/>
            <w:vAlign w:val="bottom"/>
            <w:tcBorders>
              <w:bottom w:val="single" w:sz="8" w:color="CEFFE7"/>
            </w:tcBorders>
            <w:shd w:val="clear" w:color="auto" w:fill="CEFFE7"/>
          </w:tcPr>
          <w:p>
            <w:pPr>
              <w:spacing w:after="0"/>
              <w:rPr>
                <w:sz w:val="20"/>
                <w:szCs w:val="20"/>
                <w:color w:val="auto"/>
              </w:rPr>
            </w:pP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contracts that are components of the Equity Units issued in November 2015.</w:t>
            </w:r>
          </w:p>
        </w:tc>
      </w:tr>
      <w:tr>
        <w:trPr>
          <w:trHeight w:val="243"/>
        </w:trPr>
        <w:tc>
          <w:tcPr>
            <w:tcW w:w="20" w:type="dxa"/>
            <w:vAlign w:val="bottom"/>
          </w:tcPr>
          <w:p>
            <w:pPr>
              <w:spacing w:after="0"/>
              <w:rPr>
                <w:sz w:val="21"/>
                <w:szCs w:val="21"/>
                <w:color w:val="auto"/>
              </w:rPr>
            </w:pPr>
          </w:p>
        </w:tc>
        <w:tc>
          <w:tcPr>
            <w:tcW w:w="3280" w:type="dxa"/>
            <w:vAlign w:val="bottom"/>
            <w:gridSpan w:val="2"/>
          </w:tcPr>
          <w:p>
            <w:pPr>
              <w:ind w:left="20"/>
              <w:spacing w:after="0"/>
              <w:rPr>
                <w:sz w:val="20"/>
                <w:szCs w:val="20"/>
                <w:color w:val="auto"/>
              </w:rPr>
            </w:pPr>
            <w:r>
              <w:rPr>
                <w:rFonts w:ascii="Arial" w:cs="Arial" w:eastAsia="Arial" w:hAnsi="Arial"/>
                <w:sz w:val="18"/>
                <w:szCs w:val="18"/>
                <w:color w:val="auto"/>
              </w:rPr>
              <w:t>EWG</w:t>
            </w:r>
          </w:p>
        </w:tc>
        <w:tc>
          <w:tcPr>
            <w:tcW w:w="8100" w:type="dxa"/>
            <w:vAlign w:val="bottom"/>
          </w:tcPr>
          <w:p>
            <w:pPr>
              <w:ind w:left="60"/>
              <w:spacing w:after="0"/>
              <w:rPr>
                <w:sz w:val="20"/>
                <w:szCs w:val="20"/>
                <w:color w:val="auto"/>
              </w:rPr>
            </w:pPr>
            <w:r>
              <w:rPr>
                <w:rFonts w:ascii="Arial" w:cs="Arial" w:eastAsia="Arial" w:hAnsi="Arial"/>
                <w:sz w:val="18"/>
                <w:szCs w:val="18"/>
                <w:color w:val="auto"/>
              </w:rPr>
              <w:t>Exempt Wholesale Generator</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81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2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FASB</w:t>
            </w:r>
          </w:p>
        </w:tc>
        <w:tc>
          <w:tcPr>
            <w:tcW w:w="810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Financial Accounting Standards Board</w:t>
            </w:r>
          </w:p>
        </w:tc>
      </w:tr>
      <w:tr>
        <w:trPr>
          <w:trHeight w:val="432"/>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8100" w:type="dxa"/>
            <w:vAlign w:val="bottom"/>
          </w:tcPr>
          <w:p>
            <w:pPr>
              <w:ind w:left="2360"/>
              <w:spacing w:after="0"/>
              <w:rPr>
                <w:sz w:val="20"/>
                <w:szCs w:val="20"/>
                <w:color w:val="auto"/>
              </w:rPr>
            </w:pPr>
            <w:r>
              <w:rPr>
                <w:rFonts w:ascii="Arial" w:cs="Arial" w:eastAsia="Arial" w:hAnsi="Arial"/>
                <w:sz w:val="18"/>
                <w:szCs w:val="18"/>
                <w:color w:val="auto"/>
              </w:rPr>
              <w:t>4</w:t>
            </w:r>
          </w:p>
        </w:tc>
      </w:tr>
    </w:tbl>
    <w:p>
      <w:pPr>
        <w:sectPr>
          <w:pgSz w:w="11900" w:h="16838" w:orient="portrait"/>
          <w:cols w:equalWidth="0" w:num="1">
            <w:col w:w="11400"/>
          </w:cols>
          <w:pgMar w:left="240" w:top="118" w:right="259" w:bottom="144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7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8680" w:type="dxa"/>
            <w:vAlign w:val="bottom"/>
          </w:tcPr>
          <w:p>
            <w:pPr>
              <w:spacing w:after="0"/>
              <w:rPr>
                <w:sz w:val="16"/>
                <w:szCs w:val="16"/>
                <w:color w:val="auto"/>
              </w:rPr>
            </w:pPr>
          </w:p>
        </w:tc>
      </w:tr>
      <w:tr>
        <w:trPr>
          <w:trHeight w:val="601"/>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ind w:left="20"/>
              <w:spacing w:after="0"/>
              <w:rPr>
                <w:sz w:val="20"/>
                <w:szCs w:val="20"/>
                <w:color w:val="auto"/>
              </w:rPr>
            </w:pPr>
            <w:r>
              <w:rPr>
                <w:rFonts w:ascii="Arial" w:cs="Arial" w:eastAsia="Arial" w:hAnsi="Arial"/>
                <w:sz w:val="18"/>
                <w:szCs w:val="18"/>
                <w:color w:val="auto"/>
              </w:rPr>
              <w:t>FDIC</w:t>
            </w:r>
          </w:p>
        </w:tc>
        <w:tc>
          <w:tcPr>
            <w:tcW w:w="1500" w:type="dxa"/>
            <w:vAlign w:val="bottom"/>
          </w:tcPr>
          <w:p>
            <w:pPr>
              <w:spacing w:after="0"/>
              <w:rPr>
                <w:sz w:val="24"/>
                <w:szCs w:val="24"/>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Federal Deposit Insurance Corporation</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FERC</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United States Federal Energy Regulatory Commission</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Fitch</w:t>
            </w:r>
          </w:p>
        </w:tc>
        <w:tc>
          <w:tcPr>
            <w:tcW w:w="8680" w:type="dxa"/>
            <w:vAlign w:val="bottom"/>
          </w:tcPr>
          <w:p>
            <w:pPr>
              <w:ind w:left="640"/>
              <w:spacing w:after="0"/>
              <w:rPr>
                <w:sz w:val="20"/>
                <w:szCs w:val="20"/>
                <w:color w:val="auto"/>
              </w:rPr>
            </w:pPr>
            <w:r>
              <w:rPr>
                <w:rFonts w:ascii="Arial" w:cs="Arial" w:eastAsia="Arial" w:hAnsi="Arial"/>
                <w:sz w:val="18"/>
                <w:szCs w:val="18"/>
                <w:color w:val="auto"/>
              </w:rPr>
              <w:t>Fitch Ratings Inc.</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GAAP</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Accounting principles generally accepted in the United States of America</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GCA</w:t>
            </w:r>
          </w:p>
        </w:tc>
        <w:tc>
          <w:tcPr>
            <w:tcW w:w="8680" w:type="dxa"/>
            <w:vAlign w:val="bottom"/>
          </w:tcPr>
          <w:p>
            <w:pPr>
              <w:ind w:left="640"/>
              <w:spacing w:after="0"/>
              <w:rPr>
                <w:sz w:val="20"/>
                <w:szCs w:val="20"/>
                <w:color w:val="auto"/>
              </w:rPr>
            </w:pPr>
            <w:r>
              <w:rPr>
                <w:rFonts w:ascii="Arial" w:cs="Arial" w:eastAsia="Arial" w:hAnsi="Arial"/>
                <w:sz w:val="18"/>
                <w:szCs w:val="18"/>
                <w:color w:val="auto"/>
                <w:w w:val="97"/>
              </w:rPr>
              <w:t>Gas Cost Adjustment -- adjustments that allow us to pass the prudently-incurred cost of gas and certain</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services through to customers.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GHG</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Greenhouse gases</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Global Settlement</w:t>
            </w:r>
          </w:p>
        </w:tc>
        <w:tc>
          <w:tcPr>
            <w:tcW w:w="8680" w:type="dxa"/>
            <w:vAlign w:val="bottom"/>
          </w:tcPr>
          <w:p>
            <w:pPr>
              <w:ind w:left="640"/>
              <w:spacing w:after="0"/>
              <w:rPr>
                <w:sz w:val="20"/>
                <w:szCs w:val="20"/>
                <w:color w:val="auto"/>
              </w:rPr>
            </w:pPr>
            <w:r>
              <w:rPr>
                <w:rFonts w:ascii="Arial" w:cs="Arial" w:eastAsia="Arial" w:hAnsi="Arial"/>
                <w:sz w:val="18"/>
                <w:szCs w:val="18"/>
                <w:color w:val="auto"/>
                <w:w w:val="99"/>
              </w:rPr>
              <w:t>Settlement with a utilities commission where the revenue requirement is agreed upon, but the specific</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adjustments used by each party to arrive at the amount are not specified in public rate orders.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Happy Jack</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Happy Jack Wind Farm, LLC, owned by Duke Energy Generation Services</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Heating Degree Day (HDD)</w:t>
            </w:r>
          </w:p>
        </w:tc>
        <w:tc>
          <w:tcPr>
            <w:tcW w:w="8680" w:type="dxa"/>
            <w:vAlign w:val="bottom"/>
          </w:tcPr>
          <w:p>
            <w:pPr>
              <w:ind w:left="640"/>
              <w:spacing w:after="0"/>
              <w:rPr>
                <w:sz w:val="20"/>
                <w:szCs w:val="20"/>
                <w:color w:val="auto"/>
              </w:rPr>
            </w:pPr>
            <w:r>
              <w:rPr>
                <w:rFonts w:ascii="Arial" w:cs="Arial" w:eastAsia="Arial" w:hAnsi="Arial"/>
                <w:sz w:val="18"/>
                <w:szCs w:val="18"/>
                <w:color w:val="auto"/>
                <w:w w:val="91"/>
              </w:rPr>
              <w:t>A heating degree day is equivalent to each degree that the average of the high and the low temperatures for a</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89"/>
              </w:rPr>
              <w:t>day is below 65 degrees. The colder the climate, the greater the number of heating degree days. Heating degree</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97"/>
              </w:rPr>
              <w:t>days are used in the utility industry to measure the relative coldness of weather and to compare relative</w:t>
            </w:r>
          </w:p>
        </w:tc>
      </w:tr>
      <w:tr>
        <w:trPr>
          <w:trHeight w:val="216"/>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88"/>
              </w:rPr>
              <w:t>temperatures between one geographic area and another. Normal degree days are based on the National Weather</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Service data for selected locations.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29"/>
        </w:trPr>
        <w:tc>
          <w:tcPr>
            <w:tcW w:w="20" w:type="dxa"/>
            <w:vAlign w:val="bottom"/>
          </w:tcPr>
          <w:p>
            <w:pPr>
              <w:spacing w:after="0"/>
              <w:rPr>
                <w:sz w:val="19"/>
                <w:szCs w:val="19"/>
                <w:color w:val="auto"/>
              </w:rPr>
            </w:pPr>
          </w:p>
        </w:tc>
        <w:tc>
          <w:tcPr>
            <w:tcW w:w="2700" w:type="dxa"/>
            <w:vAlign w:val="bottom"/>
            <w:gridSpan w:val="2"/>
            <w:shd w:val="clear" w:color="auto" w:fill="CEFFE7"/>
          </w:tcPr>
          <w:p>
            <w:pPr>
              <w:ind w:left="20"/>
              <w:spacing w:after="0"/>
              <w:rPr>
                <w:sz w:val="20"/>
                <w:szCs w:val="20"/>
                <w:color w:val="auto"/>
              </w:rPr>
            </w:pPr>
            <w:r>
              <w:rPr>
                <w:rFonts w:ascii="Arial" w:cs="Arial" w:eastAsia="Arial" w:hAnsi="Arial"/>
                <w:sz w:val="18"/>
                <w:szCs w:val="18"/>
                <w:color w:val="auto"/>
              </w:rPr>
              <w:t>HomeServe</w:t>
            </w:r>
          </w:p>
        </w:tc>
        <w:tc>
          <w:tcPr>
            <w:tcW w:w="8680" w:type="dxa"/>
            <w:vAlign w:val="bottom"/>
            <w:shd w:val="clear" w:color="auto" w:fill="CEFFE7"/>
          </w:tcPr>
          <w:p>
            <w:pPr>
              <w:ind w:left="640"/>
              <w:spacing w:after="0"/>
              <w:rPr>
                <w:sz w:val="20"/>
                <w:szCs w:val="20"/>
                <w:color w:val="auto"/>
              </w:rPr>
            </w:pPr>
            <w:r>
              <w:rPr>
                <w:rFonts w:ascii="Arial" w:cs="Arial" w:eastAsia="Arial" w:hAnsi="Arial"/>
                <w:sz w:val="18"/>
                <w:szCs w:val="18"/>
                <w:color w:val="auto"/>
                <w:w w:val="95"/>
              </w:rPr>
              <w:t>We offer HomeServe products to our natural gas residential customers interested in purchasing additional</w:t>
            </w:r>
          </w:p>
        </w:tc>
      </w:tr>
      <w:tr>
        <w:trPr>
          <w:trHeight w:val="237"/>
        </w:trPr>
        <w:tc>
          <w:tcPr>
            <w:tcW w:w="20" w:type="dxa"/>
            <w:vAlign w:val="bottom"/>
          </w:tcPr>
          <w:p>
            <w:pPr>
              <w:spacing w:after="0"/>
              <w:rPr>
                <w:sz w:val="20"/>
                <w:szCs w:val="20"/>
                <w:color w:val="auto"/>
              </w:rPr>
            </w:pPr>
          </w:p>
        </w:tc>
        <w:tc>
          <w:tcPr>
            <w:tcW w:w="1200" w:type="dxa"/>
            <w:vAlign w:val="bottom"/>
            <w:tcBorders>
              <w:bottom w:val="single" w:sz="8" w:color="CEFFE7"/>
            </w:tcBorders>
            <w:shd w:val="clear" w:color="auto" w:fill="CEFFE7"/>
          </w:tcPr>
          <w:p>
            <w:pPr>
              <w:spacing w:after="0"/>
              <w:rPr>
                <w:sz w:val="20"/>
                <w:szCs w:val="20"/>
                <w:color w:val="auto"/>
              </w:rPr>
            </w:pPr>
          </w:p>
        </w:tc>
        <w:tc>
          <w:tcPr>
            <w:tcW w:w="1500" w:type="dxa"/>
            <w:vAlign w:val="bottom"/>
            <w:tcBorders>
              <w:bottom w:val="single" w:sz="8" w:color="CEFFE7"/>
            </w:tcBorders>
            <w:shd w:val="clear" w:color="auto" w:fill="CEFFE7"/>
          </w:tcPr>
          <w:p>
            <w:pPr>
              <w:spacing w:after="0"/>
              <w:rPr>
                <w:sz w:val="20"/>
                <w:szCs w:val="20"/>
                <w:color w:val="auto"/>
              </w:rPr>
            </w:pP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home repair service plans.</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Iowa Gas</w:t>
            </w:r>
          </w:p>
        </w:tc>
        <w:tc>
          <w:tcPr>
            <w:tcW w:w="8680" w:type="dxa"/>
            <w:vAlign w:val="bottom"/>
          </w:tcPr>
          <w:p>
            <w:pPr>
              <w:ind w:left="640"/>
              <w:spacing w:after="0"/>
              <w:rPr>
                <w:sz w:val="20"/>
                <w:szCs w:val="20"/>
                <w:color w:val="auto"/>
              </w:rPr>
            </w:pPr>
            <w:r>
              <w:rPr>
                <w:rFonts w:ascii="Arial" w:cs="Arial" w:eastAsia="Arial" w:hAnsi="Arial"/>
                <w:sz w:val="18"/>
                <w:szCs w:val="18"/>
                <w:color w:val="auto"/>
              </w:rPr>
              <w:t>Black Hills Iowa Gas Utility Company, LLC, a direct, wholly-owned subsidiary of Black Hills Utility</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99"/>
              </w:rPr>
              <w:t>Holdings, providing natural gas services to customers in Iowa (doing business as Black Hills Energy).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IPP</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Independent power producer</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IRS</w:t>
            </w:r>
          </w:p>
        </w:tc>
        <w:tc>
          <w:tcPr>
            <w:tcW w:w="8680" w:type="dxa"/>
            <w:vAlign w:val="bottom"/>
          </w:tcPr>
          <w:p>
            <w:pPr>
              <w:ind w:left="640"/>
              <w:spacing w:after="0"/>
              <w:rPr>
                <w:sz w:val="20"/>
                <w:szCs w:val="20"/>
                <w:color w:val="auto"/>
              </w:rPr>
            </w:pPr>
            <w:r>
              <w:rPr>
                <w:rFonts w:ascii="Arial" w:cs="Arial" w:eastAsia="Arial" w:hAnsi="Arial"/>
                <w:sz w:val="18"/>
                <w:szCs w:val="18"/>
                <w:color w:val="auto"/>
              </w:rPr>
              <w:t>United States Internal Revenue Service</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ITC</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Investment tax credit</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Kansas Gas</w:t>
            </w:r>
          </w:p>
        </w:tc>
        <w:tc>
          <w:tcPr>
            <w:tcW w:w="8680" w:type="dxa"/>
            <w:vAlign w:val="bottom"/>
          </w:tcPr>
          <w:p>
            <w:pPr>
              <w:ind w:left="640"/>
              <w:spacing w:after="0"/>
              <w:rPr>
                <w:sz w:val="20"/>
                <w:szCs w:val="20"/>
                <w:color w:val="auto"/>
              </w:rPr>
            </w:pPr>
            <w:r>
              <w:rPr>
                <w:rFonts w:ascii="Arial" w:cs="Arial" w:eastAsia="Arial" w:hAnsi="Arial"/>
                <w:sz w:val="18"/>
                <w:szCs w:val="18"/>
                <w:color w:val="auto"/>
              </w:rPr>
              <w:t>Black Hills Kansas Gas Utility Company, LLC, a direct, wholly-owned subsidiary of Black Hills Utility</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w w:val="97"/>
              </w:rPr>
              <w:t>Holdings, providing natural gas services to customers in Kansas (doing business as Black Hills Energy).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kV</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Kilovolt</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LIBOR</w:t>
            </w:r>
          </w:p>
        </w:tc>
        <w:tc>
          <w:tcPr>
            <w:tcW w:w="8680" w:type="dxa"/>
            <w:vAlign w:val="bottom"/>
          </w:tcPr>
          <w:p>
            <w:pPr>
              <w:ind w:left="640"/>
              <w:spacing w:after="0"/>
              <w:rPr>
                <w:sz w:val="20"/>
                <w:szCs w:val="20"/>
                <w:color w:val="auto"/>
              </w:rPr>
            </w:pPr>
            <w:r>
              <w:rPr>
                <w:rFonts w:ascii="Arial" w:cs="Arial" w:eastAsia="Arial" w:hAnsi="Arial"/>
                <w:sz w:val="18"/>
                <w:szCs w:val="18"/>
                <w:color w:val="auto"/>
              </w:rPr>
              <w:t>London Interbank Offered Rate</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Mcf</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Thousand cubic feet</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Mcfd</w:t>
            </w:r>
          </w:p>
        </w:tc>
        <w:tc>
          <w:tcPr>
            <w:tcW w:w="8680" w:type="dxa"/>
            <w:vAlign w:val="bottom"/>
          </w:tcPr>
          <w:p>
            <w:pPr>
              <w:ind w:left="640"/>
              <w:spacing w:after="0"/>
              <w:rPr>
                <w:sz w:val="20"/>
                <w:szCs w:val="20"/>
                <w:color w:val="auto"/>
              </w:rPr>
            </w:pPr>
            <w:r>
              <w:rPr>
                <w:rFonts w:ascii="Arial" w:cs="Arial" w:eastAsia="Arial" w:hAnsi="Arial"/>
                <w:sz w:val="18"/>
                <w:szCs w:val="18"/>
                <w:color w:val="auto"/>
              </w:rPr>
              <w:t>Thousand cubic feet per day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MDU</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Montana-Dakota Utilities Co., a subsidiary of MDU Resources Group, Inc.</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MEAN</w:t>
            </w:r>
          </w:p>
        </w:tc>
        <w:tc>
          <w:tcPr>
            <w:tcW w:w="8680" w:type="dxa"/>
            <w:vAlign w:val="bottom"/>
          </w:tcPr>
          <w:p>
            <w:pPr>
              <w:ind w:left="640"/>
              <w:spacing w:after="0"/>
              <w:rPr>
                <w:sz w:val="20"/>
                <w:szCs w:val="20"/>
                <w:color w:val="auto"/>
              </w:rPr>
            </w:pPr>
            <w:r>
              <w:rPr>
                <w:rFonts w:ascii="Arial" w:cs="Arial" w:eastAsia="Arial" w:hAnsi="Arial"/>
                <w:sz w:val="18"/>
                <w:szCs w:val="18"/>
                <w:color w:val="auto"/>
              </w:rPr>
              <w:t>Municipal Energy Agency of Nebraska</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MISO</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Midcontinent Independent System Operator, Inc.</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MMBtu</w:t>
            </w:r>
          </w:p>
        </w:tc>
        <w:tc>
          <w:tcPr>
            <w:tcW w:w="8680" w:type="dxa"/>
            <w:vAlign w:val="bottom"/>
          </w:tcPr>
          <w:p>
            <w:pPr>
              <w:ind w:left="64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Moody’s</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Moody’s Investors Service, Inc.</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MSHA</w:t>
            </w:r>
          </w:p>
        </w:tc>
        <w:tc>
          <w:tcPr>
            <w:tcW w:w="8680" w:type="dxa"/>
            <w:vAlign w:val="bottom"/>
          </w:tcPr>
          <w:p>
            <w:pPr>
              <w:ind w:left="640"/>
              <w:spacing w:after="0"/>
              <w:rPr>
                <w:sz w:val="20"/>
                <w:szCs w:val="20"/>
                <w:color w:val="auto"/>
              </w:rPr>
            </w:pPr>
            <w:r>
              <w:rPr>
                <w:rFonts w:ascii="Arial" w:cs="Arial" w:eastAsia="Arial" w:hAnsi="Arial"/>
                <w:sz w:val="18"/>
                <w:szCs w:val="18"/>
                <w:color w:val="auto"/>
              </w:rPr>
              <w:t>Mine Safety and Health Administration</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MTPSC</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Montana Public Service Commission</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MW</w:t>
            </w:r>
          </w:p>
        </w:tc>
        <w:tc>
          <w:tcPr>
            <w:tcW w:w="8680" w:type="dxa"/>
            <w:vAlign w:val="bottom"/>
          </w:tcPr>
          <w:p>
            <w:pPr>
              <w:ind w:left="640"/>
              <w:spacing w:after="0"/>
              <w:rPr>
                <w:sz w:val="20"/>
                <w:szCs w:val="20"/>
                <w:color w:val="auto"/>
              </w:rPr>
            </w:pPr>
            <w:r>
              <w:rPr>
                <w:rFonts w:ascii="Arial" w:cs="Arial" w:eastAsia="Arial" w:hAnsi="Arial"/>
                <w:sz w:val="18"/>
                <w:szCs w:val="18"/>
                <w:color w:val="auto"/>
              </w:rPr>
              <w:t>Megawatts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MWh</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Megawatt-hours</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N/A</w:t>
            </w:r>
          </w:p>
        </w:tc>
        <w:tc>
          <w:tcPr>
            <w:tcW w:w="8680" w:type="dxa"/>
            <w:vAlign w:val="bottom"/>
          </w:tcPr>
          <w:p>
            <w:pPr>
              <w:ind w:left="640"/>
              <w:spacing w:after="0"/>
              <w:rPr>
                <w:sz w:val="20"/>
                <w:szCs w:val="20"/>
                <w:color w:val="auto"/>
              </w:rPr>
            </w:pPr>
            <w:r>
              <w:rPr>
                <w:rFonts w:ascii="Arial" w:cs="Arial" w:eastAsia="Arial" w:hAnsi="Arial"/>
                <w:sz w:val="18"/>
                <w:szCs w:val="18"/>
                <w:color w:val="auto"/>
              </w:rPr>
              <w:t>Not Applicable</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NAV</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Net Asset Value</w:t>
            </w:r>
          </w:p>
        </w:tc>
      </w:tr>
      <w:tr>
        <w:trPr>
          <w:trHeight w:val="229"/>
        </w:trPr>
        <w:tc>
          <w:tcPr>
            <w:tcW w:w="20" w:type="dxa"/>
            <w:vAlign w:val="bottom"/>
          </w:tcPr>
          <w:p>
            <w:pPr>
              <w:spacing w:after="0"/>
              <w:rPr>
                <w:sz w:val="19"/>
                <w:szCs w:val="19"/>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Nebraska Gas</w:t>
            </w:r>
          </w:p>
        </w:tc>
        <w:tc>
          <w:tcPr>
            <w:tcW w:w="8680" w:type="dxa"/>
            <w:vAlign w:val="bottom"/>
          </w:tcPr>
          <w:p>
            <w:pPr>
              <w:ind w:left="640"/>
              <w:spacing w:after="0"/>
              <w:rPr>
                <w:sz w:val="20"/>
                <w:szCs w:val="20"/>
                <w:color w:val="auto"/>
              </w:rPr>
            </w:pPr>
            <w:r>
              <w:rPr>
                <w:rFonts w:ascii="Arial" w:cs="Arial" w:eastAsia="Arial" w:hAnsi="Arial"/>
                <w:sz w:val="18"/>
                <w:szCs w:val="18"/>
                <w:color w:val="auto"/>
              </w:rPr>
              <w:t>Black Hills Nebraska Gas, LLC, an indirect, wholly-owned subsidiary of Black Hills Utility Holdings,</w:t>
            </w:r>
          </w:p>
        </w:tc>
      </w:tr>
      <w:tr>
        <w:trPr>
          <w:trHeight w:val="230"/>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680" w:type="dxa"/>
            <w:vAlign w:val="bottom"/>
          </w:tcPr>
          <w:p>
            <w:pPr>
              <w:ind w:left="640"/>
              <w:spacing w:after="0"/>
              <w:rPr>
                <w:sz w:val="20"/>
                <w:szCs w:val="20"/>
                <w:color w:val="auto"/>
              </w:rPr>
            </w:pPr>
            <w:r>
              <w:rPr>
                <w:rFonts w:ascii="Arial" w:cs="Arial" w:eastAsia="Arial" w:hAnsi="Arial"/>
                <w:sz w:val="18"/>
                <w:szCs w:val="18"/>
                <w:color w:val="auto"/>
              </w:rPr>
              <w:t>providing natural gas services to customers in Nebraska (doing business as Black Hills Energy).</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NERC</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North American Electric Reliability Corporation</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NO</w:t>
            </w:r>
            <w:r>
              <w:rPr>
                <w:rFonts w:ascii="Arial" w:cs="Arial" w:eastAsia="Arial" w:hAnsi="Arial"/>
                <w:sz w:val="12"/>
                <w:szCs w:val="12"/>
                <w:color w:val="auto"/>
              </w:rPr>
              <w:t>x</w:t>
            </w:r>
          </w:p>
        </w:tc>
        <w:tc>
          <w:tcPr>
            <w:tcW w:w="8680" w:type="dxa"/>
            <w:vAlign w:val="bottom"/>
          </w:tcPr>
          <w:p>
            <w:pPr>
              <w:ind w:left="640"/>
              <w:spacing w:after="0"/>
              <w:rPr>
                <w:sz w:val="20"/>
                <w:szCs w:val="20"/>
                <w:color w:val="auto"/>
              </w:rPr>
            </w:pPr>
            <w:r>
              <w:rPr>
                <w:rFonts w:ascii="Arial" w:cs="Arial" w:eastAsia="Arial" w:hAnsi="Arial"/>
                <w:sz w:val="18"/>
                <w:szCs w:val="18"/>
                <w:color w:val="auto"/>
              </w:rPr>
              <w:t>Nitrogen oxide</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NOL</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Net operating loss</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NPSC</w:t>
            </w:r>
          </w:p>
        </w:tc>
        <w:tc>
          <w:tcPr>
            <w:tcW w:w="8680" w:type="dxa"/>
            <w:vAlign w:val="bottom"/>
          </w:tcPr>
          <w:p>
            <w:pPr>
              <w:ind w:left="640"/>
              <w:spacing w:after="0"/>
              <w:rPr>
                <w:sz w:val="20"/>
                <w:szCs w:val="20"/>
                <w:color w:val="auto"/>
              </w:rPr>
            </w:pPr>
            <w:r>
              <w:rPr>
                <w:rFonts w:ascii="Arial" w:cs="Arial" w:eastAsia="Arial" w:hAnsi="Arial"/>
                <w:sz w:val="18"/>
                <w:szCs w:val="18"/>
                <w:color w:val="auto"/>
              </w:rPr>
              <w:t>Nebraska Public Service Commission</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NYSE</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New York Stock Exchange</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OPEB</w:t>
            </w:r>
          </w:p>
        </w:tc>
        <w:tc>
          <w:tcPr>
            <w:tcW w:w="8680" w:type="dxa"/>
            <w:vAlign w:val="bottom"/>
          </w:tcPr>
          <w:p>
            <w:pPr>
              <w:ind w:left="640"/>
              <w:spacing w:after="0"/>
              <w:rPr>
                <w:sz w:val="20"/>
                <w:szCs w:val="20"/>
                <w:color w:val="auto"/>
              </w:rPr>
            </w:pPr>
            <w:r>
              <w:rPr>
                <w:rFonts w:ascii="Arial" w:cs="Arial" w:eastAsia="Arial" w:hAnsi="Arial"/>
                <w:sz w:val="18"/>
                <w:szCs w:val="18"/>
                <w:color w:val="auto"/>
              </w:rPr>
              <w:t>Other Post-Employment Benefits</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86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2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OSHA</w:t>
            </w:r>
          </w:p>
        </w:tc>
        <w:tc>
          <w:tcPr>
            <w:tcW w:w="868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8"/>
                <w:szCs w:val="18"/>
                <w:color w:val="auto"/>
              </w:rPr>
              <w:t>Occupational Safety &amp; Health Administration</w:t>
            </w:r>
          </w:p>
        </w:tc>
      </w:tr>
      <w:tr>
        <w:trPr>
          <w:trHeight w:val="243"/>
        </w:trPr>
        <w:tc>
          <w:tcPr>
            <w:tcW w:w="20" w:type="dxa"/>
            <w:vAlign w:val="bottom"/>
          </w:tcPr>
          <w:p>
            <w:pPr>
              <w:spacing w:after="0"/>
              <w:rPr>
                <w:sz w:val="21"/>
                <w:szCs w:val="21"/>
                <w:color w:val="auto"/>
              </w:rPr>
            </w:pPr>
          </w:p>
        </w:tc>
        <w:tc>
          <w:tcPr>
            <w:tcW w:w="2700" w:type="dxa"/>
            <w:vAlign w:val="bottom"/>
            <w:gridSpan w:val="2"/>
          </w:tcPr>
          <w:p>
            <w:pPr>
              <w:ind w:left="20"/>
              <w:spacing w:after="0"/>
              <w:rPr>
                <w:sz w:val="20"/>
                <w:szCs w:val="20"/>
                <w:color w:val="auto"/>
              </w:rPr>
            </w:pPr>
            <w:r>
              <w:rPr>
                <w:rFonts w:ascii="Arial" w:cs="Arial" w:eastAsia="Arial" w:hAnsi="Arial"/>
                <w:sz w:val="18"/>
                <w:szCs w:val="18"/>
                <w:color w:val="auto"/>
              </w:rPr>
              <w:t>OSM</w:t>
            </w:r>
          </w:p>
        </w:tc>
        <w:tc>
          <w:tcPr>
            <w:tcW w:w="8680" w:type="dxa"/>
            <w:vAlign w:val="bottom"/>
          </w:tcPr>
          <w:p>
            <w:pPr>
              <w:ind w:left="640"/>
              <w:spacing w:after="0"/>
              <w:rPr>
                <w:sz w:val="20"/>
                <w:szCs w:val="20"/>
                <w:color w:val="auto"/>
              </w:rPr>
            </w:pPr>
            <w:r>
              <w:rPr>
                <w:rFonts w:ascii="Arial" w:cs="Arial" w:eastAsia="Arial" w:hAnsi="Arial"/>
                <w:sz w:val="18"/>
                <w:szCs w:val="18"/>
                <w:color w:val="auto"/>
              </w:rPr>
              <w:t>United States Department of the Interior’s Office of Surface Mining</w:t>
            </w:r>
          </w:p>
        </w:tc>
      </w:tr>
    </w:tbl>
    <w:p>
      <w:pPr>
        <w:spacing w:after="0" w:line="200" w:lineRule="exact"/>
        <w:rPr>
          <w:sz w:val="20"/>
          <w:szCs w:val="20"/>
          <w:color w:val="auto"/>
        </w:rPr>
      </w:pPr>
    </w:p>
    <w:p>
      <w:pPr>
        <w:sectPr>
          <w:pgSz w:w="11900" w:h="16838" w:orient="portrait"/>
          <w:cols w:equalWidth="0" w:num="1">
            <w:col w:w="11400"/>
          </w:cols>
          <w:pgMar w:left="240" w:top="118"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400"/>
          </w:cols>
          <w:pgMar w:left="240" w:top="118" w:right="259" w:bottom="1440" w:gutter="0" w:footer="0" w:header="0"/>
          <w:type w:val="continuous"/>
        </w:sectPr>
      </w:pPr>
    </w:p>
    <w:bookmarkStart w:id="5" w:name="page6"/>
    <w:bookmarkEnd w:id="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PacifiCorp</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9"/>
              </w:rPr>
              <w:t>PacifiCorp, a wholly owned subsidiary of MidAmerican Energy Holdings Company, itself an affiliate of</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Berkshire Hathaway.</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PCA</w:t>
            </w:r>
          </w:p>
        </w:tc>
        <w:tc>
          <w:tcPr>
            <w:tcW w:w="8660" w:type="dxa"/>
            <w:vAlign w:val="bottom"/>
          </w:tcPr>
          <w:p>
            <w:pPr>
              <w:ind w:left="620"/>
              <w:spacing w:after="0"/>
              <w:rPr>
                <w:sz w:val="20"/>
                <w:szCs w:val="20"/>
                <w:color w:val="auto"/>
              </w:rPr>
            </w:pPr>
            <w:r>
              <w:rPr>
                <w:rFonts w:ascii="Arial" w:cs="Arial" w:eastAsia="Arial" w:hAnsi="Arial"/>
                <w:sz w:val="18"/>
                <w:szCs w:val="18"/>
                <w:color w:val="auto"/>
                <w:w w:val="91"/>
              </w:rPr>
              <w:t>Power Cost Adjustment -- annual adjustment mechanism that allows us to pass a portion of prudently-incurred</w:t>
            </w:r>
          </w:p>
        </w:tc>
      </w:tr>
      <w:tr>
        <w:trPr>
          <w:trHeight w:val="216"/>
        </w:trPr>
        <w:tc>
          <w:tcPr>
            <w:tcW w:w="2720" w:type="dxa"/>
            <w:vAlign w:val="bottom"/>
          </w:tcPr>
          <w:p>
            <w:pPr>
              <w:spacing w:after="0"/>
              <w:rPr>
                <w:sz w:val="18"/>
                <w:szCs w:val="18"/>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w w:val="96"/>
              </w:rPr>
              <w:t>delivered power costs, including fuel, purchased capacity and energy, and transmission costs, through to</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customers.</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PCCA</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1"/>
              </w:rPr>
              <w:t>Power Capacity Cost Adjustment -- annual adjustment that allows us to pass the prudently-incurred purchased</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capacity costs, incremental to costs included in base rates, through to customers.</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Peak View</w:t>
            </w:r>
          </w:p>
        </w:tc>
        <w:tc>
          <w:tcPr>
            <w:tcW w:w="8660" w:type="dxa"/>
            <w:vAlign w:val="bottom"/>
          </w:tcPr>
          <w:p>
            <w:pPr>
              <w:ind w:left="620"/>
              <w:spacing w:after="0"/>
              <w:rPr>
                <w:sz w:val="20"/>
                <w:szCs w:val="20"/>
                <w:color w:val="auto"/>
              </w:rPr>
            </w:pPr>
            <w:r>
              <w:rPr>
                <w:rFonts w:ascii="Arial" w:cs="Arial" w:eastAsia="Arial" w:hAnsi="Arial"/>
                <w:sz w:val="18"/>
                <w:szCs w:val="18"/>
                <w:color w:val="auto"/>
                <w:w w:val="96"/>
              </w:rPr>
              <w:t>60 MW wind generating project owned by Colorado Electric, placed in service on November 7, 2016 and</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adjacent to Busch Ranch I.</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PPA</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Power Purchase Agreement</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PRPA</w:t>
            </w:r>
          </w:p>
        </w:tc>
        <w:tc>
          <w:tcPr>
            <w:tcW w:w="8660" w:type="dxa"/>
            <w:vAlign w:val="bottom"/>
          </w:tcPr>
          <w:p>
            <w:pPr>
              <w:ind w:left="620"/>
              <w:spacing w:after="0"/>
              <w:rPr>
                <w:sz w:val="20"/>
                <w:szCs w:val="20"/>
                <w:color w:val="auto"/>
              </w:rPr>
            </w:pPr>
            <w:r>
              <w:rPr>
                <w:rFonts w:ascii="Arial" w:cs="Arial" w:eastAsia="Arial" w:hAnsi="Arial"/>
                <w:sz w:val="18"/>
                <w:szCs w:val="18"/>
                <w:color w:val="auto"/>
              </w:rPr>
              <w:t>Platte River Power Authority</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PSA</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Power Sales Agreement</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PSCo</w:t>
            </w:r>
          </w:p>
        </w:tc>
        <w:tc>
          <w:tcPr>
            <w:tcW w:w="8660" w:type="dxa"/>
            <w:vAlign w:val="bottom"/>
          </w:tcPr>
          <w:p>
            <w:pPr>
              <w:ind w:left="620"/>
              <w:spacing w:after="0"/>
              <w:rPr>
                <w:sz w:val="20"/>
                <w:szCs w:val="20"/>
                <w:color w:val="auto"/>
              </w:rPr>
            </w:pPr>
            <w:r>
              <w:rPr>
                <w:rFonts w:ascii="Arial" w:cs="Arial" w:eastAsia="Arial" w:hAnsi="Arial"/>
                <w:sz w:val="18"/>
                <w:szCs w:val="18"/>
                <w:color w:val="auto"/>
              </w:rPr>
              <w:t>Public Service Company of Colorado</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Pueblo Airport Generation</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3"/>
              </w:rPr>
              <w:t>420 MW combined cycle gas-fired power generation plants jointly owned by Colorado Electric (220 MW) and</w:t>
            </w:r>
          </w:p>
        </w:tc>
      </w:tr>
      <w:tr>
        <w:trPr>
          <w:trHeight w:val="216"/>
        </w:trPr>
        <w:tc>
          <w:tcPr>
            <w:tcW w:w="2720" w:type="dxa"/>
            <w:vAlign w:val="bottom"/>
            <w:shd w:val="clear" w:color="auto" w:fill="CEFFE7"/>
          </w:tcPr>
          <w:p>
            <w:pPr>
              <w:spacing w:after="0"/>
              <w:rPr>
                <w:sz w:val="18"/>
                <w:szCs w:val="18"/>
                <w:color w:val="auto"/>
              </w:rPr>
            </w:pP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7"/>
              </w:rPr>
              <w:t>Black Hills Colorado IPP (200 MW). Black Hills Colorado IPP owns and operates this facility. The plants</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commenced operation on January 1, 2012.</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PTC</w:t>
            </w:r>
          </w:p>
        </w:tc>
        <w:tc>
          <w:tcPr>
            <w:tcW w:w="8660" w:type="dxa"/>
            <w:vAlign w:val="bottom"/>
          </w:tcPr>
          <w:p>
            <w:pPr>
              <w:ind w:left="620"/>
              <w:spacing w:after="0"/>
              <w:rPr>
                <w:sz w:val="20"/>
                <w:szCs w:val="20"/>
                <w:color w:val="auto"/>
              </w:rPr>
            </w:pPr>
            <w:r>
              <w:rPr>
                <w:rFonts w:ascii="Arial" w:cs="Arial" w:eastAsia="Arial" w:hAnsi="Arial"/>
                <w:sz w:val="18"/>
                <w:szCs w:val="18"/>
                <w:color w:val="auto"/>
              </w:rPr>
              <w:t>Production tax credit</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PUHCA 2005</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Public Utility Holding Company Act of 2005</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Revolving Credit Facility</w:t>
            </w:r>
          </w:p>
        </w:tc>
        <w:tc>
          <w:tcPr>
            <w:tcW w:w="8660" w:type="dxa"/>
            <w:vAlign w:val="bottom"/>
          </w:tcPr>
          <w:p>
            <w:pPr>
              <w:ind w:left="620"/>
              <w:spacing w:after="0"/>
              <w:rPr>
                <w:sz w:val="20"/>
                <w:szCs w:val="20"/>
                <w:color w:val="auto"/>
              </w:rPr>
            </w:pPr>
            <w:r>
              <w:rPr>
                <w:rFonts w:ascii="Arial" w:cs="Arial" w:eastAsia="Arial" w:hAnsi="Arial"/>
                <w:sz w:val="18"/>
                <w:szCs w:val="18"/>
                <w:color w:val="auto"/>
                <w:w w:val="99"/>
              </w:rPr>
              <w:t>Our $750 million credit facility used to fund working capital needs, letters of credit and other corporate</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purposes, which was amended and restated on July 30, 2018 and now terminates on July 30, 2023.</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Renewable Ready</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3"/>
              </w:rPr>
              <w:t>Voluntary renewable energy subscription program for large commercial, industrial and governmental agency</w:t>
            </w:r>
          </w:p>
        </w:tc>
      </w:tr>
      <w:tr>
        <w:trPr>
          <w:trHeight w:val="216"/>
        </w:trPr>
        <w:tc>
          <w:tcPr>
            <w:tcW w:w="2720" w:type="dxa"/>
            <w:vAlign w:val="bottom"/>
            <w:shd w:val="clear" w:color="auto" w:fill="CEFFE7"/>
          </w:tcPr>
          <w:p>
            <w:pPr>
              <w:spacing w:after="0"/>
              <w:rPr>
                <w:sz w:val="18"/>
                <w:szCs w:val="18"/>
                <w:color w:val="auto"/>
              </w:rPr>
            </w:pP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3"/>
              </w:rPr>
              <w:t>customers. The Corriedale wind project will provide 52.5 MW of energy for Renewable Ready subscribers in</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Wyoming and western South Dakota.</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RMNG</w:t>
            </w:r>
          </w:p>
        </w:tc>
        <w:tc>
          <w:tcPr>
            <w:tcW w:w="8660" w:type="dxa"/>
            <w:vAlign w:val="bottom"/>
          </w:tcPr>
          <w:p>
            <w:pPr>
              <w:ind w:left="620"/>
              <w:spacing w:after="0"/>
              <w:rPr>
                <w:sz w:val="20"/>
                <w:szCs w:val="20"/>
                <w:color w:val="auto"/>
              </w:rPr>
            </w:pPr>
            <w:r>
              <w:rPr>
                <w:rFonts w:ascii="Arial" w:cs="Arial" w:eastAsia="Arial" w:hAnsi="Arial"/>
                <w:sz w:val="18"/>
                <w:szCs w:val="18"/>
                <w:color w:val="auto"/>
                <w:w w:val="99"/>
              </w:rPr>
              <w:t>Rocky Mountain Natural Gas LLC, an indirect, wholly-owned subsidiary of Black Hills Utility Holdings,</w:t>
            </w:r>
          </w:p>
        </w:tc>
      </w:tr>
      <w:tr>
        <w:trPr>
          <w:trHeight w:val="216"/>
        </w:trPr>
        <w:tc>
          <w:tcPr>
            <w:tcW w:w="2720" w:type="dxa"/>
            <w:vAlign w:val="bottom"/>
          </w:tcPr>
          <w:p>
            <w:pPr>
              <w:spacing w:after="0"/>
              <w:rPr>
                <w:sz w:val="18"/>
                <w:szCs w:val="18"/>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w w:val="91"/>
              </w:rPr>
              <w:t>providing natural gas transmission and wholesale services in western Colorado (doing business as Black Hills</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Energy).</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RSNs</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w w:val="97"/>
              </w:rPr>
              <w:t>Remarketable junior subordinated notes, issued on November 23, 2015 and retired on August 17, 2018.</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SCADA</w:t>
            </w:r>
          </w:p>
        </w:tc>
        <w:tc>
          <w:tcPr>
            <w:tcW w:w="8660" w:type="dxa"/>
            <w:vAlign w:val="bottom"/>
          </w:tcPr>
          <w:p>
            <w:pPr>
              <w:ind w:left="620"/>
              <w:spacing w:after="0"/>
              <w:rPr>
                <w:sz w:val="20"/>
                <w:szCs w:val="20"/>
                <w:color w:val="auto"/>
              </w:rPr>
            </w:pPr>
            <w:r>
              <w:rPr>
                <w:rFonts w:ascii="Arial" w:cs="Arial" w:eastAsia="Arial" w:hAnsi="Arial"/>
                <w:sz w:val="18"/>
                <w:szCs w:val="18"/>
                <w:color w:val="auto"/>
              </w:rPr>
              <w:t>Supervisory control and data acquisition</w:t>
            </w:r>
          </w:p>
        </w:tc>
      </w:tr>
      <w:tr>
        <w:trPr>
          <w:trHeight w:val="243"/>
        </w:trPr>
        <w:tc>
          <w:tcPr>
            <w:tcW w:w="2720" w:type="dxa"/>
            <w:vAlign w:val="bottom"/>
          </w:tcPr>
          <w:p>
            <w:pPr>
              <w:spacing w:after="0"/>
              <w:rPr>
                <w:sz w:val="21"/>
                <w:szCs w:val="21"/>
                <w:color w:val="auto"/>
              </w:rPr>
            </w:pPr>
          </w:p>
        </w:tc>
        <w:tc>
          <w:tcPr>
            <w:tcW w:w="8660" w:type="dxa"/>
            <w:vAlign w:val="bottom"/>
          </w:tcPr>
          <w:p>
            <w:pPr>
              <w:spacing w:after="0"/>
              <w:rPr>
                <w:sz w:val="21"/>
                <w:szCs w:val="21"/>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SDPUC</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South Dakota Public Utilities Commission</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SEC</w:t>
            </w:r>
          </w:p>
        </w:tc>
        <w:tc>
          <w:tcPr>
            <w:tcW w:w="8660" w:type="dxa"/>
            <w:vAlign w:val="bottom"/>
          </w:tcPr>
          <w:p>
            <w:pPr>
              <w:ind w:left="620"/>
              <w:spacing w:after="0"/>
              <w:rPr>
                <w:sz w:val="20"/>
                <w:szCs w:val="20"/>
                <w:color w:val="auto"/>
              </w:rPr>
            </w:pPr>
            <w:r>
              <w:rPr>
                <w:rFonts w:ascii="Arial" w:cs="Arial" w:eastAsia="Arial" w:hAnsi="Arial"/>
                <w:sz w:val="18"/>
                <w:szCs w:val="18"/>
                <w:color w:val="auto"/>
              </w:rPr>
              <w:t>United States Securities and Exchange Commission</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Service Guard</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5"/>
              </w:rPr>
              <w:t>Home appliance repair product offering for both natural gas and electric residential customers through on-</w:t>
            </w:r>
          </w:p>
        </w:tc>
      </w:tr>
      <w:tr>
        <w:trPr>
          <w:trHeight w:val="216"/>
        </w:trPr>
        <w:tc>
          <w:tcPr>
            <w:tcW w:w="2720" w:type="dxa"/>
            <w:vAlign w:val="bottom"/>
            <w:shd w:val="clear" w:color="auto" w:fill="CEFFE7"/>
          </w:tcPr>
          <w:p>
            <w:pPr>
              <w:spacing w:after="0"/>
              <w:rPr>
                <w:sz w:val="18"/>
                <w:szCs w:val="18"/>
                <w:color w:val="auto"/>
              </w:rPr>
            </w:pP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2"/>
              </w:rPr>
              <w:t>going monthly service agreements. The consolidation of the existing Service Guard and CAPP plans into the</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revamped Service Guard Comfort Plan is currently underway across our service territories.</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Service Guard Comfort Plan</w:t>
            </w:r>
          </w:p>
        </w:tc>
        <w:tc>
          <w:tcPr>
            <w:tcW w:w="8660" w:type="dxa"/>
            <w:vAlign w:val="bottom"/>
          </w:tcPr>
          <w:p>
            <w:pPr>
              <w:ind w:left="620"/>
              <w:spacing w:after="0"/>
              <w:rPr>
                <w:sz w:val="20"/>
                <w:szCs w:val="20"/>
                <w:color w:val="auto"/>
              </w:rPr>
            </w:pPr>
            <w:r>
              <w:rPr>
                <w:rFonts w:ascii="Arial" w:cs="Arial" w:eastAsia="Arial" w:hAnsi="Arial"/>
                <w:sz w:val="18"/>
                <w:szCs w:val="18"/>
                <w:color w:val="auto"/>
              </w:rPr>
              <w:t>New plan that will consolidate Service Guard and CAPP and provide similar services.</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Silver Sage</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Silver Sage Windpower, LLC, owned by Duke Energy Generation Services</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SO</w:t>
            </w:r>
            <w:r>
              <w:rPr>
                <w:rFonts w:ascii="Arial" w:cs="Arial" w:eastAsia="Arial" w:hAnsi="Arial"/>
                <w:sz w:val="18"/>
                <w:szCs w:val="18"/>
                <w:color w:val="auto"/>
                <w:vertAlign w:val="subscript"/>
              </w:rPr>
              <w:t>2</w:t>
            </w:r>
          </w:p>
        </w:tc>
        <w:tc>
          <w:tcPr>
            <w:tcW w:w="8660" w:type="dxa"/>
            <w:vAlign w:val="bottom"/>
          </w:tcPr>
          <w:p>
            <w:pPr>
              <w:ind w:left="620"/>
              <w:spacing w:after="0"/>
              <w:rPr>
                <w:sz w:val="20"/>
                <w:szCs w:val="20"/>
                <w:color w:val="auto"/>
              </w:rPr>
            </w:pPr>
            <w:r>
              <w:rPr>
                <w:rFonts w:ascii="Arial" w:cs="Arial" w:eastAsia="Arial" w:hAnsi="Arial"/>
                <w:sz w:val="18"/>
                <w:szCs w:val="18"/>
                <w:color w:val="auto"/>
              </w:rPr>
              <w:t>Sulfur dioxide</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S&amp;P</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Standard &amp; Poor’s, a division of The McGraw-Hill Companies, Inc.</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SPP</w:t>
            </w:r>
          </w:p>
        </w:tc>
        <w:tc>
          <w:tcPr>
            <w:tcW w:w="8660" w:type="dxa"/>
            <w:vAlign w:val="bottom"/>
          </w:tcPr>
          <w:p>
            <w:pPr>
              <w:ind w:left="620"/>
              <w:spacing w:after="0"/>
              <w:rPr>
                <w:sz w:val="20"/>
                <w:szCs w:val="20"/>
                <w:color w:val="auto"/>
              </w:rPr>
            </w:pPr>
            <w:r>
              <w:rPr>
                <w:rFonts w:ascii="Arial" w:cs="Arial" w:eastAsia="Arial" w:hAnsi="Arial"/>
                <w:sz w:val="18"/>
                <w:szCs w:val="18"/>
                <w:color w:val="auto"/>
                <w:w w:val="93"/>
              </w:rPr>
              <w:t>Southwest Power Pool, Inc. which oversees the bulk electric grid and wholesale power market in the central</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rPr>
              <w:t>United States</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SourceGas Transaction</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7"/>
              </w:rPr>
              <w:t>On February 12, 2016, Black Hills Utility Holdings acquired SourceGas pursuant to a purchase and sale</w:t>
            </w:r>
          </w:p>
        </w:tc>
      </w:tr>
      <w:tr>
        <w:trPr>
          <w:trHeight w:val="216"/>
        </w:trPr>
        <w:tc>
          <w:tcPr>
            <w:tcW w:w="2720" w:type="dxa"/>
            <w:vAlign w:val="bottom"/>
            <w:shd w:val="clear" w:color="auto" w:fill="CEFFE7"/>
          </w:tcPr>
          <w:p>
            <w:pPr>
              <w:spacing w:after="0"/>
              <w:rPr>
                <w:sz w:val="18"/>
                <w:szCs w:val="18"/>
                <w:color w:val="auto"/>
              </w:rPr>
            </w:pP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2"/>
              </w:rPr>
              <w:t>agreement executed on July 12, 2015 for approximately $1.89 billion, which included the assumption of $760</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million in debt at closing.</w:t>
            </w: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South Dakota Electric</w:t>
            </w:r>
          </w:p>
        </w:tc>
        <w:tc>
          <w:tcPr>
            <w:tcW w:w="8660" w:type="dxa"/>
            <w:vAlign w:val="bottom"/>
          </w:tcPr>
          <w:p>
            <w:pPr>
              <w:ind w:left="620"/>
              <w:spacing w:after="0"/>
              <w:rPr>
                <w:sz w:val="20"/>
                <w:szCs w:val="20"/>
                <w:color w:val="auto"/>
              </w:rPr>
            </w:pPr>
            <w:r>
              <w:rPr>
                <w:rFonts w:ascii="Arial" w:cs="Arial" w:eastAsia="Arial" w:hAnsi="Arial"/>
                <w:sz w:val="18"/>
                <w:szCs w:val="18"/>
                <w:color w:val="auto"/>
                <w:w w:val="99"/>
              </w:rPr>
              <w:t>Black Hills Power, Inc., a direct, wholly-owned subsidiary of Black Hills Corporation, providing electric</w:t>
            </w:r>
          </w:p>
        </w:tc>
      </w:tr>
      <w:tr>
        <w:trPr>
          <w:trHeight w:val="230"/>
        </w:trPr>
        <w:tc>
          <w:tcPr>
            <w:tcW w:w="2720" w:type="dxa"/>
            <w:vAlign w:val="bottom"/>
          </w:tcPr>
          <w:p>
            <w:pPr>
              <w:spacing w:after="0"/>
              <w:rPr>
                <w:sz w:val="20"/>
                <w:szCs w:val="20"/>
                <w:color w:val="auto"/>
              </w:rPr>
            </w:pPr>
          </w:p>
        </w:tc>
        <w:tc>
          <w:tcPr>
            <w:tcW w:w="8660" w:type="dxa"/>
            <w:vAlign w:val="bottom"/>
          </w:tcPr>
          <w:p>
            <w:pPr>
              <w:ind w:left="620"/>
              <w:spacing w:after="0"/>
              <w:rPr>
                <w:sz w:val="20"/>
                <w:szCs w:val="20"/>
                <w:color w:val="auto"/>
              </w:rPr>
            </w:pPr>
            <w:r>
              <w:rPr>
                <w:rFonts w:ascii="Arial" w:cs="Arial" w:eastAsia="Arial" w:hAnsi="Arial"/>
                <w:sz w:val="18"/>
                <w:szCs w:val="18"/>
                <w:color w:val="auto"/>
                <w:w w:val="99"/>
              </w:rPr>
              <w:t>service to customers in Montana, South Dakota and Wyoming (doing business as Black Hills Energy).</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SSIR</w:t>
            </w: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System Safety and Integrity Rider</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System Peak Demand</w:t>
            </w:r>
          </w:p>
        </w:tc>
        <w:tc>
          <w:tcPr>
            <w:tcW w:w="8660" w:type="dxa"/>
            <w:vAlign w:val="bottom"/>
          </w:tcPr>
          <w:p>
            <w:pPr>
              <w:ind w:left="620"/>
              <w:spacing w:after="0"/>
              <w:rPr>
                <w:sz w:val="20"/>
                <w:szCs w:val="20"/>
                <w:color w:val="auto"/>
              </w:rPr>
            </w:pPr>
            <w:r>
              <w:rPr>
                <w:rFonts w:ascii="Arial" w:cs="Arial" w:eastAsia="Arial" w:hAnsi="Arial"/>
                <w:sz w:val="18"/>
                <w:szCs w:val="18"/>
                <w:color w:val="auto"/>
              </w:rPr>
              <w:t>Represents the highest point of retail customer usage for a single hour.</w:t>
            </w:r>
          </w:p>
        </w:tc>
      </w:tr>
      <w:tr>
        <w:trPr>
          <w:trHeight w:val="27"/>
        </w:trPr>
        <w:tc>
          <w:tcPr>
            <w:tcW w:w="272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TCA</w:t>
            </w:r>
          </w:p>
        </w:tc>
        <w:tc>
          <w:tcPr>
            <w:tcW w:w="8660" w:type="dxa"/>
            <w:vAlign w:val="bottom"/>
            <w:shd w:val="clear" w:color="auto" w:fill="CEFFE7"/>
          </w:tcPr>
          <w:p>
            <w:pPr>
              <w:ind w:left="620"/>
              <w:spacing w:after="0"/>
              <w:rPr>
                <w:sz w:val="20"/>
                <w:szCs w:val="20"/>
                <w:color w:val="auto"/>
              </w:rPr>
            </w:pPr>
            <w:r>
              <w:rPr>
                <w:rFonts w:ascii="Arial" w:cs="Arial" w:eastAsia="Arial" w:hAnsi="Arial"/>
                <w:sz w:val="18"/>
                <w:szCs w:val="18"/>
                <w:color w:val="auto"/>
                <w:w w:val="95"/>
              </w:rPr>
              <w:t>Transmission Cost Adjustment -- annual adjustment mechanism that allows us to recover from customers</w:t>
            </w:r>
          </w:p>
        </w:tc>
      </w:tr>
      <w:tr>
        <w:trPr>
          <w:trHeight w:val="237"/>
        </w:trPr>
        <w:tc>
          <w:tcPr>
            <w:tcW w:w="2720" w:type="dxa"/>
            <w:vAlign w:val="bottom"/>
            <w:tcBorders>
              <w:bottom w:val="single" w:sz="8" w:color="CEFFE7"/>
            </w:tcBorders>
            <w:shd w:val="clear" w:color="auto" w:fill="CEFFE7"/>
          </w:tcPr>
          <w:p>
            <w:pPr>
              <w:spacing w:after="0"/>
              <w:rPr>
                <w:sz w:val="20"/>
                <w:szCs w:val="20"/>
                <w:color w:val="auto"/>
              </w:rPr>
            </w:pPr>
          </w:p>
        </w:tc>
        <w:tc>
          <w:tcPr>
            <w:tcW w:w="8660" w:type="dxa"/>
            <w:vAlign w:val="bottom"/>
            <w:tcBorders>
              <w:bottom w:val="single" w:sz="8" w:color="CEFFE7"/>
            </w:tcBorders>
            <w:shd w:val="clear" w:color="auto" w:fill="CEFFE7"/>
          </w:tcPr>
          <w:p>
            <w:pPr>
              <w:ind w:left="620"/>
              <w:spacing w:after="0"/>
              <w:rPr>
                <w:sz w:val="20"/>
                <w:szCs w:val="20"/>
                <w:color w:val="auto"/>
              </w:rPr>
            </w:pPr>
            <w:r>
              <w:rPr>
                <w:rFonts w:ascii="Arial" w:cs="Arial" w:eastAsia="Arial" w:hAnsi="Arial"/>
                <w:sz w:val="18"/>
                <w:szCs w:val="18"/>
                <w:color w:val="auto"/>
              </w:rPr>
              <w:t>eligible transmission investments prior to the next rate review.</w:t>
            </w:r>
          </w:p>
        </w:tc>
      </w:tr>
      <w:tr>
        <w:trPr>
          <w:trHeight w:val="243"/>
        </w:trPr>
        <w:tc>
          <w:tcPr>
            <w:tcW w:w="2720" w:type="dxa"/>
            <w:vAlign w:val="bottom"/>
          </w:tcPr>
          <w:p>
            <w:pPr>
              <w:ind w:left="20"/>
              <w:spacing w:after="0"/>
              <w:rPr>
                <w:sz w:val="20"/>
                <w:szCs w:val="20"/>
                <w:color w:val="auto"/>
              </w:rPr>
            </w:pPr>
            <w:r>
              <w:rPr>
                <w:rFonts w:ascii="Arial" w:cs="Arial" w:eastAsia="Arial" w:hAnsi="Arial"/>
                <w:sz w:val="18"/>
                <w:szCs w:val="18"/>
                <w:color w:val="auto"/>
              </w:rPr>
              <w:t>TCJA</w:t>
            </w:r>
          </w:p>
        </w:tc>
        <w:tc>
          <w:tcPr>
            <w:tcW w:w="8660" w:type="dxa"/>
            <w:vAlign w:val="bottom"/>
          </w:tcPr>
          <w:p>
            <w:pPr>
              <w:ind w:left="620"/>
              <w:spacing w:after="0"/>
              <w:rPr>
                <w:sz w:val="20"/>
                <w:szCs w:val="20"/>
                <w:color w:val="auto"/>
              </w:rPr>
            </w:pPr>
            <w:r>
              <w:rPr>
                <w:rFonts w:ascii="Arial" w:cs="Arial" w:eastAsia="Arial" w:hAnsi="Arial"/>
                <w:sz w:val="18"/>
                <w:szCs w:val="18"/>
                <w:color w:val="auto"/>
              </w:rPr>
              <w:t>Tax Cuts and Jobs Act enacted on December 22, 2017</w:t>
            </w:r>
          </w:p>
        </w:tc>
      </w:tr>
    </w:tbl>
    <w:p>
      <w:pPr>
        <w:spacing w:after="0" w:line="200" w:lineRule="exact"/>
        <w:rPr>
          <w:sz w:val="20"/>
          <w:szCs w:val="20"/>
          <w:color w:val="auto"/>
        </w:rPr>
      </w:pPr>
    </w:p>
    <w:p>
      <w:pPr>
        <w:sectPr>
          <w:pgSz w:w="11900" w:h="16838" w:orient="portrait"/>
          <w:cols w:equalWidth="0" w:num="1">
            <w:col w:w="11400"/>
          </w:cols>
          <w:pgMar w:left="240" w:top="126" w:right="259" w:bottom="1440" w:gutter="0" w:footer="0" w:header="0"/>
        </w:sectPr>
      </w:pPr>
    </w:p>
    <w:p>
      <w:pPr>
        <w:spacing w:after="0" w:line="2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00"/>
          </w:cols>
          <w:pgMar w:left="240" w:top="126" w:right="259" w:bottom="1440" w:gutter="0" w:footer="0" w:header="0"/>
          <w:type w:val="continuous"/>
        </w:sectPr>
      </w:pPr>
    </w:p>
    <w:bookmarkStart w:id="6" w:name="page7"/>
    <w:bookmarkEnd w:id="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0" w:lineRule="exact"/>
        <w:rPr>
          <w:sz w:val="20"/>
          <w:szCs w:val="20"/>
          <w:color w:val="auto"/>
        </w:rPr>
      </w:pPr>
    </w:p>
    <w:tbl>
      <w:tblPr>
        <w:tblLayout w:type="fixed"/>
        <w:tblInd w:w="20" w:type="dxa"/>
        <w:tblCellMar>
          <w:top w:w="0" w:type="dxa"/>
          <w:left w:w="0" w:type="dxa"/>
          <w:bottom w:w="0" w:type="dxa"/>
          <w:right w:w="0" w:type="dxa"/>
        </w:tblCellMar>
      </w:tblP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Tech Services</w:t>
            </w: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7"/>
              </w:rPr>
              <w:t>Non-regulated product lines within Black Hills Corporation that 1) provide electrical system construction</w:t>
            </w:r>
          </w:p>
        </w:tc>
      </w:tr>
      <w:tr>
        <w:trPr>
          <w:trHeight w:val="216"/>
        </w:trPr>
        <w:tc>
          <w:tcPr>
            <w:tcW w:w="2480" w:type="dxa"/>
            <w:vAlign w:val="bottom"/>
            <w:shd w:val="clear" w:color="auto" w:fill="CEFFE7"/>
          </w:tcPr>
          <w:p>
            <w:pPr>
              <w:spacing w:after="0"/>
              <w:rPr>
                <w:sz w:val="18"/>
                <w:szCs w:val="18"/>
                <w:color w:val="auto"/>
              </w:rPr>
            </w:pP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8"/>
              </w:rPr>
              <w:t>services to large industrial customers of our electric utilities, and 2) serve gas transportation customers</w:t>
            </w:r>
          </w:p>
        </w:tc>
      </w:tr>
      <w:tr>
        <w:trPr>
          <w:trHeight w:val="216"/>
        </w:trPr>
        <w:tc>
          <w:tcPr>
            <w:tcW w:w="2480" w:type="dxa"/>
            <w:vAlign w:val="bottom"/>
            <w:shd w:val="clear" w:color="auto" w:fill="CEFFE7"/>
          </w:tcPr>
          <w:p>
            <w:pPr>
              <w:spacing w:after="0"/>
              <w:rPr>
                <w:sz w:val="18"/>
                <w:szCs w:val="18"/>
                <w:color w:val="auto"/>
              </w:rPr>
            </w:pP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4"/>
              </w:rPr>
              <w:t>throughout its service territory by constructing and maintaining customer-owner gas infrastructure facilities,</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typically through one-time contracts.</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TFA</w:t>
            </w:r>
          </w:p>
        </w:tc>
        <w:tc>
          <w:tcPr>
            <w:tcW w:w="8900" w:type="dxa"/>
            <w:vAlign w:val="bottom"/>
          </w:tcPr>
          <w:p>
            <w:pPr>
              <w:ind w:left="860"/>
              <w:spacing w:after="0"/>
              <w:rPr>
                <w:sz w:val="20"/>
                <w:szCs w:val="20"/>
                <w:color w:val="auto"/>
              </w:rPr>
            </w:pPr>
            <w:r>
              <w:rPr>
                <w:rFonts w:ascii="Arial" w:cs="Arial" w:eastAsia="Arial" w:hAnsi="Arial"/>
                <w:sz w:val="18"/>
                <w:szCs w:val="18"/>
                <w:color w:val="auto"/>
                <w:w w:val="97"/>
              </w:rPr>
              <w:t>Transmission Facility Adjustment -- annual adjustment mechanism that allows us to recover charges for</w:t>
            </w:r>
          </w:p>
        </w:tc>
      </w:tr>
      <w:tr>
        <w:trPr>
          <w:trHeight w:val="230"/>
        </w:trPr>
        <w:tc>
          <w:tcPr>
            <w:tcW w:w="248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qualifying new and modified transmission facilities from customers.</w:t>
            </w:r>
          </w:p>
        </w:tc>
      </w:tr>
      <w:tr>
        <w:trPr>
          <w:trHeight w:val="27"/>
        </w:trPr>
        <w:tc>
          <w:tcPr>
            <w:tcW w:w="248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VEBA</w:t>
            </w: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Voluntary Employee Benefit Association</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VIE</w:t>
            </w:r>
          </w:p>
        </w:tc>
        <w:tc>
          <w:tcPr>
            <w:tcW w:w="8900" w:type="dxa"/>
            <w:vAlign w:val="bottom"/>
          </w:tcPr>
          <w:p>
            <w:pPr>
              <w:ind w:left="860"/>
              <w:spacing w:after="0"/>
              <w:rPr>
                <w:sz w:val="20"/>
                <w:szCs w:val="20"/>
                <w:color w:val="auto"/>
              </w:rPr>
            </w:pPr>
            <w:r>
              <w:rPr>
                <w:rFonts w:ascii="Arial" w:cs="Arial" w:eastAsia="Arial" w:hAnsi="Arial"/>
                <w:sz w:val="18"/>
                <w:szCs w:val="18"/>
                <w:color w:val="auto"/>
              </w:rPr>
              <w:t>Variable Interest Entity</w:t>
            </w:r>
          </w:p>
        </w:tc>
      </w:tr>
      <w:tr>
        <w:trPr>
          <w:trHeight w:val="27"/>
        </w:trPr>
        <w:tc>
          <w:tcPr>
            <w:tcW w:w="248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WDEQ</w:t>
            </w: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Wyoming Department of Environmental Quality</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WECC</w:t>
            </w:r>
          </w:p>
        </w:tc>
        <w:tc>
          <w:tcPr>
            <w:tcW w:w="8900" w:type="dxa"/>
            <w:vAlign w:val="bottom"/>
          </w:tcPr>
          <w:p>
            <w:pPr>
              <w:ind w:left="860"/>
              <w:spacing w:after="0"/>
              <w:rPr>
                <w:sz w:val="20"/>
                <w:szCs w:val="20"/>
                <w:color w:val="auto"/>
              </w:rPr>
            </w:pPr>
            <w:r>
              <w:rPr>
                <w:rFonts w:ascii="Arial" w:cs="Arial" w:eastAsia="Arial" w:hAnsi="Arial"/>
                <w:sz w:val="18"/>
                <w:szCs w:val="18"/>
                <w:color w:val="auto"/>
              </w:rPr>
              <w:t>Western Electricity Coordinating Council</w:t>
            </w:r>
          </w:p>
        </w:tc>
      </w:tr>
      <w:tr>
        <w:trPr>
          <w:trHeight w:val="27"/>
        </w:trPr>
        <w:tc>
          <w:tcPr>
            <w:tcW w:w="248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Wind Capacity Factor</w:t>
            </w: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6"/>
              </w:rPr>
              <w:t>Measures the amount of electricity a wind turbine produces in a given time period relative to its maximum</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potential</w:t>
            </w:r>
          </w:p>
        </w:tc>
      </w:tr>
      <w:tr>
        <w:trPr>
          <w:trHeight w:val="243"/>
        </w:trPr>
        <w:tc>
          <w:tcPr>
            <w:tcW w:w="2480" w:type="dxa"/>
            <w:vAlign w:val="bottom"/>
          </w:tcPr>
          <w:p>
            <w:pPr>
              <w:ind w:left="20"/>
              <w:spacing w:after="0"/>
              <w:rPr>
                <w:sz w:val="20"/>
                <w:szCs w:val="20"/>
                <w:color w:val="auto"/>
              </w:rPr>
            </w:pPr>
            <w:r>
              <w:rPr>
                <w:rFonts w:ascii="Arial" w:cs="Arial" w:eastAsia="Arial" w:hAnsi="Arial"/>
                <w:sz w:val="18"/>
                <w:szCs w:val="18"/>
                <w:color w:val="auto"/>
              </w:rPr>
              <w:t>Working Capacity</w:t>
            </w:r>
          </w:p>
        </w:tc>
        <w:tc>
          <w:tcPr>
            <w:tcW w:w="8900" w:type="dxa"/>
            <w:vAlign w:val="bottom"/>
          </w:tcPr>
          <w:p>
            <w:pPr>
              <w:ind w:left="860"/>
              <w:spacing w:after="0"/>
              <w:rPr>
                <w:sz w:val="20"/>
                <w:szCs w:val="20"/>
                <w:color w:val="auto"/>
              </w:rPr>
            </w:pPr>
            <w:r>
              <w:rPr>
                <w:rFonts w:ascii="Arial" w:cs="Arial" w:eastAsia="Arial" w:hAnsi="Arial"/>
                <w:sz w:val="18"/>
                <w:szCs w:val="18"/>
                <w:color w:val="auto"/>
              </w:rPr>
              <w:t>Total gas storage capacity minus cushion gas</w:t>
            </w:r>
          </w:p>
        </w:tc>
      </w:tr>
      <w:tr>
        <w:trPr>
          <w:trHeight w:val="27"/>
        </w:trPr>
        <w:tc>
          <w:tcPr>
            <w:tcW w:w="248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50"/>
        </w:trPr>
        <w:tc>
          <w:tcPr>
            <w:tcW w:w="24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WPSC</w:t>
            </w: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Wyoming Public Service Commission</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WRDC</w:t>
            </w:r>
          </w:p>
        </w:tc>
        <w:tc>
          <w:tcPr>
            <w:tcW w:w="8900" w:type="dxa"/>
            <w:vAlign w:val="bottom"/>
          </w:tcPr>
          <w:p>
            <w:pPr>
              <w:ind w:left="860"/>
              <w:spacing w:after="0"/>
              <w:rPr>
                <w:sz w:val="20"/>
                <w:szCs w:val="20"/>
                <w:color w:val="auto"/>
              </w:rPr>
            </w:pPr>
            <w:r>
              <w:rPr>
                <w:rFonts w:ascii="Arial" w:cs="Arial" w:eastAsia="Arial" w:hAnsi="Arial"/>
                <w:sz w:val="18"/>
                <w:szCs w:val="18"/>
                <w:color w:val="auto"/>
                <w:w w:val="98"/>
              </w:rPr>
              <w:t>Wyodak Resources Development Corp., a direct, wholly-owned subsidiary of Black Hills Non-regulated</w:t>
            </w:r>
          </w:p>
        </w:tc>
      </w:tr>
      <w:tr>
        <w:trPr>
          <w:trHeight w:val="230"/>
        </w:trPr>
        <w:tc>
          <w:tcPr>
            <w:tcW w:w="248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Holdings (doing business as Black Hills Energy)</w:t>
            </w:r>
          </w:p>
        </w:tc>
      </w:tr>
      <w:tr>
        <w:trPr>
          <w:trHeight w:val="27"/>
        </w:trPr>
        <w:tc>
          <w:tcPr>
            <w:tcW w:w="2480" w:type="dxa"/>
            <w:vAlign w:val="bottom"/>
          </w:tcPr>
          <w:p>
            <w:pPr>
              <w:spacing w:after="0"/>
              <w:rPr>
                <w:sz w:val="2"/>
                <w:szCs w:val="2"/>
                <w:color w:val="auto"/>
              </w:rPr>
            </w:pPr>
          </w:p>
        </w:tc>
        <w:tc>
          <w:tcPr>
            <w:tcW w:w="8900" w:type="dxa"/>
            <w:vAlign w:val="bottom"/>
          </w:tcPr>
          <w:p>
            <w:pPr>
              <w:spacing w:after="0"/>
              <w:rPr>
                <w:sz w:val="2"/>
                <w:szCs w:val="2"/>
                <w:color w:val="auto"/>
              </w:rPr>
            </w:pPr>
          </w:p>
        </w:tc>
      </w:tr>
      <w:tr>
        <w:trPr>
          <w:trHeight w:val="229"/>
        </w:trPr>
        <w:tc>
          <w:tcPr>
            <w:tcW w:w="2480" w:type="dxa"/>
            <w:vAlign w:val="bottom"/>
            <w:shd w:val="clear" w:color="auto" w:fill="CEFFE7"/>
          </w:tcPr>
          <w:p>
            <w:pPr>
              <w:ind w:left="20"/>
              <w:spacing w:after="0"/>
              <w:rPr>
                <w:sz w:val="20"/>
                <w:szCs w:val="20"/>
                <w:color w:val="auto"/>
              </w:rPr>
            </w:pPr>
            <w:r>
              <w:rPr>
                <w:rFonts w:ascii="Arial" w:cs="Arial" w:eastAsia="Arial" w:hAnsi="Arial"/>
                <w:sz w:val="18"/>
                <w:szCs w:val="18"/>
                <w:color w:val="auto"/>
              </w:rPr>
              <w:t>Wyoming Electric</w:t>
            </w: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6"/>
              </w:rPr>
              <w:t>Cheyenne Light, Fuel and Power Company, a direct, wholly-owned subsidiary of Black Hills Corporation,</w:t>
            </w:r>
          </w:p>
        </w:tc>
      </w:tr>
      <w:tr>
        <w:trPr>
          <w:trHeight w:val="216"/>
        </w:trPr>
        <w:tc>
          <w:tcPr>
            <w:tcW w:w="2480" w:type="dxa"/>
            <w:vAlign w:val="bottom"/>
            <w:shd w:val="clear" w:color="auto" w:fill="CEFFE7"/>
          </w:tcPr>
          <w:p>
            <w:pPr>
              <w:spacing w:after="0"/>
              <w:rPr>
                <w:sz w:val="18"/>
                <w:szCs w:val="18"/>
                <w:color w:val="auto"/>
              </w:rPr>
            </w:pPr>
          </w:p>
        </w:tc>
        <w:tc>
          <w:tcPr>
            <w:tcW w:w="8900" w:type="dxa"/>
            <w:vAlign w:val="bottom"/>
            <w:shd w:val="clear" w:color="auto" w:fill="CEFFE7"/>
          </w:tcPr>
          <w:p>
            <w:pPr>
              <w:ind w:left="860"/>
              <w:spacing w:after="0"/>
              <w:rPr>
                <w:sz w:val="20"/>
                <w:szCs w:val="20"/>
                <w:color w:val="auto"/>
              </w:rPr>
            </w:pPr>
            <w:r>
              <w:rPr>
                <w:rFonts w:ascii="Arial" w:cs="Arial" w:eastAsia="Arial" w:hAnsi="Arial"/>
                <w:sz w:val="18"/>
                <w:szCs w:val="18"/>
                <w:color w:val="auto"/>
                <w:w w:val="98"/>
              </w:rPr>
              <w:t>providing electric service to customers in the Cheyenne, Wyoming area (doing business as Black Hills</w:t>
            </w:r>
          </w:p>
        </w:tc>
      </w:tr>
      <w:tr>
        <w:trPr>
          <w:trHeight w:val="237"/>
        </w:trPr>
        <w:tc>
          <w:tcPr>
            <w:tcW w:w="2480" w:type="dxa"/>
            <w:vAlign w:val="bottom"/>
            <w:tcBorders>
              <w:bottom w:val="single" w:sz="8" w:color="CEFFE7"/>
            </w:tcBorders>
            <w:shd w:val="clear" w:color="auto" w:fill="CEFFE7"/>
          </w:tcPr>
          <w:p>
            <w:pPr>
              <w:spacing w:after="0"/>
              <w:rPr>
                <w:sz w:val="20"/>
                <w:szCs w:val="20"/>
                <w:color w:val="auto"/>
              </w:rPr>
            </w:pPr>
          </w:p>
        </w:tc>
        <w:tc>
          <w:tcPr>
            <w:tcW w:w="890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8"/>
                <w:szCs w:val="18"/>
                <w:color w:val="auto"/>
              </w:rPr>
              <w:t>Energy).</w:t>
            </w:r>
          </w:p>
        </w:tc>
      </w:tr>
      <w:tr>
        <w:trPr>
          <w:trHeight w:val="229"/>
        </w:trPr>
        <w:tc>
          <w:tcPr>
            <w:tcW w:w="2480" w:type="dxa"/>
            <w:vAlign w:val="bottom"/>
          </w:tcPr>
          <w:p>
            <w:pPr>
              <w:ind w:left="20"/>
              <w:spacing w:after="0"/>
              <w:rPr>
                <w:sz w:val="20"/>
                <w:szCs w:val="20"/>
                <w:color w:val="auto"/>
              </w:rPr>
            </w:pPr>
            <w:r>
              <w:rPr>
                <w:rFonts w:ascii="Arial" w:cs="Arial" w:eastAsia="Arial" w:hAnsi="Arial"/>
                <w:sz w:val="18"/>
                <w:szCs w:val="18"/>
                <w:color w:val="auto"/>
              </w:rPr>
              <w:t>Wyoming Gas</w:t>
            </w:r>
          </w:p>
        </w:tc>
        <w:tc>
          <w:tcPr>
            <w:tcW w:w="8900" w:type="dxa"/>
            <w:vAlign w:val="bottom"/>
          </w:tcPr>
          <w:p>
            <w:pPr>
              <w:ind w:left="860"/>
              <w:spacing w:after="0"/>
              <w:rPr>
                <w:sz w:val="20"/>
                <w:szCs w:val="20"/>
                <w:color w:val="auto"/>
              </w:rPr>
            </w:pPr>
            <w:r>
              <w:rPr>
                <w:rFonts w:ascii="Arial" w:cs="Arial" w:eastAsia="Arial" w:hAnsi="Arial"/>
                <w:sz w:val="18"/>
                <w:szCs w:val="18"/>
                <w:color w:val="auto"/>
              </w:rPr>
              <w:t>Black Hills Wyoming Gas, LLC, an indirect, wholly-owned subsidiary of Black Hills Utility Holdings,</w:t>
            </w:r>
          </w:p>
        </w:tc>
      </w:tr>
      <w:tr>
        <w:trPr>
          <w:trHeight w:val="230"/>
        </w:trPr>
        <w:tc>
          <w:tcPr>
            <w:tcW w:w="2480" w:type="dxa"/>
            <w:vAlign w:val="bottom"/>
          </w:tcPr>
          <w:p>
            <w:pPr>
              <w:spacing w:after="0"/>
              <w:rPr>
                <w:sz w:val="20"/>
                <w:szCs w:val="20"/>
                <w:color w:val="auto"/>
              </w:rPr>
            </w:pPr>
          </w:p>
        </w:tc>
        <w:tc>
          <w:tcPr>
            <w:tcW w:w="8900" w:type="dxa"/>
            <w:vAlign w:val="bottom"/>
          </w:tcPr>
          <w:p>
            <w:pPr>
              <w:ind w:left="860"/>
              <w:spacing w:after="0"/>
              <w:rPr>
                <w:sz w:val="20"/>
                <w:szCs w:val="20"/>
                <w:color w:val="auto"/>
              </w:rPr>
            </w:pPr>
            <w:r>
              <w:rPr>
                <w:rFonts w:ascii="Arial" w:cs="Arial" w:eastAsia="Arial" w:hAnsi="Arial"/>
                <w:sz w:val="18"/>
                <w:szCs w:val="18"/>
                <w:color w:val="auto"/>
              </w:rPr>
              <w:t>providing natural gas services to customers in Wyoming (doing business as Black Hills Energy).</w:t>
            </w:r>
          </w:p>
        </w:tc>
      </w:tr>
      <w:tr>
        <w:trPr>
          <w:trHeight w:val="459"/>
        </w:trPr>
        <w:tc>
          <w:tcPr>
            <w:tcW w:w="2480" w:type="dxa"/>
            <w:vAlign w:val="bottom"/>
          </w:tcPr>
          <w:p>
            <w:pPr>
              <w:spacing w:after="0"/>
              <w:rPr>
                <w:sz w:val="24"/>
                <w:szCs w:val="24"/>
                <w:color w:val="auto"/>
              </w:rPr>
            </w:pPr>
          </w:p>
        </w:tc>
        <w:tc>
          <w:tcPr>
            <w:tcW w:w="8900" w:type="dxa"/>
            <w:vAlign w:val="bottom"/>
          </w:tcPr>
          <w:p>
            <w:pPr>
              <w:ind w:left="3160"/>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400"/>
          </w:cols>
          <w:pgMar w:left="240" w:top="126" w:right="259" w:bottom="1440" w:gutter="0" w:footer="0" w:header="0"/>
        </w:sectPr>
      </w:pPr>
    </w:p>
    <w:bookmarkStart w:id="7" w:name="page8"/>
    <w:bookmarkEnd w:id="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Website Access to Reports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reports we file with the SEC are available free of charge at our website www.blackhillscorp.com as soon as reasonably practicable after they are filed. In addition, the charters of our Audit, Governance and Compensation Committees are located on our website along with our Code of Business Conduct, Code of Ethics for our Chief Executive Officer and Senior Finance Officers, Corporate Governance Guidelines of the Board of Directors and Policy for Director Independence. The information contained on our website is not part of this document.</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Forward-Looking Information</w:t>
      </w:r>
    </w:p>
    <w:p>
      <w:pPr>
        <w:spacing w:after="0" w:line="229" w:lineRule="exact"/>
        <w:rPr>
          <w:sz w:val="20"/>
          <w:szCs w:val="20"/>
          <w:color w:val="auto"/>
        </w:rPr>
      </w:pPr>
    </w:p>
    <w:p>
      <w:pPr>
        <w:ind w:right="20"/>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This Form 10-K contains forward-looking statements as defined by the SEC. Forward-looking statements are all statements other than statements of historical fact, including, without limitation, those statements that are identified by the words “anticipates,” “estimates,” “expects,” “intends,” “plans,” “predicts” and similar expressions and include statements concerning plans, objectives, goals, strategies, future events or performance, and underlying assumptions and other statements that are other than statements of historical facts. From time to time, the Company may publish or otherwise make available forward-looking </w:t>
      </w:r>
      <w:hyperlink w:anchor="page42">
        <w:r>
          <w:rPr>
            <w:rFonts w:ascii="Arial" w:cs="Arial" w:eastAsia="Arial" w:hAnsi="Arial"/>
            <w:sz w:val="18"/>
            <w:szCs w:val="18"/>
            <w:color w:val="auto"/>
          </w:rPr>
          <w:t xml:space="preserve">statements of this nature, including statements contained within </w:t>
        </w:r>
        <w:r>
          <w:rPr>
            <w:rFonts w:ascii="Arial" w:cs="Arial" w:eastAsia="Arial" w:hAnsi="Arial"/>
            <w:sz w:val="18"/>
            <w:szCs w:val="18"/>
            <w:u w:val="single" w:color="auto"/>
            <w:color w:val="0000EE"/>
          </w:rPr>
          <w:t>Item 7 - Management’s Discussion &amp; Analysis of Financial Condition and Results of</w:t>
        </w:r>
      </w:hyperlink>
      <w:r>
        <w:rPr>
          <w:rFonts w:ascii="Arial" w:cs="Arial" w:eastAsia="Arial" w:hAnsi="Arial"/>
          <w:sz w:val="18"/>
          <w:szCs w:val="18"/>
          <w:color w:val="auto"/>
        </w:rPr>
        <w:t xml:space="preserve"> </w:t>
      </w:r>
      <w:hyperlink w:anchor="page42">
        <w:r>
          <w:rPr>
            <w:rFonts w:ascii="Arial" w:cs="Arial" w:eastAsia="Arial" w:hAnsi="Arial"/>
            <w:sz w:val="18"/>
            <w:szCs w:val="18"/>
            <w:u w:val="single" w:color="auto"/>
            <w:color w:val="0000EE"/>
          </w:rPr>
          <w:t>Operations</w:t>
        </w:r>
        <w:r>
          <w:rPr>
            <w:rFonts w:ascii="Arial" w:cs="Arial" w:eastAsia="Arial" w:hAnsi="Arial"/>
            <w:sz w:val="18"/>
            <w:szCs w:val="18"/>
            <w:color w:val="000000"/>
          </w:rPr>
          <w:t>.</w:t>
        </w:r>
      </w:hyperlink>
    </w:p>
    <w:p>
      <w:pPr>
        <w:spacing w:after="0" w:line="193"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color w:val="auto"/>
        </w:rPr>
        <w:t>Forward-looking statements involve risks and uncertainties, which could cause actual results or outcomes to differ materially from those expressed. The Company’s expectations, beliefs and projections are expressed in good faith and are believed by the Company to have a reasonable basis, including, without limitation, management’s examination of historical operating trends, data contained in the Company’s records and other data available from third parties. Nonetheless, the Company’s expectations, beliefs or projections may not be achieved or accomplished.</w:t>
      </w:r>
    </w:p>
    <w:p>
      <w:pPr>
        <w:spacing w:after="0" w:line="171" w:lineRule="exact"/>
        <w:rPr>
          <w:sz w:val="20"/>
          <w:szCs w:val="20"/>
          <w:color w:val="auto"/>
        </w:rPr>
      </w:pPr>
    </w:p>
    <w:p>
      <w:pPr>
        <w:spacing w:after="0" w:line="255" w:lineRule="auto"/>
        <w:rPr>
          <w:rFonts w:ascii="Arial" w:cs="Arial" w:eastAsia="Arial" w:hAnsi="Arial"/>
          <w:sz w:val="18"/>
          <w:szCs w:val="18"/>
          <w:color w:val="0000EE"/>
        </w:rPr>
      </w:pPr>
      <w:r>
        <w:rPr>
          <w:rFonts w:ascii="Arial" w:cs="Arial" w:eastAsia="Arial" w:hAnsi="Arial"/>
          <w:sz w:val="18"/>
          <w:szCs w:val="18"/>
          <w:color w:val="auto"/>
        </w:rPr>
        <w:t xml:space="preserve">Any forward-looking statement contained in this document speaks only as of the date on which the statement is made and the Company undertakes no obligation to update any forward-looking statement or statements to reflect events or circumstances that occur after the date on which the statement is made or to reflect the occurrence of unanticipated events. New factors emerge from time to time, it is not possible for management to predict all of the factors, nor can it assess the effect of each factor on the Company’s business or the extent to which any factor, or combination of factors, may cause actual results to differ materially from those contained in any forward-looking statement. All forward-looking statements, whether written or oral and whether made by or on behalf </w:t>
      </w:r>
      <w:hyperlink w:anchor="page29">
        <w:r>
          <w:rPr>
            <w:rFonts w:ascii="Arial" w:cs="Arial" w:eastAsia="Arial" w:hAnsi="Arial"/>
            <w:sz w:val="18"/>
            <w:szCs w:val="18"/>
            <w:color w:val="auto"/>
          </w:rPr>
          <w:t xml:space="preserve">of the Company, are expressly qualified by the risk factors and cautionary statements in this Form 10-K, including statements contained within </w:t>
        </w:r>
        <w:r>
          <w:rPr>
            <w:rFonts w:ascii="Arial" w:cs="Arial" w:eastAsia="Arial" w:hAnsi="Arial"/>
            <w:sz w:val="18"/>
            <w:szCs w:val="18"/>
            <w:u w:val="single" w:color="auto"/>
            <w:color w:val="0000EE"/>
          </w:rPr>
          <w:t>Item 1A - Risk</w:t>
        </w:r>
      </w:hyperlink>
      <w:r>
        <w:rPr>
          <w:rFonts w:ascii="Arial" w:cs="Arial" w:eastAsia="Arial" w:hAnsi="Arial"/>
          <w:sz w:val="18"/>
          <w:szCs w:val="18"/>
          <w:color w:val="auto"/>
        </w:rPr>
        <w:t xml:space="preserve"> </w:t>
      </w:r>
      <w:hyperlink w:anchor="page29">
        <w:r>
          <w:rPr>
            <w:rFonts w:ascii="Arial" w:cs="Arial" w:eastAsia="Arial" w:hAnsi="Arial"/>
            <w:sz w:val="18"/>
            <w:szCs w:val="18"/>
            <w:u w:val="single" w:color="auto"/>
            <w:color w:val="0000EE"/>
          </w:rPr>
          <w:t>Factors</w:t>
        </w:r>
        <w:r>
          <w:rPr>
            <w:rFonts w:ascii="Arial" w:cs="Arial" w:eastAsia="Arial" w:hAnsi="Arial"/>
            <w:sz w:val="18"/>
            <w:szCs w:val="18"/>
            <w:color w:val="000000"/>
          </w:rPr>
          <w:t>.</w:t>
        </w:r>
      </w:hyperlink>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6" w:right="239" w:bottom="1440" w:gutter="0" w:footer="0" w:header="0"/>
        </w:sectPr>
      </w:pPr>
    </w:p>
    <w:bookmarkStart w:id="8" w:name="page9"/>
    <w:bookmarkEnd w:id="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w:t>
      </w:r>
    </w:p>
    <w:p>
      <w:pPr>
        <w:spacing w:after="0" w:line="225" w:lineRule="exact"/>
        <w:rPr>
          <w:sz w:val="20"/>
          <w:szCs w:val="20"/>
          <w:color w:val="auto"/>
        </w:rPr>
      </w:pPr>
    </w:p>
    <w:p>
      <w:pPr>
        <w:spacing w:after="0"/>
        <w:tabs>
          <w:tab w:leader="none" w:pos="1940" w:val="left"/>
        </w:tabs>
        <w:rPr>
          <w:sz w:val="20"/>
          <w:szCs w:val="20"/>
          <w:color w:val="auto"/>
        </w:rPr>
      </w:pPr>
      <w:r>
        <w:rPr>
          <w:rFonts w:ascii="Arial" w:cs="Arial" w:eastAsia="Arial" w:hAnsi="Arial"/>
          <w:sz w:val="18"/>
          <w:szCs w:val="18"/>
          <w:b w:val="1"/>
          <w:bCs w:val="1"/>
          <w:color w:val="auto"/>
        </w:rPr>
        <w:t>ITEMS 1 AND 2.</w:t>
      </w:r>
      <w:r>
        <w:rPr>
          <w:sz w:val="20"/>
          <w:szCs w:val="20"/>
          <w:color w:val="auto"/>
        </w:rPr>
        <w:tab/>
      </w:r>
      <w:r>
        <w:rPr>
          <w:rFonts w:ascii="Arial" w:cs="Arial" w:eastAsia="Arial" w:hAnsi="Arial"/>
          <w:sz w:val="17"/>
          <w:szCs w:val="17"/>
          <w:b w:val="1"/>
          <w:bCs w:val="1"/>
          <w:color w:val="auto"/>
        </w:rPr>
        <w:t>BUSINESS AND PROPERTIES</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History and Organization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Black Hills Corporation, a South Dakota corporation (together with its subsidiaries, referred to herein as the “Company,” “we,” “us” or “our”), is a customer-focused, growth-oriented utility company headquartered in Rapid City, South Dakota. Our predecessor company, Black Hills Power and Light Company, was incorporated and began providing electric utility service in 1941. It was formed through the purchase and combination of several existing electric utilities and related assets, some of which had served customers in the Black Hills region since 1883. In 1956, with the purchase of the WRDC mine, we began producing and selling energy through non-regulated businesses.</w:t>
      </w:r>
    </w:p>
    <w:p>
      <w:pPr>
        <w:spacing w:after="0" w:line="188"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We operate our business in the United States, reporting our operating results through our regulated Electric Utilities, regulated Gas Utilities, Power Generation and Mining segments. Certain unallocated corporate expenses that support our operating segments are presented as Corporate and Other.</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Electric Utilities segment generates, transmits and distributes electricity to approximately 214,000 electric utility customers in Colorado, Montana, South Dakota and Wyoming. Our Electric Utilities own 939 MW of generation and 8,892 miles of electric transmission and distribution lines.</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Gas Utilities segment serves approximately 1,066,000 natural gas utility customers in Arkansas, Colorado, Iowa, Kansas, Nebraska, and Wyoming. Our Gas Utilities own and operate approximately 4,775 miles of intrastate gas transmission pipelines and 41,210 miles of gas distribution mains and service lines, seven natural gas storage sites, nearly 49,000 horsepower of compression and over 500 miles of gathering lines.</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Our Power Generation segment produces electric power from its wind, natural gas and coal-fired generating plants and sells the electric capacity and energy primarily to our utilities under long-term contracts. Our Mining segment produces coal at our mine near Gillette, Wyoming, and sells and delivers it primarily under long-term contracts to adjacent mine-mouth electric generation facilities owned by our Electric Utilities and Power Generation businesses.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Electric Utilities Segment</w:t>
      </w:r>
    </w:p>
    <w:p>
      <w:pPr>
        <w:spacing w:after="0" w:line="229"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We conduct electric utility operations through our Colorado, South Dakota and Wyoming subsidiaries. Our electric generating facilities and power purchase agreements provide for the supply of electricity principally to our distribution systems. Additionally, we sell excess power to other utilities and marketing companies, including our affiliates. We also provide non-regulated services through our Tech Services product lines.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Capacity and Demand. </w:t>
      </w:r>
      <w:r>
        <w:rPr>
          <w:rFonts w:ascii="Arial" w:cs="Arial" w:eastAsia="Arial" w:hAnsi="Arial"/>
          <w:sz w:val="18"/>
          <w:szCs w:val="18"/>
          <w:color w:val="auto"/>
        </w:rPr>
        <w:t>System peak demand for the Electric Utilities’ retail customers for each of the last three years are listed below:</w:t>
      </w:r>
    </w:p>
    <w:p>
      <w:pPr>
        <w:spacing w:after="0" w:line="171" w:lineRule="exact"/>
        <w:rPr>
          <w:sz w:val="20"/>
          <w:szCs w:val="20"/>
          <w:color w:val="auto"/>
        </w:rPr>
      </w:pPr>
    </w:p>
    <w:tbl>
      <w:tblPr>
        <w:tblLayout w:type="fixed"/>
        <w:tblInd w:w="120" w:type="dxa"/>
        <w:tblCellMar>
          <w:top w:w="0" w:type="dxa"/>
          <w:left w:w="0" w:type="dxa"/>
          <w:bottom w:w="0" w:type="dxa"/>
          <w:right w:w="0" w:type="dxa"/>
        </w:tblCellMar>
      </w:tblPr>
      <w:tr>
        <w:trPr>
          <w:trHeight w:val="230"/>
        </w:trPr>
        <w:tc>
          <w:tcPr>
            <w:tcW w:w="4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680" w:type="dxa"/>
            <w:vAlign w:val="bottom"/>
            <w:gridSpan w:val="4"/>
          </w:tcPr>
          <w:p>
            <w:pPr>
              <w:jc w:val="center"/>
              <w:ind w:right="20"/>
              <w:spacing w:after="0"/>
              <w:rPr>
                <w:sz w:val="20"/>
                <w:szCs w:val="20"/>
                <w:color w:val="auto"/>
              </w:rPr>
            </w:pPr>
            <w:r>
              <w:rPr>
                <w:rFonts w:ascii="Arial" w:cs="Arial" w:eastAsia="Arial" w:hAnsi="Arial"/>
                <w:sz w:val="18"/>
                <w:szCs w:val="18"/>
                <w:color w:val="auto"/>
                <w:w w:val="91"/>
              </w:rPr>
              <w:t>System Peak Demand (in MW)</w:t>
            </w: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27"/>
        </w:trPr>
        <w:tc>
          <w:tcPr>
            <w:tcW w:w="4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ind w:right="850"/>
              <w:spacing w:after="0"/>
              <w:rPr>
                <w:sz w:val="20"/>
                <w:szCs w:val="20"/>
                <w:color w:val="auto"/>
              </w:rPr>
            </w:pPr>
            <w:r>
              <w:rPr>
                <w:rFonts w:ascii="Arial" w:cs="Arial" w:eastAsia="Arial" w:hAnsi="Arial"/>
                <w:sz w:val="18"/>
                <w:szCs w:val="18"/>
                <w:color w:val="auto"/>
                <w:w w:val="94"/>
              </w:rPr>
              <w:t>2019</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ind w:right="850"/>
              <w:spacing w:after="0"/>
              <w:rPr>
                <w:sz w:val="20"/>
                <w:szCs w:val="20"/>
                <w:color w:val="auto"/>
              </w:rPr>
            </w:pPr>
            <w:r>
              <w:rPr>
                <w:rFonts w:ascii="Arial" w:cs="Arial" w:eastAsia="Arial" w:hAnsi="Arial"/>
                <w:sz w:val="18"/>
                <w:szCs w:val="18"/>
                <w:color w:val="auto"/>
                <w:w w:val="94"/>
              </w:rPr>
              <w:t>2018</w:t>
            </w:r>
          </w:p>
        </w:tc>
        <w:tc>
          <w:tcPr>
            <w:tcW w:w="2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jc w:val="right"/>
              <w:ind w:right="850"/>
              <w:spacing w:after="0"/>
              <w:rPr>
                <w:sz w:val="20"/>
                <w:szCs w:val="20"/>
                <w:color w:val="auto"/>
              </w:rPr>
            </w:pPr>
            <w:r>
              <w:rPr>
                <w:rFonts w:ascii="Arial" w:cs="Arial" w:eastAsia="Arial" w:hAnsi="Arial"/>
                <w:sz w:val="18"/>
                <w:szCs w:val="18"/>
                <w:color w:val="auto"/>
                <w:w w:val="94"/>
              </w:rPr>
              <w:t>2017</w:t>
            </w:r>
          </w:p>
        </w:tc>
      </w:tr>
      <w:tr>
        <w:trPr>
          <w:trHeight w:val="27"/>
        </w:trPr>
        <w:tc>
          <w:tcPr>
            <w:tcW w:w="404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37"/>
        </w:trPr>
        <w:tc>
          <w:tcPr>
            <w:tcW w:w="4040" w:type="dxa"/>
            <w:vAlign w:val="bottom"/>
          </w:tcPr>
          <w:p>
            <w:pPr>
              <w:spacing w:after="0"/>
              <w:rPr>
                <w:sz w:val="20"/>
                <w:szCs w:val="20"/>
                <w:color w:val="auto"/>
              </w:rPr>
            </w:pPr>
          </w:p>
        </w:tc>
        <w:tc>
          <w:tcPr>
            <w:tcW w:w="900" w:type="dxa"/>
            <w:vAlign w:val="bottom"/>
          </w:tcPr>
          <w:p>
            <w:pPr>
              <w:jc w:val="center"/>
              <w:ind w:left="110"/>
              <w:spacing w:after="0"/>
              <w:rPr>
                <w:sz w:val="20"/>
                <w:szCs w:val="20"/>
                <w:color w:val="auto"/>
              </w:rPr>
            </w:pPr>
            <w:r>
              <w:rPr>
                <w:rFonts w:ascii="Arial" w:cs="Arial" w:eastAsia="Arial" w:hAnsi="Arial"/>
                <w:sz w:val="18"/>
                <w:szCs w:val="18"/>
                <w:color w:val="auto"/>
                <w:w w:val="91"/>
              </w:rPr>
              <w:t>Summer</w:t>
            </w:r>
          </w:p>
        </w:tc>
        <w:tc>
          <w:tcPr>
            <w:tcW w:w="1340" w:type="dxa"/>
            <w:vAlign w:val="bottom"/>
          </w:tcPr>
          <w:p>
            <w:pPr>
              <w:jc w:val="center"/>
              <w:ind w:left="130"/>
              <w:spacing w:after="0"/>
              <w:rPr>
                <w:sz w:val="20"/>
                <w:szCs w:val="20"/>
                <w:color w:val="auto"/>
              </w:rPr>
            </w:pPr>
            <w:r>
              <w:rPr>
                <w:rFonts w:ascii="Arial" w:cs="Arial" w:eastAsia="Arial" w:hAnsi="Arial"/>
                <w:sz w:val="18"/>
                <w:szCs w:val="18"/>
                <w:color w:val="auto"/>
                <w:w w:val="92"/>
              </w:rPr>
              <w:t>Winter</w:t>
            </w:r>
          </w:p>
        </w:tc>
        <w:tc>
          <w:tcPr>
            <w:tcW w:w="220" w:type="dxa"/>
            <w:vAlign w:val="bottom"/>
          </w:tcPr>
          <w:p>
            <w:pPr>
              <w:spacing w:after="0"/>
              <w:rPr>
                <w:sz w:val="20"/>
                <w:szCs w:val="20"/>
                <w:color w:val="auto"/>
              </w:rPr>
            </w:pP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Summer</w:t>
            </w:r>
          </w:p>
        </w:tc>
        <w:tc>
          <w:tcPr>
            <w:tcW w:w="1560" w:type="dxa"/>
            <w:vAlign w:val="bottom"/>
            <w:gridSpan w:val="2"/>
          </w:tcPr>
          <w:p>
            <w:pPr>
              <w:jc w:val="center"/>
              <w:spacing w:after="0"/>
              <w:rPr>
                <w:sz w:val="20"/>
                <w:szCs w:val="20"/>
                <w:color w:val="auto"/>
              </w:rPr>
            </w:pPr>
            <w:r>
              <w:rPr>
                <w:rFonts w:ascii="Arial" w:cs="Arial" w:eastAsia="Arial" w:hAnsi="Arial"/>
                <w:sz w:val="18"/>
                <w:szCs w:val="18"/>
                <w:color w:val="auto"/>
                <w:w w:val="92"/>
              </w:rPr>
              <w:t>Winter</w:t>
            </w: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88"/>
              </w:rPr>
              <w:t>Summer</w:t>
            </w:r>
          </w:p>
        </w:tc>
        <w:tc>
          <w:tcPr>
            <w:tcW w:w="1340" w:type="dxa"/>
            <w:vAlign w:val="bottom"/>
          </w:tcPr>
          <w:p>
            <w:pPr>
              <w:jc w:val="center"/>
              <w:ind w:left="130"/>
              <w:spacing w:after="0"/>
              <w:rPr>
                <w:sz w:val="20"/>
                <w:szCs w:val="20"/>
                <w:color w:val="auto"/>
              </w:rPr>
            </w:pPr>
            <w:r>
              <w:rPr>
                <w:rFonts w:ascii="Arial" w:cs="Arial" w:eastAsia="Arial" w:hAnsi="Arial"/>
                <w:sz w:val="18"/>
                <w:szCs w:val="18"/>
                <w:color w:val="auto"/>
                <w:w w:val="92"/>
              </w:rPr>
              <w:t>Winter</w:t>
            </w:r>
          </w:p>
        </w:tc>
      </w:tr>
      <w:tr>
        <w:trPr>
          <w:trHeight w:val="27"/>
        </w:trPr>
        <w:tc>
          <w:tcPr>
            <w:tcW w:w="404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64"/>
        </w:trPr>
        <w:tc>
          <w:tcPr>
            <w:tcW w:w="40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Colorado Electric </w:t>
            </w:r>
            <w:r>
              <w:rPr>
                <w:rFonts w:ascii="Arial" w:cs="Arial" w:eastAsia="Arial" w:hAnsi="Arial"/>
                <w:sz w:val="25"/>
                <w:szCs w:val="25"/>
                <w:color w:val="auto"/>
                <w:vertAlign w:val="superscript"/>
              </w:rPr>
              <w:t>(a)</w:t>
            </w:r>
          </w:p>
        </w:tc>
        <w:tc>
          <w:tcPr>
            <w:tcW w:w="90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86"/>
              </w:rPr>
              <w:t>422</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297</w:t>
            </w:r>
          </w:p>
        </w:tc>
        <w:tc>
          <w:tcPr>
            <w:tcW w:w="1120" w:type="dxa"/>
            <w:vAlign w:val="bottom"/>
            <w:gridSpan w:val="2"/>
            <w:shd w:val="clear" w:color="auto" w:fill="CEFFE7"/>
          </w:tcPr>
          <w:p>
            <w:pPr>
              <w:jc w:val="center"/>
              <w:ind w:left="350"/>
              <w:spacing w:after="0"/>
              <w:rPr>
                <w:sz w:val="20"/>
                <w:szCs w:val="20"/>
                <w:color w:val="auto"/>
              </w:rPr>
            </w:pPr>
            <w:r>
              <w:rPr>
                <w:rFonts w:ascii="Arial" w:cs="Arial" w:eastAsia="Arial" w:hAnsi="Arial"/>
                <w:sz w:val="18"/>
                <w:szCs w:val="18"/>
                <w:color w:val="auto"/>
                <w:w w:val="93"/>
              </w:rPr>
              <w:t>413</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313</w:t>
            </w:r>
          </w:p>
        </w:tc>
        <w:tc>
          <w:tcPr>
            <w:tcW w:w="220" w:type="dxa"/>
            <w:vAlign w:val="bottom"/>
            <w:shd w:val="clear" w:color="auto" w:fill="CEFFE7"/>
          </w:tcPr>
          <w:p>
            <w:pPr>
              <w:spacing w:after="0"/>
              <w:rPr>
                <w:sz w:val="22"/>
                <w:szCs w:val="22"/>
                <w:color w:val="auto"/>
              </w:rPr>
            </w:pPr>
          </w:p>
        </w:tc>
        <w:tc>
          <w:tcPr>
            <w:tcW w:w="9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398</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299</w:t>
            </w:r>
          </w:p>
        </w:tc>
      </w:tr>
      <w:tr>
        <w:trPr>
          <w:trHeight w:val="243"/>
        </w:trPr>
        <w:tc>
          <w:tcPr>
            <w:tcW w:w="4040" w:type="dxa"/>
            <w:vAlign w:val="bottom"/>
          </w:tcPr>
          <w:p>
            <w:pPr>
              <w:ind w:left="20"/>
              <w:spacing w:after="0"/>
              <w:rPr>
                <w:sz w:val="20"/>
                <w:szCs w:val="20"/>
                <w:color w:val="auto"/>
              </w:rPr>
            </w:pPr>
            <w:r>
              <w:rPr>
                <w:rFonts w:ascii="Arial" w:cs="Arial" w:eastAsia="Arial" w:hAnsi="Arial"/>
                <w:sz w:val="18"/>
                <w:szCs w:val="18"/>
                <w:color w:val="auto"/>
              </w:rPr>
              <w:t>South Dakota Electric</w:t>
            </w:r>
          </w:p>
        </w:tc>
        <w:tc>
          <w:tcPr>
            <w:tcW w:w="900" w:type="dxa"/>
            <w:vAlign w:val="bottom"/>
          </w:tcPr>
          <w:p>
            <w:pPr>
              <w:jc w:val="center"/>
              <w:ind w:left="110"/>
              <w:spacing w:after="0"/>
              <w:rPr>
                <w:sz w:val="20"/>
                <w:szCs w:val="20"/>
                <w:color w:val="auto"/>
              </w:rPr>
            </w:pPr>
            <w:r>
              <w:rPr>
                <w:rFonts w:ascii="Arial" w:cs="Arial" w:eastAsia="Arial" w:hAnsi="Arial"/>
                <w:sz w:val="18"/>
                <w:szCs w:val="18"/>
                <w:color w:val="auto"/>
                <w:w w:val="86"/>
              </w:rPr>
              <w:t>335</w:t>
            </w:r>
          </w:p>
        </w:tc>
        <w:tc>
          <w:tcPr>
            <w:tcW w:w="1340" w:type="dxa"/>
            <w:vAlign w:val="bottom"/>
          </w:tcPr>
          <w:p>
            <w:pPr>
              <w:jc w:val="center"/>
              <w:ind w:left="130"/>
              <w:spacing w:after="0"/>
              <w:rPr>
                <w:sz w:val="20"/>
                <w:szCs w:val="20"/>
                <w:color w:val="auto"/>
              </w:rPr>
            </w:pPr>
            <w:r>
              <w:rPr>
                <w:rFonts w:ascii="Arial" w:cs="Arial" w:eastAsia="Arial" w:hAnsi="Arial"/>
                <w:sz w:val="18"/>
                <w:szCs w:val="18"/>
                <w:color w:val="auto"/>
                <w:w w:val="93"/>
              </w:rPr>
              <w:t>320</w:t>
            </w:r>
          </w:p>
        </w:tc>
        <w:tc>
          <w:tcPr>
            <w:tcW w:w="1120" w:type="dxa"/>
            <w:vAlign w:val="bottom"/>
            <w:gridSpan w:val="2"/>
          </w:tcPr>
          <w:p>
            <w:pPr>
              <w:jc w:val="center"/>
              <w:ind w:left="350"/>
              <w:spacing w:after="0"/>
              <w:rPr>
                <w:sz w:val="20"/>
                <w:szCs w:val="20"/>
                <w:color w:val="auto"/>
              </w:rPr>
            </w:pPr>
            <w:r>
              <w:rPr>
                <w:rFonts w:ascii="Arial" w:cs="Arial" w:eastAsia="Arial" w:hAnsi="Arial"/>
                <w:sz w:val="18"/>
                <w:szCs w:val="18"/>
                <w:color w:val="auto"/>
                <w:w w:val="93"/>
              </w:rPr>
              <w:t>355</w:t>
            </w:r>
          </w:p>
        </w:tc>
        <w:tc>
          <w:tcPr>
            <w:tcW w:w="1340" w:type="dxa"/>
            <w:vAlign w:val="bottom"/>
          </w:tcPr>
          <w:p>
            <w:pPr>
              <w:jc w:val="center"/>
              <w:ind w:left="130"/>
              <w:spacing w:after="0"/>
              <w:rPr>
                <w:sz w:val="20"/>
                <w:szCs w:val="20"/>
                <w:color w:val="auto"/>
              </w:rPr>
            </w:pPr>
            <w:r>
              <w:rPr>
                <w:rFonts w:ascii="Arial" w:cs="Arial" w:eastAsia="Arial" w:hAnsi="Arial"/>
                <w:sz w:val="18"/>
                <w:szCs w:val="18"/>
                <w:color w:val="auto"/>
                <w:w w:val="93"/>
              </w:rPr>
              <w:t>314</w:t>
            </w:r>
          </w:p>
        </w:tc>
        <w:tc>
          <w:tcPr>
            <w:tcW w:w="220" w:type="dxa"/>
            <w:vAlign w:val="bottom"/>
          </w:tcPr>
          <w:p>
            <w:pPr>
              <w:spacing w:after="0"/>
              <w:rPr>
                <w:sz w:val="21"/>
                <w:szCs w:val="21"/>
                <w:color w:val="auto"/>
              </w:rPr>
            </w:pPr>
          </w:p>
        </w:tc>
        <w:tc>
          <w:tcPr>
            <w:tcW w:w="900" w:type="dxa"/>
            <w:vAlign w:val="bottom"/>
          </w:tcPr>
          <w:p>
            <w:pPr>
              <w:jc w:val="center"/>
              <w:ind w:left="130"/>
              <w:spacing w:after="0"/>
              <w:rPr>
                <w:sz w:val="20"/>
                <w:szCs w:val="20"/>
                <w:color w:val="auto"/>
              </w:rPr>
            </w:pPr>
            <w:r>
              <w:rPr>
                <w:rFonts w:ascii="Arial" w:cs="Arial" w:eastAsia="Arial" w:hAnsi="Arial"/>
                <w:sz w:val="18"/>
                <w:szCs w:val="18"/>
                <w:color w:val="auto"/>
                <w:w w:val="93"/>
              </w:rPr>
              <w:t>370</w:t>
            </w:r>
          </w:p>
        </w:tc>
        <w:tc>
          <w:tcPr>
            <w:tcW w:w="1340" w:type="dxa"/>
            <w:vAlign w:val="bottom"/>
          </w:tcPr>
          <w:p>
            <w:pPr>
              <w:jc w:val="center"/>
              <w:ind w:left="130"/>
              <w:spacing w:after="0"/>
              <w:rPr>
                <w:sz w:val="20"/>
                <w:szCs w:val="20"/>
                <w:color w:val="auto"/>
              </w:rPr>
            </w:pPr>
            <w:r>
              <w:rPr>
                <w:rFonts w:ascii="Arial" w:cs="Arial" w:eastAsia="Arial" w:hAnsi="Arial"/>
                <w:sz w:val="18"/>
                <w:szCs w:val="18"/>
                <w:color w:val="auto"/>
                <w:w w:val="93"/>
              </w:rPr>
              <w:t>310</w:t>
            </w:r>
          </w:p>
        </w:tc>
      </w:tr>
      <w:tr>
        <w:trPr>
          <w:trHeight w:val="27"/>
        </w:trPr>
        <w:tc>
          <w:tcPr>
            <w:tcW w:w="40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40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Wyoming Electric </w:t>
            </w:r>
            <w:r>
              <w:rPr>
                <w:rFonts w:ascii="Arial" w:cs="Arial" w:eastAsia="Arial" w:hAnsi="Arial"/>
                <w:sz w:val="25"/>
                <w:szCs w:val="25"/>
                <w:color w:val="auto"/>
                <w:vertAlign w:val="superscript"/>
              </w:rPr>
              <w:t>(b)</w:t>
            </w:r>
          </w:p>
        </w:tc>
        <w:tc>
          <w:tcPr>
            <w:tcW w:w="900" w:type="dxa"/>
            <w:vAlign w:val="bottom"/>
            <w:shd w:val="clear" w:color="auto" w:fill="CEFFE7"/>
          </w:tcPr>
          <w:p>
            <w:pPr>
              <w:jc w:val="center"/>
              <w:ind w:left="110"/>
              <w:spacing w:after="0"/>
              <w:rPr>
                <w:sz w:val="20"/>
                <w:szCs w:val="20"/>
                <w:color w:val="auto"/>
              </w:rPr>
            </w:pPr>
            <w:r>
              <w:rPr>
                <w:rFonts w:ascii="Arial" w:cs="Arial" w:eastAsia="Arial" w:hAnsi="Arial"/>
                <w:sz w:val="18"/>
                <w:szCs w:val="18"/>
                <w:color w:val="auto"/>
                <w:w w:val="86"/>
              </w:rPr>
              <w:t>265</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247</w:t>
            </w:r>
          </w:p>
        </w:tc>
        <w:tc>
          <w:tcPr>
            <w:tcW w:w="1120" w:type="dxa"/>
            <w:vAlign w:val="bottom"/>
            <w:gridSpan w:val="2"/>
            <w:shd w:val="clear" w:color="auto" w:fill="CEFFE7"/>
          </w:tcPr>
          <w:p>
            <w:pPr>
              <w:jc w:val="center"/>
              <w:ind w:left="350"/>
              <w:spacing w:after="0"/>
              <w:rPr>
                <w:sz w:val="20"/>
                <w:szCs w:val="20"/>
                <w:color w:val="auto"/>
              </w:rPr>
            </w:pPr>
            <w:r>
              <w:rPr>
                <w:rFonts w:ascii="Arial" w:cs="Arial" w:eastAsia="Arial" w:hAnsi="Arial"/>
                <w:sz w:val="18"/>
                <w:szCs w:val="18"/>
                <w:color w:val="auto"/>
                <w:w w:val="93"/>
              </w:rPr>
              <w:t>254</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238</w:t>
            </w:r>
          </w:p>
        </w:tc>
        <w:tc>
          <w:tcPr>
            <w:tcW w:w="220" w:type="dxa"/>
            <w:vAlign w:val="bottom"/>
            <w:shd w:val="clear" w:color="auto" w:fill="CEFFE7"/>
          </w:tcPr>
          <w:p>
            <w:pPr>
              <w:spacing w:after="0"/>
              <w:rPr>
                <w:sz w:val="23"/>
                <w:szCs w:val="23"/>
                <w:color w:val="auto"/>
              </w:rPr>
            </w:pPr>
          </w:p>
        </w:tc>
        <w:tc>
          <w:tcPr>
            <w:tcW w:w="90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249</w:t>
            </w:r>
          </w:p>
        </w:tc>
        <w:tc>
          <w:tcPr>
            <w:tcW w:w="1340" w:type="dxa"/>
            <w:vAlign w:val="bottom"/>
            <w:shd w:val="clear" w:color="auto" w:fill="CEFFE7"/>
          </w:tcPr>
          <w:p>
            <w:pPr>
              <w:jc w:val="center"/>
              <w:ind w:left="130"/>
              <w:spacing w:after="0"/>
              <w:rPr>
                <w:sz w:val="20"/>
                <w:szCs w:val="20"/>
                <w:color w:val="auto"/>
              </w:rPr>
            </w:pPr>
            <w:r>
              <w:rPr>
                <w:rFonts w:ascii="Arial" w:cs="Arial" w:eastAsia="Arial" w:hAnsi="Arial"/>
                <w:sz w:val="18"/>
                <w:szCs w:val="18"/>
                <w:color w:val="auto"/>
                <w:w w:val="93"/>
              </w:rPr>
              <w:t>230</w:t>
            </w:r>
          </w:p>
        </w:tc>
      </w:tr>
    </w:tbl>
    <w:p>
      <w:pPr>
        <w:spacing w:after="0"/>
        <w:rPr>
          <w:sz w:val="20"/>
          <w:szCs w:val="20"/>
          <w:color w:val="auto"/>
        </w:rPr>
      </w:pPr>
      <w:r>
        <w:rPr>
          <w:rFonts w:ascii="Arial" w:cs="Arial" w:eastAsia="Arial" w:hAnsi="Arial"/>
          <w:sz w:val="18"/>
          <w:szCs w:val="18"/>
          <w:color w:val="auto"/>
        </w:rPr>
        <w:t>________________________</w:t>
      </w:r>
    </w:p>
    <w:p>
      <w:pPr>
        <w:spacing w:after="0" w:line="9" w:lineRule="exact"/>
        <w:rPr>
          <w:sz w:val="20"/>
          <w:szCs w:val="20"/>
          <w:color w:val="auto"/>
        </w:rPr>
      </w:pPr>
    </w:p>
    <w:p>
      <w:pPr>
        <w:ind w:left="340" w:right="160" w:hanging="332"/>
        <w:spacing w:after="0" w:line="249"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Colorado Electric July 2019 summer peak load of 422 surpassed previous summer peak record load of 413 set in June 2018. The October 2018 winter peak load of 313 surpassed previous winter peak load of 310 set in February 2011.</w:t>
      </w:r>
    </w:p>
    <w:p>
      <w:pPr>
        <w:ind w:left="340" w:right="20" w:hanging="332"/>
        <w:spacing w:after="0" w:line="25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color w:val="auto"/>
        </w:rPr>
        <w:t>The Wyoming Electric July 2019 summer peak load of 265 surpassed previous summer peak record load of 254 set in July 2018. The December 2019 winter peak load of 247 surpassed the previous winter peak record load of 238 set in December 2018.</w:t>
      </w:r>
    </w:p>
    <w:p>
      <w:pPr>
        <w:spacing w:after="0" w:line="37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26" w:right="299" w:bottom="1440" w:gutter="0" w:footer="0" w:header="0"/>
        </w:sectPr>
      </w:pPr>
    </w:p>
    <w:bookmarkStart w:id="9" w:name="page10"/>
    <w:bookmarkEnd w:id="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Regulated Power Plants. </w:t>
      </w:r>
      <w:r>
        <w:rPr>
          <w:rFonts w:ascii="Arial" w:cs="Arial" w:eastAsia="Arial" w:hAnsi="Arial"/>
          <w:sz w:val="18"/>
          <w:szCs w:val="18"/>
          <w:color w:val="auto"/>
        </w:rPr>
        <w:t>As of December 31, 2019, our Electric Utilities’ ownership interests in electric generating plants were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040" w:type="dxa"/>
            <w:vAlign w:val="bottom"/>
          </w:tcPr>
          <w:p>
            <w:pPr>
              <w:spacing w:after="0"/>
              <w:rPr>
                <w:sz w:val="18"/>
                <w:szCs w:val="18"/>
                <w:color w:val="auto"/>
              </w:rPr>
            </w:pPr>
          </w:p>
        </w:tc>
        <w:tc>
          <w:tcPr>
            <w:tcW w:w="1400" w:type="dxa"/>
            <w:vAlign w:val="bottom"/>
          </w:tcPr>
          <w:p>
            <w:pPr>
              <w:jc w:val="center"/>
              <w:ind w:left="210"/>
              <w:spacing w:after="0"/>
              <w:rPr>
                <w:sz w:val="20"/>
                <w:szCs w:val="20"/>
                <w:color w:val="auto"/>
              </w:rPr>
            </w:pPr>
            <w:r>
              <w:rPr>
                <w:rFonts w:ascii="Arial" w:cs="Arial" w:eastAsia="Arial" w:hAnsi="Arial"/>
                <w:sz w:val="18"/>
                <w:szCs w:val="18"/>
                <w:b w:val="1"/>
                <w:bCs w:val="1"/>
                <w:color w:val="auto"/>
                <w:w w:val="91"/>
              </w:rPr>
              <w:t>Fuel</w:t>
            </w:r>
          </w:p>
        </w:tc>
        <w:tc>
          <w:tcPr>
            <w:tcW w:w="2420" w:type="dxa"/>
            <w:vAlign w:val="bottom"/>
          </w:tcPr>
          <w:p>
            <w:pPr>
              <w:spacing w:after="0"/>
              <w:rPr>
                <w:sz w:val="18"/>
                <w:szCs w:val="18"/>
                <w:color w:val="auto"/>
              </w:rPr>
            </w:pPr>
          </w:p>
        </w:tc>
        <w:tc>
          <w:tcPr>
            <w:tcW w:w="1500" w:type="dxa"/>
            <w:vAlign w:val="bottom"/>
          </w:tcPr>
          <w:p>
            <w:pPr>
              <w:ind w:left="320"/>
              <w:spacing w:after="0"/>
              <w:rPr>
                <w:sz w:val="20"/>
                <w:szCs w:val="20"/>
                <w:color w:val="auto"/>
              </w:rPr>
            </w:pPr>
            <w:r>
              <w:rPr>
                <w:rFonts w:ascii="Arial" w:cs="Arial" w:eastAsia="Arial" w:hAnsi="Arial"/>
                <w:sz w:val="18"/>
                <w:szCs w:val="18"/>
                <w:b w:val="1"/>
                <w:bCs w:val="1"/>
                <w:color w:val="auto"/>
              </w:rPr>
              <w:t>Ownership</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Owned Capacity</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040" w:type="dxa"/>
            <w:vAlign w:val="bottom"/>
          </w:tcPr>
          <w:p>
            <w:pPr>
              <w:ind w:left="40"/>
              <w:spacing w:after="0"/>
              <w:rPr>
                <w:sz w:val="20"/>
                <w:szCs w:val="20"/>
                <w:color w:val="auto"/>
              </w:rPr>
            </w:pPr>
            <w:r>
              <w:rPr>
                <w:rFonts w:ascii="Arial" w:cs="Arial" w:eastAsia="Arial" w:hAnsi="Arial"/>
                <w:sz w:val="18"/>
                <w:szCs w:val="18"/>
                <w:b w:val="1"/>
                <w:bCs w:val="1"/>
                <w:color w:val="auto"/>
              </w:rPr>
              <w:t>Unit</w:t>
            </w:r>
          </w:p>
        </w:tc>
        <w:tc>
          <w:tcPr>
            <w:tcW w:w="1400" w:type="dxa"/>
            <w:vAlign w:val="bottom"/>
          </w:tcPr>
          <w:p>
            <w:pPr>
              <w:jc w:val="center"/>
              <w:ind w:left="210"/>
              <w:spacing w:after="0"/>
              <w:rPr>
                <w:sz w:val="20"/>
                <w:szCs w:val="20"/>
                <w:color w:val="auto"/>
              </w:rPr>
            </w:pPr>
            <w:r>
              <w:rPr>
                <w:rFonts w:ascii="Arial" w:cs="Arial" w:eastAsia="Arial" w:hAnsi="Arial"/>
                <w:sz w:val="18"/>
                <w:szCs w:val="18"/>
                <w:b w:val="1"/>
                <w:bCs w:val="1"/>
                <w:color w:val="auto"/>
                <w:w w:val="90"/>
              </w:rPr>
              <w:t>Type</w:t>
            </w:r>
          </w:p>
        </w:tc>
        <w:tc>
          <w:tcPr>
            <w:tcW w:w="242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500" w:type="dxa"/>
            <w:vAlign w:val="bottom"/>
          </w:tcPr>
          <w:p>
            <w:pPr>
              <w:ind w:left="340"/>
              <w:spacing w:after="0"/>
              <w:rPr>
                <w:sz w:val="20"/>
                <w:szCs w:val="20"/>
                <w:color w:val="auto"/>
              </w:rPr>
            </w:pPr>
            <w:r>
              <w:rPr>
                <w:rFonts w:ascii="Arial" w:cs="Arial" w:eastAsia="Arial" w:hAnsi="Arial"/>
                <w:sz w:val="18"/>
                <w:szCs w:val="18"/>
                <w:b w:val="1"/>
                <w:bCs w:val="1"/>
                <w:color w:val="auto"/>
              </w:rPr>
              <w:t>Interest %</w:t>
            </w:r>
          </w:p>
        </w:tc>
        <w:tc>
          <w:tcPr>
            <w:tcW w:w="1700" w:type="dxa"/>
            <w:vAlign w:val="bottom"/>
          </w:tcPr>
          <w:p>
            <w:pPr>
              <w:jc w:val="center"/>
              <w:spacing w:after="0"/>
              <w:rPr>
                <w:sz w:val="20"/>
                <w:szCs w:val="20"/>
                <w:color w:val="auto"/>
              </w:rPr>
            </w:pPr>
            <w:r>
              <w:rPr>
                <w:rFonts w:ascii="Arial" w:cs="Arial" w:eastAsia="Arial" w:hAnsi="Arial"/>
                <w:sz w:val="18"/>
                <w:szCs w:val="18"/>
                <w:b w:val="1"/>
                <w:bCs w:val="1"/>
                <w:color w:val="auto"/>
              </w:rPr>
              <w:t>(MW)</w:t>
            </w:r>
          </w:p>
        </w:tc>
        <w:tc>
          <w:tcPr>
            <w:tcW w:w="1360" w:type="dxa"/>
            <w:vAlign w:val="bottom"/>
          </w:tcPr>
          <w:p>
            <w:pPr>
              <w:ind w:left="80"/>
              <w:spacing w:after="0"/>
              <w:rPr>
                <w:sz w:val="20"/>
                <w:szCs w:val="20"/>
                <w:color w:val="auto"/>
              </w:rPr>
            </w:pPr>
            <w:r>
              <w:rPr>
                <w:rFonts w:ascii="Arial" w:cs="Arial" w:eastAsia="Arial" w:hAnsi="Arial"/>
                <w:sz w:val="18"/>
                <w:szCs w:val="18"/>
                <w:b w:val="1"/>
                <w:bCs w:val="1"/>
                <w:color w:val="auto"/>
                <w:w w:val="97"/>
              </w:rPr>
              <w:t>In Service Date</w:t>
            </w:r>
          </w:p>
        </w:tc>
        <w:tc>
          <w:tcPr>
            <w:tcW w:w="0" w:type="dxa"/>
            <w:vAlign w:val="bottom"/>
          </w:tcPr>
          <w:p>
            <w:pPr>
              <w:spacing w:after="0"/>
              <w:rPr>
                <w:sz w:val="1"/>
                <w:szCs w:val="1"/>
                <w:color w:val="auto"/>
              </w:rPr>
            </w:pPr>
          </w:p>
        </w:tc>
      </w:tr>
      <w:tr>
        <w:trPr>
          <w:trHeight w:val="27"/>
        </w:trPr>
        <w:tc>
          <w:tcPr>
            <w:tcW w:w="30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040" w:type="dxa"/>
            <w:vAlign w:val="bottom"/>
          </w:tcPr>
          <w:p>
            <w:pPr>
              <w:ind w:left="40"/>
              <w:spacing w:after="0"/>
              <w:rPr>
                <w:sz w:val="20"/>
                <w:szCs w:val="20"/>
                <w:color w:val="auto"/>
              </w:rPr>
            </w:pPr>
            <w:r>
              <w:rPr>
                <w:rFonts w:ascii="Arial" w:cs="Arial" w:eastAsia="Arial" w:hAnsi="Arial"/>
                <w:sz w:val="18"/>
                <w:szCs w:val="18"/>
                <w:color w:val="auto"/>
              </w:rPr>
              <w:t>Colorado Electric:</w:t>
            </w:r>
          </w:p>
        </w:tc>
        <w:tc>
          <w:tcPr>
            <w:tcW w:w="14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Busch Ranch I </w:t>
            </w:r>
            <w:r>
              <w:rPr>
                <w:rFonts w:ascii="Arial" w:cs="Arial" w:eastAsia="Arial" w:hAnsi="Arial"/>
                <w:sz w:val="25"/>
                <w:szCs w:val="25"/>
                <w:color w:val="auto"/>
                <w:vertAlign w:val="superscript"/>
              </w:rPr>
              <w:t>(a)</w:t>
            </w:r>
          </w:p>
        </w:tc>
        <w:tc>
          <w:tcPr>
            <w:tcW w:w="140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97"/>
              </w:rPr>
              <w:t>Wind</w:t>
            </w:r>
          </w:p>
        </w:tc>
        <w:tc>
          <w:tcPr>
            <w:tcW w:w="24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50%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14.5</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2012</w:t>
            </w: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Peak View </w:t>
            </w:r>
            <w:r>
              <w:rPr>
                <w:rFonts w:ascii="Arial" w:cs="Arial" w:eastAsia="Arial" w:hAnsi="Arial"/>
                <w:sz w:val="25"/>
                <w:szCs w:val="25"/>
                <w:color w:val="auto"/>
                <w:vertAlign w:val="superscript"/>
              </w:rPr>
              <w:t>(b)</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97"/>
              </w:rPr>
              <w:t>Wind</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60.0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Pueblo Airport Generation</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180.0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2011</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Pueblo Airport Generation CT</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2016</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AIP Diesel</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rPr>
              <w:t>Oil</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2001</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Diesel #1 and #3-5</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rPr>
              <w:t>Oil</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87"/>
              </w:rPr>
              <w:t>8.0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Diesel #1-5</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rPr>
              <w:t>Oil</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Rocky Ford, Colorado</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1964</w:t>
            </w:r>
          </w:p>
        </w:tc>
        <w:tc>
          <w:tcPr>
            <w:tcW w:w="0" w:type="dxa"/>
            <w:vAlign w:val="bottom"/>
          </w:tcPr>
          <w:p>
            <w:pPr>
              <w:spacing w:after="0"/>
              <w:rPr>
                <w:sz w:val="1"/>
                <w:szCs w:val="1"/>
                <w:color w:val="auto"/>
              </w:rPr>
            </w:pPr>
          </w:p>
        </w:tc>
      </w:tr>
      <w:tr>
        <w:trPr>
          <w:trHeight w:val="243"/>
        </w:trPr>
        <w:tc>
          <w:tcPr>
            <w:tcW w:w="3040" w:type="dxa"/>
            <w:vAlign w:val="bottom"/>
          </w:tcPr>
          <w:p>
            <w:pPr>
              <w:ind w:left="40"/>
              <w:spacing w:after="0"/>
              <w:rPr>
                <w:sz w:val="20"/>
                <w:szCs w:val="20"/>
                <w:color w:val="auto"/>
              </w:rPr>
            </w:pPr>
            <w:r>
              <w:rPr>
                <w:rFonts w:ascii="Arial" w:cs="Arial" w:eastAsia="Arial" w:hAnsi="Arial"/>
                <w:sz w:val="18"/>
                <w:szCs w:val="18"/>
                <w:color w:val="auto"/>
              </w:rPr>
              <w:t>South Dakota Electric:</w:t>
            </w:r>
          </w:p>
        </w:tc>
        <w:tc>
          <w:tcPr>
            <w:tcW w:w="14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17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0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(c)</w:t>
            </w:r>
          </w:p>
        </w:tc>
        <w:tc>
          <w:tcPr>
            <w:tcW w:w="140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5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58%</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55.0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Wygen III </w:t>
            </w:r>
            <w:r>
              <w:rPr>
                <w:rFonts w:ascii="Arial" w:cs="Arial" w:eastAsia="Arial" w:hAnsi="Arial"/>
                <w:sz w:val="25"/>
                <w:szCs w:val="25"/>
                <w:color w:val="auto"/>
                <w:vertAlign w:val="superscript"/>
              </w:rPr>
              <w:t>(d)</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Gillette, Wyoming</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52%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57.2</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2010</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II</w:t>
            </w:r>
          </w:p>
        </w:tc>
        <w:tc>
          <w:tcPr>
            <w:tcW w:w="1400" w:type="dxa"/>
            <w:vAlign w:val="bottom"/>
            <w:tcBorders>
              <w:bottom w:val="single" w:sz="8" w:color="CEFFE7"/>
            </w:tcBorders>
            <w:shd w:val="clear" w:color="auto" w:fill="CEFFE7"/>
          </w:tcPr>
          <w:p>
            <w:pPr>
              <w:jc w:val="center"/>
              <w:ind w:left="210"/>
              <w:spacing w:after="0"/>
              <w:rPr>
                <w:sz w:val="20"/>
                <w:szCs w:val="20"/>
                <w:color w:val="auto"/>
              </w:rPr>
            </w:pPr>
            <w:r>
              <w:rPr>
                <w:rFonts w:ascii="Arial" w:cs="Arial" w:eastAsia="Arial" w:hAnsi="Arial"/>
                <w:sz w:val="18"/>
                <w:szCs w:val="18"/>
                <w:color w:val="auto"/>
                <w:w w:val="91"/>
              </w:rPr>
              <w:t>Coal</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Gillette, Wyoming</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90.0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1995</w:t>
            </w: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Wyodak Plant </w:t>
            </w:r>
            <w:r>
              <w:rPr>
                <w:rFonts w:ascii="Arial" w:cs="Arial" w:eastAsia="Arial" w:hAnsi="Arial"/>
                <w:sz w:val="25"/>
                <w:szCs w:val="25"/>
                <w:color w:val="auto"/>
                <w:vertAlign w:val="superscript"/>
              </w:rPr>
              <w:t>(e)</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Gillette, Wyoming</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20%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72.4</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1978</w:t>
            </w:r>
          </w:p>
        </w:tc>
        <w:tc>
          <w:tcPr>
            <w:tcW w:w="0" w:type="dxa"/>
            <w:vAlign w:val="bottom"/>
          </w:tcPr>
          <w:p>
            <w:pPr>
              <w:spacing w:after="0"/>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Neil Simpson CT</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Gillette, Wyoming</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2000</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Lange CT</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Rapid City, South Dakota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2002</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Ben French Diesel #1-5</w:t>
            </w:r>
          </w:p>
        </w:tc>
        <w:tc>
          <w:tcPr>
            <w:tcW w:w="1400" w:type="dxa"/>
            <w:vAlign w:val="bottom"/>
            <w:tcBorders>
              <w:bottom w:val="single" w:sz="8" w:color="CEFFE7"/>
            </w:tcBorders>
            <w:shd w:val="clear" w:color="auto" w:fill="CEFFE7"/>
          </w:tcPr>
          <w:p>
            <w:pPr>
              <w:jc w:val="center"/>
              <w:ind w:left="230"/>
              <w:spacing w:after="0"/>
              <w:rPr>
                <w:sz w:val="20"/>
                <w:szCs w:val="20"/>
                <w:color w:val="auto"/>
              </w:rPr>
            </w:pPr>
            <w:r>
              <w:rPr>
                <w:rFonts w:ascii="Arial" w:cs="Arial" w:eastAsia="Arial" w:hAnsi="Arial"/>
                <w:sz w:val="18"/>
                <w:szCs w:val="18"/>
                <w:color w:val="auto"/>
              </w:rPr>
              <w:t>Oil</w:t>
            </w:r>
          </w:p>
        </w:tc>
        <w:tc>
          <w:tcPr>
            <w:tcW w:w="24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Rapid City, South Dakota</w:t>
            </w:r>
          </w:p>
        </w:tc>
        <w:tc>
          <w:tcPr>
            <w:tcW w:w="15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1965</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Ben French CTs #1-4</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93"/>
              </w:rPr>
              <w:t>Gas/Oil</w:t>
            </w:r>
          </w:p>
        </w:tc>
        <w:tc>
          <w:tcPr>
            <w:tcW w:w="2420" w:type="dxa"/>
            <w:vAlign w:val="bottom"/>
          </w:tcPr>
          <w:p>
            <w:pPr>
              <w:jc w:val="center"/>
              <w:spacing w:after="0"/>
              <w:rPr>
                <w:sz w:val="20"/>
                <w:szCs w:val="20"/>
                <w:color w:val="auto"/>
              </w:rPr>
            </w:pPr>
            <w:r>
              <w:rPr>
                <w:rFonts w:ascii="Arial" w:cs="Arial" w:eastAsia="Arial" w:hAnsi="Arial"/>
                <w:sz w:val="18"/>
                <w:szCs w:val="18"/>
                <w:color w:val="auto"/>
                <w:w w:val="92"/>
              </w:rPr>
              <w:t>Rapid City, South Dakota</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80.0</w:t>
            </w:r>
          </w:p>
        </w:tc>
        <w:tc>
          <w:tcPr>
            <w:tcW w:w="1360" w:type="dxa"/>
            <w:vAlign w:val="bottom"/>
          </w:tcPr>
          <w:p>
            <w:pPr>
              <w:jc w:val="center"/>
              <w:spacing w:after="0"/>
              <w:rPr>
                <w:sz w:val="20"/>
                <w:szCs w:val="20"/>
                <w:color w:val="auto"/>
              </w:rPr>
            </w:pPr>
            <w:r>
              <w:rPr>
                <w:rFonts w:ascii="Arial" w:cs="Arial" w:eastAsia="Arial" w:hAnsi="Arial"/>
                <w:sz w:val="18"/>
                <w:szCs w:val="18"/>
                <w:color w:val="auto"/>
                <w:w w:val="90"/>
              </w:rPr>
              <w:t>1977-1979</w:t>
            </w:r>
          </w:p>
        </w:tc>
        <w:tc>
          <w:tcPr>
            <w:tcW w:w="0" w:type="dxa"/>
            <w:vAlign w:val="bottom"/>
          </w:tcPr>
          <w:p>
            <w:pPr>
              <w:spacing w:after="0"/>
              <w:rPr>
                <w:sz w:val="1"/>
                <w:szCs w:val="1"/>
                <w:color w:val="auto"/>
              </w:rPr>
            </w:pPr>
          </w:p>
        </w:tc>
      </w:tr>
      <w:tr>
        <w:trPr>
          <w:trHeight w:val="27"/>
        </w:trPr>
        <w:tc>
          <w:tcPr>
            <w:tcW w:w="30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1400" w:type="dxa"/>
            <w:vAlign w:val="bottom"/>
            <w:tcBorders>
              <w:bottom w:val="single" w:sz="8" w:color="CEFFE7"/>
            </w:tcBorders>
            <w:shd w:val="clear" w:color="auto" w:fill="CEFFE7"/>
          </w:tcPr>
          <w:p>
            <w:pPr>
              <w:spacing w:after="0"/>
              <w:rPr>
                <w:sz w:val="21"/>
                <w:szCs w:val="21"/>
                <w:color w:val="auto"/>
              </w:rPr>
            </w:pPr>
          </w:p>
        </w:tc>
        <w:tc>
          <w:tcPr>
            <w:tcW w:w="242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304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Cheyenne Prairie </w:t>
            </w:r>
            <w:r>
              <w:rPr>
                <w:rFonts w:ascii="Arial" w:cs="Arial" w:eastAsia="Arial" w:hAnsi="Arial"/>
                <w:sz w:val="25"/>
                <w:szCs w:val="25"/>
                <w:color w:val="auto"/>
                <w:vertAlign w:val="superscript"/>
              </w:rPr>
              <w:t>(c)</w:t>
            </w:r>
          </w:p>
        </w:tc>
        <w:tc>
          <w:tcPr>
            <w:tcW w:w="1400" w:type="dxa"/>
            <w:vAlign w:val="bottom"/>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tcPr>
          <w:p>
            <w:pPr>
              <w:jc w:val="center"/>
              <w:spacing w:after="0"/>
              <w:rPr>
                <w:sz w:val="20"/>
                <w:szCs w:val="20"/>
                <w:color w:val="auto"/>
              </w:rPr>
            </w:pPr>
            <w:r>
              <w:rPr>
                <w:rFonts w:ascii="Arial" w:cs="Arial" w:eastAsia="Arial" w:hAnsi="Arial"/>
                <w:sz w:val="18"/>
                <w:szCs w:val="18"/>
                <w:color w:val="auto"/>
                <w:w w:val="90"/>
              </w:rPr>
              <w:t>Cheyenne, Wyoming</w:t>
            </w:r>
          </w:p>
        </w:tc>
        <w:tc>
          <w:tcPr>
            <w:tcW w:w="1500" w:type="dxa"/>
            <w:vAlign w:val="bottom"/>
          </w:tcPr>
          <w:p>
            <w:pPr>
              <w:jc w:val="center"/>
              <w:spacing w:after="0"/>
              <w:rPr>
                <w:sz w:val="20"/>
                <w:szCs w:val="20"/>
                <w:color w:val="auto"/>
              </w:rPr>
            </w:pPr>
            <w:r>
              <w:rPr>
                <w:rFonts w:ascii="Arial" w:cs="Arial" w:eastAsia="Arial" w:hAnsi="Arial"/>
                <w:sz w:val="18"/>
                <w:szCs w:val="18"/>
                <w:color w:val="auto"/>
                <w:w w:val="94"/>
              </w:rPr>
              <w:t>42%</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40.0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70"/>
        </w:trPr>
        <w:tc>
          <w:tcPr>
            <w:tcW w:w="304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Cheyenne Prairie CT </w:t>
            </w:r>
            <w:r>
              <w:rPr>
                <w:rFonts w:ascii="Arial" w:cs="Arial" w:eastAsia="Arial" w:hAnsi="Arial"/>
                <w:sz w:val="25"/>
                <w:szCs w:val="25"/>
                <w:color w:val="auto"/>
                <w:vertAlign w:val="superscript"/>
              </w:rPr>
              <w:t>(c)</w:t>
            </w:r>
          </w:p>
        </w:tc>
        <w:tc>
          <w:tcPr>
            <w:tcW w:w="1400" w:type="dxa"/>
            <w:vAlign w:val="bottom"/>
            <w:shd w:val="clear" w:color="auto" w:fill="CEFFE7"/>
          </w:tcPr>
          <w:p>
            <w:pPr>
              <w:jc w:val="center"/>
              <w:ind w:left="230"/>
              <w:spacing w:after="0"/>
              <w:rPr>
                <w:sz w:val="20"/>
                <w:szCs w:val="20"/>
                <w:color w:val="auto"/>
              </w:rPr>
            </w:pPr>
            <w:r>
              <w:rPr>
                <w:rFonts w:ascii="Arial" w:cs="Arial" w:eastAsia="Arial" w:hAnsi="Arial"/>
                <w:sz w:val="18"/>
                <w:szCs w:val="18"/>
                <w:color w:val="auto"/>
                <w:w w:val="84"/>
              </w:rPr>
              <w:t>Gas</w:t>
            </w:r>
          </w:p>
        </w:tc>
        <w:tc>
          <w:tcPr>
            <w:tcW w:w="24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Cheyenne, Wyoming</w:t>
            </w:r>
          </w:p>
        </w:tc>
        <w:tc>
          <w:tcPr>
            <w:tcW w:w="15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37.0</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2014</w:t>
            </w:r>
          </w:p>
        </w:tc>
        <w:tc>
          <w:tcPr>
            <w:tcW w:w="0" w:type="dxa"/>
            <w:vAlign w:val="bottom"/>
          </w:tcPr>
          <w:p>
            <w:pPr>
              <w:spacing w:after="0"/>
              <w:rPr>
                <w:sz w:val="1"/>
                <w:szCs w:val="1"/>
                <w:color w:val="auto"/>
              </w:rPr>
            </w:pPr>
          </w:p>
        </w:tc>
      </w:tr>
      <w:tr>
        <w:trPr>
          <w:trHeight w:val="243"/>
        </w:trPr>
        <w:tc>
          <w:tcPr>
            <w:tcW w:w="3040" w:type="dxa"/>
            <w:vAlign w:val="bottom"/>
          </w:tcPr>
          <w:p>
            <w:pPr>
              <w:ind w:left="280"/>
              <w:spacing w:after="0"/>
              <w:rPr>
                <w:sz w:val="20"/>
                <w:szCs w:val="20"/>
                <w:color w:val="auto"/>
              </w:rPr>
            </w:pPr>
            <w:r>
              <w:rPr>
                <w:rFonts w:ascii="Arial" w:cs="Arial" w:eastAsia="Arial" w:hAnsi="Arial"/>
                <w:sz w:val="18"/>
                <w:szCs w:val="18"/>
                <w:color w:val="auto"/>
              </w:rPr>
              <w:t>Wygen II</w:t>
            </w:r>
          </w:p>
        </w:tc>
        <w:tc>
          <w:tcPr>
            <w:tcW w:w="1400" w:type="dxa"/>
            <w:vAlign w:val="bottom"/>
          </w:tcPr>
          <w:p>
            <w:pPr>
              <w:jc w:val="center"/>
              <w:ind w:left="210"/>
              <w:spacing w:after="0"/>
              <w:rPr>
                <w:sz w:val="20"/>
                <w:szCs w:val="20"/>
                <w:color w:val="auto"/>
              </w:rPr>
            </w:pPr>
            <w:r>
              <w:rPr>
                <w:rFonts w:ascii="Arial" w:cs="Arial" w:eastAsia="Arial" w:hAnsi="Arial"/>
                <w:sz w:val="18"/>
                <w:szCs w:val="18"/>
                <w:color w:val="auto"/>
                <w:w w:val="91"/>
              </w:rPr>
              <w:t>Coal</w:t>
            </w:r>
          </w:p>
        </w:tc>
        <w:tc>
          <w:tcPr>
            <w:tcW w:w="2420" w:type="dxa"/>
            <w:vAlign w:val="bottom"/>
          </w:tcPr>
          <w:p>
            <w:pPr>
              <w:jc w:val="center"/>
              <w:spacing w:after="0"/>
              <w:rPr>
                <w:sz w:val="20"/>
                <w:szCs w:val="20"/>
                <w:color w:val="auto"/>
              </w:rPr>
            </w:pPr>
            <w:r>
              <w:rPr>
                <w:rFonts w:ascii="Arial" w:cs="Arial" w:eastAsia="Arial" w:hAnsi="Arial"/>
                <w:sz w:val="18"/>
                <w:szCs w:val="18"/>
                <w:color w:val="auto"/>
                <w:w w:val="94"/>
              </w:rPr>
              <w:t>Gillette, Wyoming</w:t>
            </w:r>
          </w:p>
        </w:tc>
        <w:tc>
          <w:tcPr>
            <w:tcW w:w="1500" w:type="dxa"/>
            <w:vAlign w:val="bottom"/>
          </w:tcPr>
          <w:p>
            <w:pPr>
              <w:jc w:val="center"/>
              <w:spacing w:after="0"/>
              <w:rPr>
                <w:sz w:val="20"/>
                <w:szCs w:val="20"/>
                <w:color w:val="auto"/>
              </w:rPr>
            </w:pPr>
            <w:r>
              <w:rPr>
                <w:rFonts w:ascii="Arial" w:cs="Arial" w:eastAsia="Arial" w:hAnsi="Arial"/>
                <w:sz w:val="18"/>
                <w:szCs w:val="18"/>
                <w:color w:val="auto"/>
                <w:w w:val="91"/>
              </w:rPr>
              <w:t>100%</w:t>
            </w:r>
          </w:p>
        </w:tc>
        <w:tc>
          <w:tcPr>
            <w:tcW w:w="1700" w:type="dxa"/>
            <w:vAlign w:val="bottom"/>
          </w:tcPr>
          <w:p>
            <w:pPr>
              <w:jc w:val="center"/>
              <w:spacing w:after="0"/>
              <w:rPr>
                <w:sz w:val="20"/>
                <w:szCs w:val="20"/>
                <w:color w:val="auto"/>
              </w:rPr>
            </w:pPr>
            <w:r>
              <w:rPr>
                <w:rFonts w:ascii="Arial" w:cs="Arial" w:eastAsia="Arial" w:hAnsi="Arial"/>
                <w:sz w:val="18"/>
                <w:szCs w:val="18"/>
                <w:color w:val="auto"/>
                <w:w w:val="91"/>
              </w:rPr>
              <w:t>95.0</w:t>
            </w:r>
          </w:p>
        </w:tc>
        <w:tc>
          <w:tcPr>
            <w:tcW w:w="1360" w:type="dxa"/>
            <w:vAlign w:val="bottom"/>
          </w:tcPr>
          <w:p>
            <w:pPr>
              <w:jc w:val="center"/>
              <w:spacing w:after="0"/>
              <w:rPr>
                <w:sz w:val="20"/>
                <w:szCs w:val="20"/>
                <w:color w:val="auto"/>
              </w:rPr>
            </w:pPr>
            <w:r>
              <w:rPr>
                <w:rFonts w:ascii="Arial" w:cs="Arial" w:eastAsia="Arial" w:hAnsi="Arial"/>
                <w:sz w:val="18"/>
                <w:szCs w:val="18"/>
                <w:color w:val="auto"/>
                <w:w w:val="89"/>
              </w:rPr>
              <w:t>2008</w:t>
            </w:r>
          </w:p>
        </w:tc>
        <w:tc>
          <w:tcPr>
            <w:tcW w:w="0" w:type="dxa"/>
            <w:vAlign w:val="bottom"/>
          </w:tcPr>
          <w:p>
            <w:pPr>
              <w:spacing w:after="0"/>
              <w:rPr>
                <w:sz w:val="1"/>
                <w:szCs w:val="1"/>
                <w:color w:val="auto"/>
              </w:rPr>
            </w:pPr>
          </w:p>
        </w:tc>
      </w:tr>
      <w:tr>
        <w:trPr>
          <w:trHeight w:val="27"/>
        </w:trPr>
        <w:tc>
          <w:tcPr>
            <w:tcW w:w="3040" w:type="dxa"/>
            <w:vAlign w:val="bottom"/>
            <w:tcBorders>
              <w:bottom w:val="single" w:sz="8" w:color="CEFFE7"/>
            </w:tcBorders>
          </w:tcPr>
          <w:p>
            <w:pPr>
              <w:spacing w:after="0"/>
              <w:rPr>
                <w:sz w:val="2"/>
                <w:szCs w:val="2"/>
                <w:color w:val="auto"/>
              </w:rPr>
            </w:pPr>
          </w:p>
        </w:tc>
        <w:tc>
          <w:tcPr>
            <w:tcW w:w="1400" w:type="dxa"/>
            <w:vAlign w:val="bottom"/>
            <w:tcBorders>
              <w:bottom w:val="single" w:sz="8" w:color="CEFFE7"/>
            </w:tcBorders>
          </w:tcPr>
          <w:p>
            <w:pPr>
              <w:spacing w:after="0"/>
              <w:rPr>
                <w:sz w:val="2"/>
                <w:szCs w:val="2"/>
                <w:color w:val="auto"/>
              </w:rPr>
            </w:pPr>
          </w:p>
        </w:tc>
        <w:tc>
          <w:tcPr>
            <w:tcW w:w="2420" w:type="dxa"/>
            <w:vAlign w:val="bottom"/>
            <w:tcBorders>
              <w:bottom w:val="single" w:sz="8" w:color="CEFFE7"/>
            </w:tcBorders>
          </w:tcPr>
          <w:p>
            <w:pPr>
              <w:spacing w:after="0"/>
              <w:rPr>
                <w:sz w:val="2"/>
                <w:szCs w:val="2"/>
                <w:color w:val="auto"/>
              </w:rPr>
            </w:pPr>
          </w:p>
        </w:tc>
        <w:tc>
          <w:tcPr>
            <w:tcW w:w="1500" w:type="dxa"/>
            <w:vAlign w:val="bottom"/>
            <w:tcBorders>
              <w:bottom w:val="single" w:sz="8" w:color="CEFFE7"/>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360" w:type="dxa"/>
            <w:vAlign w:val="bottom"/>
            <w:tcBorders>
              <w:bottom w:val="single" w:sz="8" w:color="CEFFE7"/>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MW Capacity</w:t>
            </w:r>
          </w:p>
        </w:tc>
        <w:tc>
          <w:tcPr>
            <w:tcW w:w="1400" w:type="dxa"/>
            <w:vAlign w:val="bottom"/>
            <w:tcBorders>
              <w:bottom w:val="single" w:sz="8" w:color="CEFFE7"/>
            </w:tcBorders>
            <w:shd w:val="clear" w:color="auto" w:fill="CEFFE7"/>
          </w:tcPr>
          <w:p>
            <w:pPr>
              <w:spacing w:after="0"/>
              <w:rPr>
                <w:sz w:val="22"/>
                <w:szCs w:val="22"/>
                <w:color w:val="auto"/>
              </w:rPr>
            </w:pPr>
          </w:p>
        </w:tc>
        <w:tc>
          <w:tcPr>
            <w:tcW w:w="2420" w:type="dxa"/>
            <w:vAlign w:val="bottom"/>
            <w:tcBorders>
              <w:bottom w:val="single" w:sz="8" w:color="CEFFE7"/>
            </w:tcBorders>
            <w:shd w:val="clear" w:color="auto" w:fill="CEFFE7"/>
          </w:tcPr>
          <w:p>
            <w:pPr>
              <w:spacing w:after="0"/>
              <w:rPr>
                <w:sz w:val="22"/>
                <w:szCs w:val="22"/>
                <w:color w:val="auto"/>
              </w:rPr>
            </w:pPr>
          </w:p>
        </w:tc>
        <w:tc>
          <w:tcPr>
            <w:tcW w:w="150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auto"/>
            </w:tcBorders>
            <w:shd w:val="clear" w:color="auto" w:fill="CEFFE7"/>
          </w:tcPr>
          <w:p>
            <w:pPr>
              <w:jc w:val="center"/>
              <w:spacing w:after="0"/>
              <w:rPr>
                <w:sz w:val="20"/>
                <w:szCs w:val="20"/>
                <w:color w:val="auto"/>
              </w:rPr>
            </w:pPr>
            <w:r>
              <w:rPr>
                <w:rFonts w:ascii="Arial" w:cs="Arial" w:eastAsia="Arial" w:hAnsi="Arial"/>
                <w:sz w:val="18"/>
                <w:szCs w:val="18"/>
                <w:color w:val="auto"/>
                <w:w w:val="88"/>
              </w:rPr>
              <w:t>939.1</w:t>
            </w:r>
          </w:p>
        </w:tc>
        <w:tc>
          <w:tcPr>
            <w:tcW w:w="1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40" w:type="dxa"/>
            <w:vAlign w:val="bottom"/>
            <w:vMerge w:val="restart"/>
          </w:tcPr>
          <w:p>
            <w:pPr>
              <w:spacing w:after="0"/>
              <w:rPr>
                <w:sz w:val="20"/>
                <w:szCs w:val="20"/>
                <w:color w:val="auto"/>
              </w:rPr>
            </w:pPr>
            <w:r>
              <w:rPr>
                <w:rFonts w:ascii="Arial" w:cs="Arial" w:eastAsia="Arial" w:hAnsi="Arial"/>
                <w:sz w:val="18"/>
                <w:szCs w:val="18"/>
                <w:color w:val="auto"/>
              </w:rPr>
              <w:t>________________________</w:t>
            </w:r>
          </w:p>
        </w:tc>
        <w:tc>
          <w:tcPr>
            <w:tcW w:w="14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40" w:type="dxa"/>
            <w:vAlign w:val="bottom"/>
            <w:vMerge w:val="continue"/>
          </w:tcPr>
          <w:p>
            <w:pPr>
              <w:spacing w:after="0"/>
              <w:rPr>
                <w:sz w:val="17"/>
                <w:szCs w:val="17"/>
                <w:color w:val="auto"/>
              </w:rPr>
            </w:pPr>
          </w:p>
        </w:tc>
        <w:tc>
          <w:tcPr>
            <w:tcW w:w="14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8"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Busch Ranch I is operated by Colorado Electric. In 2013, the facility was awarded a one-time cash grant in lieu of ITCs under the Section 1603 program created under the American Recovery and Reinvestment Act. Black Hills Electric Generation owns the remaining 50% interest in the wind farm. Colorado Electric has a PPA with Black Hills Electric Generation for its share of power from the wind farm.</w:t>
      </w:r>
    </w:p>
    <w:p>
      <w:pPr>
        <w:spacing w:after="0" w:line="1" w:lineRule="exact"/>
        <w:rPr>
          <w:rFonts w:ascii="Arial" w:cs="Arial" w:eastAsia="Arial" w:hAnsi="Arial"/>
          <w:sz w:val="16"/>
          <w:szCs w:val="16"/>
          <w:color w:val="auto"/>
        </w:rPr>
      </w:pPr>
    </w:p>
    <w:p>
      <w:pPr>
        <w:jc w:val="both"/>
        <w:ind w:left="340" w:right="28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The Peak View facility qualifies for PTCs at $25/MWh under IRC 45 during the 10-year period beginning on the date the facility was originally placed in service. The PTCs for this facility flow back to customers through a rider mechanism as a reduction to Colorado Electric’s margins. Peak View was placed in service in November 2016.</w:t>
      </w:r>
    </w:p>
    <w:p>
      <w:pPr>
        <w:spacing w:after="0" w:line="1" w:lineRule="exact"/>
        <w:rPr>
          <w:rFonts w:ascii="Arial" w:cs="Arial" w:eastAsia="Arial" w:hAnsi="Arial"/>
          <w:sz w:val="16"/>
          <w:szCs w:val="16"/>
          <w:color w:val="auto"/>
        </w:rPr>
      </w:pPr>
    </w:p>
    <w:p>
      <w:pPr>
        <w:ind w:left="340" w:right="140" w:hanging="332"/>
        <w:spacing w:after="0" w:line="263" w:lineRule="auto"/>
        <w:tabs>
          <w:tab w:leader="none" w:pos="340" w:val="left"/>
        </w:tabs>
        <w:numPr>
          <w:ilvl w:val="0"/>
          <w:numId w:val="4"/>
        </w:numPr>
        <w:rPr>
          <w:rFonts w:ascii="Arial" w:cs="Arial" w:eastAsia="Arial" w:hAnsi="Arial"/>
          <w:sz w:val="15"/>
          <w:szCs w:val="15"/>
          <w:color w:val="auto"/>
        </w:rPr>
      </w:pPr>
      <w:r>
        <w:rPr>
          <w:rFonts w:ascii="Arial" w:cs="Arial" w:eastAsia="Arial" w:hAnsi="Arial"/>
          <w:sz w:val="15"/>
          <w:szCs w:val="15"/>
          <w:color w:val="auto"/>
        </w:rPr>
        <w:t>Cheyenne Prairie serves the utility customers of South Dakota Electric and Wyoming Electric. The facility includes one simple-cycle, 37 MW combustion turbine that is wholly-owned by Wyoming Electric and one combined-cycle, 95 MW unit that is jointly-owned by Wyoming Electric (40 MW) and South Dakota Electric (55 MW).</w:t>
      </w:r>
    </w:p>
    <w:p>
      <w:pPr>
        <w:ind w:left="340" w:right="240" w:hanging="332"/>
        <w:spacing w:after="0" w:line="246"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Wygen III, a 110 MW mine-mouth coal-fired power plant, is operated by South Dakota Electric. South Dakota Electric owns 52% of the power plant, MDU owns 25% and the City of Gillette owns the remaining 23% interest. Our adjacent WRDC mine supplies all of the fuel for the plant.</w:t>
      </w:r>
    </w:p>
    <w:p>
      <w:pPr>
        <w:ind w:left="340" w:right="560" w:hanging="332"/>
        <w:spacing w:after="0" w:line="25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Wyodak Plant, a 362 MW mine-mouth coal-fired power plant, is owned 80% by PacifiCorp and 20% by South Dakota Electric. This baseload plant is operated by PacifiCorp and our WRDC mine supplies all of the fuel for the plant.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26" w:right="239" w:bottom="1440" w:gutter="0" w:footer="0" w:header="0"/>
        </w:sectPr>
      </w:pPr>
    </w:p>
    <w:bookmarkStart w:id="10" w:name="page11"/>
    <w:bookmarkEnd w:id="1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Electric Utilities’ annual weighted average cost of fuel utilized to generate electricity and the average price paid for purchased power (excluding contracted capacity) per MWh for the years ended December 31 was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40" w:type="dxa"/>
            <w:vAlign w:val="bottom"/>
          </w:tcPr>
          <w:p>
            <w:pPr>
              <w:ind w:left="40"/>
              <w:spacing w:after="0"/>
              <w:rPr>
                <w:sz w:val="20"/>
                <w:szCs w:val="20"/>
                <w:color w:val="auto"/>
              </w:rPr>
            </w:pPr>
            <w:r>
              <w:rPr>
                <w:rFonts w:ascii="Arial" w:cs="Arial" w:eastAsia="Arial" w:hAnsi="Arial"/>
                <w:sz w:val="18"/>
                <w:szCs w:val="18"/>
                <w:color w:val="auto"/>
              </w:rPr>
              <w:t>Fuel Source (dollars per MWh)</w:t>
            </w:r>
          </w:p>
        </w:tc>
        <w:tc>
          <w:tcPr>
            <w:tcW w:w="320" w:type="dxa"/>
            <w:vAlign w:val="bottom"/>
          </w:tcPr>
          <w:p>
            <w:pPr>
              <w:spacing w:after="0"/>
              <w:rPr>
                <w:sz w:val="20"/>
                <w:szCs w:val="20"/>
                <w:color w:val="auto"/>
              </w:rPr>
            </w:pPr>
          </w:p>
        </w:tc>
        <w:tc>
          <w:tcPr>
            <w:tcW w:w="1000" w:type="dxa"/>
            <w:vAlign w:val="bottom"/>
          </w:tcPr>
          <w:p>
            <w:pPr>
              <w:jc w:val="right"/>
              <w:ind w:right="37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92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7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Coal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11.46</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11.10</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10.95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25.92</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33.42</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34.05</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540" w:type="dxa"/>
            <w:vAlign w:val="bottom"/>
            <w:tcBorders>
              <w:bottom w:val="single" w:sz="8" w:color="CEFFE7"/>
            </w:tcBorders>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Diesel Oil </w:t>
            </w:r>
            <w:r>
              <w:rPr>
                <w:rFonts w:ascii="Arial" w:cs="Arial" w:eastAsia="Arial" w:hAnsi="Arial"/>
                <w:sz w:val="25"/>
                <w:szCs w:val="25"/>
                <w:color w:val="auto"/>
                <w:vertAlign w:val="superscript"/>
              </w:rPr>
              <w:t>(a)</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209.86</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329.27</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210.11</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 Weighted Average Fuel Cost</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13.86</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13.53</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12.80</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Coal, Gas and Oil</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43.73</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45.62</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45.63</w:t>
            </w: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7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Purchased Power - Renewable Sources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48.61</w:t>
            </w:r>
          </w:p>
        </w:tc>
        <w:tc>
          <w:tcPr>
            <w:tcW w:w="34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54.31</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53.08</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6"/>
                <w:szCs w:val="16"/>
                <w:color w:val="auto"/>
              </w:rPr>
              <w:t>______________</w:t>
            </w: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540" w:type="dxa"/>
            <w:vAlign w:val="bottom"/>
            <w:vMerge w:val="continue"/>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160" w:hanging="332"/>
        <w:spacing w:after="0" w:line="257"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color w:val="auto"/>
        </w:rPr>
        <w:t>Included in the Price per MWh for Diesel Oil are unit start-up costs. The diesel-fueled generating units are generally used as supplemental peaking units and the cost per MWh is reflective of how often the units are started and how long the units are run.</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color w:val="auto"/>
        </w:rPr>
        <w:t>Our Electric Utilities’ power supply by resource as a percent of the total power supply for our energy needs for the years ended December 31 was as follows: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Power Supply</w:t>
            </w:r>
          </w:p>
        </w:tc>
        <w:tc>
          <w:tcPr>
            <w:tcW w:w="1920" w:type="dxa"/>
            <w:vAlign w:val="bottom"/>
          </w:tcPr>
          <w:p>
            <w:pPr>
              <w:jc w:val="right"/>
              <w:ind w:right="850"/>
              <w:spacing w:after="0"/>
              <w:rPr>
                <w:sz w:val="20"/>
                <w:szCs w:val="20"/>
                <w:color w:val="auto"/>
              </w:rPr>
            </w:pPr>
            <w:r>
              <w:rPr>
                <w:rFonts w:ascii="Arial" w:cs="Arial" w:eastAsia="Arial" w:hAnsi="Arial"/>
                <w:sz w:val="18"/>
                <w:szCs w:val="18"/>
                <w:color w:val="auto"/>
              </w:rPr>
              <w:t>2019</w:t>
            </w:r>
          </w:p>
        </w:tc>
        <w:tc>
          <w:tcPr>
            <w:tcW w:w="1640" w:type="dxa"/>
            <w:vAlign w:val="bottom"/>
          </w:tcPr>
          <w:p>
            <w:pPr>
              <w:jc w:val="right"/>
              <w:ind w:right="850"/>
              <w:spacing w:after="0"/>
              <w:rPr>
                <w:sz w:val="20"/>
                <w:szCs w:val="20"/>
                <w:color w:val="auto"/>
              </w:rPr>
            </w:pPr>
            <w:r>
              <w:rPr>
                <w:rFonts w:ascii="Arial" w:cs="Arial" w:eastAsia="Arial" w:hAnsi="Arial"/>
                <w:sz w:val="18"/>
                <w:szCs w:val="18"/>
                <w:color w:val="auto"/>
              </w:rPr>
              <w:t>2018</w:t>
            </w:r>
          </w:p>
        </w:tc>
        <w:tc>
          <w:tcPr>
            <w:tcW w:w="134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Coal</w:t>
            </w:r>
          </w:p>
        </w:tc>
        <w:tc>
          <w:tcPr>
            <w:tcW w:w="192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30%</w:t>
            </w:r>
          </w:p>
        </w:tc>
        <w:tc>
          <w:tcPr>
            <w:tcW w:w="1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32%</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6460" w:type="dxa"/>
            <w:vAlign w:val="bottom"/>
          </w:tcPr>
          <w:p>
            <w:pPr>
              <w:ind w:left="20"/>
              <w:spacing w:after="0"/>
              <w:rPr>
                <w:sz w:val="20"/>
                <w:szCs w:val="20"/>
                <w:color w:val="auto"/>
              </w:rPr>
            </w:pPr>
            <w:r>
              <w:rPr>
                <w:rFonts w:ascii="Arial" w:cs="Arial" w:eastAsia="Arial" w:hAnsi="Arial"/>
                <w:sz w:val="18"/>
                <w:szCs w:val="18"/>
                <w:color w:val="auto"/>
              </w:rPr>
              <w:t>Gas, Oil and Wind</w:t>
            </w:r>
          </w:p>
        </w:tc>
        <w:tc>
          <w:tcPr>
            <w:tcW w:w="1920" w:type="dxa"/>
            <w:vAlign w:val="bottom"/>
          </w:tcPr>
          <w:p>
            <w:pPr>
              <w:jc w:val="right"/>
              <w:ind w:right="410"/>
              <w:spacing w:after="0"/>
              <w:rPr>
                <w:sz w:val="20"/>
                <w:szCs w:val="20"/>
                <w:color w:val="auto"/>
              </w:rPr>
            </w:pPr>
            <w:r>
              <w:rPr>
                <w:rFonts w:ascii="Arial" w:cs="Arial" w:eastAsia="Arial" w:hAnsi="Arial"/>
                <w:sz w:val="18"/>
                <w:szCs w:val="18"/>
                <w:color w:val="auto"/>
              </w:rPr>
              <w:t>12</w:t>
            </w:r>
          </w:p>
        </w:tc>
        <w:tc>
          <w:tcPr>
            <w:tcW w:w="1640" w:type="dxa"/>
            <w:vAlign w:val="bottom"/>
          </w:tcPr>
          <w:p>
            <w:pPr>
              <w:jc w:val="right"/>
              <w:ind w:right="410"/>
              <w:spacing w:after="0"/>
              <w:rPr>
                <w:sz w:val="20"/>
                <w:szCs w:val="20"/>
                <w:color w:val="auto"/>
              </w:rPr>
            </w:pPr>
            <w:r>
              <w:rPr>
                <w:rFonts w:ascii="Arial" w:cs="Arial" w:eastAsia="Arial" w:hAnsi="Arial"/>
                <w:sz w:val="18"/>
                <w:szCs w:val="18"/>
                <w:color w:val="auto"/>
              </w:rPr>
              <w:t>10</w:t>
            </w:r>
          </w:p>
        </w:tc>
        <w:tc>
          <w:tcPr>
            <w:tcW w:w="1340" w:type="dxa"/>
            <w:vAlign w:val="bottom"/>
          </w:tcPr>
          <w:p>
            <w:pPr>
              <w:jc w:val="right"/>
              <w:ind w:right="1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6460" w:type="dxa"/>
            <w:vAlign w:val="bottom"/>
            <w:tcBorders>
              <w:bottom w:val="single" w:sz="8" w:color="CEFFE7"/>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 Generated</w:t>
            </w:r>
          </w:p>
        </w:tc>
        <w:tc>
          <w:tcPr>
            <w:tcW w:w="192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42</w:t>
            </w:r>
          </w:p>
        </w:tc>
        <w:tc>
          <w:tcPr>
            <w:tcW w:w="164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42</w:t>
            </w:r>
          </w:p>
        </w:tc>
        <w:tc>
          <w:tcPr>
            <w:tcW w:w="13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6460" w:type="dxa"/>
            <w:vAlign w:val="bottom"/>
            <w:tcBorders>
              <w:bottom w:val="single" w:sz="8" w:color="CEFFE7"/>
            </w:tcBorders>
          </w:tcPr>
          <w:p>
            <w:pPr>
              <w:ind w:left="20"/>
              <w:spacing w:after="0" w:line="270" w:lineRule="exact"/>
              <w:rPr>
                <w:sz w:val="20"/>
                <w:szCs w:val="20"/>
                <w:color w:val="auto"/>
              </w:rPr>
            </w:pPr>
            <w:r>
              <w:rPr>
                <w:rFonts w:ascii="Arial" w:cs="Arial" w:eastAsia="Arial" w:hAnsi="Arial"/>
                <w:sz w:val="18"/>
                <w:szCs w:val="18"/>
                <w:color w:val="auto"/>
              </w:rPr>
              <w:t xml:space="preserve">Purchased </w:t>
            </w:r>
            <w:r>
              <w:rPr>
                <w:rFonts w:ascii="Arial" w:cs="Arial" w:eastAsia="Arial" w:hAnsi="Arial"/>
                <w:sz w:val="25"/>
                <w:szCs w:val="25"/>
                <w:color w:val="auto"/>
                <w:vertAlign w:val="superscript"/>
              </w:rPr>
              <w:t>(a)</w:t>
            </w:r>
          </w:p>
        </w:tc>
        <w:tc>
          <w:tcPr>
            <w:tcW w:w="19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58</w:t>
            </w:r>
          </w:p>
        </w:tc>
        <w:tc>
          <w:tcPr>
            <w:tcW w:w="164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58</w:t>
            </w:r>
          </w:p>
        </w:tc>
        <w:tc>
          <w:tcPr>
            <w:tcW w:w="1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46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8"/>
                <w:szCs w:val="18"/>
                <w:color w:val="auto"/>
              </w:rPr>
              <w:t>Total</w:t>
            </w:r>
          </w:p>
        </w:tc>
        <w:tc>
          <w:tcPr>
            <w:tcW w:w="192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100%</w:t>
            </w:r>
          </w:p>
        </w:tc>
        <w:tc>
          <w:tcPr>
            <w:tcW w:w="1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6500" w:type="dxa"/>
            <w:vAlign w:val="bottom"/>
            <w:gridSpan w:val="2"/>
            <w:vMerge w:val="restart"/>
          </w:tcPr>
          <w:p>
            <w:pPr>
              <w:jc w:val="right"/>
              <w:ind w:right="5270"/>
              <w:spacing w:after="0"/>
              <w:rPr>
                <w:sz w:val="20"/>
                <w:szCs w:val="20"/>
                <w:color w:val="auto"/>
              </w:rPr>
            </w:pPr>
            <w:r>
              <w:rPr>
                <w:rFonts w:ascii="Arial" w:cs="Arial" w:eastAsia="Arial" w:hAnsi="Arial"/>
                <w:sz w:val="16"/>
                <w:szCs w:val="16"/>
                <w:color w:val="auto"/>
                <w:w w:val="89"/>
              </w:rPr>
              <w:t>______________</w:t>
            </w:r>
          </w:p>
        </w:tc>
        <w:tc>
          <w:tcPr>
            <w:tcW w:w="19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500" w:type="dxa"/>
            <w:vAlign w:val="bottom"/>
            <w:gridSpan w:val="2"/>
            <w:vMerge w:val="continue"/>
          </w:tcPr>
          <w:p>
            <w:pPr>
              <w:spacing w:after="0"/>
              <w:rPr>
                <w:sz w:val="15"/>
                <w:szCs w:val="15"/>
                <w:color w:val="auto"/>
              </w:rPr>
            </w:pPr>
          </w:p>
        </w:tc>
        <w:tc>
          <w:tcPr>
            <w:tcW w:w="19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Wind represents approximately 6%, 6% and 6% of our purchased power in 2019, 2018, and 2017, respectively.</w:t>
      </w:r>
    </w:p>
    <w:p>
      <w:pPr>
        <w:spacing w:after="0" w:line="203" w:lineRule="exact"/>
        <w:rPr>
          <w:sz w:val="20"/>
          <w:szCs w:val="20"/>
          <w:color w:val="auto"/>
        </w:rPr>
      </w:pPr>
    </w:p>
    <w:p>
      <w:pPr>
        <w:ind w:right="460"/>
        <w:spacing w:after="0" w:line="26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Power Purchase and Power Sales Agreements. </w:t>
      </w:r>
      <w:r>
        <w:rPr>
          <w:rFonts w:ascii="Arial" w:cs="Arial" w:eastAsia="Arial" w:hAnsi="Arial"/>
          <w:sz w:val="18"/>
          <w:szCs w:val="18"/>
          <w:color w:val="auto"/>
        </w:rPr>
        <w:t>We have executed various PPAs to support our Electric Utilities’ capacity and energy needs beyond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regulated power plants’ generation. Our Electric Utilities also have various long-term PSAs. Key contracts are disclosed in </w:t>
      </w:r>
      <w:hyperlink w:anchor="page1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18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b w:val="1"/>
          <w:bCs w:val="1"/>
          <w:i w:val="1"/>
          <w:iCs w:val="1"/>
          <w:color w:val="auto"/>
        </w:rPr>
        <w:t xml:space="preserve">Transmission and Distribution. </w:t>
      </w:r>
      <w:r>
        <w:rPr>
          <w:rFonts w:ascii="Arial" w:cs="Arial" w:eastAsia="Arial" w:hAnsi="Arial"/>
          <w:sz w:val="18"/>
          <w:szCs w:val="18"/>
          <w:color w:val="auto"/>
        </w:rPr>
        <w:t>Through our Electric Utilities, we own electric transmission and distribution systems composed of high voltage lines (greater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than 69 kV) and low voltage lines (69 kV or less). We also jointly own an electric transmission system, referred to as the Common Use System, with Basin Electric and Powder River Energy Corporation.</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26" w:right="2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184"/>
        </w:trPr>
        <w:tc>
          <w:tcPr>
            <w:tcW w:w="43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37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7020" w:type="dxa"/>
            <w:vAlign w:val="bottom"/>
            <w:gridSpan w:val="3"/>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40" w:type="dxa"/>
            <w:vAlign w:val="bottom"/>
            <w:gridSpan w:val="4"/>
          </w:tcPr>
          <w:p>
            <w:pPr>
              <w:spacing w:after="0"/>
              <w:rPr>
                <w:sz w:val="20"/>
                <w:szCs w:val="20"/>
                <w:color w:val="auto"/>
              </w:rPr>
            </w:pPr>
            <w:r>
              <w:rPr>
                <w:rFonts w:ascii="Arial" w:cs="Arial" w:eastAsia="Arial" w:hAnsi="Arial"/>
                <w:sz w:val="18"/>
                <w:szCs w:val="18"/>
                <w:color w:val="auto"/>
                <w:w w:val="93"/>
              </w:rPr>
              <w:t>At December 31, 2019, our Electric Utilities owned the electric transmission and distribution lines shown below:</w:t>
            </w: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12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80" w:type="dxa"/>
            <w:vAlign w:val="bottom"/>
          </w:tcPr>
          <w:p>
            <w:pPr>
              <w:jc w:val="right"/>
              <w:ind w:right="390"/>
              <w:spacing w:after="0"/>
              <w:rPr>
                <w:sz w:val="20"/>
                <w:szCs w:val="20"/>
                <w:color w:val="auto"/>
              </w:rPr>
            </w:pPr>
            <w:r>
              <w:rPr>
                <w:rFonts w:ascii="Arial" w:cs="Arial" w:eastAsia="Arial" w:hAnsi="Arial"/>
                <w:sz w:val="18"/>
                <w:szCs w:val="18"/>
                <w:color w:val="auto"/>
              </w:rPr>
              <w:t>Transmission</w:t>
            </w:r>
          </w:p>
        </w:tc>
        <w:tc>
          <w:tcPr>
            <w:tcW w:w="1600" w:type="dxa"/>
            <w:vAlign w:val="bottom"/>
          </w:tcPr>
          <w:p>
            <w:pPr>
              <w:jc w:val="right"/>
              <w:ind w:right="330"/>
              <w:spacing w:after="0"/>
              <w:rPr>
                <w:sz w:val="20"/>
                <w:szCs w:val="20"/>
                <w:color w:val="auto"/>
              </w:rPr>
            </w:pPr>
            <w:r>
              <w:rPr>
                <w:rFonts w:ascii="Arial" w:cs="Arial" w:eastAsia="Arial" w:hAnsi="Arial"/>
                <w:sz w:val="18"/>
                <w:szCs w:val="18"/>
                <w:color w:val="auto"/>
              </w:rPr>
              <w:t>Distribution</w:t>
            </w:r>
          </w:p>
        </w:tc>
        <w:tc>
          <w:tcPr>
            <w:tcW w:w="0" w:type="dxa"/>
            <w:vAlign w:val="bottom"/>
          </w:tcPr>
          <w:p>
            <w:pPr>
              <w:spacing w:after="0"/>
              <w:rPr>
                <w:sz w:val="1"/>
                <w:szCs w:val="1"/>
                <w:color w:val="auto"/>
              </w:rPr>
            </w:pPr>
          </w:p>
        </w:tc>
      </w:tr>
      <w:tr>
        <w:trPr>
          <w:trHeight w:val="230"/>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Utility</w:t>
            </w:r>
          </w:p>
        </w:tc>
        <w:tc>
          <w:tcPr>
            <w:tcW w:w="3940" w:type="dxa"/>
            <w:vAlign w:val="bottom"/>
            <w:gridSpan w:val="2"/>
          </w:tcPr>
          <w:p>
            <w:pPr>
              <w:jc w:val="center"/>
              <w:ind w:left="330"/>
              <w:spacing w:after="0"/>
              <w:rPr>
                <w:sz w:val="20"/>
                <w:szCs w:val="20"/>
                <w:color w:val="auto"/>
              </w:rPr>
            </w:pPr>
            <w:r>
              <w:rPr>
                <w:rFonts w:ascii="Arial" w:cs="Arial" w:eastAsia="Arial" w:hAnsi="Arial"/>
                <w:sz w:val="18"/>
                <w:szCs w:val="18"/>
                <w:color w:val="auto"/>
                <w:w w:val="85"/>
              </w:rPr>
              <w:t>State</w:t>
            </w:r>
          </w:p>
        </w:tc>
        <w:tc>
          <w:tcPr>
            <w:tcW w:w="1580" w:type="dxa"/>
            <w:vAlign w:val="bottom"/>
          </w:tcPr>
          <w:p>
            <w:pPr>
              <w:jc w:val="right"/>
              <w:ind w:right="310"/>
              <w:spacing w:after="0"/>
              <w:rPr>
                <w:sz w:val="20"/>
                <w:szCs w:val="20"/>
                <w:color w:val="auto"/>
              </w:rPr>
            </w:pPr>
            <w:r>
              <w:rPr>
                <w:rFonts w:ascii="Arial" w:cs="Arial" w:eastAsia="Arial" w:hAnsi="Arial"/>
                <w:sz w:val="18"/>
                <w:szCs w:val="18"/>
                <w:color w:val="auto"/>
              </w:rPr>
              <w:t>(in Line Miles)</w:t>
            </w:r>
          </w:p>
        </w:tc>
        <w:tc>
          <w:tcPr>
            <w:tcW w:w="1600" w:type="dxa"/>
            <w:vAlign w:val="bottom"/>
          </w:tcPr>
          <w:p>
            <w:pPr>
              <w:jc w:val="right"/>
              <w:ind w:right="210"/>
              <w:spacing w:after="0"/>
              <w:rPr>
                <w:sz w:val="20"/>
                <w:szCs w:val="20"/>
                <w:color w:val="auto"/>
              </w:rPr>
            </w:pPr>
            <w:r>
              <w:rPr>
                <w:rFonts w:ascii="Arial" w:cs="Arial" w:eastAsia="Arial" w:hAnsi="Arial"/>
                <w:sz w:val="18"/>
                <w:szCs w:val="18"/>
                <w:color w:val="auto"/>
              </w:rPr>
              <w:t>(in Line Miles)</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3080" w:type="dxa"/>
            <w:vAlign w:val="bottom"/>
            <w:tcBorders>
              <w:bottom w:val="single" w:sz="8" w:color="auto"/>
            </w:tcBorders>
          </w:tcPr>
          <w:p>
            <w:pPr>
              <w:spacing w:after="0"/>
              <w:rPr>
                <w:sz w:val="2"/>
                <w:szCs w:val="2"/>
                <w:color w:val="auto"/>
              </w:rPr>
            </w:pPr>
          </w:p>
        </w:tc>
        <w:tc>
          <w:tcPr>
            <w:tcW w:w="3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3940" w:type="dxa"/>
            <w:vAlign w:val="bottom"/>
            <w:tcBorders>
              <w:bottom w:val="single" w:sz="8" w:color="CEFFE7"/>
            </w:tcBorders>
            <w:gridSpan w:val="2"/>
            <w:shd w:val="clear" w:color="auto" w:fill="CEFFE7"/>
          </w:tcPr>
          <w:p>
            <w:pPr>
              <w:jc w:val="center"/>
              <w:ind w:left="310"/>
              <w:spacing w:after="0"/>
              <w:rPr>
                <w:sz w:val="20"/>
                <w:szCs w:val="20"/>
                <w:color w:val="auto"/>
              </w:rPr>
            </w:pPr>
            <w:r>
              <w:rPr>
                <w:rFonts w:ascii="Arial" w:cs="Arial" w:eastAsia="Arial" w:hAnsi="Arial"/>
                <w:sz w:val="18"/>
                <w:szCs w:val="18"/>
                <w:color w:val="auto"/>
                <w:w w:val="90"/>
              </w:rPr>
              <w:t>Colorado</w:t>
            </w:r>
          </w:p>
        </w:tc>
        <w:tc>
          <w:tcPr>
            <w:tcW w:w="15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598</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3,120</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South Dakota Electric</w:t>
            </w:r>
          </w:p>
        </w:tc>
        <w:tc>
          <w:tcPr>
            <w:tcW w:w="3940" w:type="dxa"/>
            <w:vAlign w:val="bottom"/>
            <w:gridSpan w:val="2"/>
          </w:tcPr>
          <w:p>
            <w:pPr>
              <w:jc w:val="center"/>
              <w:ind w:left="310"/>
              <w:spacing w:after="0"/>
              <w:rPr>
                <w:sz w:val="20"/>
                <w:szCs w:val="20"/>
                <w:color w:val="auto"/>
              </w:rPr>
            </w:pPr>
            <w:r>
              <w:rPr>
                <w:rFonts w:ascii="Arial" w:cs="Arial" w:eastAsia="Arial" w:hAnsi="Arial"/>
                <w:sz w:val="18"/>
                <w:szCs w:val="18"/>
                <w:color w:val="auto"/>
                <w:w w:val="91"/>
              </w:rPr>
              <w:t>South Dakota, Wyoming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1,219</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2,557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3080" w:type="dxa"/>
            <w:vAlign w:val="bottom"/>
          </w:tcPr>
          <w:p>
            <w:pPr>
              <w:spacing w:after="0"/>
              <w:rPr>
                <w:sz w:val="2"/>
                <w:szCs w:val="2"/>
                <w:color w:val="auto"/>
              </w:rPr>
            </w:pPr>
          </w:p>
        </w:tc>
        <w:tc>
          <w:tcPr>
            <w:tcW w:w="3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0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South Dakota Electric - Jointly Owned </w:t>
            </w:r>
            <w:r>
              <w:rPr>
                <w:rFonts w:ascii="Arial" w:cs="Arial" w:eastAsia="Arial" w:hAnsi="Arial"/>
                <w:sz w:val="25"/>
                <w:szCs w:val="25"/>
                <w:color w:val="auto"/>
                <w:vertAlign w:val="superscript"/>
              </w:rPr>
              <w:t>(a)</w:t>
            </w:r>
          </w:p>
        </w:tc>
        <w:tc>
          <w:tcPr>
            <w:tcW w:w="3940" w:type="dxa"/>
            <w:vAlign w:val="bottom"/>
            <w:gridSpan w:val="2"/>
            <w:shd w:val="clear" w:color="auto" w:fill="CEFFE7"/>
          </w:tcPr>
          <w:p>
            <w:pPr>
              <w:jc w:val="center"/>
              <w:ind w:left="310"/>
              <w:spacing w:after="0"/>
              <w:rPr>
                <w:sz w:val="20"/>
                <w:szCs w:val="20"/>
                <w:color w:val="auto"/>
              </w:rPr>
            </w:pPr>
            <w:r>
              <w:rPr>
                <w:rFonts w:ascii="Arial" w:cs="Arial" w:eastAsia="Arial" w:hAnsi="Arial"/>
                <w:sz w:val="18"/>
                <w:szCs w:val="18"/>
                <w:color w:val="auto"/>
                <w:w w:val="91"/>
              </w:rPr>
              <w:t>South Dakota, Wyoming</w:t>
            </w:r>
          </w:p>
        </w:tc>
        <w:tc>
          <w:tcPr>
            <w:tcW w:w="158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43</w:t>
            </w:r>
          </w:p>
        </w:tc>
        <w:tc>
          <w:tcPr>
            <w:tcW w:w="16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00" w:type="dxa"/>
            <w:vAlign w:val="bottom"/>
            <w:gridSpan w:val="2"/>
          </w:tcPr>
          <w:p>
            <w:pPr>
              <w:ind w:left="40"/>
              <w:spacing w:after="0"/>
              <w:rPr>
                <w:sz w:val="20"/>
                <w:szCs w:val="20"/>
                <w:color w:val="auto"/>
              </w:rPr>
            </w:pPr>
            <w:r>
              <w:rPr>
                <w:rFonts w:ascii="Arial" w:cs="Arial" w:eastAsia="Arial" w:hAnsi="Arial"/>
                <w:sz w:val="18"/>
                <w:szCs w:val="18"/>
                <w:color w:val="auto"/>
              </w:rPr>
              <w:t>Wyoming Electric</w:t>
            </w:r>
          </w:p>
        </w:tc>
        <w:tc>
          <w:tcPr>
            <w:tcW w:w="3940" w:type="dxa"/>
            <w:vAlign w:val="bottom"/>
            <w:gridSpan w:val="2"/>
          </w:tcPr>
          <w:p>
            <w:pPr>
              <w:jc w:val="center"/>
              <w:ind w:left="310"/>
              <w:spacing w:after="0"/>
              <w:rPr>
                <w:sz w:val="20"/>
                <w:szCs w:val="20"/>
                <w:color w:val="auto"/>
              </w:rPr>
            </w:pPr>
            <w:r>
              <w:rPr>
                <w:rFonts w:ascii="Arial" w:cs="Arial" w:eastAsia="Arial" w:hAnsi="Arial"/>
                <w:sz w:val="18"/>
                <w:szCs w:val="18"/>
                <w:color w:val="auto"/>
                <w:w w:val="93"/>
              </w:rPr>
              <w:t>Wyoming</w:t>
            </w:r>
          </w:p>
        </w:tc>
        <w:tc>
          <w:tcPr>
            <w:tcW w:w="158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1,306</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3080" w:type="dxa"/>
            <w:vAlign w:val="bottom"/>
            <w:tcBorders>
              <w:bottom w:val="single" w:sz="8" w:color="CEFFE7"/>
            </w:tcBorders>
          </w:tcPr>
          <w:p>
            <w:pPr>
              <w:spacing w:after="0"/>
              <w:rPr>
                <w:sz w:val="2"/>
                <w:szCs w:val="2"/>
                <w:color w:val="auto"/>
              </w:rPr>
            </w:pPr>
          </w:p>
        </w:tc>
        <w:tc>
          <w:tcPr>
            <w:tcW w:w="37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1220" w:type="dxa"/>
            <w:vAlign w:val="bottom"/>
            <w:tcBorders>
              <w:bottom w:val="single" w:sz="8" w:color="CEFFE7"/>
            </w:tcBorders>
            <w:shd w:val="clear" w:color="auto" w:fill="CEFFE7"/>
          </w:tcPr>
          <w:p>
            <w:pPr>
              <w:spacing w:after="0"/>
              <w:rPr>
                <w:sz w:val="22"/>
                <w:szCs w:val="22"/>
                <w:color w:val="auto"/>
              </w:rPr>
            </w:pPr>
          </w:p>
        </w:tc>
        <w:tc>
          <w:tcPr>
            <w:tcW w:w="3080" w:type="dxa"/>
            <w:vAlign w:val="bottom"/>
            <w:tcBorders>
              <w:bottom w:val="single" w:sz="8" w:color="CEFFE7"/>
            </w:tcBorders>
            <w:shd w:val="clear" w:color="auto" w:fill="CEFFE7"/>
          </w:tcPr>
          <w:p>
            <w:pPr>
              <w:spacing w:after="0"/>
              <w:rPr>
                <w:sz w:val="22"/>
                <w:szCs w:val="22"/>
                <w:color w:val="auto"/>
              </w:rPr>
            </w:pPr>
          </w:p>
        </w:tc>
        <w:tc>
          <w:tcPr>
            <w:tcW w:w="372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1,909</w:t>
            </w:r>
          </w:p>
        </w:tc>
        <w:tc>
          <w:tcPr>
            <w:tcW w:w="16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6,983</w:t>
            </w:r>
          </w:p>
        </w:tc>
        <w:tc>
          <w:tcPr>
            <w:tcW w:w="0" w:type="dxa"/>
            <w:vAlign w:val="bottom"/>
          </w:tcPr>
          <w:p>
            <w:pPr>
              <w:spacing w:after="0"/>
              <w:rPr>
                <w:sz w:val="1"/>
                <w:szCs w:val="1"/>
                <w:color w:val="auto"/>
              </w:rPr>
            </w:pPr>
          </w:p>
        </w:tc>
      </w:tr>
      <w:tr>
        <w:trPr>
          <w:trHeight w:val="20"/>
        </w:trPr>
        <w:tc>
          <w:tcPr>
            <w:tcW w:w="4300" w:type="dxa"/>
            <w:vAlign w:val="bottom"/>
            <w:tcBorders>
              <w:top w:val="single" w:sz="8" w:color="CEFFE7"/>
              <w:bottom w:val="single" w:sz="8" w:color="CEFFE7"/>
            </w:tcBorders>
            <w:gridSpan w:val="2"/>
            <w:vMerge w:val="restart"/>
          </w:tcPr>
          <w:p>
            <w:pPr>
              <w:spacing w:after="0"/>
              <w:rPr>
                <w:sz w:val="20"/>
                <w:szCs w:val="20"/>
                <w:color w:val="auto"/>
              </w:rPr>
            </w:pPr>
            <w:r>
              <w:rPr>
                <w:rFonts w:ascii="Arial" w:cs="Arial" w:eastAsia="Arial" w:hAnsi="Arial"/>
                <w:sz w:val="16"/>
                <w:szCs w:val="16"/>
                <w:color w:val="auto"/>
              </w:rPr>
              <w:t>__________________________</w:t>
            </w:r>
          </w:p>
        </w:tc>
        <w:tc>
          <w:tcPr>
            <w:tcW w:w="3720" w:type="dxa"/>
            <w:vAlign w:val="bottom"/>
            <w:tcBorders>
              <w:top w:val="single" w:sz="8" w:color="CEFFE7"/>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300" w:type="dxa"/>
            <w:vAlign w:val="bottom"/>
            <w:gridSpan w:val="2"/>
            <w:vMerge w:val="continue"/>
          </w:tcPr>
          <w:p>
            <w:pPr>
              <w:spacing w:after="0"/>
              <w:rPr>
                <w:sz w:val="15"/>
                <w:szCs w:val="15"/>
                <w:color w:val="auto"/>
              </w:rPr>
            </w:pPr>
          </w:p>
        </w:tc>
        <w:tc>
          <w:tcPr>
            <w:tcW w:w="37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line="248"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color w:val="auto"/>
        </w:rPr>
        <w:t xml:space="preserve">South Dakota Electric owns 35% of a DC transmission tie that interconnects the Western and Eastern transmission grids, which are independently-operated transmission grids serving the western and eastern United States, respectively. This transmission tie allows us to buy and sell energy in the Eastern grid without having to isolate and physically reconnect load or generation between the two transmission grids, thus enhancing the reliability of our system. It accommodates scheduling transactions in both directions simultaneously, provides additional opportunities to sell excess generation or to make economic purchases to serve our native load and contract obligations, and enables us to take advantage of power price differentials between the two grids. See </w:t>
      </w:r>
      <w:hyperlink w:anchor="page97">
        <w:r>
          <w:rPr>
            <w:rFonts w:ascii="Arial" w:cs="Arial" w:eastAsia="Arial" w:hAnsi="Arial"/>
            <w:sz w:val="16"/>
            <w:szCs w:val="16"/>
            <w:u w:val="single" w:color="auto"/>
            <w:color w:val="0000EE"/>
          </w:rPr>
          <w:t>Note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for additional information.</w:t>
      </w:r>
    </w:p>
    <w:p>
      <w:pPr>
        <w:spacing w:after="0" w:line="191" w:lineRule="exact"/>
        <w:rPr>
          <w:sz w:val="20"/>
          <w:szCs w:val="20"/>
          <w:color w:val="auto"/>
        </w:rPr>
      </w:pPr>
    </w:p>
    <w:p>
      <w:pPr>
        <w:ind w:right="1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Material contracts are disclosed in </w:t>
      </w:r>
      <w:hyperlink w:anchor="page1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Additional contracts disclosed below are also key to allowing us to serve our customer load:</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Colorado Electric is party to a joint dispatch agreement with PSCo and PRPA. This FERC-approved agreement, effective in 2017, is structured to allow PSCo, as administrator, to receive load and generation bid information for all three parties and, on an intra-hour basis, serve the combined utility load utilizing the combined bid generating resources on a least-cost basis. In other words, if one party has excess generation at a lower cost than another party’s generation, the administrator will increase dispatch of the lower-cost generation and decrease dispatch of the higher-cost generation. This results in lower energy costs to customers through more efficient dispatch of low-cost generating resources. Under the agreement, Colorado Electric retains the ability to participate or not participate in the joint dispatch at its discretion.</w:t>
      </w:r>
    </w:p>
    <w:p>
      <w:pPr>
        <w:spacing w:after="0" w:line="19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South Dakota Electric has firm network transmission access to deliver power on PacifiCorp’s system to Sheridan, Wyoming, to serve our power sales contract with MDU through December 31, 2023, with the right to renew pursuant to the terms of PacifiCorp’s transmission tariff.</w:t>
      </w:r>
    </w:p>
    <w:p>
      <w:pPr>
        <w:spacing w:after="0" w:line="17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Wyoming Electric has a firm network transmission agreement with Western Area Power Administration’s Loveland Area Project that allows us to serve our existing load in Cheyenne, Wyoming.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Electric Utilities have the following material operating agreements:</w:t>
      </w:r>
    </w:p>
    <w:p>
      <w:pPr>
        <w:spacing w:after="0" w:line="225"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Shared Services Agreements -</w:t>
      </w:r>
    </w:p>
    <w:p>
      <w:pPr>
        <w:spacing w:after="0" w:line="225" w:lineRule="exact"/>
        <w:rPr>
          <w:rFonts w:ascii="Arial" w:cs="Arial" w:eastAsia="Arial" w:hAnsi="Arial"/>
          <w:sz w:val="18"/>
          <w:szCs w:val="18"/>
          <w:color w:val="auto"/>
        </w:rPr>
      </w:pPr>
    </w:p>
    <w:p>
      <w:pPr>
        <w:ind w:left="1300" w:right="38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is charged for the use of assets located at the Gillette, Wyoming energy complex by the affiliate entity.</w:t>
      </w:r>
    </w:p>
    <w:p>
      <w:pPr>
        <w:spacing w:after="0" w:line="170" w:lineRule="exact"/>
        <w:rPr>
          <w:rFonts w:ascii="Arial" w:cs="Arial" w:eastAsia="Arial" w:hAnsi="Arial"/>
          <w:sz w:val="18"/>
          <w:szCs w:val="18"/>
          <w:color w:val="auto"/>
        </w:rPr>
      </w:pPr>
    </w:p>
    <w:p>
      <w:pPr>
        <w:ind w:left="1300" w:right="120" w:hanging="320"/>
        <w:spacing w:after="0" w:line="277" w:lineRule="auto"/>
        <w:tabs>
          <w:tab w:leader="none" w:pos="1300" w:val="left"/>
        </w:tabs>
        <w:numPr>
          <w:ilvl w:val="1"/>
          <w:numId w:val="7"/>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also parties to a facility fee agreement, whereby Colorado Electric charges Black Hills Colorado IPP for the use of Colorado Electric assets.</w:t>
      </w:r>
    </w:p>
    <w:p>
      <w:pPr>
        <w:spacing w:after="0" w:line="170" w:lineRule="exact"/>
        <w:rPr>
          <w:rFonts w:ascii="Arial" w:cs="Arial" w:eastAsia="Arial" w:hAnsi="Arial"/>
          <w:sz w:val="18"/>
          <w:szCs w:val="18"/>
          <w:color w:val="auto"/>
        </w:rPr>
      </w:pPr>
    </w:p>
    <w:p>
      <w:pPr>
        <w:ind w:left="1300" w:right="300" w:hanging="320"/>
        <w:spacing w:after="0" w:line="342" w:lineRule="auto"/>
        <w:tabs>
          <w:tab w:leader="none" w:pos="1300" w:val="left"/>
        </w:tabs>
        <w:numPr>
          <w:ilvl w:val="1"/>
          <w:numId w:val="7"/>
        </w:numPr>
        <w:rPr>
          <w:rFonts w:ascii="Arial" w:cs="Arial" w:eastAsia="Arial" w:hAnsi="Arial"/>
          <w:sz w:val="16"/>
          <w:szCs w:val="16"/>
          <w:color w:val="auto"/>
        </w:rPr>
      </w:pPr>
      <w:r>
        <w:rPr>
          <w:rFonts w:ascii="Arial" w:cs="Arial" w:eastAsia="Arial" w:hAnsi="Arial"/>
          <w:sz w:val="16"/>
          <w:szCs w:val="16"/>
          <w:color w:val="auto"/>
        </w:rPr>
        <w:t>South Dakota Electric and BHSC are parties to a shared facilities agreement, whereby BHSC is charged for the use of the Horizon Point facility that is owned by South Dakota Electric and BHSC provides certain operations and maintenance services at the facility.</w:t>
      </w:r>
    </w:p>
    <w:p>
      <w:pPr>
        <w:spacing w:after="0" w:line="123" w:lineRule="exact"/>
        <w:rPr>
          <w:rFonts w:ascii="Arial" w:cs="Arial" w:eastAsia="Arial" w:hAnsi="Arial"/>
          <w:sz w:val="16"/>
          <w:szCs w:val="16"/>
          <w:color w:val="auto"/>
        </w:rPr>
      </w:pPr>
    </w:p>
    <w:p>
      <w:pPr>
        <w:ind w:left="1300" w:hanging="320"/>
        <w:spacing w:after="0"/>
        <w:tabs>
          <w:tab w:leader="none" w:pos="1300" w:val="left"/>
        </w:tabs>
        <w:numPr>
          <w:ilvl w:val="1"/>
          <w:numId w:val="7"/>
        </w:numPr>
        <w:rPr>
          <w:rFonts w:ascii="Arial" w:cs="Arial" w:eastAsia="Arial" w:hAnsi="Arial"/>
          <w:sz w:val="17"/>
          <w:szCs w:val="17"/>
          <w:color w:val="auto"/>
        </w:rPr>
      </w:pPr>
      <w:r>
        <w:rPr>
          <w:rFonts w:ascii="Arial" w:cs="Arial" w:eastAsia="Arial" w:hAnsi="Arial"/>
          <w:sz w:val="17"/>
          <w:szCs w:val="17"/>
          <w:color w:val="auto"/>
        </w:rPr>
        <w:t>South Dakota Electric and Wyoming Electric receive certain staffing and management services from BHSC for Cheyenne Prairie.</w:t>
      </w:r>
    </w:p>
    <w:p>
      <w:pPr>
        <w:spacing w:after="0" w:line="236" w:lineRule="exact"/>
        <w:rPr>
          <w:rFonts w:ascii="Arial" w:cs="Arial" w:eastAsia="Arial" w:hAnsi="Arial"/>
          <w:sz w:val="17"/>
          <w:szCs w:val="17"/>
          <w:color w:val="auto"/>
        </w:rPr>
      </w:pPr>
    </w:p>
    <w:p>
      <w:pPr>
        <w:ind w:left="660" w:right="24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Jointly Owned Facilities agreements are discussed in </w:t>
      </w:r>
      <w:hyperlink w:anchor="page97">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b w:val="1"/>
          <w:bCs w:val="1"/>
          <w:i w:val="1"/>
          <w:iCs w:val="1"/>
          <w:color w:val="auto"/>
        </w:rPr>
        <w:t xml:space="preserve">Seasonal Variations of Business. </w:t>
      </w:r>
      <w:r>
        <w:rPr>
          <w:rFonts w:ascii="Arial" w:cs="Arial" w:eastAsia="Arial" w:hAnsi="Arial"/>
          <w:sz w:val="18"/>
          <w:szCs w:val="18"/>
          <w:color w:val="auto"/>
        </w:rPr>
        <w:t>Our Electric Utilities are seasonal businesses and weather patterns may impact their operating performance. Demand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electricity is sensitive to seasonal cooling, heating and industrial load requirements, as well as market price. In particular, demand is often greater in the summer and winter months for cooling and heating, respectively.</w:t>
      </w:r>
    </w:p>
    <w:p>
      <w:pPr>
        <w:spacing w:after="0" w:line="18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We generally have limited competition for the retail generation and distribution of electricity in our service areas. Various legislative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regulatory restructuring and competitive initiatives have been discussed in several of the states in which our utilities operate. These initiatives would be aimed at increasing competition or providing for distributed generation. To date, these initiatives have not had a material impact on our utilities. In Colorado, our electric utility is subject to rules which may require competitive bidding for generation supply. Because of these rules, we face competition from other utilities and non-affiliated independent power producers for the right to provide electric energy and capacity for Colorado Electric when resource plans require additional resources.</w:t>
      </w:r>
    </w:p>
    <w:p>
      <w:pPr>
        <w:spacing w:after="0" w:line="193"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b w:val="1"/>
          <w:bCs w:val="1"/>
          <w:i w:val="1"/>
          <w:iCs w:val="1"/>
          <w:color w:val="auto"/>
        </w:rPr>
        <w:t xml:space="preserve">Rates and Regulation. </w:t>
      </w:r>
      <w:r>
        <w:rPr>
          <w:rFonts w:ascii="Arial" w:cs="Arial" w:eastAsia="Arial" w:hAnsi="Arial"/>
          <w:sz w:val="16"/>
          <w:szCs w:val="16"/>
          <w:color w:val="auto"/>
        </w:rPr>
        <w:t>Our Electric Utilities are subject to the jurisdiction of the public utilities commissions in the states where they operate and the FERC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certain assets. These commissions 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 The following table provides regulatory information for each of our Electric Utilities: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9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2"/>
              </w:rPr>
              <w:t>Authorized Rate</w:t>
            </w:r>
          </w:p>
        </w:tc>
        <w:tc>
          <w:tcPr>
            <w:tcW w:w="78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400" w:type="dxa"/>
            <w:vAlign w:val="bottom"/>
          </w:tcPr>
          <w:p>
            <w:pPr>
              <w:jc w:val="center"/>
              <w:spacing w:after="0"/>
              <w:rPr>
                <w:sz w:val="20"/>
                <w:szCs w:val="20"/>
                <w:color w:val="auto"/>
              </w:rPr>
            </w:pPr>
            <w:r>
              <w:rPr>
                <w:rFonts w:ascii="Arial" w:cs="Arial" w:eastAsia="Arial" w:hAnsi="Arial"/>
                <w:sz w:val="14"/>
                <w:szCs w:val="14"/>
                <w:color w:val="auto"/>
                <w:w w:val="91"/>
              </w:rPr>
              <w:t>Percentage of Power</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820" w:type="dxa"/>
            <w:vAlign w:val="bottom"/>
            <w:vMerge w:val="restart"/>
          </w:tcPr>
          <w:p>
            <w:pPr>
              <w:ind w:left="180"/>
              <w:spacing w:after="0"/>
              <w:rPr>
                <w:sz w:val="20"/>
                <w:szCs w:val="20"/>
                <w:color w:val="auto"/>
              </w:rPr>
            </w:pPr>
            <w:r>
              <w:rPr>
                <w:rFonts w:ascii="Arial" w:cs="Arial" w:eastAsia="Arial" w:hAnsi="Arial"/>
                <w:sz w:val="16"/>
                <w:szCs w:val="16"/>
                <w:color w:val="auto"/>
              </w:rPr>
              <w:t>Jurisdic-</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2"/>
              </w:rPr>
              <w:t>Rate of Return</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93"/>
              </w:rPr>
              <w:t>Return on</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1"/>
              </w:rPr>
              <w:t>Base (in</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94"/>
              </w:rPr>
              <w:t>Effective</w:t>
            </w:r>
          </w:p>
        </w:tc>
        <w:tc>
          <w:tcPr>
            <w:tcW w:w="2880" w:type="dxa"/>
            <w:vAlign w:val="bottom"/>
          </w:tcPr>
          <w:p>
            <w:pPr>
              <w:spacing w:after="0"/>
              <w:rPr>
                <w:sz w:val="12"/>
                <w:szCs w:val="12"/>
                <w:color w:val="auto"/>
              </w:rPr>
            </w:pPr>
          </w:p>
        </w:tc>
        <w:tc>
          <w:tcPr>
            <w:tcW w:w="1400" w:type="dxa"/>
            <w:vAlign w:val="bottom"/>
          </w:tcPr>
          <w:p>
            <w:pPr>
              <w:jc w:val="center"/>
              <w:spacing w:after="0" w:line="143" w:lineRule="exact"/>
              <w:rPr>
                <w:sz w:val="20"/>
                <w:szCs w:val="20"/>
                <w:color w:val="auto"/>
              </w:rPr>
            </w:pPr>
            <w:r>
              <w:rPr>
                <w:rFonts w:ascii="Arial" w:cs="Arial" w:eastAsia="Arial" w:hAnsi="Arial"/>
                <w:sz w:val="14"/>
                <w:szCs w:val="14"/>
                <w:color w:val="auto"/>
                <w:w w:val="97"/>
              </w:rPr>
              <w:t>Marketing Profit</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98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90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2880" w:type="dxa"/>
            <w:vAlign w:val="bottom"/>
          </w:tcPr>
          <w:p>
            <w:pPr>
              <w:spacing w:after="0"/>
              <w:rPr>
                <w:sz w:val="8"/>
                <w:szCs w:val="8"/>
                <w:color w:val="auto"/>
              </w:rPr>
            </w:pPr>
          </w:p>
        </w:tc>
        <w:tc>
          <w:tcPr>
            <w:tcW w:w="1400" w:type="dxa"/>
            <w:vAlign w:val="bottom"/>
            <w:vMerge w:val="restart"/>
          </w:tcPr>
          <w:p>
            <w:pPr>
              <w:jc w:val="center"/>
              <w:spacing w:after="0" w:line="149" w:lineRule="exact"/>
              <w:rPr>
                <w:sz w:val="20"/>
                <w:szCs w:val="20"/>
                <w:color w:val="auto"/>
              </w:rPr>
            </w:pPr>
            <w:r>
              <w:rPr>
                <w:rFonts w:ascii="Arial" w:cs="Arial" w:eastAsia="Arial" w:hAnsi="Arial"/>
                <w:sz w:val="14"/>
                <w:szCs w:val="14"/>
                <w:color w:val="auto"/>
                <w:w w:val="91"/>
              </w:rPr>
              <w:t>Shared with</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980" w:type="dxa"/>
            <w:vAlign w:val="bottom"/>
            <w:vMerge w:val="restart"/>
          </w:tcPr>
          <w:p>
            <w:pPr>
              <w:ind w:left="160"/>
              <w:spacing w:after="0"/>
              <w:rPr>
                <w:sz w:val="20"/>
                <w:szCs w:val="20"/>
                <w:color w:val="auto"/>
              </w:rPr>
            </w:pPr>
            <w:r>
              <w:rPr>
                <w:rFonts w:ascii="Arial" w:cs="Arial" w:eastAsia="Arial" w:hAnsi="Arial"/>
                <w:sz w:val="16"/>
                <w:szCs w:val="16"/>
                <w:color w:val="auto"/>
              </w:rPr>
              <w:t>Subsidiary</w:t>
            </w:r>
          </w:p>
        </w:tc>
        <w:tc>
          <w:tcPr>
            <w:tcW w:w="820" w:type="dxa"/>
            <w:vAlign w:val="bottom"/>
            <w:vMerge w:val="restart"/>
          </w:tcPr>
          <w:p>
            <w:pPr>
              <w:ind w:left="320"/>
              <w:spacing w:after="0"/>
              <w:rPr>
                <w:sz w:val="20"/>
                <w:szCs w:val="20"/>
                <w:color w:val="auto"/>
              </w:rPr>
            </w:pPr>
            <w:r>
              <w:rPr>
                <w:rFonts w:ascii="Arial" w:cs="Arial" w:eastAsia="Arial" w:hAnsi="Arial"/>
                <w:sz w:val="16"/>
                <w:szCs w:val="16"/>
                <w:color w:val="auto"/>
              </w:rPr>
              <w:t>tion</w:t>
            </w:r>
          </w:p>
        </w:tc>
        <w:tc>
          <w:tcPr>
            <w:tcW w:w="1140" w:type="dxa"/>
            <w:vAlign w:val="bottom"/>
            <w:vMerge w:val="restart"/>
          </w:tcPr>
          <w:p>
            <w:pPr>
              <w:jc w:val="center"/>
              <w:spacing w:after="0"/>
              <w:rPr>
                <w:sz w:val="20"/>
                <w:szCs w:val="20"/>
                <w:color w:val="auto"/>
              </w:rPr>
            </w:pPr>
            <w:r>
              <w:rPr>
                <w:rFonts w:ascii="Arial" w:cs="Arial" w:eastAsia="Arial" w:hAnsi="Arial"/>
                <w:sz w:val="16"/>
                <w:szCs w:val="16"/>
                <w:color w:val="auto"/>
                <w:w w:val="95"/>
              </w:rPr>
              <w:t>on Equity</w:t>
            </w:r>
          </w:p>
        </w:tc>
        <w:tc>
          <w:tcPr>
            <w:tcW w:w="900" w:type="dxa"/>
            <w:vAlign w:val="bottom"/>
            <w:vMerge w:val="restart"/>
          </w:tcPr>
          <w:p>
            <w:pPr>
              <w:jc w:val="center"/>
              <w:spacing w:after="0"/>
              <w:rPr>
                <w:sz w:val="20"/>
                <w:szCs w:val="20"/>
                <w:color w:val="auto"/>
              </w:rPr>
            </w:pPr>
            <w:r>
              <w:rPr>
                <w:rFonts w:ascii="Arial" w:cs="Arial" w:eastAsia="Arial" w:hAnsi="Arial"/>
                <w:sz w:val="16"/>
                <w:szCs w:val="16"/>
                <w:color w:val="auto"/>
                <w:w w:val="88"/>
              </w:rPr>
              <w:t>Rate Base</w:t>
            </w:r>
          </w:p>
        </w:tc>
        <w:tc>
          <w:tcPr>
            <w:tcW w:w="1300" w:type="dxa"/>
            <w:vAlign w:val="bottom"/>
            <w:vMerge w:val="restart"/>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vMerge w:val="restart"/>
          </w:tcPr>
          <w:p>
            <w:pPr>
              <w:jc w:val="center"/>
              <w:spacing w:after="0"/>
              <w:rPr>
                <w:sz w:val="20"/>
                <w:szCs w:val="20"/>
                <w:color w:val="auto"/>
              </w:rPr>
            </w:pPr>
            <w:r>
              <w:rPr>
                <w:rFonts w:ascii="Arial" w:cs="Arial" w:eastAsia="Arial" w:hAnsi="Arial"/>
                <w:sz w:val="16"/>
                <w:szCs w:val="16"/>
                <w:color w:val="auto"/>
                <w:w w:val="98"/>
              </w:rPr>
              <w:t>millions)</w:t>
            </w:r>
          </w:p>
        </w:tc>
        <w:tc>
          <w:tcPr>
            <w:tcW w:w="780" w:type="dxa"/>
            <w:vAlign w:val="bottom"/>
            <w:vMerge w:val="restart"/>
          </w:tcPr>
          <w:p>
            <w:pPr>
              <w:jc w:val="center"/>
              <w:spacing w:after="0"/>
              <w:rPr>
                <w:sz w:val="20"/>
                <w:szCs w:val="20"/>
                <w:color w:val="auto"/>
              </w:rPr>
            </w:pPr>
            <w:r>
              <w:rPr>
                <w:rFonts w:ascii="Arial" w:cs="Arial" w:eastAsia="Arial" w:hAnsi="Arial"/>
                <w:sz w:val="16"/>
                <w:szCs w:val="16"/>
                <w:color w:val="auto"/>
                <w:w w:val="88"/>
              </w:rPr>
              <w:t>Date</w:t>
            </w:r>
          </w:p>
        </w:tc>
        <w:tc>
          <w:tcPr>
            <w:tcW w:w="2880" w:type="dxa"/>
            <w:vAlign w:val="bottom"/>
            <w:vMerge w:val="restart"/>
          </w:tcPr>
          <w:p>
            <w:pPr>
              <w:ind w:left="440"/>
              <w:spacing w:after="0"/>
              <w:rPr>
                <w:sz w:val="20"/>
                <w:szCs w:val="20"/>
                <w:color w:val="auto"/>
              </w:rPr>
            </w:pPr>
            <w:r>
              <w:rPr>
                <w:rFonts w:ascii="Arial" w:cs="Arial" w:eastAsia="Arial" w:hAnsi="Arial"/>
                <w:sz w:val="16"/>
                <w:szCs w:val="16"/>
                <w:color w:val="auto"/>
              </w:rPr>
              <w:t>Additional Tariffed Mechanisms</w:t>
            </w:r>
          </w:p>
        </w:tc>
        <w:tc>
          <w:tcPr>
            <w:tcW w:w="140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20" w:type="dxa"/>
            <w:vAlign w:val="bottom"/>
            <w:tcBorders>
              <w:bottom w:val="single" w:sz="8" w:color="auto"/>
            </w:tcBorders>
            <w:vMerge w:val="continue"/>
          </w:tcPr>
          <w:p>
            <w:pPr>
              <w:spacing w:after="0"/>
              <w:rPr>
                <w:sz w:val="16"/>
                <w:szCs w:val="16"/>
                <w:color w:val="auto"/>
              </w:rPr>
            </w:pPr>
          </w:p>
        </w:tc>
        <w:tc>
          <w:tcPr>
            <w:tcW w:w="1140" w:type="dxa"/>
            <w:vAlign w:val="bottom"/>
            <w:tcBorders>
              <w:bottom w:val="single" w:sz="8" w:color="auto"/>
            </w:tcBorders>
            <w:vMerge w:val="continue"/>
          </w:tcPr>
          <w:p>
            <w:pPr>
              <w:spacing w:after="0"/>
              <w:rPr>
                <w:sz w:val="16"/>
                <w:szCs w:val="16"/>
                <w:color w:val="auto"/>
              </w:rPr>
            </w:pPr>
          </w:p>
        </w:tc>
        <w:tc>
          <w:tcPr>
            <w:tcW w:w="900" w:type="dxa"/>
            <w:vAlign w:val="bottom"/>
            <w:tcBorders>
              <w:bottom w:val="single" w:sz="8" w:color="auto"/>
            </w:tcBorders>
            <w:vMerge w:val="continue"/>
          </w:tcPr>
          <w:p>
            <w:pPr>
              <w:spacing w:after="0"/>
              <w:rPr>
                <w:sz w:val="16"/>
                <w:szCs w:val="16"/>
                <w:color w:val="auto"/>
              </w:rPr>
            </w:pPr>
          </w:p>
        </w:tc>
        <w:tc>
          <w:tcPr>
            <w:tcW w:w="1300" w:type="dxa"/>
            <w:vAlign w:val="bottom"/>
            <w:tcBorders>
              <w:bottom w:val="single" w:sz="8" w:color="auto"/>
            </w:tcBorders>
            <w:vMerge w:val="continue"/>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780" w:type="dxa"/>
            <w:vAlign w:val="bottom"/>
            <w:tcBorders>
              <w:bottom w:val="single" w:sz="8" w:color="auto"/>
            </w:tcBorders>
            <w:vMerge w:val="continue"/>
          </w:tcPr>
          <w:p>
            <w:pPr>
              <w:spacing w:after="0"/>
              <w:rPr>
                <w:sz w:val="16"/>
                <w:szCs w:val="16"/>
                <w:color w:val="auto"/>
              </w:rPr>
            </w:pPr>
          </w:p>
        </w:tc>
        <w:tc>
          <w:tcPr>
            <w:tcW w:w="2880" w:type="dxa"/>
            <w:vAlign w:val="bottom"/>
            <w:tcBorders>
              <w:bottom w:val="single" w:sz="8" w:color="auto"/>
            </w:tcBorders>
            <w:vMerge w:val="continue"/>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8"/>
              </w:rPr>
              <w:t>Customers</w:t>
            </w: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Colorado</w:t>
            </w: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7.43%</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47.6%/52.4%</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$539.6</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ECA, TCA, PCCA, Energy Efficiency</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90%</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shd w:val="clear" w:color="auto" w:fill="CEFFE7"/>
          </w:tcPr>
          <w:p>
            <w:pPr>
              <w:ind w:left="20"/>
              <w:spacing w:after="0"/>
              <w:rPr>
                <w:sz w:val="20"/>
                <w:szCs w:val="20"/>
                <w:color w:val="auto"/>
              </w:rPr>
            </w:pPr>
            <w:r>
              <w:rPr>
                <w:rFonts w:ascii="Arial" w:cs="Arial" w:eastAsia="Arial" w:hAnsi="Arial"/>
                <w:sz w:val="16"/>
                <w:szCs w:val="16"/>
                <w:color w:val="auto"/>
              </w:rPr>
              <w:t>Electric</w:t>
            </w:r>
          </w:p>
        </w:tc>
        <w:tc>
          <w:tcPr>
            <w:tcW w:w="82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0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5"/>
              </w:rPr>
              <w:t>Cost Recovery/DSM, Renewable Energy</w:t>
            </w:r>
          </w:p>
        </w:tc>
        <w:tc>
          <w:tcPr>
            <w:tcW w:w="140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Standard Adjustment</w:t>
            </w:r>
          </w:p>
        </w:tc>
        <w:tc>
          <w:tcPr>
            <w:tcW w:w="14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9.37%</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6.02%</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67.3%/32.7%</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$57.9</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1/2017</w:t>
            </w:r>
          </w:p>
        </w:tc>
        <w:tc>
          <w:tcPr>
            <w:tcW w:w="2880" w:type="dxa"/>
            <w:vAlign w:val="bottom"/>
          </w:tcPr>
          <w:p>
            <w:pPr>
              <w:ind w:left="100"/>
              <w:spacing w:after="0"/>
              <w:rPr>
                <w:sz w:val="20"/>
                <w:szCs w:val="20"/>
                <w:color w:val="auto"/>
              </w:rPr>
            </w:pPr>
            <w:r>
              <w:rPr>
                <w:rFonts w:ascii="Arial" w:cs="Arial" w:eastAsia="Arial" w:hAnsi="Arial"/>
                <w:sz w:val="16"/>
                <w:szCs w:val="16"/>
                <w:color w:val="auto"/>
              </w:rPr>
              <w:t>Clean Air Clean Jobs Act Adjustment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Rider</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shd w:val="clear" w:color="auto" w:fill="CEFFE7"/>
          </w:tcPr>
          <w:p>
            <w:pPr>
              <w:ind w:left="20"/>
              <w:spacing w:after="0"/>
              <w:rPr>
                <w:sz w:val="20"/>
                <w:szCs w:val="20"/>
                <w:color w:val="auto"/>
              </w:rPr>
            </w:pPr>
            <w:r>
              <w:rPr>
                <w:rFonts w:ascii="Arial" w:cs="Arial" w:eastAsia="Arial" w:hAnsi="Arial"/>
                <w:sz w:val="16"/>
                <w:szCs w:val="16"/>
                <w:color w:val="auto"/>
                <w:w w:val="96"/>
              </w:rPr>
              <w:t>South Dakota</w:t>
            </w: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8.13%</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46.7%/53.3%</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$46.8</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ECA</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65%</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Electric</w:t>
            </w:r>
          </w:p>
        </w:tc>
        <w:tc>
          <w:tcPr>
            <w:tcW w:w="82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0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spacing w:after="0"/>
              <w:rPr>
                <w:sz w:val="19"/>
                <w:szCs w:val="19"/>
                <w:color w:val="auto"/>
              </w:rPr>
            </w:pPr>
          </w:p>
        </w:tc>
        <w:tc>
          <w:tcPr>
            <w:tcW w:w="2880" w:type="dxa"/>
            <w:vAlign w:val="bottom"/>
            <w:tcBorders>
              <w:bottom w:val="single" w:sz="8" w:color="CEFFE7"/>
            </w:tcBorders>
            <w:shd w:val="clear" w:color="auto" w:fill="CEFFE7"/>
          </w:tcPr>
          <w:p>
            <w:pPr>
              <w:spacing w:after="0"/>
              <w:rPr>
                <w:sz w:val="19"/>
                <w:szCs w:val="19"/>
                <w:color w:val="auto"/>
              </w:rPr>
            </w:pPr>
          </w:p>
        </w:tc>
        <w:tc>
          <w:tcPr>
            <w:tcW w:w="1400" w:type="dxa"/>
            <w:vAlign w:val="bottom"/>
            <w:tcBorders>
              <w:bottom w:val="single" w:sz="8" w:color="CEFFE7"/>
            </w:tcBorders>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ind w:left="80"/>
              <w:spacing w:after="0"/>
              <w:rPr>
                <w:sz w:val="20"/>
                <w:szCs w:val="20"/>
                <w:color w:val="auto"/>
              </w:rPr>
            </w:pPr>
            <w:r>
              <w:rPr>
                <w:rFonts w:ascii="Arial" w:cs="Arial" w:eastAsia="Arial" w:hAnsi="Arial"/>
                <w:sz w:val="16"/>
                <w:szCs w:val="16"/>
                <w:color w:val="auto"/>
              </w:rPr>
              <w:t>SD</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7.76%</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$543.9</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ECA,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w w:val="93"/>
              </w:rPr>
              <w:t>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Recovery/DSM, TFA, EIA</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820" w:type="dxa"/>
            <w:vAlign w:val="bottom"/>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10.8%</w:t>
            </w:r>
          </w:p>
        </w:tc>
        <w:tc>
          <w:tcPr>
            <w:tcW w:w="9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8.76%</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43%/57%</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5"/>
              </w:rPr>
              <w:t xml:space="preserve">$138.4 </w:t>
            </w:r>
            <w:r>
              <w:rPr>
                <w:rFonts w:ascii="Arial" w:cs="Arial" w:eastAsia="Arial" w:hAnsi="Arial"/>
                <w:sz w:val="21"/>
                <w:szCs w:val="21"/>
                <w:color w:val="auto"/>
                <w:w w:val="85"/>
                <w:vertAlign w:val="superscript"/>
              </w:rPr>
              <w:t>(a)</w:t>
            </w:r>
          </w:p>
        </w:tc>
        <w:tc>
          <w:tcPr>
            <w:tcW w:w="78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2/2009</w:t>
            </w:r>
          </w:p>
        </w:tc>
        <w:tc>
          <w:tcPr>
            <w:tcW w:w="28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Wyoming</w:t>
            </w:r>
          </w:p>
        </w:tc>
        <w:tc>
          <w:tcPr>
            <w:tcW w:w="820" w:type="dxa"/>
            <w:vAlign w:val="bottom"/>
          </w:tcPr>
          <w:p>
            <w:pPr>
              <w:ind w:left="80"/>
              <w:spacing w:after="0"/>
              <w:rPr>
                <w:sz w:val="20"/>
                <w:szCs w:val="20"/>
                <w:color w:val="auto"/>
              </w:rPr>
            </w:pPr>
            <w:r>
              <w:rPr>
                <w:rFonts w:ascii="Arial" w:cs="Arial" w:eastAsia="Arial" w:hAnsi="Arial"/>
                <w:sz w:val="16"/>
                <w:szCs w:val="16"/>
                <w:color w:val="auto"/>
              </w:rPr>
              <w:t>WY</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00" w:type="dxa"/>
            <w:vAlign w:val="bottom"/>
          </w:tcPr>
          <w:p>
            <w:pPr>
              <w:jc w:val="center"/>
              <w:spacing w:after="0"/>
              <w:rPr>
                <w:sz w:val="20"/>
                <w:szCs w:val="20"/>
                <w:color w:val="auto"/>
              </w:rPr>
            </w:pPr>
            <w:r>
              <w:rPr>
                <w:rFonts w:ascii="Arial" w:cs="Arial" w:eastAsia="Arial" w:hAnsi="Arial"/>
                <w:sz w:val="16"/>
                <w:szCs w:val="16"/>
                <w:color w:val="auto"/>
                <w:w w:val="92"/>
              </w:rPr>
              <w:t>7.98%</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$376.8</w:t>
            </w:r>
          </w:p>
        </w:tc>
        <w:tc>
          <w:tcPr>
            <w:tcW w:w="780" w:type="dxa"/>
            <w:vAlign w:val="bottom"/>
          </w:tcPr>
          <w:p>
            <w:pPr>
              <w:jc w:val="center"/>
              <w:spacing w:after="0"/>
              <w:rPr>
                <w:sz w:val="20"/>
                <w:szCs w:val="20"/>
                <w:color w:val="auto"/>
              </w:rPr>
            </w:pPr>
            <w:r>
              <w:rPr>
                <w:rFonts w:ascii="Arial" w:cs="Arial" w:eastAsia="Arial" w:hAnsi="Arial"/>
                <w:sz w:val="16"/>
                <w:szCs w:val="16"/>
                <w:color w:val="auto"/>
                <w:w w:val="93"/>
              </w:rPr>
              <w:t>10/2014</w:t>
            </w:r>
          </w:p>
        </w:tc>
        <w:tc>
          <w:tcPr>
            <w:tcW w:w="2880" w:type="dxa"/>
            <w:vAlign w:val="bottom"/>
          </w:tcPr>
          <w:p>
            <w:pPr>
              <w:ind w:left="100"/>
              <w:spacing w:after="0"/>
              <w:rPr>
                <w:sz w:val="20"/>
                <w:szCs w:val="20"/>
                <w:color w:val="auto"/>
              </w:rPr>
            </w:pPr>
            <w:r>
              <w:rPr>
                <w:rFonts w:ascii="Arial" w:cs="Arial" w:eastAsia="Arial" w:hAnsi="Arial"/>
                <w:sz w:val="16"/>
                <w:szCs w:val="16"/>
                <w:color w:val="auto"/>
              </w:rPr>
              <w:t>PCA, Energy Efficiency Cost</w:t>
            </w:r>
          </w:p>
        </w:tc>
        <w:tc>
          <w:tcPr>
            <w:tcW w:w="1400" w:type="dxa"/>
            <w:vAlign w:val="bottom"/>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980" w:type="dxa"/>
            <w:vAlign w:val="bottom"/>
          </w:tcPr>
          <w:p>
            <w:pPr>
              <w:ind w:left="20"/>
              <w:spacing w:after="0"/>
              <w:rPr>
                <w:sz w:val="20"/>
                <w:szCs w:val="20"/>
                <w:color w:val="auto"/>
              </w:rPr>
            </w:pPr>
            <w:r>
              <w:rPr>
                <w:rFonts w:ascii="Arial" w:cs="Arial" w:eastAsia="Arial" w:hAnsi="Arial"/>
                <w:sz w:val="16"/>
                <w:szCs w:val="16"/>
                <w:color w:val="auto"/>
              </w:rPr>
              <w:t>Electric</w:t>
            </w: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w w:val="96"/>
              </w:rPr>
              <w:t>Recovery/DSM, Rate Base Recovery on</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880" w:type="dxa"/>
            <w:vAlign w:val="bottom"/>
          </w:tcPr>
          <w:p>
            <w:pPr>
              <w:ind w:left="100"/>
              <w:spacing w:after="0"/>
              <w:rPr>
                <w:sz w:val="20"/>
                <w:szCs w:val="20"/>
                <w:color w:val="auto"/>
              </w:rPr>
            </w:pPr>
            <w:r>
              <w:rPr>
                <w:rFonts w:ascii="Arial" w:cs="Arial" w:eastAsia="Arial" w:hAnsi="Arial"/>
                <w:sz w:val="16"/>
                <w:szCs w:val="16"/>
                <w:color w:val="auto"/>
              </w:rPr>
              <w:t>Acquisition Adjustment</w:t>
            </w:r>
          </w:p>
        </w:tc>
        <w:tc>
          <w:tcPr>
            <w:tcW w:w="1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9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FERC</w:t>
            </w:r>
          </w:p>
        </w:tc>
        <w:tc>
          <w:tcPr>
            <w:tcW w:w="11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10.6%</w:t>
            </w:r>
          </w:p>
        </w:tc>
        <w:tc>
          <w:tcPr>
            <w:tcW w:w="9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2"/>
              </w:rPr>
              <w:t>8.51%</w:t>
            </w:r>
          </w:p>
        </w:tc>
        <w:tc>
          <w:tcPr>
            <w:tcW w:w="13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46%/54%</w:t>
            </w:r>
          </w:p>
        </w:tc>
        <w:tc>
          <w:tcPr>
            <w:tcW w:w="12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89"/>
              </w:rPr>
              <w:t>$31.5</w:t>
            </w:r>
          </w:p>
        </w:tc>
        <w:tc>
          <w:tcPr>
            <w:tcW w:w="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w w:val="93"/>
              </w:rPr>
              <w:t>5/2014</w:t>
            </w:r>
          </w:p>
        </w:tc>
        <w:tc>
          <w:tcPr>
            <w:tcW w:w="28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FERC Transmission Tariff</w:t>
            </w:r>
          </w:p>
        </w:tc>
        <w:tc>
          <w:tcPr>
            <w:tcW w:w="1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6"/>
                <w:szCs w:val="16"/>
                <w:color w:val="auto"/>
              </w:rPr>
              <w:t>N/A</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980" w:type="dxa"/>
            <w:vAlign w:val="bottom"/>
          </w:tcPr>
          <w:p>
            <w:pPr>
              <w:spacing w:after="0" w:line="182" w:lineRule="exact"/>
              <w:rPr>
                <w:sz w:val="20"/>
                <w:szCs w:val="20"/>
                <w:color w:val="auto"/>
              </w:rPr>
            </w:pPr>
            <w:r>
              <w:rPr>
                <w:rFonts w:ascii="Arial" w:cs="Arial" w:eastAsia="Arial" w:hAnsi="Arial"/>
                <w:sz w:val="16"/>
                <w:szCs w:val="16"/>
                <w:color w:val="auto"/>
              </w:rPr>
              <w:t>__________</w:t>
            </w: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60" w:hanging="332"/>
        <w:spacing w:after="0" w:line="255" w:lineRule="auto"/>
        <w:tabs>
          <w:tab w:leader="none" w:pos="340" w:val="left"/>
        </w:tabs>
        <w:numPr>
          <w:ilvl w:val="0"/>
          <w:numId w:val="8"/>
        </w:numPr>
        <w:rPr>
          <w:rFonts w:ascii="Arial" w:cs="Arial" w:eastAsia="Arial" w:hAnsi="Arial"/>
          <w:sz w:val="14"/>
          <w:szCs w:val="14"/>
          <w:color w:val="auto"/>
        </w:rPr>
      </w:pPr>
      <w:r>
        <w:rPr>
          <w:rFonts w:ascii="Arial" w:cs="Arial" w:eastAsia="Arial" w:hAnsi="Arial"/>
          <w:sz w:val="14"/>
          <w:szCs w:val="14"/>
          <w:color w:val="auto"/>
        </w:rPr>
        <w:t>Includes $121.3 million in 2019 rate base for the Common Use System formula rate that is updated annually and $17.1 million in rate base for the DC transmission tie that is based on the approved stated rate from 2005.</w:t>
      </w:r>
    </w:p>
    <w:p>
      <w:pPr>
        <w:spacing w:after="0" w:line="136"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regulatory provisions for recovering the costs to supply electricity vary by state. In all states, subject to thresholds noted below, we have cost adjustment mechanisms for our Electric Utilities that allow us to pass the prudently-incurred cost of fuel and purchased power through to customers. These mechanisms allow the utility operating in that state to collect, or refund the difference between the cost of commodities and certain services embedded in our base rates and the actual cost of the commodities and certain services without filing a general rate review. In addition, some states allow for recovery of new capital investment placed in service between base rate reviews through approved rider tariffs. These tariffs allow the utility a return on the investment.</w:t>
      </w: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26"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84"/>
        </w:trPr>
        <w:tc>
          <w:tcPr>
            <w:tcW w:w="288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6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4780" w:type="dxa"/>
            <w:vAlign w:val="bottom"/>
            <w:gridSpan w:val="3"/>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000" w:type="dxa"/>
            <w:vAlign w:val="bottom"/>
            <w:gridSpan w:val="4"/>
          </w:tcPr>
          <w:p>
            <w:pPr>
              <w:spacing w:after="0"/>
              <w:rPr>
                <w:sz w:val="20"/>
                <w:szCs w:val="20"/>
                <w:color w:val="auto"/>
              </w:rPr>
            </w:pPr>
            <w:r>
              <w:rPr>
                <w:rFonts w:ascii="Arial" w:cs="Arial" w:eastAsia="Arial" w:hAnsi="Arial"/>
                <w:sz w:val="18"/>
                <w:szCs w:val="18"/>
                <w:color w:val="auto"/>
              </w:rPr>
              <w:t>A summary of mechanisms we have in place are shown in the table below:</w:t>
            </w:r>
          </w:p>
        </w:tc>
        <w:tc>
          <w:tcPr>
            <w:tcW w:w="1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580" w:type="dxa"/>
            <w:vAlign w:val="bottom"/>
            <w:gridSpan w:val="2"/>
          </w:tcPr>
          <w:p>
            <w:pPr>
              <w:ind w:left="140"/>
              <w:spacing w:after="0"/>
              <w:rPr>
                <w:sz w:val="20"/>
                <w:szCs w:val="20"/>
                <w:color w:val="auto"/>
              </w:rPr>
            </w:pPr>
            <w:r>
              <w:rPr>
                <w:rFonts w:ascii="Arial" w:cs="Arial" w:eastAsia="Arial" w:hAnsi="Arial"/>
                <w:sz w:val="18"/>
                <w:szCs w:val="18"/>
                <w:color w:val="auto"/>
              </w:rPr>
              <w:t>Cost Recovery Mechanisms</w:t>
            </w:r>
          </w:p>
        </w:tc>
        <w:tc>
          <w:tcPr>
            <w:tcW w:w="13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880" w:type="dxa"/>
            <w:vAlign w:val="bottom"/>
            <w:gridSpan w:val="2"/>
            <w:vMerge w:val="restart"/>
          </w:tcPr>
          <w:p>
            <w:pPr>
              <w:ind w:left="40"/>
              <w:spacing w:after="0"/>
              <w:rPr>
                <w:sz w:val="20"/>
                <w:szCs w:val="20"/>
                <w:color w:val="auto"/>
              </w:rPr>
            </w:pPr>
            <w:r>
              <w:rPr>
                <w:rFonts w:ascii="Arial" w:cs="Arial" w:eastAsia="Arial" w:hAnsi="Arial"/>
                <w:sz w:val="18"/>
                <w:szCs w:val="18"/>
                <w:color w:val="auto"/>
              </w:rPr>
              <w:t>Electric Utility Jurisdiction</w:t>
            </w: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880" w:type="dxa"/>
            <w:vAlign w:val="bottom"/>
            <w:gridSpan w:val="2"/>
            <w:vMerge w:val="continue"/>
          </w:tcPr>
          <w:p>
            <w:pPr>
              <w:spacing w:after="0"/>
              <w:rPr>
                <w:sz w:val="19"/>
                <w:szCs w:val="19"/>
                <w:color w:val="auto"/>
              </w:rPr>
            </w:pPr>
          </w:p>
        </w:tc>
        <w:tc>
          <w:tcPr>
            <w:tcW w:w="16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89"/>
              </w:rPr>
              <w:t>Transmission</w:t>
            </w:r>
          </w:p>
        </w:tc>
        <w:tc>
          <w:tcPr>
            <w:tcW w:w="1200" w:type="dxa"/>
            <w:vAlign w:val="bottom"/>
          </w:tcPr>
          <w:p>
            <w:pPr>
              <w:spacing w:after="0"/>
              <w:rPr>
                <w:sz w:val="19"/>
                <w:szCs w:val="19"/>
                <w:color w:val="auto"/>
              </w:rPr>
            </w:pP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89"/>
              </w:rPr>
              <w:t>Transmission</w:t>
            </w: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600" w:type="dxa"/>
            <w:vAlign w:val="bottom"/>
          </w:tcPr>
          <w:p>
            <w:pPr>
              <w:jc w:val="center"/>
              <w:spacing w:after="0"/>
              <w:rPr>
                <w:sz w:val="20"/>
                <w:szCs w:val="20"/>
                <w:color w:val="auto"/>
              </w:rPr>
            </w:pPr>
            <w:r>
              <w:rPr>
                <w:rFonts w:ascii="Arial" w:cs="Arial" w:eastAsia="Arial" w:hAnsi="Arial"/>
                <w:sz w:val="18"/>
                <w:szCs w:val="18"/>
                <w:color w:val="auto"/>
                <w:w w:val="91"/>
              </w:rPr>
              <w:t>Environmental Cost</w:t>
            </w:r>
          </w:p>
        </w:tc>
        <w:tc>
          <w:tcPr>
            <w:tcW w:w="1520" w:type="dxa"/>
            <w:vAlign w:val="bottom"/>
          </w:tcPr>
          <w:p>
            <w:pPr>
              <w:jc w:val="center"/>
              <w:spacing w:after="0"/>
              <w:rPr>
                <w:sz w:val="20"/>
                <w:szCs w:val="20"/>
                <w:color w:val="auto"/>
              </w:rPr>
            </w:pPr>
            <w:r>
              <w:rPr>
                <w:rFonts w:ascii="Arial" w:cs="Arial" w:eastAsia="Arial" w:hAnsi="Arial"/>
                <w:sz w:val="18"/>
                <w:szCs w:val="18"/>
                <w:color w:val="auto"/>
                <w:w w:val="94"/>
              </w:rPr>
              <w:t>Energy Efficiency</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Expense</w:t>
            </w:r>
          </w:p>
        </w:tc>
        <w:tc>
          <w:tcPr>
            <w:tcW w:w="1200" w:type="dxa"/>
            <w:vAlign w:val="bottom"/>
          </w:tcPr>
          <w:p>
            <w:pPr>
              <w:jc w:val="center"/>
              <w:spacing w:after="0"/>
              <w:rPr>
                <w:sz w:val="20"/>
                <w:szCs w:val="20"/>
                <w:color w:val="auto"/>
              </w:rPr>
            </w:pPr>
            <w:r>
              <w:rPr>
                <w:rFonts w:ascii="Arial" w:cs="Arial" w:eastAsia="Arial" w:hAnsi="Arial"/>
                <w:sz w:val="18"/>
                <w:szCs w:val="18"/>
                <w:color w:val="auto"/>
                <w:w w:val="90"/>
              </w:rPr>
              <w:t>Fuel Cost</w:t>
            </w:r>
          </w:p>
        </w:tc>
        <w:tc>
          <w:tcPr>
            <w:tcW w:w="1380" w:type="dxa"/>
            <w:vAlign w:val="bottom"/>
          </w:tcPr>
          <w:p>
            <w:pPr>
              <w:jc w:val="center"/>
              <w:ind w:left="10"/>
              <w:spacing w:after="0"/>
              <w:rPr>
                <w:sz w:val="20"/>
                <w:szCs w:val="20"/>
                <w:color w:val="auto"/>
              </w:rPr>
            </w:pPr>
            <w:r>
              <w:rPr>
                <w:rFonts w:ascii="Arial" w:cs="Arial" w:eastAsia="Arial" w:hAnsi="Arial"/>
                <w:sz w:val="18"/>
                <w:szCs w:val="18"/>
                <w:color w:val="auto"/>
                <w:w w:val="92"/>
              </w:rPr>
              <w:t>Capital</w:t>
            </w:r>
          </w:p>
        </w:tc>
        <w:tc>
          <w:tcPr>
            <w:tcW w:w="1460" w:type="dxa"/>
            <w:vAlign w:val="bottom"/>
          </w:tcPr>
          <w:p>
            <w:pPr>
              <w:jc w:val="center"/>
              <w:ind w:left="10"/>
              <w:spacing w:after="0"/>
              <w:rPr>
                <w:sz w:val="20"/>
                <w:szCs w:val="20"/>
                <w:color w:val="auto"/>
              </w:rPr>
            </w:pPr>
            <w:r>
              <w:rPr>
                <w:rFonts w:ascii="Arial" w:cs="Arial" w:eastAsia="Arial" w:hAnsi="Arial"/>
                <w:sz w:val="18"/>
                <w:szCs w:val="18"/>
                <w:color w:val="auto"/>
                <w:w w:val="87"/>
              </w:rPr>
              <w:t>Purchased Power</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88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1600" w:type="dxa"/>
            <w:vAlign w:val="bottom"/>
            <w:shd w:val="clear" w:color="auto" w:fill="CEFFE7"/>
          </w:tcPr>
          <w:p>
            <w:pPr>
              <w:spacing w:after="0"/>
              <w:rPr>
                <w:sz w:val="22"/>
                <w:szCs w:val="22"/>
                <w:color w:val="auto"/>
              </w:rPr>
            </w:pPr>
          </w:p>
        </w:tc>
        <w:tc>
          <w:tcPr>
            <w:tcW w:w="15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shd w:val="clear" w:color="auto" w:fill="CEFFE7"/>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South Dakota Electric (SD)</w:t>
            </w:r>
          </w:p>
        </w:tc>
        <w:tc>
          <w:tcPr>
            <w:tcW w:w="16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rPr>
              <w:t>South Dakota Electric (WY)</w:t>
            </w:r>
          </w:p>
        </w:tc>
        <w:tc>
          <w:tcPr>
            <w:tcW w:w="1600" w:type="dxa"/>
            <w:vAlign w:val="bottom"/>
            <w:shd w:val="clear" w:color="auto" w:fill="CEFFE7"/>
          </w:tcPr>
          <w:p>
            <w:pPr>
              <w:spacing w:after="0"/>
              <w:rPr>
                <w:sz w:val="23"/>
                <w:szCs w:val="23"/>
                <w:color w:val="auto"/>
              </w:rPr>
            </w:pPr>
          </w:p>
        </w:tc>
        <w:tc>
          <w:tcPr>
            <w:tcW w:w="15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spacing w:after="0"/>
              <w:rPr>
                <w:sz w:val="23"/>
                <w:szCs w:val="23"/>
                <w:color w:val="auto"/>
              </w:rPr>
            </w:pPr>
          </w:p>
        </w:tc>
        <w:tc>
          <w:tcPr>
            <w:tcW w:w="1460" w:type="dxa"/>
            <w:vAlign w:val="bottom"/>
            <w:shd w:val="clear" w:color="auto" w:fill="CEFFE7"/>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880" w:type="dxa"/>
            <w:vAlign w:val="bottom"/>
            <w:gridSpan w:val="2"/>
          </w:tcPr>
          <w:p>
            <w:pPr>
              <w:ind w:left="40"/>
              <w:spacing w:after="0"/>
              <w:rPr>
                <w:sz w:val="20"/>
                <w:szCs w:val="20"/>
                <w:color w:val="auto"/>
              </w:rPr>
            </w:pPr>
            <w:r>
              <w:rPr>
                <w:rFonts w:ascii="Arial" w:cs="Arial" w:eastAsia="Arial" w:hAnsi="Arial"/>
                <w:sz w:val="18"/>
                <w:szCs w:val="18"/>
                <w:color w:val="auto"/>
              </w:rPr>
              <w:t>South Dakota Electric (FERC)</w:t>
            </w:r>
          </w:p>
        </w:tc>
        <w:tc>
          <w:tcPr>
            <w:tcW w:w="160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80" w:type="dxa"/>
            <w:vAlign w:val="bottom"/>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14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880" w:type="dxa"/>
            <w:vAlign w:val="bottom"/>
            <w:gridSpan w:val="2"/>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1600" w:type="dxa"/>
            <w:vAlign w:val="bottom"/>
            <w:shd w:val="clear" w:color="auto" w:fill="CEFFE7"/>
          </w:tcPr>
          <w:p>
            <w:pPr>
              <w:spacing w:after="0"/>
              <w:rPr>
                <w:sz w:val="23"/>
                <w:szCs w:val="23"/>
                <w:color w:val="auto"/>
              </w:rPr>
            </w:pPr>
          </w:p>
        </w:tc>
        <w:tc>
          <w:tcPr>
            <w:tcW w:w="15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80" w:type="dxa"/>
            <w:vAlign w:val="bottom"/>
            <w:shd w:val="clear" w:color="auto" w:fill="CEFFE7"/>
          </w:tcPr>
          <w:p>
            <w:pPr>
              <w:spacing w:after="0"/>
              <w:rPr>
                <w:sz w:val="23"/>
                <w:szCs w:val="23"/>
                <w:color w:val="auto"/>
              </w:rPr>
            </w:pPr>
          </w:p>
        </w:tc>
        <w:tc>
          <w:tcPr>
            <w:tcW w:w="1460" w:type="dxa"/>
            <w:vAlign w:val="bottom"/>
            <w:shd w:val="clear" w:color="auto" w:fill="CEFFE7"/>
          </w:tcPr>
          <w:p>
            <w:pPr>
              <w:jc w:val="center"/>
              <w:ind w:left="10"/>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17">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for information regarding current electric rate activity.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mechanisms we have in place include the following by utility: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Colorado Electric has:</w:t>
      </w:r>
    </w:p>
    <w:p>
      <w:pPr>
        <w:spacing w:after="0" w:line="225" w:lineRule="exact"/>
        <w:rPr>
          <w:sz w:val="20"/>
          <w:szCs w:val="20"/>
          <w:color w:val="auto"/>
        </w:rPr>
      </w:pPr>
    </w:p>
    <w:p>
      <w:pPr>
        <w:ind w:left="660" w:right="18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quarterly ECA rider that allows us to recover forecasted increases or decreases in purchased energy and fuel costs, including the recovery for amounts payable to others for the transmission of the utility's electricity over transmission facilities owned by others, and the sharing of off-system sales margins, less certain operating costs (customer receives 90%). The ECA provides for not only direct recovery, but also for the issuance of credits for decreases in purchased energy, fuel costs and eligible energy resources.</w:t>
      </w:r>
    </w:p>
    <w:p>
      <w:pPr>
        <w:spacing w:after="0" w:line="186" w:lineRule="exact"/>
        <w:rPr>
          <w:rFonts w:ascii="Arial" w:cs="Arial" w:eastAsia="Arial" w:hAnsi="Arial"/>
          <w:sz w:val="18"/>
          <w:szCs w:val="18"/>
          <w:color w:val="auto"/>
        </w:rPr>
      </w:pPr>
    </w:p>
    <w:p>
      <w:pPr>
        <w:ind w:left="660" w:right="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annual TCA rider that includes nine months of actual transmission investment and three months of forecasted investment, with an annual true-up mechanism.</w:t>
      </w:r>
    </w:p>
    <w:p>
      <w:pPr>
        <w:spacing w:after="0" w:line="170"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Clean Air Clean Jobs Act Adjustment rider rate that collects the authorized revenue requirement for the 40 MW combustion turbine placed in service on December 31, 2016 with rates effective January 1, 2017.</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 Renewable Energy Standard Adjustment rider that is specifically designed for meeting the requirements of Colorado’s renewable energy standard and most recently includes cost recovery for Peak View.</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South Dakota Electric has:</w:t>
      </w:r>
    </w:p>
    <w:p>
      <w:pPr>
        <w:spacing w:after="0" w:line="225" w:lineRule="exact"/>
        <w:rPr>
          <w:sz w:val="20"/>
          <w:szCs w:val="20"/>
          <w:color w:val="auto"/>
        </w:rPr>
      </w:pPr>
    </w:p>
    <w:p>
      <w:pPr>
        <w:ind w:left="660" w:right="20" w:hanging="328"/>
        <w:spacing w:after="0" w:line="255"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 xml:space="preserve">An approved annual EIA tariff which recovers costs associated with generation plant environmental improvements. South Dakota Electric also has a TFA tariff which recovers the costs associated with transmission facility improvements. The EIA and TFA were suspended for a six-year moratorium period effective July 1, 2017. On January 7, 2020, South Dakota Electric received approval from the SDPUC on a settlement reached with the SDPUC staff agreeing to extend the 6-year moratorium period by an additional 3 years whereby rate increases for these recovery mechanisms will not go into effect prior to July 1, 2026. See </w:t>
      </w:r>
      <w:hyperlink w:anchor="page117">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for further information.</w:t>
      </w:r>
    </w:p>
    <w:p>
      <w:pPr>
        <w:spacing w:after="0" w:line="193" w:lineRule="exact"/>
        <w:rPr>
          <w:rFonts w:ascii="Arial" w:cs="Arial" w:eastAsia="Arial" w:hAnsi="Arial"/>
          <w:sz w:val="18"/>
          <w:szCs w:val="18"/>
          <w:color w:val="auto"/>
        </w:rPr>
      </w:pPr>
    </w:p>
    <w:p>
      <w:pPr>
        <w:ind w:left="660" w:right="160" w:hanging="328"/>
        <w:spacing w:after="0" w:line="272" w:lineRule="auto"/>
        <w:tabs>
          <w:tab w:leader="none" w:pos="6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An annual cost adjustment clause which provides for the over or under recovery of fuel, transmission and purchased power cost incurred to serve South Dakota customers. Additionally, this ECA contains an off-system sales sharing mechanism in which South Dakota customers will receive a credit equal to 100% of off-system power marketing operating income from the first $1.0 million of power marketing margin from short-term sales and a credit equal to 70% of power marketing margins from short-term sales in excess of the first $1.0 million. South Dakota Electric retains the remaining 30%. For the period of July 1, 2017 through March 31, 2023, the 100% credit of power marketing margin increased from $1.0 million to $2.0 million. The ECA methodology allows us to directly assign renewable resources and firm purchases to the customer load. In Wyoming, a similar fuel and purchased power cost adjustment is also in place.</w:t>
      </w:r>
    </w:p>
    <w:p>
      <w:pPr>
        <w:spacing w:after="0" w:line="177" w:lineRule="exact"/>
        <w:rPr>
          <w:rFonts w:ascii="Arial" w:cs="Arial" w:eastAsia="Arial" w:hAnsi="Arial"/>
          <w:sz w:val="17"/>
          <w:szCs w:val="17"/>
          <w:color w:val="auto"/>
        </w:rPr>
      </w:pPr>
    </w:p>
    <w:p>
      <w:pPr>
        <w:ind w:left="660" w:right="40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approved FERC Transmission Tariff based on a formulaic approach that determines the revenue component of South Dakota Electric’s open access transmission tariff.</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Wyoming Electric has:</w:t>
      </w:r>
    </w:p>
    <w:p>
      <w:pPr>
        <w:spacing w:after="0" w:line="225" w:lineRule="exact"/>
        <w:rPr>
          <w:sz w:val="20"/>
          <w:szCs w:val="20"/>
          <w:color w:val="auto"/>
        </w:rPr>
      </w:pPr>
    </w:p>
    <w:p>
      <w:pPr>
        <w:ind w:left="660" w:hanging="328"/>
        <w:spacing w:after="0" w:line="264" w:lineRule="auto"/>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An annual cost adjustment mechanism that allows us to pass the prudently-incurred power costs above costs included in base rates through to electric customers. The annual cost adjustment allows for recovery of 85% of coal and coal-related cost per kWh variances from base and recovery of 95% of purchased power, transmission, and natural gas cost per kWh variances from base.</w:t>
      </w:r>
    </w:p>
    <w:p>
      <w:pPr>
        <w:spacing w:after="0" w:line="181" w:lineRule="exact"/>
        <w:rPr>
          <w:sz w:val="20"/>
          <w:szCs w:val="20"/>
          <w:color w:val="auto"/>
        </w:rPr>
      </w:pPr>
    </w:p>
    <w:p>
      <w:pPr>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Tariff Filings. </w:t>
      </w:r>
      <w:r>
        <w:rPr>
          <w:rFonts w:ascii="Arial" w:cs="Arial" w:eastAsia="Arial" w:hAnsi="Arial"/>
          <w:sz w:val="18"/>
          <w:szCs w:val="18"/>
          <w:color w:val="auto"/>
        </w:rPr>
        <w:t>See</w:t>
      </w:r>
      <w:r>
        <w:rPr>
          <w:rFonts w:ascii="Arial" w:cs="Arial" w:eastAsia="Arial" w:hAnsi="Arial"/>
          <w:sz w:val="18"/>
          <w:szCs w:val="18"/>
          <w:b w:val="1"/>
          <w:bCs w:val="1"/>
          <w:i w:val="1"/>
          <w:iCs w:val="1"/>
          <w:color w:val="auto"/>
        </w:rPr>
        <w:t xml:space="preserve"> </w:t>
      </w:r>
      <w:hyperlink w:anchor="page117">
        <w:r>
          <w:rPr>
            <w:rFonts w:ascii="Arial" w:cs="Arial" w:eastAsia="Arial" w:hAnsi="Arial"/>
            <w:sz w:val="18"/>
            <w:szCs w:val="18"/>
            <w:u w:val="single" w:color="auto"/>
            <w:color w:val="0000EE"/>
          </w:rPr>
          <w:t>Note 13</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to the Consolidated Financial Statements in this Annual Report on Form 10-K for tariff filings and additional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information regarding current rate activity.</w:t>
      </w:r>
    </w:p>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Statistics. </w:t>
      </w:r>
      <w:r>
        <w:rPr>
          <w:rFonts w:ascii="Arial" w:cs="Arial" w:eastAsia="Arial" w:hAnsi="Arial"/>
          <w:sz w:val="18"/>
          <w:szCs w:val="18"/>
          <w:color w:val="auto"/>
        </w:rPr>
        <w:t>The following tables summarize information for our Electric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20" w:type="dxa"/>
            <w:vAlign w:val="bottom"/>
            <w:gridSpan w:val="3"/>
          </w:tcPr>
          <w:p>
            <w:pPr>
              <w:jc w:val="center"/>
              <w:ind w:left="970"/>
              <w:spacing w:after="0"/>
              <w:rPr>
                <w:sz w:val="20"/>
                <w:szCs w:val="20"/>
                <w:color w:val="auto"/>
              </w:rPr>
            </w:pPr>
            <w:r>
              <w:rPr>
                <w:rFonts w:ascii="Arial" w:cs="Arial" w:eastAsia="Arial" w:hAnsi="Arial"/>
                <w:sz w:val="18"/>
                <w:szCs w:val="18"/>
                <w:color w:val="auto"/>
                <w:w w:val="88"/>
              </w:rPr>
              <w:t>For the year ended December 31,</w:t>
            </w: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92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920" w:type="dxa"/>
            <w:vAlign w:val="bottom"/>
          </w:tcPr>
          <w:p>
            <w:pPr>
              <w:spacing w:after="0"/>
              <w:rPr>
                <w:sz w:val="23"/>
                <w:szCs w:val="23"/>
                <w:color w:val="auto"/>
              </w:rPr>
            </w:pPr>
          </w:p>
        </w:tc>
        <w:tc>
          <w:tcPr>
            <w:tcW w:w="1380" w:type="dxa"/>
            <w:vAlign w:val="bottom"/>
          </w:tcPr>
          <w:p>
            <w:pPr>
              <w:jc w:val="right"/>
              <w:ind w:right="910"/>
              <w:spacing w:after="0"/>
              <w:rPr>
                <w:sz w:val="20"/>
                <w:szCs w:val="20"/>
                <w:color w:val="auto"/>
              </w:rPr>
            </w:pPr>
            <w:r>
              <w:rPr>
                <w:rFonts w:ascii="Arial" w:cs="Arial" w:eastAsia="Arial" w:hAnsi="Arial"/>
                <w:sz w:val="18"/>
                <w:szCs w:val="18"/>
                <w:color w:val="auto"/>
                <w:w w:val="89"/>
              </w:rPr>
              <w:t>2019</w:t>
            </w:r>
          </w:p>
        </w:tc>
        <w:tc>
          <w:tcPr>
            <w:tcW w:w="2240" w:type="dxa"/>
            <w:vAlign w:val="bottom"/>
            <w:gridSpan w:val="2"/>
          </w:tcPr>
          <w:p>
            <w:pPr>
              <w:jc w:val="right"/>
              <w:ind w:right="990"/>
              <w:spacing w:after="0"/>
              <w:rPr>
                <w:sz w:val="20"/>
                <w:szCs w:val="20"/>
                <w:color w:val="auto"/>
              </w:rPr>
            </w:pPr>
            <w:r>
              <w:rPr>
                <w:rFonts w:ascii="Arial" w:cs="Arial" w:eastAsia="Arial" w:hAnsi="Arial"/>
                <w:sz w:val="18"/>
                <w:szCs w:val="18"/>
                <w:color w:val="auto"/>
              </w:rPr>
              <w:t>2018</w:t>
            </w:r>
          </w:p>
        </w:tc>
        <w:tc>
          <w:tcPr>
            <w:tcW w:w="720" w:type="dxa"/>
            <w:vAlign w:val="bottom"/>
          </w:tcPr>
          <w:p>
            <w:pPr>
              <w:spacing w:after="0"/>
              <w:rPr>
                <w:sz w:val="23"/>
                <w:szCs w:val="23"/>
                <w:color w:val="auto"/>
              </w:rPr>
            </w:pPr>
          </w:p>
        </w:tc>
        <w:tc>
          <w:tcPr>
            <w:tcW w:w="1240" w:type="dxa"/>
            <w:vAlign w:val="bottom"/>
          </w:tcPr>
          <w:p>
            <w:pPr>
              <w:jc w:val="right"/>
              <w:ind w:right="790"/>
              <w:spacing w:after="0"/>
              <w:rPr>
                <w:sz w:val="20"/>
                <w:szCs w:val="20"/>
                <w:color w:val="auto"/>
              </w:rPr>
            </w:pPr>
            <w:r>
              <w:rPr>
                <w:rFonts w:ascii="Arial" w:cs="Arial" w:eastAsia="Arial" w:hAnsi="Arial"/>
                <w:sz w:val="18"/>
                <w:szCs w:val="18"/>
                <w:color w:val="auto"/>
                <w:w w:val="84"/>
              </w:rPr>
              <w:t>2017</w:t>
            </w:r>
          </w:p>
        </w:tc>
        <w:tc>
          <w:tcPr>
            <w:tcW w:w="0" w:type="dxa"/>
            <w:vAlign w:val="bottom"/>
          </w:tcPr>
          <w:p>
            <w:pPr>
              <w:spacing w:after="0"/>
              <w:rPr>
                <w:sz w:val="1"/>
                <w:szCs w:val="1"/>
                <w:color w:val="auto"/>
              </w:rPr>
            </w:pPr>
          </w:p>
        </w:tc>
      </w:tr>
      <w:tr>
        <w:trPr>
          <w:trHeight w:val="27"/>
        </w:trPr>
        <w:tc>
          <w:tcPr>
            <w:tcW w:w="49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9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2"/>
              </w:rPr>
              <w:t>Variance from</w:t>
            </w:r>
          </w:p>
        </w:tc>
        <w:tc>
          <w:tcPr>
            <w:tcW w:w="900" w:type="dxa"/>
            <w:vAlign w:val="bottom"/>
          </w:tcPr>
          <w:p>
            <w:pPr>
              <w:spacing w:after="0"/>
              <w:rPr>
                <w:sz w:val="19"/>
                <w:szCs w:val="19"/>
                <w:color w:val="auto"/>
              </w:rPr>
            </w:pP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1"/>
              </w:rPr>
              <w:t>Variance from</w:t>
            </w:r>
          </w:p>
        </w:tc>
        <w:tc>
          <w:tcPr>
            <w:tcW w:w="720" w:type="dxa"/>
            <w:vAlign w:val="bottom"/>
          </w:tcPr>
          <w:p>
            <w:pPr>
              <w:spacing w:after="0"/>
              <w:rPr>
                <w:sz w:val="19"/>
                <w:szCs w:val="19"/>
                <w:color w:val="auto"/>
              </w:rPr>
            </w:pP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1"/>
              </w:rPr>
              <w:t>Variance from</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Actual</w:t>
            </w:r>
          </w:p>
        </w:tc>
        <w:tc>
          <w:tcPr>
            <w:tcW w:w="1380" w:type="dxa"/>
            <w:vAlign w:val="bottom"/>
          </w:tcPr>
          <w:p>
            <w:pPr>
              <w:jc w:val="center"/>
              <w:spacing w:after="0"/>
              <w:rPr>
                <w:sz w:val="20"/>
                <w:szCs w:val="20"/>
                <w:color w:val="auto"/>
              </w:rPr>
            </w:pPr>
            <w:r>
              <w:rPr>
                <w:rFonts w:ascii="Arial" w:cs="Arial" w:eastAsia="Arial" w:hAnsi="Arial"/>
                <w:sz w:val="18"/>
                <w:szCs w:val="18"/>
                <w:color w:val="auto"/>
                <w:w w:val="96"/>
              </w:rPr>
              <w:t>Normal</w:t>
            </w:r>
          </w:p>
        </w:tc>
        <w:tc>
          <w:tcPr>
            <w:tcW w:w="900" w:type="dxa"/>
            <w:vAlign w:val="bottom"/>
          </w:tcPr>
          <w:p>
            <w:pPr>
              <w:jc w:val="right"/>
              <w:ind w:right="170"/>
              <w:spacing w:after="0"/>
              <w:rPr>
                <w:sz w:val="20"/>
                <w:szCs w:val="20"/>
                <w:color w:val="auto"/>
              </w:rPr>
            </w:pPr>
            <w:r>
              <w:rPr>
                <w:rFonts w:ascii="Arial" w:cs="Arial" w:eastAsia="Arial" w:hAnsi="Arial"/>
                <w:sz w:val="18"/>
                <w:szCs w:val="18"/>
                <w:color w:val="auto"/>
              </w:rPr>
              <w:t>Actual</w:t>
            </w: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3"/>
              </w:rPr>
              <w:t>Normal</w:t>
            </w:r>
          </w:p>
        </w:tc>
        <w:tc>
          <w:tcPr>
            <w:tcW w:w="720" w:type="dxa"/>
            <w:vAlign w:val="bottom"/>
          </w:tcPr>
          <w:p>
            <w:pPr>
              <w:jc w:val="right"/>
              <w:ind w:right="70"/>
              <w:spacing w:after="0"/>
              <w:rPr>
                <w:sz w:val="20"/>
                <w:szCs w:val="20"/>
                <w:color w:val="auto"/>
              </w:rPr>
            </w:pPr>
            <w:r>
              <w:rPr>
                <w:rFonts w:ascii="Arial" w:cs="Arial" w:eastAsia="Arial" w:hAnsi="Arial"/>
                <w:sz w:val="18"/>
                <w:szCs w:val="18"/>
                <w:color w:val="auto"/>
              </w:rPr>
              <w:t>Actual</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3"/>
              </w:rPr>
              <w:t>Normal</w:t>
            </w:r>
          </w:p>
        </w:tc>
        <w:tc>
          <w:tcPr>
            <w:tcW w:w="0" w:type="dxa"/>
            <w:vAlign w:val="bottom"/>
          </w:tcPr>
          <w:p>
            <w:pPr>
              <w:spacing w:after="0"/>
              <w:rPr>
                <w:sz w:val="1"/>
                <w:szCs w:val="1"/>
                <w:color w:val="auto"/>
              </w:rPr>
            </w:pPr>
          </w:p>
        </w:tc>
      </w:tr>
      <w:tr>
        <w:trPr>
          <w:trHeight w:val="27"/>
        </w:trPr>
        <w:tc>
          <w:tcPr>
            <w:tcW w:w="4920" w:type="dxa"/>
            <w:vAlign w:val="bottom"/>
            <w:vMerge w:val="restart"/>
          </w:tcPr>
          <w:p>
            <w:pPr>
              <w:ind w:left="40"/>
              <w:spacing w:after="0"/>
              <w:rPr>
                <w:sz w:val="20"/>
                <w:szCs w:val="20"/>
                <w:color w:val="auto"/>
              </w:rPr>
            </w:pPr>
            <w:r>
              <w:rPr>
                <w:rFonts w:ascii="Arial" w:cs="Arial" w:eastAsia="Arial" w:hAnsi="Arial"/>
                <w:sz w:val="18"/>
                <w:szCs w:val="18"/>
                <w:color w:val="auto"/>
              </w:rPr>
              <w:t>Heating Degree Days:</w:t>
            </w:r>
          </w:p>
        </w:tc>
        <w:tc>
          <w:tcPr>
            <w:tcW w:w="9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20" w:type="dxa"/>
            <w:vAlign w:val="bottom"/>
            <w:vMerge w:val="continue"/>
          </w:tcPr>
          <w:p>
            <w:pPr>
              <w:spacing w:after="0"/>
              <w:rPr>
                <w:sz w:val="20"/>
                <w:szCs w:val="20"/>
                <w:color w:val="auto"/>
              </w:rPr>
            </w:pP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Colorado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5,453</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(3)%</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5,119</w:t>
            </w:r>
          </w:p>
        </w:tc>
        <w:tc>
          <w:tcPr>
            <w:tcW w:w="1340" w:type="dxa"/>
            <w:vAlign w:val="bottom"/>
            <w:tcBorders>
              <w:bottom w:val="single" w:sz="8" w:color="CEFFE7"/>
            </w:tcBorders>
            <w:shd w:val="clear" w:color="auto" w:fill="CEFFE7"/>
          </w:tcPr>
          <w:p>
            <w:pPr>
              <w:jc w:val="center"/>
              <w:ind w:right="90"/>
              <w:spacing w:after="0"/>
              <w:rPr>
                <w:sz w:val="20"/>
                <w:szCs w:val="20"/>
                <w:color w:val="auto"/>
              </w:rPr>
            </w:pPr>
            <w:r>
              <w:rPr>
                <w:rFonts w:ascii="Arial" w:cs="Arial" w:eastAsia="Arial" w:hAnsi="Arial"/>
                <w:sz w:val="18"/>
                <w:szCs w:val="18"/>
                <w:color w:val="auto"/>
                <w:w w:val="92"/>
              </w:rPr>
              <w:t>4%</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4,693</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5"/>
              </w:rPr>
              <w:t>(16)%</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South Dakota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8,284</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16%</w:t>
            </w:r>
          </w:p>
        </w:tc>
        <w:tc>
          <w:tcPr>
            <w:tcW w:w="900" w:type="dxa"/>
            <w:vAlign w:val="bottom"/>
          </w:tcPr>
          <w:p>
            <w:pPr>
              <w:jc w:val="right"/>
              <w:spacing w:after="0"/>
              <w:rPr>
                <w:sz w:val="20"/>
                <w:szCs w:val="20"/>
                <w:color w:val="auto"/>
              </w:rPr>
            </w:pPr>
            <w:r>
              <w:rPr>
                <w:rFonts w:ascii="Arial" w:cs="Arial" w:eastAsia="Arial" w:hAnsi="Arial"/>
                <w:sz w:val="18"/>
                <w:szCs w:val="18"/>
                <w:color w:val="auto"/>
              </w:rPr>
              <w:t>7,749</w:t>
            </w:r>
          </w:p>
        </w:tc>
        <w:tc>
          <w:tcPr>
            <w:tcW w:w="1340" w:type="dxa"/>
            <w:vAlign w:val="bottom"/>
          </w:tcPr>
          <w:p>
            <w:pPr>
              <w:jc w:val="center"/>
              <w:ind w:right="90"/>
              <w:spacing w:after="0"/>
              <w:rPr>
                <w:sz w:val="20"/>
                <w:szCs w:val="20"/>
                <w:color w:val="auto"/>
              </w:rPr>
            </w:pPr>
            <w:r>
              <w:rPr>
                <w:rFonts w:ascii="Arial" w:cs="Arial" w:eastAsia="Arial" w:hAnsi="Arial"/>
                <w:sz w:val="18"/>
                <w:szCs w:val="18"/>
                <w:color w:val="auto"/>
                <w:w w:val="92"/>
              </w:rPr>
              <w:t>8%</w:t>
            </w:r>
          </w:p>
        </w:tc>
        <w:tc>
          <w:tcPr>
            <w:tcW w:w="720" w:type="dxa"/>
            <w:vAlign w:val="bottom"/>
          </w:tcPr>
          <w:p>
            <w:pPr>
              <w:jc w:val="right"/>
              <w:spacing w:after="0"/>
              <w:rPr>
                <w:sz w:val="20"/>
                <w:szCs w:val="20"/>
                <w:color w:val="auto"/>
              </w:rPr>
            </w:pPr>
            <w:r>
              <w:rPr>
                <w:rFonts w:ascii="Arial" w:cs="Arial" w:eastAsia="Arial" w:hAnsi="Arial"/>
                <w:sz w:val="18"/>
                <w:szCs w:val="18"/>
                <w:color w:val="auto"/>
              </w:rPr>
              <w:t>6,870</w:t>
            </w:r>
          </w:p>
        </w:tc>
        <w:tc>
          <w:tcPr>
            <w:tcW w:w="1240" w:type="dxa"/>
            <w:vAlign w:val="bottom"/>
          </w:tcPr>
          <w:p>
            <w:pPr>
              <w:jc w:val="center"/>
              <w:ind w:left="30"/>
              <w:spacing w:after="0"/>
              <w:rPr>
                <w:sz w:val="20"/>
                <w:szCs w:val="20"/>
                <w:color w:val="auto"/>
              </w:rPr>
            </w:pPr>
            <w:r>
              <w:rPr>
                <w:rFonts w:ascii="Arial" w:cs="Arial" w:eastAsia="Arial" w:hAnsi="Arial"/>
                <w:sz w:val="18"/>
                <w:szCs w:val="18"/>
                <w:color w:val="auto"/>
                <w:w w:val="94"/>
              </w:rPr>
              <w:t>(4)%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Wyoming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7,406</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1%</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7,036</w:t>
            </w:r>
          </w:p>
        </w:tc>
        <w:tc>
          <w:tcPr>
            <w:tcW w:w="1340" w:type="dxa"/>
            <w:vAlign w:val="bottom"/>
            <w:tcBorders>
              <w:bottom w:val="single" w:sz="8" w:color="CEFFE7"/>
            </w:tcBorders>
            <w:shd w:val="clear" w:color="auto" w:fill="CEFFE7"/>
          </w:tcPr>
          <w:p>
            <w:pPr>
              <w:jc w:val="center"/>
              <w:ind w:right="90"/>
              <w:spacing w:after="0"/>
              <w:rPr>
                <w:sz w:val="20"/>
                <w:szCs w:val="20"/>
                <w:color w:val="auto"/>
              </w:rPr>
            </w:pPr>
            <w:r>
              <w:rPr>
                <w:rFonts w:ascii="Arial" w:cs="Arial" w:eastAsia="Arial" w:hAnsi="Arial"/>
                <w:sz w:val="18"/>
                <w:szCs w:val="18"/>
                <w:color w:val="auto"/>
                <w:w w:val="94"/>
              </w:rPr>
              <w:t>(7)%</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6,623</w:t>
            </w:r>
          </w:p>
        </w:tc>
        <w:tc>
          <w:tcPr>
            <w:tcW w:w="1240" w:type="dxa"/>
            <w:vAlign w:val="bottom"/>
            <w:tcBorders>
              <w:bottom w:val="single" w:sz="8" w:color="CEFFE7"/>
            </w:tcBorders>
            <w:shd w:val="clear" w:color="auto" w:fill="CEFFE7"/>
          </w:tcPr>
          <w:p>
            <w:pPr>
              <w:jc w:val="center"/>
              <w:ind w:left="10"/>
              <w:spacing w:after="0"/>
              <w:rPr>
                <w:sz w:val="20"/>
                <w:szCs w:val="20"/>
                <w:color w:val="auto"/>
              </w:rPr>
            </w:pPr>
            <w:r>
              <w:rPr>
                <w:rFonts w:ascii="Arial" w:cs="Arial" w:eastAsia="Arial" w:hAnsi="Arial"/>
                <w:sz w:val="18"/>
                <w:szCs w:val="18"/>
                <w:color w:val="auto"/>
                <w:w w:val="95"/>
              </w:rPr>
              <w:t>(12)%</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920" w:type="dxa"/>
            <w:vAlign w:val="bottom"/>
            <w:shd w:val="clear" w:color="auto" w:fill="CEFFE7"/>
          </w:tcPr>
          <w:p>
            <w:pPr>
              <w:ind w:left="720"/>
              <w:spacing w:after="0" w:line="270"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6,813</w:t>
            </w:r>
          </w:p>
        </w:tc>
        <w:tc>
          <w:tcPr>
            <w:tcW w:w="13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5%</w:t>
            </w:r>
          </w:p>
        </w:tc>
        <w:tc>
          <w:tcPr>
            <w:tcW w:w="9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6,405</w:t>
            </w:r>
          </w:p>
        </w:tc>
        <w:tc>
          <w:tcPr>
            <w:tcW w:w="1340" w:type="dxa"/>
            <w:vAlign w:val="bottom"/>
            <w:shd w:val="clear" w:color="auto" w:fill="CEFFE7"/>
          </w:tcPr>
          <w:p>
            <w:pPr>
              <w:jc w:val="center"/>
              <w:ind w:right="90"/>
              <w:spacing w:after="0"/>
              <w:rPr>
                <w:sz w:val="20"/>
                <w:szCs w:val="20"/>
                <w:color w:val="auto"/>
              </w:rPr>
            </w:pPr>
            <w:r>
              <w:rPr>
                <w:rFonts w:ascii="Arial" w:cs="Arial" w:eastAsia="Arial" w:hAnsi="Arial"/>
                <w:sz w:val="18"/>
                <w:szCs w:val="18"/>
                <w:color w:val="auto"/>
                <w:w w:val="92"/>
              </w:rPr>
              <w:t>3%</w:t>
            </w:r>
          </w:p>
        </w:tc>
        <w:tc>
          <w:tcPr>
            <w:tcW w:w="7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5,826</w:t>
            </w:r>
          </w:p>
        </w:tc>
        <w:tc>
          <w:tcPr>
            <w:tcW w:w="124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91"/>
              </w:rPr>
              <w:t>(11)%</w:t>
            </w:r>
          </w:p>
        </w:tc>
        <w:tc>
          <w:tcPr>
            <w:tcW w:w="0" w:type="dxa"/>
            <w:vAlign w:val="bottom"/>
          </w:tcPr>
          <w:p>
            <w:pPr>
              <w:spacing w:after="0"/>
              <w:rPr>
                <w:sz w:val="1"/>
                <w:szCs w:val="1"/>
                <w:color w:val="auto"/>
              </w:rPr>
            </w:pPr>
          </w:p>
        </w:tc>
      </w:tr>
      <w:tr>
        <w:trPr>
          <w:trHeight w:val="297"/>
        </w:trPr>
        <w:tc>
          <w:tcPr>
            <w:tcW w:w="49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Cooling Degree Days:</w:t>
            </w:r>
          </w:p>
        </w:tc>
        <w:tc>
          <w:tcPr>
            <w:tcW w:w="92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Colorado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1,226</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37%</w:t>
            </w:r>
          </w:p>
        </w:tc>
        <w:tc>
          <w:tcPr>
            <w:tcW w:w="900" w:type="dxa"/>
            <w:vAlign w:val="bottom"/>
          </w:tcPr>
          <w:p>
            <w:pPr>
              <w:jc w:val="right"/>
              <w:spacing w:after="0"/>
              <w:rPr>
                <w:sz w:val="20"/>
                <w:szCs w:val="20"/>
                <w:color w:val="auto"/>
              </w:rPr>
            </w:pPr>
            <w:r>
              <w:rPr>
                <w:rFonts w:ascii="Arial" w:cs="Arial" w:eastAsia="Arial" w:hAnsi="Arial"/>
                <w:sz w:val="18"/>
                <w:szCs w:val="18"/>
                <w:color w:val="auto"/>
              </w:rPr>
              <w:t>1,420</w:t>
            </w: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4"/>
              </w:rPr>
              <w:t>58%</w:t>
            </w:r>
          </w:p>
        </w:tc>
        <w:tc>
          <w:tcPr>
            <w:tcW w:w="720" w:type="dxa"/>
            <w:vAlign w:val="bottom"/>
          </w:tcPr>
          <w:p>
            <w:pPr>
              <w:jc w:val="right"/>
              <w:spacing w:after="0"/>
              <w:rPr>
                <w:sz w:val="20"/>
                <w:szCs w:val="20"/>
                <w:color w:val="auto"/>
              </w:rPr>
            </w:pPr>
            <w:r>
              <w:rPr>
                <w:rFonts w:ascii="Arial" w:cs="Arial" w:eastAsia="Arial" w:hAnsi="Arial"/>
                <w:sz w:val="18"/>
                <w:szCs w:val="18"/>
                <w:color w:val="auto"/>
              </w:rPr>
              <w:t>1,027</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South Dakota Electric</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404</w:t>
            </w:r>
          </w:p>
        </w:tc>
        <w:tc>
          <w:tcPr>
            <w:tcW w:w="13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(36)%</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488</w:t>
            </w:r>
          </w:p>
        </w:tc>
        <w:tc>
          <w:tcPr>
            <w:tcW w:w="134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95"/>
              </w:rPr>
              <w:t>(23)%</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709</w:t>
            </w:r>
          </w:p>
        </w:tc>
        <w:tc>
          <w:tcPr>
            <w:tcW w:w="1240" w:type="dxa"/>
            <w:vAlign w:val="bottom"/>
            <w:tcBorders>
              <w:bottom w:val="single" w:sz="8" w:color="CEFFE7"/>
            </w:tcBorders>
            <w:shd w:val="clear" w:color="auto" w:fill="CEFFE7"/>
          </w:tcPr>
          <w:p>
            <w:pPr>
              <w:jc w:val="center"/>
              <w:ind w:left="30"/>
              <w:spacing w:after="0"/>
              <w:rPr>
                <w:sz w:val="20"/>
                <w:szCs w:val="20"/>
                <w:color w:val="auto"/>
              </w:rPr>
            </w:pPr>
            <w:r>
              <w:rPr>
                <w:rFonts w:ascii="Arial" w:cs="Arial" w:eastAsia="Arial" w:hAnsi="Arial"/>
                <w:sz w:val="18"/>
                <w:szCs w:val="18"/>
                <w:color w:val="auto"/>
                <w:w w:val="88"/>
              </w:rPr>
              <w:t>11%</w:t>
            </w:r>
          </w:p>
        </w:tc>
        <w:tc>
          <w:tcPr>
            <w:tcW w:w="0" w:type="dxa"/>
            <w:vAlign w:val="bottom"/>
          </w:tcPr>
          <w:p>
            <w:pPr>
              <w:spacing w:after="0"/>
              <w:rPr>
                <w:sz w:val="1"/>
                <w:szCs w:val="1"/>
                <w:color w:val="auto"/>
              </w:rPr>
            </w:pPr>
          </w:p>
        </w:tc>
      </w:tr>
      <w:tr>
        <w:trPr>
          <w:trHeight w:val="243"/>
        </w:trPr>
        <w:tc>
          <w:tcPr>
            <w:tcW w:w="4920" w:type="dxa"/>
            <w:vAlign w:val="bottom"/>
          </w:tcPr>
          <w:p>
            <w:pPr>
              <w:ind w:left="280"/>
              <w:spacing w:after="0"/>
              <w:rPr>
                <w:sz w:val="20"/>
                <w:szCs w:val="20"/>
                <w:color w:val="auto"/>
              </w:rPr>
            </w:pPr>
            <w:r>
              <w:rPr>
                <w:rFonts w:ascii="Arial" w:cs="Arial" w:eastAsia="Arial" w:hAnsi="Arial"/>
                <w:sz w:val="18"/>
                <w:szCs w:val="18"/>
                <w:color w:val="auto"/>
              </w:rPr>
              <w:t>Wyoming Electric</w:t>
            </w:r>
          </w:p>
        </w:tc>
        <w:tc>
          <w:tcPr>
            <w:tcW w:w="920" w:type="dxa"/>
            <w:vAlign w:val="bottom"/>
          </w:tcPr>
          <w:p>
            <w:pPr>
              <w:jc w:val="right"/>
              <w:spacing w:after="0"/>
              <w:rPr>
                <w:sz w:val="20"/>
                <w:szCs w:val="20"/>
                <w:color w:val="auto"/>
              </w:rPr>
            </w:pPr>
            <w:r>
              <w:rPr>
                <w:rFonts w:ascii="Arial" w:cs="Arial" w:eastAsia="Arial" w:hAnsi="Arial"/>
                <w:sz w:val="18"/>
                <w:szCs w:val="18"/>
                <w:color w:val="auto"/>
              </w:rPr>
              <w:t>462</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33%</w:t>
            </w:r>
          </w:p>
        </w:tc>
        <w:tc>
          <w:tcPr>
            <w:tcW w:w="900" w:type="dxa"/>
            <w:vAlign w:val="bottom"/>
          </w:tcPr>
          <w:p>
            <w:pPr>
              <w:jc w:val="right"/>
              <w:spacing w:after="0"/>
              <w:rPr>
                <w:sz w:val="20"/>
                <w:szCs w:val="20"/>
                <w:color w:val="auto"/>
              </w:rPr>
            </w:pPr>
            <w:r>
              <w:rPr>
                <w:rFonts w:ascii="Arial" w:cs="Arial" w:eastAsia="Arial" w:hAnsi="Arial"/>
                <w:sz w:val="18"/>
                <w:szCs w:val="18"/>
                <w:color w:val="auto"/>
              </w:rPr>
              <w:t>430</w:t>
            </w: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4"/>
              </w:rPr>
              <w:t>24%</w:t>
            </w:r>
          </w:p>
        </w:tc>
        <w:tc>
          <w:tcPr>
            <w:tcW w:w="720" w:type="dxa"/>
            <w:vAlign w:val="bottom"/>
          </w:tcPr>
          <w:p>
            <w:pPr>
              <w:jc w:val="right"/>
              <w:spacing w:after="0"/>
              <w:rPr>
                <w:sz w:val="20"/>
                <w:szCs w:val="20"/>
                <w:color w:val="auto"/>
              </w:rPr>
            </w:pPr>
            <w:r>
              <w:rPr>
                <w:rFonts w:ascii="Arial" w:cs="Arial" w:eastAsia="Arial" w:hAnsi="Arial"/>
                <w:sz w:val="18"/>
                <w:szCs w:val="18"/>
                <w:color w:val="auto"/>
              </w:rPr>
              <w:t>429</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23%</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492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138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1340" w:type="dxa"/>
            <w:vAlign w:val="bottom"/>
            <w:shd w:val="clear" w:color="auto" w:fill="CEFFE7"/>
          </w:tcPr>
          <w:p>
            <w:pPr>
              <w:spacing w:after="0"/>
              <w:rPr>
                <w:sz w:val="24"/>
                <w:szCs w:val="24"/>
                <w:color w:val="auto"/>
              </w:rPr>
            </w:pPr>
          </w:p>
        </w:tc>
        <w:tc>
          <w:tcPr>
            <w:tcW w:w="72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20" w:type="dxa"/>
            <w:vAlign w:val="bottom"/>
          </w:tcPr>
          <w:p>
            <w:pPr>
              <w:ind w:left="720"/>
              <w:spacing w:after="0" w:line="256"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(a)</w:t>
            </w:r>
          </w:p>
        </w:tc>
        <w:tc>
          <w:tcPr>
            <w:tcW w:w="920" w:type="dxa"/>
            <w:vAlign w:val="bottom"/>
          </w:tcPr>
          <w:p>
            <w:pPr>
              <w:jc w:val="right"/>
              <w:spacing w:after="0"/>
              <w:rPr>
                <w:sz w:val="20"/>
                <w:szCs w:val="20"/>
                <w:color w:val="auto"/>
              </w:rPr>
            </w:pPr>
            <w:r>
              <w:rPr>
                <w:rFonts w:ascii="Arial" w:cs="Arial" w:eastAsia="Arial" w:hAnsi="Arial"/>
                <w:sz w:val="18"/>
                <w:szCs w:val="18"/>
                <w:color w:val="auto"/>
              </w:rPr>
              <w:t>791</w:t>
            </w:r>
          </w:p>
        </w:tc>
        <w:tc>
          <w:tcPr>
            <w:tcW w:w="1380" w:type="dxa"/>
            <w:vAlign w:val="bottom"/>
          </w:tcPr>
          <w:p>
            <w:pPr>
              <w:jc w:val="center"/>
              <w:spacing w:after="0"/>
              <w:rPr>
                <w:sz w:val="20"/>
                <w:szCs w:val="20"/>
                <w:color w:val="auto"/>
              </w:rPr>
            </w:pPr>
            <w:r>
              <w:rPr>
                <w:rFonts w:ascii="Arial" w:cs="Arial" w:eastAsia="Arial" w:hAnsi="Arial"/>
                <w:sz w:val="18"/>
                <w:szCs w:val="18"/>
                <w:color w:val="auto"/>
                <w:w w:val="88"/>
              </w:rPr>
              <w:t>14%</w:t>
            </w:r>
          </w:p>
        </w:tc>
        <w:tc>
          <w:tcPr>
            <w:tcW w:w="900" w:type="dxa"/>
            <w:vAlign w:val="bottom"/>
          </w:tcPr>
          <w:p>
            <w:pPr>
              <w:jc w:val="right"/>
              <w:spacing w:after="0"/>
              <w:rPr>
                <w:sz w:val="20"/>
                <w:szCs w:val="20"/>
                <w:color w:val="auto"/>
              </w:rPr>
            </w:pPr>
            <w:r>
              <w:rPr>
                <w:rFonts w:ascii="Arial" w:cs="Arial" w:eastAsia="Arial" w:hAnsi="Arial"/>
                <w:sz w:val="18"/>
                <w:szCs w:val="18"/>
                <w:color w:val="auto"/>
              </w:rPr>
              <w:t>902</w:t>
            </w:r>
          </w:p>
        </w:tc>
        <w:tc>
          <w:tcPr>
            <w:tcW w:w="1340" w:type="dxa"/>
            <w:vAlign w:val="bottom"/>
          </w:tcPr>
          <w:p>
            <w:pPr>
              <w:jc w:val="center"/>
              <w:ind w:right="70"/>
              <w:spacing w:after="0"/>
              <w:rPr>
                <w:sz w:val="20"/>
                <w:szCs w:val="20"/>
                <w:color w:val="auto"/>
              </w:rPr>
            </w:pPr>
            <w:r>
              <w:rPr>
                <w:rFonts w:ascii="Arial" w:cs="Arial" w:eastAsia="Arial" w:hAnsi="Arial"/>
                <w:sz w:val="18"/>
                <w:szCs w:val="18"/>
                <w:color w:val="auto"/>
                <w:w w:val="94"/>
              </w:rPr>
              <w:t>29%</w:t>
            </w:r>
          </w:p>
        </w:tc>
        <w:tc>
          <w:tcPr>
            <w:tcW w:w="720" w:type="dxa"/>
            <w:vAlign w:val="bottom"/>
          </w:tcPr>
          <w:p>
            <w:pPr>
              <w:jc w:val="right"/>
              <w:spacing w:after="0"/>
              <w:rPr>
                <w:sz w:val="20"/>
                <w:szCs w:val="20"/>
                <w:color w:val="auto"/>
              </w:rPr>
            </w:pPr>
            <w:r>
              <w:rPr>
                <w:rFonts w:ascii="Arial" w:cs="Arial" w:eastAsia="Arial" w:hAnsi="Arial"/>
                <w:sz w:val="18"/>
                <w:szCs w:val="18"/>
                <w:color w:val="auto"/>
              </w:rPr>
              <w:t>798</w:t>
            </w:r>
          </w:p>
        </w:tc>
        <w:tc>
          <w:tcPr>
            <w:tcW w:w="1240" w:type="dxa"/>
            <w:vAlign w:val="bottom"/>
          </w:tcPr>
          <w:p>
            <w:pPr>
              <w:jc w:val="center"/>
              <w:ind w:left="10"/>
              <w:spacing w:after="0"/>
              <w:rPr>
                <w:sz w:val="20"/>
                <w:szCs w:val="20"/>
                <w:color w:val="auto"/>
              </w:rPr>
            </w:pPr>
            <w:r>
              <w:rPr>
                <w:rFonts w:ascii="Arial" w:cs="Arial" w:eastAsia="Arial" w:hAnsi="Arial"/>
                <w:sz w:val="18"/>
                <w:szCs w:val="18"/>
                <w:color w:val="auto"/>
                <w:w w:val="94"/>
              </w:rPr>
              <w:t>14%</w:t>
            </w:r>
          </w:p>
        </w:tc>
        <w:tc>
          <w:tcPr>
            <w:tcW w:w="0" w:type="dxa"/>
            <w:vAlign w:val="bottom"/>
          </w:tcPr>
          <w:p>
            <w:pPr>
              <w:spacing w:after="0"/>
              <w:rPr>
                <w:sz w:val="1"/>
                <w:szCs w:val="1"/>
                <w:color w:val="auto"/>
              </w:rPr>
            </w:pPr>
          </w:p>
        </w:tc>
      </w:tr>
      <w:tr>
        <w:trPr>
          <w:trHeight w:val="230"/>
        </w:trPr>
        <w:tc>
          <w:tcPr>
            <w:tcW w:w="4920" w:type="dxa"/>
            <w:vAlign w:val="bottom"/>
          </w:tcPr>
          <w:p>
            <w:pPr>
              <w:spacing w:after="0"/>
              <w:rPr>
                <w:sz w:val="20"/>
                <w:szCs w:val="20"/>
                <w:color w:val="auto"/>
              </w:rPr>
            </w:pPr>
            <w:r>
              <w:rPr>
                <w:rFonts w:ascii="Arial" w:cs="Arial" w:eastAsia="Arial" w:hAnsi="Arial"/>
                <w:sz w:val="18"/>
                <w:szCs w:val="18"/>
                <w:color w:val="auto"/>
              </w:rPr>
              <w:t>________________</w:t>
            </w:r>
          </w:p>
        </w:tc>
        <w:tc>
          <w:tcPr>
            <w:tcW w:w="92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combined degree days are calculated based on a weighted average of total customers by state.</w:t>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4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160" w:type="dxa"/>
            <w:vAlign w:val="bottom"/>
            <w:gridSpan w:val="5"/>
          </w:tcPr>
          <w:p>
            <w:pPr>
              <w:jc w:val="center"/>
              <w:ind w:right="159"/>
              <w:spacing w:after="0"/>
              <w:rPr>
                <w:sz w:val="20"/>
                <w:szCs w:val="20"/>
                <w:color w:val="auto"/>
              </w:rPr>
            </w:pPr>
            <w:r>
              <w:rPr>
                <w:rFonts w:ascii="Arial" w:cs="Arial" w:eastAsia="Arial" w:hAnsi="Arial"/>
                <w:sz w:val="16"/>
                <w:szCs w:val="16"/>
                <w:color w:val="auto"/>
                <w:w w:val="91"/>
              </w:rPr>
              <w:t>Electric Revenue (in thousands)</w:t>
            </w:r>
          </w:p>
        </w:tc>
        <w:tc>
          <w:tcPr>
            <w:tcW w:w="120" w:type="dxa"/>
            <w:vAlign w:val="bottom"/>
          </w:tcPr>
          <w:p>
            <w:pPr>
              <w:spacing w:after="0"/>
              <w:rPr>
                <w:sz w:val="17"/>
                <w:szCs w:val="17"/>
                <w:color w:val="auto"/>
              </w:rPr>
            </w:pPr>
          </w:p>
        </w:tc>
        <w:tc>
          <w:tcPr>
            <w:tcW w:w="2560" w:type="dxa"/>
            <w:vAlign w:val="bottom"/>
            <w:gridSpan w:val="2"/>
          </w:tcPr>
          <w:p>
            <w:pPr>
              <w:jc w:val="center"/>
              <w:ind w:left="779"/>
              <w:spacing w:after="0"/>
              <w:rPr>
                <w:sz w:val="20"/>
                <w:szCs w:val="20"/>
                <w:color w:val="auto"/>
              </w:rPr>
            </w:pPr>
            <w:r>
              <w:rPr>
                <w:rFonts w:ascii="Arial" w:cs="Arial" w:eastAsia="Arial" w:hAnsi="Arial"/>
                <w:sz w:val="16"/>
                <w:szCs w:val="16"/>
                <w:color w:val="auto"/>
                <w:w w:val="95"/>
              </w:rPr>
              <w:t>Quantities Sold (MWh)</w:t>
            </w:r>
          </w:p>
        </w:tc>
        <w:tc>
          <w:tcPr>
            <w:tcW w:w="840" w:type="dxa"/>
            <w:vAlign w:val="bottom"/>
          </w:tcPr>
          <w:p>
            <w:pPr>
              <w:spacing w:after="0"/>
              <w:rPr>
                <w:sz w:val="17"/>
                <w:szCs w:val="17"/>
                <w:color w:val="auto"/>
              </w:rPr>
            </w:pPr>
          </w:p>
        </w:tc>
      </w:tr>
      <w:tr>
        <w:trPr>
          <w:trHeight w:val="33"/>
        </w:trPr>
        <w:tc>
          <w:tcPr>
            <w:tcW w:w="44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gridSpan w:val="5"/>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0" w:type="dxa"/>
            <w:vAlign w:val="bottom"/>
            <w:tcBorders>
              <w:bottom w:val="single" w:sz="8" w:color="auto"/>
            </w:tcBorders>
            <w:gridSpan w:val="3"/>
          </w:tcPr>
          <w:p>
            <w:pPr>
              <w:spacing w:after="0"/>
              <w:rPr>
                <w:sz w:val="2"/>
                <w:szCs w:val="2"/>
                <w:color w:val="auto"/>
              </w:rPr>
            </w:pPr>
          </w:p>
        </w:tc>
      </w:tr>
      <w:tr>
        <w:trPr>
          <w:trHeight w:val="231"/>
        </w:trPr>
        <w:tc>
          <w:tcPr>
            <w:tcW w:w="44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5"/>
          </w:tcPr>
          <w:p>
            <w:pPr>
              <w:jc w:val="center"/>
              <w:ind w:right="159"/>
              <w:spacing w:after="0"/>
              <w:rPr>
                <w:sz w:val="20"/>
                <w:szCs w:val="20"/>
                <w:color w:val="auto"/>
              </w:rPr>
            </w:pPr>
            <w:r>
              <w:rPr>
                <w:rFonts w:ascii="Arial" w:cs="Arial" w:eastAsia="Arial" w:hAnsi="Arial"/>
                <w:sz w:val="16"/>
                <w:szCs w:val="16"/>
                <w:color w:val="auto"/>
                <w:w w:val="89"/>
              </w:rPr>
              <w:t>For the year ended December 31,</w:t>
            </w:r>
          </w:p>
        </w:tc>
        <w:tc>
          <w:tcPr>
            <w:tcW w:w="120" w:type="dxa"/>
            <w:vAlign w:val="bottom"/>
          </w:tcPr>
          <w:p>
            <w:pPr>
              <w:spacing w:after="0"/>
              <w:rPr>
                <w:sz w:val="20"/>
                <w:szCs w:val="20"/>
                <w:color w:val="auto"/>
              </w:rPr>
            </w:pP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w w:val="89"/>
              </w:rPr>
              <w:t>For the year ended December 31,</w:t>
            </w:r>
          </w:p>
        </w:tc>
      </w:tr>
      <w:tr>
        <w:trPr>
          <w:trHeight w:val="270"/>
        </w:trPr>
        <w:tc>
          <w:tcPr>
            <w:tcW w:w="44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2019</w:t>
            </w:r>
          </w:p>
        </w:tc>
        <w:tc>
          <w:tcPr>
            <w:tcW w:w="300" w:type="dxa"/>
            <w:vAlign w:val="bottom"/>
          </w:tcPr>
          <w:p>
            <w:pPr>
              <w:spacing w:after="0"/>
              <w:rPr>
                <w:sz w:val="23"/>
                <w:szCs w:val="23"/>
                <w:color w:val="auto"/>
              </w:rPr>
            </w:pPr>
          </w:p>
        </w:tc>
        <w:tc>
          <w:tcPr>
            <w:tcW w:w="840" w:type="dxa"/>
            <w:vAlign w:val="bottom"/>
          </w:tcPr>
          <w:p>
            <w:pPr>
              <w:jc w:val="center"/>
              <w:ind w:right="119"/>
              <w:spacing w:after="0"/>
              <w:rPr>
                <w:sz w:val="20"/>
                <w:szCs w:val="20"/>
                <w:color w:val="auto"/>
              </w:rPr>
            </w:pPr>
            <w:r>
              <w:rPr>
                <w:rFonts w:ascii="Arial" w:cs="Arial" w:eastAsia="Arial" w:hAnsi="Arial"/>
                <w:sz w:val="16"/>
                <w:szCs w:val="16"/>
                <w:color w:val="auto"/>
                <w:w w:val="89"/>
              </w:rPr>
              <w:t>2018</w:t>
            </w:r>
          </w:p>
        </w:tc>
        <w:tc>
          <w:tcPr>
            <w:tcW w:w="300" w:type="dxa"/>
            <w:vAlign w:val="bottom"/>
          </w:tcPr>
          <w:p>
            <w:pPr>
              <w:spacing w:after="0"/>
              <w:rPr>
                <w:sz w:val="23"/>
                <w:szCs w:val="23"/>
                <w:color w:val="auto"/>
              </w:rPr>
            </w:pPr>
          </w:p>
        </w:tc>
        <w:tc>
          <w:tcPr>
            <w:tcW w:w="860" w:type="dxa"/>
            <w:vAlign w:val="bottom"/>
          </w:tcPr>
          <w:p>
            <w:pPr>
              <w:jc w:val="right"/>
              <w:ind w:right="299"/>
              <w:spacing w:after="0"/>
              <w:rPr>
                <w:sz w:val="20"/>
                <w:szCs w:val="20"/>
                <w:color w:val="auto"/>
              </w:rPr>
            </w:pPr>
            <w:r>
              <w:rPr>
                <w:rFonts w:ascii="Arial" w:cs="Arial" w:eastAsia="Arial" w:hAnsi="Arial"/>
                <w:sz w:val="16"/>
                <w:szCs w:val="16"/>
                <w:color w:val="auto"/>
              </w:rPr>
              <w:t>2017</w:t>
            </w:r>
          </w:p>
        </w:tc>
        <w:tc>
          <w:tcPr>
            <w:tcW w:w="1380" w:type="dxa"/>
            <w:vAlign w:val="bottom"/>
            <w:gridSpan w:val="2"/>
          </w:tcPr>
          <w:p>
            <w:pPr>
              <w:jc w:val="right"/>
              <w:ind w:right="459"/>
              <w:spacing w:after="0"/>
              <w:rPr>
                <w:sz w:val="20"/>
                <w:szCs w:val="20"/>
                <w:color w:val="auto"/>
              </w:rPr>
            </w:pPr>
            <w:r>
              <w:rPr>
                <w:rFonts w:ascii="Arial" w:cs="Arial" w:eastAsia="Arial" w:hAnsi="Arial"/>
                <w:sz w:val="16"/>
                <w:szCs w:val="16"/>
                <w:color w:val="auto"/>
              </w:rPr>
              <w:t>2019</w:t>
            </w:r>
          </w:p>
        </w:tc>
        <w:tc>
          <w:tcPr>
            <w:tcW w:w="1300" w:type="dxa"/>
            <w:vAlign w:val="bottom"/>
          </w:tcPr>
          <w:p>
            <w:pPr>
              <w:jc w:val="center"/>
              <w:ind w:right="339"/>
              <w:spacing w:after="0"/>
              <w:rPr>
                <w:sz w:val="20"/>
                <w:szCs w:val="20"/>
                <w:color w:val="auto"/>
              </w:rPr>
            </w:pPr>
            <w:r>
              <w:rPr>
                <w:rFonts w:ascii="Arial" w:cs="Arial" w:eastAsia="Arial" w:hAnsi="Arial"/>
                <w:sz w:val="16"/>
                <w:szCs w:val="16"/>
                <w:color w:val="auto"/>
                <w:w w:val="89"/>
              </w:rPr>
              <w:t>2018</w:t>
            </w:r>
          </w:p>
        </w:tc>
        <w:tc>
          <w:tcPr>
            <w:tcW w:w="840" w:type="dxa"/>
            <w:vAlign w:val="bottom"/>
          </w:tcPr>
          <w:p>
            <w:pPr>
              <w:jc w:val="right"/>
              <w:ind w:right="319"/>
              <w:spacing w:after="0"/>
              <w:rPr>
                <w:sz w:val="20"/>
                <w:szCs w:val="20"/>
                <w:color w:val="auto"/>
              </w:rPr>
            </w:pPr>
            <w:r>
              <w:rPr>
                <w:rFonts w:ascii="Arial" w:cs="Arial" w:eastAsia="Arial" w:hAnsi="Arial"/>
                <w:sz w:val="16"/>
                <w:szCs w:val="16"/>
                <w:color w:val="auto"/>
              </w:rPr>
              <w:t>2017</w:t>
            </w:r>
          </w:p>
        </w:tc>
      </w:tr>
      <w:tr>
        <w:trPr>
          <w:trHeight w:val="33"/>
        </w:trPr>
        <w:tc>
          <w:tcPr>
            <w:tcW w:w="44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gridSpan w:val="2"/>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1"/>
        </w:trPr>
        <w:tc>
          <w:tcPr>
            <w:tcW w:w="4480" w:type="dxa"/>
            <w:vAlign w:val="bottom"/>
          </w:tcPr>
          <w:p>
            <w:pPr>
              <w:ind w:left="40"/>
              <w:spacing w:after="0"/>
              <w:rPr>
                <w:sz w:val="20"/>
                <w:szCs w:val="20"/>
                <w:color w:val="auto"/>
              </w:rPr>
            </w:pPr>
            <w:r>
              <w:rPr>
                <w:rFonts w:ascii="Arial" w:cs="Arial" w:eastAsia="Arial" w:hAnsi="Arial"/>
                <w:sz w:val="16"/>
                <w:szCs w:val="16"/>
                <w:color w:val="auto"/>
              </w:rPr>
              <w:t>Residential</w:t>
            </w:r>
          </w:p>
        </w:tc>
        <w:tc>
          <w:tcPr>
            <w:tcW w:w="260" w:type="dxa"/>
            <w:vAlign w:val="bottom"/>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216,108</w:t>
            </w:r>
          </w:p>
        </w:tc>
        <w:tc>
          <w:tcPr>
            <w:tcW w:w="30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218,558</w:t>
            </w:r>
          </w:p>
        </w:tc>
        <w:tc>
          <w:tcPr>
            <w:tcW w:w="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210,172</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1,440,551</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1,450,585</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1,390,952</w:t>
            </w:r>
          </w:p>
        </w:tc>
      </w:tr>
      <w:tr>
        <w:trPr>
          <w:trHeight w:val="33"/>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44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246,704</w:t>
            </w:r>
          </w:p>
        </w:tc>
        <w:tc>
          <w:tcPr>
            <w:tcW w:w="3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250,894</w:t>
            </w:r>
          </w:p>
        </w:tc>
        <w:tc>
          <w:tcPr>
            <w:tcW w:w="30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258,754</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2,055,253</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2,034,917</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2,038,495</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Industrial</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131,831</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124,668</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122,958</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1,787,412</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1,682,074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1,598,755</w:t>
            </w:r>
          </w:p>
        </w:tc>
      </w:tr>
      <w:tr>
        <w:trPr>
          <w:trHeight w:val="33"/>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Municipal</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17,206</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17,871</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18,144</w:t>
            </w:r>
          </w:p>
        </w:tc>
        <w:tc>
          <w:tcPr>
            <w:tcW w:w="1380" w:type="dxa"/>
            <w:vAlign w:val="bottom"/>
            <w:tcBorders>
              <w:bottom w:val="single" w:sz="8" w:color="CEFFE7"/>
            </w:tcBorders>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157,298</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160,913</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160,882</w:t>
            </w:r>
          </w:p>
        </w:tc>
      </w:tr>
      <w:tr>
        <w:trPr>
          <w:trHeight w:val="217"/>
        </w:trPr>
        <w:tc>
          <w:tcPr>
            <w:tcW w:w="4480" w:type="dxa"/>
            <w:vAlign w:val="bottom"/>
          </w:tcPr>
          <w:p>
            <w:pPr>
              <w:ind w:left="280"/>
              <w:spacing w:after="0"/>
              <w:rPr>
                <w:sz w:val="20"/>
                <w:szCs w:val="20"/>
                <w:color w:val="auto"/>
              </w:rPr>
            </w:pPr>
            <w:r>
              <w:rPr>
                <w:rFonts w:ascii="Arial" w:cs="Arial" w:eastAsia="Arial" w:hAnsi="Arial"/>
                <w:sz w:val="16"/>
                <w:szCs w:val="16"/>
                <w:color w:val="auto"/>
              </w:rPr>
              <w:t>Subtotal Retail Revenue - Electric</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611,849</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611,991</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610,028</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5,440,514</w:t>
            </w:r>
          </w:p>
        </w:tc>
        <w:tc>
          <w:tcPr>
            <w:tcW w:w="13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5,328,489</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5,189,084</w:t>
            </w:r>
          </w:p>
        </w:tc>
      </w:tr>
      <w:tr>
        <w:trPr>
          <w:trHeight w:val="33"/>
        </w:trPr>
        <w:tc>
          <w:tcPr>
            <w:tcW w:w="44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50"/>
        </w:trPr>
        <w:tc>
          <w:tcPr>
            <w:tcW w:w="448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Contract Wholesale </w:t>
            </w:r>
            <w:r>
              <w:rPr>
                <w:rFonts w:ascii="Arial" w:cs="Arial" w:eastAsia="Arial" w:hAnsi="Arial"/>
                <w:sz w:val="21"/>
                <w:szCs w:val="21"/>
                <w:color w:val="auto"/>
                <w:vertAlign w:val="superscript"/>
              </w:rPr>
              <w:t>(a)</w:t>
            </w:r>
          </w:p>
        </w:tc>
        <w:tc>
          <w:tcPr>
            <w:tcW w:w="260" w:type="dxa"/>
            <w:vAlign w:val="bottom"/>
            <w:shd w:val="clear" w:color="auto" w:fill="CEFFE7"/>
          </w:tcPr>
          <w:p>
            <w:pPr>
              <w:spacing w:after="0"/>
              <w:rPr>
                <w:sz w:val="21"/>
                <w:szCs w:val="21"/>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19,078</w:t>
            </w:r>
          </w:p>
        </w:tc>
        <w:tc>
          <w:tcPr>
            <w:tcW w:w="300" w:type="dxa"/>
            <w:vAlign w:val="bottom"/>
            <w:shd w:val="clear" w:color="auto" w:fill="CEFFE7"/>
          </w:tcPr>
          <w:p>
            <w:pPr>
              <w:spacing w:after="0"/>
              <w:rPr>
                <w:sz w:val="21"/>
                <w:szCs w:val="21"/>
                <w:color w:val="auto"/>
              </w:rPr>
            </w:pPr>
          </w:p>
        </w:tc>
        <w:tc>
          <w:tcPr>
            <w:tcW w:w="8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33,688</w:t>
            </w:r>
          </w:p>
        </w:tc>
        <w:tc>
          <w:tcPr>
            <w:tcW w:w="300" w:type="dxa"/>
            <w:vAlign w:val="bottom"/>
            <w:shd w:val="clear" w:color="auto" w:fill="CEFFE7"/>
          </w:tcPr>
          <w:p>
            <w:pPr>
              <w:spacing w:after="0"/>
              <w:rPr>
                <w:sz w:val="21"/>
                <w:szCs w:val="21"/>
                <w:color w:val="auto"/>
              </w:rPr>
            </w:pPr>
          </w:p>
        </w:tc>
        <w:tc>
          <w:tcPr>
            <w:tcW w:w="8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30,435</w:t>
            </w:r>
          </w:p>
        </w:tc>
        <w:tc>
          <w:tcPr>
            <w:tcW w:w="1380" w:type="dxa"/>
            <w:vAlign w:val="bottom"/>
            <w:gridSpan w:val="2"/>
            <w:shd w:val="clear" w:color="auto" w:fill="CEFFE7"/>
          </w:tcPr>
          <w:p>
            <w:pPr>
              <w:jc w:val="right"/>
              <w:ind w:right="159"/>
              <w:spacing w:after="0"/>
              <w:rPr>
                <w:sz w:val="20"/>
                <w:szCs w:val="20"/>
                <w:color w:val="auto"/>
              </w:rPr>
            </w:pPr>
            <w:r>
              <w:rPr>
                <w:rFonts w:ascii="Arial" w:cs="Arial" w:eastAsia="Arial" w:hAnsi="Arial"/>
                <w:sz w:val="16"/>
                <w:szCs w:val="16"/>
                <w:color w:val="auto"/>
              </w:rPr>
              <w:t>368,360</w:t>
            </w:r>
          </w:p>
        </w:tc>
        <w:tc>
          <w:tcPr>
            <w:tcW w:w="130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900,854</w:t>
            </w:r>
          </w:p>
        </w:tc>
        <w:tc>
          <w:tcPr>
            <w:tcW w:w="8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722,659</w:t>
            </w:r>
          </w:p>
        </w:tc>
      </w:tr>
      <w:tr>
        <w:trPr>
          <w:trHeight w:val="237"/>
        </w:trPr>
        <w:tc>
          <w:tcPr>
            <w:tcW w:w="4480" w:type="dxa"/>
            <w:vAlign w:val="bottom"/>
          </w:tcPr>
          <w:p>
            <w:pPr>
              <w:ind w:left="40"/>
              <w:spacing w:after="0"/>
              <w:rPr>
                <w:sz w:val="20"/>
                <w:szCs w:val="20"/>
                <w:color w:val="auto"/>
              </w:rPr>
            </w:pPr>
            <w:r>
              <w:rPr>
                <w:rFonts w:ascii="Arial" w:cs="Arial" w:eastAsia="Arial" w:hAnsi="Arial"/>
                <w:sz w:val="16"/>
                <w:szCs w:val="16"/>
                <w:color w:val="auto"/>
              </w:rPr>
              <w:t>Off-system/Power Marketing Wholesale</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25,622</w:t>
            </w:r>
          </w:p>
        </w:tc>
        <w:tc>
          <w:tcPr>
            <w:tcW w:w="3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24,800</w:t>
            </w:r>
          </w:p>
        </w:tc>
        <w:tc>
          <w:tcPr>
            <w:tcW w:w="300" w:type="dxa"/>
            <w:vAlign w:val="bottom"/>
          </w:tcPr>
          <w:p>
            <w:pPr>
              <w:spacing w:after="0"/>
              <w:rPr>
                <w:sz w:val="20"/>
                <w:szCs w:val="20"/>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21,111</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701,633</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673,994</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661,263</w:t>
            </w:r>
          </w:p>
        </w:tc>
      </w:tr>
      <w:tr>
        <w:trPr>
          <w:trHeight w:val="33"/>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Other</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56,203</w:t>
            </w:r>
          </w:p>
        </w:tc>
        <w:tc>
          <w:tcPr>
            <w:tcW w:w="30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40,972</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43,076</w:t>
            </w:r>
          </w:p>
        </w:tc>
        <w:tc>
          <w:tcPr>
            <w:tcW w:w="120" w:type="dxa"/>
            <w:vAlign w:val="bottom"/>
            <w:tcBorders>
              <w:bottom w:val="single" w:sz="8" w:color="CEFFE7"/>
            </w:tcBorders>
            <w:shd w:val="clear" w:color="auto" w:fill="CEFFE7"/>
          </w:tcPr>
          <w:p>
            <w:pPr>
              <w:spacing w:after="0"/>
              <w:rPr>
                <w:sz w:val="23"/>
                <w:szCs w:val="23"/>
                <w:color w:val="auto"/>
              </w:rPr>
            </w:pPr>
          </w:p>
        </w:tc>
        <w:tc>
          <w:tcPr>
            <w:tcW w:w="12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CEFFE7"/>
            </w:tcBorders>
            <w:shd w:val="clear" w:color="auto" w:fill="CEFFE7"/>
          </w:tcPr>
          <w:p>
            <w:pPr>
              <w:jc w:val="right"/>
              <w:ind w:right="31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4480" w:type="dxa"/>
            <w:vAlign w:val="bottom"/>
          </w:tcPr>
          <w:p>
            <w:pPr>
              <w:ind w:left="280"/>
              <w:spacing w:after="0"/>
              <w:rPr>
                <w:sz w:val="20"/>
                <w:szCs w:val="20"/>
                <w:color w:val="auto"/>
              </w:rPr>
            </w:pPr>
            <w:r>
              <w:rPr>
                <w:rFonts w:ascii="Arial" w:cs="Arial" w:eastAsia="Arial" w:hAnsi="Arial"/>
                <w:sz w:val="16"/>
                <w:szCs w:val="16"/>
                <w:color w:val="auto"/>
              </w:rPr>
              <w:t>Total Revenue and Energy Sold</w:t>
            </w:r>
          </w:p>
        </w:tc>
        <w:tc>
          <w:tcPr>
            <w:tcW w:w="2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712,752</w:t>
            </w:r>
          </w:p>
        </w:tc>
        <w:tc>
          <w:tcPr>
            <w:tcW w:w="3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711,451</w:t>
            </w:r>
          </w:p>
        </w:tc>
        <w:tc>
          <w:tcPr>
            <w:tcW w:w="30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704,650</w:t>
            </w:r>
          </w:p>
        </w:tc>
        <w:tc>
          <w:tcPr>
            <w:tcW w:w="120" w:type="dxa"/>
            <w:vAlign w:val="bottom"/>
          </w:tcPr>
          <w:p>
            <w:pPr>
              <w:spacing w:after="0"/>
              <w:rPr>
                <w:sz w:val="18"/>
                <w:szCs w:val="18"/>
                <w:color w:val="auto"/>
              </w:rPr>
            </w:pPr>
          </w:p>
        </w:tc>
        <w:tc>
          <w:tcPr>
            <w:tcW w:w="126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6,510,507</w:t>
            </w:r>
          </w:p>
        </w:tc>
        <w:tc>
          <w:tcPr>
            <w:tcW w:w="130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6,903,337</w:t>
            </w:r>
          </w:p>
        </w:tc>
        <w:tc>
          <w:tcPr>
            <w:tcW w:w="8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6,573,006</w:t>
            </w:r>
          </w:p>
        </w:tc>
      </w:tr>
      <w:tr>
        <w:trPr>
          <w:trHeight w:val="33"/>
        </w:trPr>
        <w:tc>
          <w:tcPr>
            <w:tcW w:w="44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4480" w:type="dxa"/>
            <w:vAlign w:val="bottom"/>
            <w:shd w:val="clear" w:color="auto" w:fill="CEFFE7"/>
          </w:tcPr>
          <w:p>
            <w:pPr>
              <w:ind w:left="40"/>
              <w:spacing w:after="0"/>
              <w:rPr>
                <w:sz w:val="20"/>
                <w:szCs w:val="20"/>
                <w:color w:val="auto"/>
              </w:rPr>
            </w:pPr>
            <w:r>
              <w:rPr>
                <w:rFonts w:ascii="Arial" w:cs="Arial" w:eastAsia="Arial" w:hAnsi="Arial"/>
                <w:sz w:val="16"/>
                <w:szCs w:val="16"/>
                <w:color w:val="auto"/>
              </w:rPr>
              <w:t xml:space="preserve">Other Uses, Losses or Generation, net </w:t>
            </w:r>
            <w:r>
              <w:rPr>
                <w:rFonts w:ascii="Arial" w:cs="Arial" w:eastAsia="Arial" w:hAnsi="Arial"/>
                <w:sz w:val="21"/>
                <w:szCs w:val="21"/>
                <w:color w:val="auto"/>
                <w:vertAlign w:val="superscript"/>
              </w:rPr>
              <w:t>(b)</w:t>
            </w:r>
          </w:p>
        </w:tc>
        <w:tc>
          <w:tcPr>
            <w:tcW w:w="260" w:type="dxa"/>
            <w:vAlign w:val="bottom"/>
            <w:tcBorders>
              <w:bottom w:val="single" w:sz="8" w:color="auto"/>
            </w:tcBorders>
            <w:shd w:val="clear" w:color="auto" w:fill="CEFFE7"/>
          </w:tcPr>
          <w:p>
            <w:pPr>
              <w:spacing w:after="0"/>
              <w:rPr>
                <w:sz w:val="23"/>
                <w:szCs w:val="23"/>
                <w:color w:val="auto"/>
              </w:rPr>
            </w:pP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EFFE7"/>
          </w:tcPr>
          <w:p>
            <w:pPr>
              <w:spacing w:after="0"/>
              <w:rPr>
                <w:sz w:val="23"/>
                <w:szCs w:val="23"/>
                <w:color w:val="auto"/>
              </w:rPr>
            </w:pP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EFFE7"/>
          </w:tcPr>
          <w:p>
            <w:pPr>
              <w:spacing w:after="0"/>
              <w:rPr>
                <w:sz w:val="23"/>
                <w:szCs w:val="23"/>
                <w:color w:val="auto"/>
              </w:rPr>
            </w:pPr>
          </w:p>
        </w:tc>
        <w:tc>
          <w:tcPr>
            <w:tcW w:w="8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shd w:val="clear" w:color="auto" w:fill="CEFFE7"/>
          </w:tcPr>
          <w:p>
            <w:pPr>
              <w:spacing w:after="0"/>
              <w:rPr>
                <w:sz w:val="23"/>
                <w:szCs w:val="23"/>
                <w:color w:val="auto"/>
              </w:rPr>
            </w:pPr>
          </w:p>
        </w:tc>
        <w:tc>
          <w:tcPr>
            <w:tcW w:w="1260" w:type="dxa"/>
            <w:vAlign w:val="bottom"/>
            <w:tcBorders>
              <w:bottom w:val="single" w:sz="8" w:color="auto"/>
            </w:tcBorders>
            <w:shd w:val="clear" w:color="auto" w:fill="CEFFE7"/>
          </w:tcPr>
          <w:p>
            <w:pPr>
              <w:jc w:val="right"/>
              <w:ind w:right="159"/>
              <w:spacing w:after="0"/>
              <w:rPr>
                <w:sz w:val="20"/>
                <w:szCs w:val="20"/>
                <w:color w:val="auto"/>
              </w:rPr>
            </w:pPr>
            <w:r>
              <w:rPr>
                <w:rFonts w:ascii="Arial" w:cs="Arial" w:eastAsia="Arial" w:hAnsi="Arial"/>
                <w:sz w:val="16"/>
                <w:szCs w:val="16"/>
                <w:color w:val="auto"/>
              </w:rPr>
              <w:t>393,573</w:t>
            </w:r>
          </w:p>
        </w:tc>
        <w:tc>
          <w:tcPr>
            <w:tcW w:w="130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470,250</w:t>
            </w:r>
          </w:p>
        </w:tc>
        <w:tc>
          <w:tcPr>
            <w:tcW w:w="8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468,179</w:t>
            </w:r>
          </w:p>
        </w:tc>
      </w:tr>
      <w:tr>
        <w:trPr>
          <w:trHeight w:val="284"/>
        </w:trPr>
        <w:tc>
          <w:tcPr>
            <w:tcW w:w="4480" w:type="dxa"/>
            <w:vAlign w:val="bottom"/>
          </w:tcPr>
          <w:p>
            <w:pPr>
              <w:ind w:left="280"/>
              <w:spacing w:after="0"/>
              <w:rPr>
                <w:sz w:val="20"/>
                <w:szCs w:val="20"/>
                <w:color w:val="auto"/>
              </w:rPr>
            </w:pPr>
            <w:r>
              <w:rPr>
                <w:rFonts w:ascii="Arial" w:cs="Arial" w:eastAsia="Arial" w:hAnsi="Arial"/>
                <w:sz w:val="16"/>
                <w:szCs w:val="16"/>
                <w:color w:val="auto"/>
              </w:rPr>
              <w:t>Total Revenue and Energy</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712,752</w:t>
            </w:r>
          </w:p>
        </w:tc>
        <w:tc>
          <w:tcPr>
            <w:tcW w:w="30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711,451</w:t>
            </w:r>
          </w:p>
        </w:tc>
        <w:tc>
          <w:tcPr>
            <w:tcW w:w="300" w:type="dxa"/>
            <w:vAlign w:val="bottom"/>
          </w:tcPr>
          <w:p>
            <w:pPr>
              <w:spacing w:after="0"/>
              <w:rPr>
                <w:sz w:val="24"/>
                <w:szCs w:val="24"/>
                <w:color w:val="auto"/>
              </w:rPr>
            </w:pPr>
          </w:p>
        </w:tc>
        <w:tc>
          <w:tcPr>
            <w:tcW w:w="860" w:type="dxa"/>
            <w:vAlign w:val="bottom"/>
          </w:tcPr>
          <w:p>
            <w:pPr>
              <w:jc w:val="right"/>
              <w:ind w:right="19"/>
              <w:spacing w:after="0"/>
              <w:rPr>
                <w:sz w:val="20"/>
                <w:szCs w:val="20"/>
                <w:color w:val="auto"/>
              </w:rPr>
            </w:pPr>
            <w:r>
              <w:rPr>
                <w:rFonts w:ascii="Arial" w:cs="Arial" w:eastAsia="Arial" w:hAnsi="Arial"/>
                <w:sz w:val="16"/>
                <w:szCs w:val="16"/>
                <w:color w:val="auto"/>
              </w:rPr>
              <w:t>704,650</w:t>
            </w:r>
          </w:p>
        </w:tc>
        <w:tc>
          <w:tcPr>
            <w:tcW w:w="1380" w:type="dxa"/>
            <w:vAlign w:val="bottom"/>
            <w:gridSpan w:val="2"/>
          </w:tcPr>
          <w:p>
            <w:pPr>
              <w:jc w:val="right"/>
              <w:ind w:right="159"/>
              <w:spacing w:after="0"/>
              <w:rPr>
                <w:sz w:val="20"/>
                <w:szCs w:val="20"/>
                <w:color w:val="auto"/>
              </w:rPr>
            </w:pPr>
            <w:r>
              <w:rPr>
                <w:rFonts w:ascii="Arial" w:cs="Arial" w:eastAsia="Arial" w:hAnsi="Arial"/>
                <w:sz w:val="16"/>
                <w:szCs w:val="16"/>
                <w:color w:val="auto"/>
              </w:rPr>
              <w:t>6,904,080</w:t>
            </w:r>
          </w:p>
        </w:tc>
        <w:tc>
          <w:tcPr>
            <w:tcW w:w="1300" w:type="dxa"/>
            <w:vAlign w:val="bottom"/>
          </w:tcPr>
          <w:p>
            <w:pPr>
              <w:jc w:val="right"/>
              <w:ind w:right="319"/>
              <w:spacing w:after="0"/>
              <w:rPr>
                <w:sz w:val="20"/>
                <w:szCs w:val="20"/>
                <w:color w:val="auto"/>
              </w:rPr>
            </w:pPr>
            <w:r>
              <w:rPr>
                <w:rFonts w:ascii="Arial" w:cs="Arial" w:eastAsia="Arial" w:hAnsi="Arial"/>
                <w:sz w:val="16"/>
                <w:szCs w:val="16"/>
                <w:color w:val="auto"/>
              </w:rPr>
              <w:t>7,373,587</w:t>
            </w: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7,041,185</w:t>
            </w:r>
          </w:p>
        </w:tc>
      </w:tr>
      <w:tr>
        <w:trPr>
          <w:trHeight w:val="257"/>
        </w:trPr>
        <w:tc>
          <w:tcPr>
            <w:tcW w:w="4480" w:type="dxa"/>
            <w:vAlign w:val="bottom"/>
            <w:tcBorders>
              <w:top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 xml:space="preserve">Less cost of fuel and purchased power </w:t>
            </w:r>
            <w:r>
              <w:rPr>
                <w:rFonts w:ascii="Arial" w:cs="Arial" w:eastAsia="Arial" w:hAnsi="Arial"/>
                <w:sz w:val="21"/>
                <w:szCs w:val="21"/>
                <w:color w:val="auto"/>
                <w:vertAlign w:val="superscript"/>
              </w:rPr>
              <w:t>(c)</w:t>
            </w:r>
          </w:p>
        </w:tc>
        <w:tc>
          <w:tcPr>
            <w:tcW w:w="260" w:type="dxa"/>
            <w:vAlign w:val="bottom"/>
            <w:tcBorders>
              <w:top w:val="single" w:sz="8" w:color="CEFFE7"/>
              <w:bottom w:val="single" w:sz="8" w:color="auto"/>
            </w:tcBorders>
            <w:shd w:val="clear" w:color="auto" w:fill="CEFFE7"/>
          </w:tcPr>
          <w:p>
            <w:pPr>
              <w:spacing w:after="0"/>
              <w:rPr>
                <w:sz w:val="22"/>
                <w:szCs w:val="22"/>
                <w:color w:val="auto"/>
              </w:rPr>
            </w:pPr>
          </w:p>
        </w:tc>
        <w:tc>
          <w:tcPr>
            <w:tcW w:w="860" w:type="dxa"/>
            <w:vAlign w:val="bottom"/>
            <w:tcBorders>
              <w:top w:val="single" w:sz="8" w:color="CEFFE7"/>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268,297</w:t>
            </w:r>
          </w:p>
        </w:tc>
        <w:tc>
          <w:tcPr>
            <w:tcW w:w="300" w:type="dxa"/>
            <w:vAlign w:val="bottom"/>
            <w:tcBorders>
              <w:top w:val="single" w:sz="8" w:color="CEFFE7"/>
              <w:bottom w:val="single" w:sz="8" w:color="auto"/>
            </w:tcBorders>
            <w:shd w:val="clear" w:color="auto" w:fill="CEFFE7"/>
          </w:tcPr>
          <w:p>
            <w:pPr>
              <w:spacing w:after="0"/>
              <w:rPr>
                <w:sz w:val="22"/>
                <w:szCs w:val="22"/>
                <w:color w:val="auto"/>
              </w:rPr>
            </w:pPr>
          </w:p>
        </w:tc>
        <w:tc>
          <w:tcPr>
            <w:tcW w:w="840" w:type="dxa"/>
            <w:vAlign w:val="bottom"/>
            <w:tcBorders>
              <w:top w:val="single" w:sz="8" w:color="CEFFE7"/>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283,840</w:t>
            </w:r>
          </w:p>
        </w:tc>
        <w:tc>
          <w:tcPr>
            <w:tcW w:w="300" w:type="dxa"/>
            <w:vAlign w:val="bottom"/>
            <w:tcBorders>
              <w:top w:val="single" w:sz="8" w:color="CEFFE7"/>
              <w:bottom w:val="single" w:sz="8" w:color="auto"/>
            </w:tcBorders>
            <w:shd w:val="clear" w:color="auto" w:fill="CEFFE7"/>
          </w:tcPr>
          <w:p>
            <w:pPr>
              <w:spacing w:after="0"/>
              <w:rPr>
                <w:sz w:val="22"/>
                <w:szCs w:val="22"/>
                <w:color w:val="auto"/>
              </w:rPr>
            </w:pPr>
          </w:p>
        </w:tc>
        <w:tc>
          <w:tcPr>
            <w:tcW w:w="860" w:type="dxa"/>
            <w:vAlign w:val="bottom"/>
            <w:tcBorders>
              <w:top w:val="single" w:sz="8" w:color="CEFFE7"/>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274,363</w:t>
            </w:r>
          </w:p>
        </w:tc>
        <w:tc>
          <w:tcPr>
            <w:tcW w:w="120" w:type="dxa"/>
            <w:vAlign w:val="bottom"/>
          </w:tcPr>
          <w:p>
            <w:pPr>
              <w:spacing w:after="0"/>
              <w:rPr>
                <w:sz w:val="22"/>
                <w:szCs w:val="22"/>
                <w:color w:val="auto"/>
              </w:rPr>
            </w:pPr>
          </w:p>
        </w:tc>
        <w:tc>
          <w:tcPr>
            <w:tcW w:w="1260" w:type="dxa"/>
            <w:vAlign w:val="bottom"/>
            <w:tcBorders>
              <w:top w:val="single" w:sz="8" w:color="auto"/>
            </w:tcBorders>
          </w:tcPr>
          <w:p>
            <w:pPr>
              <w:spacing w:after="0"/>
              <w:rPr>
                <w:sz w:val="22"/>
                <w:szCs w:val="22"/>
                <w:color w:val="auto"/>
              </w:rPr>
            </w:pPr>
          </w:p>
        </w:tc>
        <w:tc>
          <w:tcPr>
            <w:tcW w:w="1300" w:type="dxa"/>
            <w:vAlign w:val="bottom"/>
            <w:tcBorders>
              <w:top w:val="single" w:sz="8" w:color="auto"/>
            </w:tcBorders>
          </w:tcPr>
          <w:p>
            <w:pPr>
              <w:spacing w:after="0"/>
              <w:rPr>
                <w:sz w:val="22"/>
                <w:szCs w:val="22"/>
                <w:color w:val="auto"/>
              </w:rPr>
            </w:pPr>
          </w:p>
        </w:tc>
        <w:tc>
          <w:tcPr>
            <w:tcW w:w="840" w:type="dxa"/>
            <w:vAlign w:val="bottom"/>
            <w:tcBorders>
              <w:top w:val="single" w:sz="8" w:color="auto"/>
            </w:tcBorders>
          </w:tcPr>
          <w:p>
            <w:pPr>
              <w:spacing w:after="0"/>
              <w:rPr>
                <w:sz w:val="22"/>
                <w:szCs w:val="22"/>
                <w:color w:val="auto"/>
              </w:rPr>
            </w:pPr>
          </w:p>
        </w:tc>
      </w:tr>
      <w:tr>
        <w:trPr>
          <w:trHeight w:val="250"/>
        </w:trPr>
        <w:tc>
          <w:tcPr>
            <w:tcW w:w="4480" w:type="dxa"/>
            <w:vAlign w:val="bottom"/>
          </w:tcPr>
          <w:p>
            <w:pPr>
              <w:ind w:left="280"/>
              <w:spacing w:after="0"/>
              <w:rPr>
                <w:sz w:val="20"/>
                <w:szCs w:val="20"/>
                <w:color w:val="auto"/>
              </w:rPr>
            </w:pPr>
            <w:r>
              <w:rPr>
                <w:rFonts w:ascii="Arial" w:cs="Arial" w:eastAsia="Arial" w:hAnsi="Arial"/>
                <w:sz w:val="16"/>
                <w:szCs w:val="16"/>
                <w:color w:val="auto"/>
              </w:rPr>
              <w:t xml:space="preserve">Gross Margin (non-GAAP) </w:t>
            </w:r>
            <w:r>
              <w:rPr>
                <w:rFonts w:ascii="Arial" w:cs="Arial" w:eastAsia="Arial" w:hAnsi="Arial"/>
                <w:sz w:val="21"/>
                <w:szCs w:val="21"/>
                <w:color w:val="auto"/>
                <w:vertAlign w:val="superscript"/>
              </w:rPr>
              <w:t>(c) (d)</w:t>
            </w:r>
          </w:p>
        </w:tc>
        <w:tc>
          <w:tcPr>
            <w:tcW w:w="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444,455</w:t>
            </w:r>
          </w:p>
        </w:tc>
        <w:tc>
          <w:tcPr>
            <w:tcW w:w="30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427,611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430,287</w:t>
            </w: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0"/>
        </w:trPr>
        <w:tc>
          <w:tcPr>
            <w:tcW w:w="44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6"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26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78"/>
        </w:trPr>
        <w:tc>
          <w:tcPr>
            <w:tcW w:w="1220" w:type="dxa"/>
            <w:vAlign w:val="bottom"/>
            <w:tcBorders>
              <w:top w:val="single" w:sz="8" w:color="0000EE"/>
            </w:tcBorders>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60" w:type="dxa"/>
            <w:vAlign w:val="bottom"/>
            <w:gridSpan w:val="6"/>
          </w:tcPr>
          <w:p>
            <w:pPr>
              <w:jc w:val="center"/>
              <w:ind w:right="240"/>
              <w:spacing w:after="0"/>
              <w:rPr>
                <w:sz w:val="20"/>
                <w:szCs w:val="20"/>
                <w:color w:val="auto"/>
              </w:rPr>
            </w:pPr>
            <w:r>
              <w:rPr>
                <w:rFonts w:ascii="Arial" w:cs="Arial" w:eastAsia="Arial" w:hAnsi="Arial"/>
                <w:sz w:val="16"/>
                <w:szCs w:val="16"/>
                <w:color w:val="auto"/>
                <w:w w:val="95"/>
              </w:rPr>
              <w:t xml:space="preserve">Gross Margin (non-GAAP) </w:t>
            </w:r>
            <w:r>
              <w:rPr>
                <w:rFonts w:ascii="Arial" w:cs="Arial" w:eastAsia="Arial" w:hAnsi="Arial"/>
                <w:sz w:val="21"/>
                <w:szCs w:val="21"/>
                <w:color w:val="auto"/>
                <w:w w:val="95"/>
                <w:vertAlign w:val="superscript"/>
              </w:rPr>
              <w:t>(d)</w:t>
            </w:r>
            <w:r>
              <w:rPr>
                <w:rFonts w:ascii="Arial" w:cs="Arial" w:eastAsia="Arial" w:hAnsi="Arial"/>
                <w:sz w:val="16"/>
                <w:szCs w:val="16"/>
                <w:color w:val="auto"/>
                <w:w w:val="95"/>
              </w:rPr>
              <w:t xml:space="preserve">    (in</w:t>
            </w:r>
          </w:p>
        </w:tc>
        <w:tc>
          <w:tcPr>
            <w:tcW w:w="10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720" w:type="dxa"/>
            <w:vAlign w:val="bottom"/>
            <w:gridSpan w:val="6"/>
          </w:tcPr>
          <w:p>
            <w:pPr>
              <w:ind w:left="180"/>
              <w:spacing w:after="0"/>
              <w:rPr>
                <w:sz w:val="20"/>
                <w:szCs w:val="20"/>
                <w:color w:val="auto"/>
              </w:rPr>
            </w:pPr>
            <w:r>
              <w:rPr>
                <w:rFonts w:ascii="Arial" w:cs="Arial" w:eastAsia="Arial" w:hAnsi="Arial"/>
                <w:sz w:val="16"/>
                <w:szCs w:val="16"/>
                <w:color w:val="auto"/>
              </w:rPr>
              <w:t>Electric Revenue (in thousands)</w:t>
            </w: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900" w:type="dxa"/>
            <w:vAlign w:val="bottom"/>
            <w:gridSpan w:val="2"/>
          </w:tcPr>
          <w:p>
            <w:pPr>
              <w:jc w:val="center"/>
              <w:spacing w:after="0"/>
              <w:rPr>
                <w:sz w:val="20"/>
                <w:szCs w:val="20"/>
                <w:color w:val="auto"/>
              </w:rPr>
            </w:pPr>
            <w:r>
              <w:rPr>
                <w:rFonts w:ascii="Arial" w:cs="Arial" w:eastAsia="Arial" w:hAnsi="Arial"/>
                <w:sz w:val="16"/>
                <w:szCs w:val="16"/>
                <w:color w:val="auto"/>
                <w:w w:val="88"/>
              </w:rPr>
              <w:t>thousands)</w:t>
            </w: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40" w:type="dxa"/>
            <w:vAlign w:val="bottom"/>
            <w:gridSpan w:val="3"/>
          </w:tcPr>
          <w:p>
            <w:pPr>
              <w:jc w:val="center"/>
              <w:spacing w:after="0"/>
              <w:rPr>
                <w:sz w:val="20"/>
                <w:szCs w:val="20"/>
                <w:color w:val="auto"/>
              </w:rPr>
            </w:pPr>
            <w:r>
              <w:rPr>
                <w:rFonts w:ascii="Arial" w:cs="Arial" w:eastAsia="Arial" w:hAnsi="Arial"/>
                <w:sz w:val="16"/>
                <w:szCs w:val="16"/>
                <w:color w:val="auto"/>
                <w:w w:val="95"/>
              </w:rPr>
              <w:t>Quantities Sold (MWh)</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gridSpan w:val="6"/>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660" w:type="dxa"/>
            <w:vAlign w:val="bottom"/>
            <w:tcBorders>
              <w:bottom w:val="single" w:sz="8" w:color="auto"/>
            </w:tcBorders>
            <w:gridSpan w:val="6"/>
          </w:tcPr>
          <w:p>
            <w:pPr>
              <w:spacing w:after="0"/>
              <w:rPr>
                <w:sz w:val="2"/>
                <w:szCs w:val="2"/>
                <w:color w:val="auto"/>
              </w:rPr>
            </w:pPr>
          </w:p>
        </w:tc>
        <w:tc>
          <w:tcPr>
            <w:tcW w:w="304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20" w:type="dxa"/>
            <w:vAlign w:val="bottom"/>
            <w:gridSpan w:val="6"/>
          </w:tcPr>
          <w:p>
            <w:pPr>
              <w:jc w:val="right"/>
              <w:ind w:right="420"/>
              <w:spacing w:after="0"/>
              <w:rPr>
                <w:sz w:val="20"/>
                <w:szCs w:val="20"/>
                <w:color w:val="auto"/>
              </w:rPr>
            </w:pPr>
            <w:r>
              <w:rPr>
                <w:rFonts w:ascii="Arial" w:cs="Arial" w:eastAsia="Arial" w:hAnsi="Arial"/>
                <w:sz w:val="16"/>
                <w:szCs w:val="16"/>
                <w:color w:val="auto"/>
                <w:w w:val="94"/>
              </w:rPr>
              <w:t>For the year ended December 31,</w:t>
            </w:r>
          </w:p>
        </w:tc>
        <w:tc>
          <w:tcPr>
            <w:tcW w:w="160" w:type="dxa"/>
            <w:vAlign w:val="bottom"/>
          </w:tcPr>
          <w:p>
            <w:pPr>
              <w:spacing w:after="0"/>
              <w:rPr>
                <w:sz w:val="20"/>
                <w:szCs w:val="20"/>
                <w:color w:val="auto"/>
              </w:rPr>
            </w:pPr>
          </w:p>
        </w:tc>
        <w:tc>
          <w:tcPr>
            <w:tcW w:w="2660" w:type="dxa"/>
            <w:vAlign w:val="bottom"/>
            <w:gridSpan w:val="6"/>
          </w:tcPr>
          <w:p>
            <w:pPr>
              <w:jc w:val="center"/>
              <w:ind w:right="260"/>
              <w:spacing w:after="0"/>
              <w:rPr>
                <w:sz w:val="20"/>
                <w:szCs w:val="20"/>
                <w:color w:val="auto"/>
              </w:rPr>
            </w:pPr>
            <w:r>
              <w:rPr>
                <w:rFonts w:ascii="Arial" w:cs="Arial" w:eastAsia="Arial" w:hAnsi="Arial"/>
                <w:sz w:val="16"/>
                <w:szCs w:val="16"/>
                <w:color w:val="auto"/>
                <w:w w:val="89"/>
              </w:rPr>
              <w:t>For the year ended December 31,</w:t>
            </w:r>
          </w:p>
        </w:tc>
        <w:tc>
          <w:tcPr>
            <w:tcW w:w="3040" w:type="dxa"/>
            <w:vAlign w:val="bottom"/>
            <w:gridSpan w:val="3"/>
          </w:tcPr>
          <w:p>
            <w:pPr>
              <w:jc w:val="center"/>
              <w:spacing w:after="0"/>
              <w:rPr>
                <w:sz w:val="20"/>
                <w:szCs w:val="20"/>
                <w:color w:val="auto"/>
              </w:rPr>
            </w:pPr>
            <w:r>
              <w:rPr>
                <w:rFonts w:ascii="Arial" w:cs="Arial" w:eastAsia="Arial" w:hAnsi="Arial"/>
                <w:sz w:val="16"/>
                <w:szCs w:val="16"/>
                <w:color w:val="auto"/>
                <w:w w:val="89"/>
              </w:rPr>
              <w:t>For the year ended December 31,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80" w:type="dxa"/>
            <w:vAlign w:val="bottom"/>
          </w:tcPr>
          <w:p>
            <w:pPr>
              <w:ind w:left="100"/>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3"/>
                <w:szCs w:val="23"/>
                <w:color w:val="auto"/>
              </w:rPr>
            </w:pPr>
          </w:p>
        </w:tc>
        <w:tc>
          <w:tcPr>
            <w:tcW w:w="700" w:type="dxa"/>
            <w:vAlign w:val="bottom"/>
          </w:tcPr>
          <w:p>
            <w:pPr>
              <w:ind w:left="120"/>
              <w:spacing w:after="0"/>
              <w:rPr>
                <w:sz w:val="20"/>
                <w:szCs w:val="20"/>
                <w:color w:val="auto"/>
              </w:rPr>
            </w:pPr>
            <w:r>
              <w:rPr>
                <w:rFonts w:ascii="Arial" w:cs="Arial" w:eastAsia="Arial" w:hAnsi="Arial"/>
                <w:sz w:val="16"/>
                <w:szCs w:val="16"/>
                <w:color w:val="auto"/>
              </w:rPr>
              <w:t>2018</w:t>
            </w:r>
          </w:p>
        </w:tc>
        <w:tc>
          <w:tcPr>
            <w:tcW w:w="24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ind w:right="17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3"/>
                <w:szCs w:val="23"/>
                <w:color w:val="auto"/>
              </w:rPr>
            </w:pPr>
          </w:p>
        </w:tc>
        <w:tc>
          <w:tcPr>
            <w:tcW w:w="660" w:type="dxa"/>
            <w:vAlign w:val="bottom"/>
          </w:tcPr>
          <w:p>
            <w:pPr>
              <w:jc w:val="center"/>
              <w:ind w:right="59"/>
              <w:spacing w:after="0"/>
              <w:rPr>
                <w:sz w:val="20"/>
                <w:szCs w:val="20"/>
                <w:color w:val="auto"/>
              </w:rPr>
            </w:pPr>
            <w:r>
              <w:rPr>
                <w:rFonts w:ascii="Arial" w:cs="Arial" w:eastAsia="Arial" w:hAnsi="Arial"/>
                <w:sz w:val="16"/>
                <w:szCs w:val="16"/>
                <w:color w:val="auto"/>
                <w:w w:val="89"/>
              </w:rPr>
              <w:t>2018</w:t>
            </w:r>
          </w:p>
        </w:tc>
        <w:tc>
          <w:tcPr>
            <w:tcW w:w="220" w:type="dxa"/>
            <w:vAlign w:val="bottom"/>
          </w:tcPr>
          <w:p>
            <w:pPr>
              <w:spacing w:after="0"/>
              <w:rPr>
                <w:sz w:val="23"/>
                <w:szCs w:val="23"/>
                <w:color w:val="auto"/>
              </w:rPr>
            </w:pPr>
          </w:p>
        </w:tc>
        <w:tc>
          <w:tcPr>
            <w:tcW w:w="720" w:type="dxa"/>
            <w:vAlign w:val="bottom"/>
          </w:tcPr>
          <w:p>
            <w:pPr>
              <w:jc w:val="right"/>
              <w:ind w:right="21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1080" w:type="dxa"/>
            <w:vAlign w:val="bottom"/>
          </w:tcPr>
          <w:p>
            <w:pPr>
              <w:jc w:val="right"/>
              <w:ind w:right="339"/>
              <w:spacing w:after="0"/>
              <w:rPr>
                <w:sz w:val="20"/>
                <w:szCs w:val="20"/>
                <w:color w:val="auto"/>
              </w:rPr>
            </w:pPr>
            <w:r>
              <w:rPr>
                <w:rFonts w:ascii="Arial" w:cs="Arial" w:eastAsia="Arial" w:hAnsi="Arial"/>
                <w:sz w:val="16"/>
                <w:szCs w:val="16"/>
                <w:color w:val="auto"/>
              </w:rPr>
              <w:t>2019</w:t>
            </w:r>
          </w:p>
        </w:tc>
        <w:tc>
          <w:tcPr>
            <w:tcW w:w="1020" w:type="dxa"/>
            <w:vAlign w:val="bottom"/>
          </w:tcPr>
          <w:p>
            <w:pPr>
              <w:jc w:val="center"/>
              <w:ind w:right="59"/>
              <w:spacing w:after="0"/>
              <w:rPr>
                <w:sz w:val="20"/>
                <w:szCs w:val="20"/>
                <w:color w:val="auto"/>
              </w:rPr>
            </w:pPr>
            <w:r>
              <w:rPr>
                <w:rFonts w:ascii="Arial" w:cs="Arial" w:eastAsia="Arial" w:hAnsi="Arial"/>
                <w:sz w:val="16"/>
                <w:szCs w:val="16"/>
                <w:color w:val="auto"/>
                <w:w w:val="89"/>
              </w:rPr>
              <w:t>2018</w:t>
            </w:r>
          </w:p>
        </w:tc>
        <w:tc>
          <w:tcPr>
            <w:tcW w:w="94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 xml:space="preserve">Colorado Electric </w:t>
            </w:r>
            <w:r>
              <w:rPr>
                <w:rFonts w:ascii="Arial" w:cs="Arial" w:eastAsia="Arial" w:hAnsi="Arial"/>
                <w:sz w:val="21"/>
                <w:szCs w:val="21"/>
                <w:color w:val="auto"/>
                <w:vertAlign w:val="superscript"/>
              </w:rPr>
              <w:t>(c)</w:t>
            </w:r>
          </w:p>
        </w:tc>
        <w:tc>
          <w:tcPr>
            <w:tcW w:w="20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shd w:val="clear" w:color="auto" w:fill="CEFFE7"/>
          </w:tcPr>
          <w:p>
            <w:pPr>
              <w:ind w:left="80"/>
              <w:spacing w:after="0"/>
              <w:rPr>
                <w:sz w:val="20"/>
                <w:szCs w:val="20"/>
                <w:color w:val="auto"/>
              </w:rPr>
            </w:pPr>
            <w:r>
              <w:rPr>
                <w:rFonts w:ascii="Arial" w:cs="Arial" w:eastAsia="Arial" w:hAnsi="Arial"/>
                <w:sz w:val="16"/>
                <w:szCs w:val="16"/>
                <w:color w:val="auto"/>
              </w:rPr>
              <w:t>247,332</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00" w:type="dxa"/>
            <w:vAlign w:val="bottom"/>
            <w:shd w:val="clear" w:color="auto" w:fill="CEFFE7"/>
          </w:tcPr>
          <w:p>
            <w:pPr>
              <w:ind w:left="100"/>
              <w:spacing w:after="0"/>
              <w:rPr>
                <w:sz w:val="20"/>
                <w:szCs w:val="20"/>
                <w:color w:val="auto"/>
              </w:rPr>
            </w:pPr>
            <w:r>
              <w:rPr>
                <w:rFonts w:ascii="Arial" w:cs="Arial" w:eastAsia="Arial" w:hAnsi="Arial"/>
                <w:sz w:val="16"/>
                <w:szCs w:val="16"/>
                <w:color w:val="auto"/>
              </w:rPr>
              <w:t>251,218</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4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251,090</w:t>
            </w:r>
          </w:p>
        </w:tc>
        <w:tc>
          <w:tcPr>
            <w:tcW w:w="120" w:type="dxa"/>
            <w:vAlign w:val="bottom"/>
            <w:shd w:val="clear" w:color="auto" w:fill="CEFFE7"/>
          </w:tcPr>
          <w:p>
            <w:pPr>
              <w:spacing w:after="0"/>
              <w:rPr>
                <w:sz w:val="22"/>
                <w:szCs w:val="22"/>
                <w:color w:val="auto"/>
              </w:rPr>
            </w:pP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137,323</w:t>
            </w:r>
          </w:p>
        </w:tc>
        <w:tc>
          <w:tcPr>
            <w:tcW w:w="2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6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138,901</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140,121</w:t>
            </w:r>
          </w:p>
        </w:tc>
        <w:tc>
          <w:tcPr>
            <w:tcW w:w="100" w:type="dxa"/>
            <w:vAlign w:val="bottom"/>
            <w:shd w:val="clear" w:color="auto" w:fill="CEFFE7"/>
          </w:tcPr>
          <w:p>
            <w:pPr>
              <w:spacing w:after="0"/>
              <w:rPr>
                <w:sz w:val="22"/>
                <w:szCs w:val="22"/>
                <w:color w:val="auto"/>
              </w:rPr>
            </w:pPr>
          </w:p>
        </w:tc>
        <w:tc>
          <w:tcPr>
            <w:tcW w:w="108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2,180,985</w:t>
            </w:r>
          </w:p>
        </w:tc>
        <w:tc>
          <w:tcPr>
            <w:tcW w:w="1020" w:type="dxa"/>
            <w:vAlign w:val="bottom"/>
            <w:shd w:val="clear" w:color="auto" w:fill="CEFFE7"/>
          </w:tcPr>
          <w:p>
            <w:pPr>
              <w:jc w:val="right"/>
              <w:ind w:right="99"/>
              <w:spacing w:after="0"/>
              <w:rPr>
                <w:sz w:val="20"/>
                <w:szCs w:val="20"/>
                <w:color w:val="auto"/>
              </w:rPr>
            </w:pPr>
            <w:r>
              <w:rPr>
                <w:rFonts w:ascii="Arial" w:cs="Arial" w:eastAsia="Arial" w:hAnsi="Arial"/>
                <w:sz w:val="16"/>
                <w:szCs w:val="16"/>
                <w:color w:val="auto"/>
              </w:rPr>
              <w:t>2,151,918</w:t>
            </w:r>
          </w:p>
        </w:tc>
        <w:tc>
          <w:tcPr>
            <w:tcW w:w="9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2,091,676</w:t>
            </w:r>
          </w:p>
        </w:tc>
        <w:tc>
          <w:tcPr>
            <w:tcW w:w="0" w:type="dxa"/>
            <w:vAlign w:val="bottom"/>
          </w:tcPr>
          <w:p>
            <w:pPr>
              <w:spacing w:after="0"/>
              <w:rPr>
                <w:sz w:val="1"/>
                <w:szCs w:val="1"/>
                <w:color w:val="auto"/>
              </w:rPr>
            </w:pPr>
          </w:p>
        </w:tc>
      </w:tr>
      <w:tr>
        <w:trPr>
          <w:trHeight w:val="270"/>
        </w:trPr>
        <w:tc>
          <w:tcPr>
            <w:tcW w:w="2640" w:type="dxa"/>
            <w:vAlign w:val="bottom"/>
            <w:gridSpan w:val="2"/>
          </w:tcPr>
          <w:p>
            <w:pPr>
              <w:ind w:left="4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200" w:type="dxa"/>
            <w:vAlign w:val="bottom"/>
          </w:tcPr>
          <w:p>
            <w:pPr>
              <w:spacing w:after="0"/>
              <w:rPr>
                <w:sz w:val="23"/>
                <w:szCs w:val="23"/>
                <w:color w:val="auto"/>
              </w:rPr>
            </w:pPr>
          </w:p>
        </w:tc>
        <w:tc>
          <w:tcPr>
            <w:tcW w:w="680" w:type="dxa"/>
            <w:vAlign w:val="bottom"/>
          </w:tcPr>
          <w:p>
            <w:pPr>
              <w:ind w:left="80"/>
              <w:spacing w:after="0"/>
              <w:rPr>
                <w:sz w:val="20"/>
                <w:szCs w:val="20"/>
                <w:color w:val="auto"/>
              </w:rPr>
            </w:pPr>
            <w:r>
              <w:rPr>
                <w:rFonts w:ascii="Arial" w:cs="Arial" w:eastAsia="Arial" w:hAnsi="Arial"/>
                <w:sz w:val="16"/>
                <w:szCs w:val="16"/>
                <w:color w:val="auto"/>
              </w:rPr>
              <w:t>291,219</w:t>
            </w:r>
          </w:p>
        </w:tc>
        <w:tc>
          <w:tcPr>
            <w:tcW w:w="240" w:type="dxa"/>
            <w:vAlign w:val="bottom"/>
          </w:tcPr>
          <w:p>
            <w:pPr>
              <w:spacing w:after="0"/>
              <w:rPr>
                <w:sz w:val="23"/>
                <w:szCs w:val="23"/>
                <w:color w:val="auto"/>
              </w:rPr>
            </w:pPr>
          </w:p>
        </w:tc>
        <w:tc>
          <w:tcPr>
            <w:tcW w:w="700" w:type="dxa"/>
            <w:vAlign w:val="bottom"/>
          </w:tcPr>
          <w:p>
            <w:pPr>
              <w:ind w:left="100"/>
              <w:spacing w:after="0"/>
              <w:rPr>
                <w:sz w:val="20"/>
                <w:szCs w:val="20"/>
                <w:color w:val="auto"/>
              </w:rPr>
            </w:pPr>
            <w:r>
              <w:rPr>
                <w:rFonts w:ascii="Arial" w:cs="Arial" w:eastAsia="Arial" w:hAnsi="Arial"/>
                <w:sz w:val="16"/>
                <w:szCs w:val="16"/>
                <w:color w:val="auto"/>
              </w:rPr>
              <w:t>298,080</w:t>
            </w:r>
          </w:p>
        </w:tc>
        <w:tc>
          <w:tcPr>
            <w:tcW w:w="240" w:type="dxa"/>
            <w:vAlign w:val="bottom"/>
          </w:tcPr>
          <w:p>
            <w:pPr>
              <w:spacing w:after="0"/>
              <w:rPr>
                <w:sz w:val="23"/>
                <w:szCs w:val="23"/>
                <w:color w:val="auto"/>
              </w:rPr>
            </w:pPr>
          </w:p>
        </w:tc>
        <w:tc>
          <w:tcPr>
            <w:tcW w:w="740" w:type="dxa"/>
            <w:vAlign w:val="bottom"/>
          </w:tcPr>
          <w:p>
            <w:pPr>
              <w:jc w:val="right"/>
              <w:ind w:right="39"/>
              <w:spacing w:after="0"/>
              <w:rPr>
                <w:sz w:val="20"/>
                <w:szCs w:val="20"/>
                <w:color w:val="auto"/>
              </w:rPr>
            </w:pPr>
            <w:r>
              <w:rPr>
                <w:rFonts w:ascii="Arial" w:cs="Arial" w:eastAsia="Arial" w:hAnsi="Arial"/>
                <w:sz w:val="16"/>
                <w:szCs w:val="16"/>
                <w:color w:val="auto"/>
              </w:rPr>
              <w:t>288,433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218,104</w:t>
            </w:r>
          </w:p>
        </w:tc>
        <w:tc>
          <w:tcPr>
            <w:tcW w:w="24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205,194</w:t>
            </w:r>
          </w:p>
        </w:tc>
        <w:tc>
          <w:tcPr>
            <w:tcW w:w="220" w:type="dxa"/>
            <w:vAlign w:val="bottom"/>
          </w:tcPr>
          <w:p>
            <w:pPr>
              <w:spacing w:after="0"/>
              <w:rPr>
                <w:sz w:val="23"/>
                <w:szCs w:val="23"/>
                <w:color w:val="auto"/>
              </w:rPr>
            </w:pPr>
          </w:p>
        </w:tc>
        <w:tc>
          <w:tcPr>
            <w:tcW w:w="720" w:type="dxa"/>
            <w:vAlign w:val="bottom"/>
          </w:tcPr>
          <w:p>
            <w:pPr>
              <w:jc w:val="right"/>
              <w:ind w:right="39"/>
              <w:spacing w:after="0"/>
              <w:rPr>
                <w:sz w:val="20"/>
                <w:szCs w:val="20"/>
                <w:color w:val="auto"/>
              </w:rPr>
            </w:pPr>
            <w:r>
              <w:rPr>
                <w:rFonts w:ascii="Arial" w:cs="Arial" w:eastAsia="Arial" w:hAnsi="Arial"/>
                <w:sz w:val="16"/>
                <w:szCs w:val="16"/>
                <w:color w:val="auto"/>
              </w:rPr>
              <w:t>200,795</w:t>
            </w:r>
          </w:p>
        </w:tc>
        <w:tc>
          <w:tcPr>
            <w:tcW w:w="100" w:type="dxa"/>
            <w:vAlign w:val="bottom"/>
          </w:tcPr>
          <w:p>
            <w:pPr>
              <w:spacing w:after="0"/>
              <w:rPr>
                <w:sz w:val="23"/>
                <w:szCs w:val="23"/>
                <w:color w:val="auto"/>
              </w:rPr>
            </w:pPr>
          </w:p>
        </w:tc>
        <w:tc>
          <w:tcPr>
            <w:tcW w:w="1080" w:type="dxa"/>
            <w:vAlign w:val="bottom"/>
          </w:tcPr>
          <w:p>
            <w:pPr>
              <w:jc w:val="right"/>
              <w:ind w:right="99"/>
              <w:spacing w:after="0"/>
              <w:rPr>
                <w:sz w:val="20"/>
                <w:szCs w:val="20"/>
                <w:color w:val="auto"/>
              </w:rPr>
            </w:pPr>
            <w:r>
              <w:rPr>
                <w:rFonts w:ascii="Arial" w:cs="Arial" w:eastAsia="Arial" w:hAnsi="Arial"/>
                <w:sz w:val="16"/>
                <w:szCs w:val="16"/>
                <w:color w:val="auto"/>
              </w:rPr>
              <w:t>2,798,887</w:t>
            </w:r>
          </w:p>
        </w:tc>
        <w:tc>
          <w:tcPr>
            <w:tcW w:w="1020" w:type="dxa"/>
            <w:vAlign w:val="bottom"/>
          </w:tcPr>
          <w:p>
            <w:pPr>
              <w:jc w:val="right"/>
              <w:ind w:right="99"/>
              <w:spacing w:after="0"/>
              <w:rPr>
                <w:sz w:val="20"/>
                <w:szCs w:val="20"/>
                <w:color w:val="auto"/>
              </w:rPr>
            </w:pPr>
            <w:r>
              <w:rPr>
                <w:rFonts w:ascii="Arial" w:cs="Arial" w:eastAsia="Arial" w:hAnsi="Arial"/>
                <w:sz w:val="16"/>
                <w:szCs w:val="16"/>
                <w:color w:val="auto"/>
              </w:rPr>
              <w:t>3,360,396</w:t>
            </w:r>
          </w:p>
        </w:tc>
        <w:tc>
          <w:tcPr>
            <w:tcW w:w="940" w:type="dxa"/>
            <w:vAlign w:val="bottom"/>
          </w:tcPr>
          <w:p>
            <w:pPr>
              <w:jc w:val="right"/>
              <w:ind w:right="19"/>
              <w:spacing w:after="0"/>
              <w:rPr>
                <w:sz w:val="20"/>
                <w:szCs w:val="20"/>
                <w:color w:val="auto"/>
              </w:rPr>
            </w:pPr>
            <w:r>
              <w:rPr>
                <w:rFonts w:ascii="Arial" w:cs="Arial" w:eastAsia="Arial" w:hAnsi="Arial"/>
                <w:sz w:val="16"/>
                <w:szCs w:val="16"/>
                <w:color w:val="auto"/>
              </w:rPr>
              <w:t>3,187,392</w:t>
            </w:r>
          </w:p>
        </w:tc>
        <w:tc>
          <w:tcPr>
            <w:tcW w:w="0" w:type="dxa"/>
            <w:vAlign w:val="bottom"/>
          </w:tcPr>
          <w:p>
            <w:pPr>
              <w:spacing w:after="0"/>
              <w:rPr>
                <w:sz w:val="1"/>
                <w:szCs w:val="1"/>
                <w:color w:val="auto"/>
              </w:rPr>
            </w:pPr>
          </w:p>
        </w:tc>
      </w:tr>
      <w:tr>
        <w:trPr>
          <w:trHeight w:val="270"/>
        </w:trPr>
        <w:tc>
          <w:tcPr>
            <w:tcW w:w="2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Wyoming Electric</w:t>
            </w:r>
          </w:p>
        </w:tc>
        <w:tc>
          <w:tcPr>
            <w:tcW w:w="20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6"/>
                <w:szCs w:val="16"/>
                <w:color w:val="auto"/>
              </w:rPr>
              <w:t>174,201</w:t>
            </w:r>
          </w:p>
        </w:tc>
        <w:tc>
          <w:tcPr>
            <w:tcW w:w="24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162,153</w:t>
            </w:r>
          </w:p>
        </w:tc>
        <w:tc>
          <w:tcPr>
            <w:tcW w:w="240" w:type="dxa"/>
            <w:vAlign w:val="bottom"/>
            <w:tcBorders>
              <w:bottom w:val="single" w:sz="8" w:color="CEFFE7"/>
            </w:tcBorders>
            <w:shd w:val="clear" w:color="auto" w:fill="CEFFE7"/>
          </w:tcPr>
          <w:p>
            <w:pPr>
              <w:spacing w:after="0"/>
              <w:rPr>
                <w:sz w:val="23"/>
                <w:szCs w:val="23"/>
                <w:color w:val="auto"/>
              </w:rPr>
            </w:pPr>
          </w:p>
        </w:tc>
        <w:tc>
          <w:tcPr>
            <w:tcW w:w="7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165,127</w:t>
            </w:r>
          </w:p>
        </w:tc>
        <w:tc>
          <w:tcPr>
            <w:tcW w:w="12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89,028</w:t>
            </w:r>
          </w:p>
        </w:tc>
        <w:tc>
          <w:tcPr>
            <w:tcW w:w="24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83,516</w:t>
            </w:r>
          </w:p>
        </w:tc>
        <w:tc>
          <w:tcPr>
            <w:tcW w:w="22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89,371</w:t>
            </w:r>
          </w:p>
        </w:tc>
        <w:tc>
          <w:tcPr>
            <w:tcW w:w="100" w:type="dxa"/>
            <w:vAlign w:val="bottom"/>
            <w:tcBorders>
              <w:bottom w:val="single" w:sz="8" w:color="CEFFE7"/>
            </w:tcBorders>
            <w:shd w:val="clear" w:color="auto" w:fill="CEFFE7"/>
          </w:tcPr>
          <w:p>
            <w:pPr>
              <w:spacing w:after="0"/>
              <w:rPr>
                <w:sz w:val="23"/>
                <w:szCs w:val="23"/>
                <w:color w:val="auto"/>
              </w:rPr>
            </w:pPr>
          </w:p>
        </w:tc>
        <w:tc>
          <w:tcPr>
            <w:tcW w:w="10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1,924,208</w:t>
            </w:r>
          </w:p>
        </w:tc>
        <w:tc>
          <w:tcPr>
            <w:tcW w:w="10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1,861,273</w:t>
            </w:r>
          </w:p>
        </w:tc>
        <w:tc>
          <w:tcPr>
            <w:tcW w:w="9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1,762,117</w:t>
            </w:r>
          </w:p>
        </w:tc>
        <w:tc>
          <w:tcPr>
            <w:tcW w:w="0" w:type="dxa"/>
            <w:vAlign w:val="bottom"/>
          </w:tcPr>
          <w:p>
            <w:pPr>
              <w:spacing w:after="0"/>
              <w:rPr>
                <w:sz w:val="1"/>
                <w:szCs w:val="1"/>
                <w:color w:val="auto"/>
              </w:rPr>
            </w:pPr>
          </w:p>
        </w:tc>
      </w:tr>
      <w:tr>
        <w:trPr>
          <w:trHeight w:val="200"/>
        </w:trPr>
        <w:tc>
          <w:tcPr>
            <w:tcW w:w="2640" w:type="dxa"/>
            <w:vAlign w:val="bottom"/>
            <w:gridSpan w:val="2"/>
          </w:tcPr>
          <w:p>
            <w:pPr>
              <w:ind w:left="280"/>
              <w:spacing w:after="0"/>
              <w:rPr>
                <w:sz w:val="20"/>
                <w:szCs w:val="20"/>
                <w:color w:val="auto"/>
              </w:rPr>
            </w:pPr>
            <w:r>
              <w:rPr>
                <w:rFonts w:ascii="Arial" w:cs="Arial" w:eastAsia="Arial" w:hAnsi="Arial"/>
                <w:sz w:val="16"/>
                <w:szCs w:val="16"/>
                <w:color w:val="auto"/>
              </w:rPr>
              <w:t>Total Revenue, Gross Margin</w:t>
            </w:r>
          </w:p>
        </w:tc>
        <w:tc>
          <w:tcPr>
            <w:tcW w:w="20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w w:val="89"/>
              </w:rPr>
              <w:t>$</w:t>
            </w:r>
          </w:p>
        </w:tc>
        <w:tc>
          <w:tcPr>
            <w:tcW w:w="680" w:type="dxa"/>
            <w:vAlign w:val="bottom"/>
            <w:tcBorders>
              <w:top w:val="single" w:sz="8" w:color="auto"/>
            </w:tcBorders>
            <w:vMerge w:val="restart"/>
          </w:tcPr>
          <w:p>
            <w:pPr>
              <w:ind w:left="80"/>
              <w:spacing w:after="0"/>
              <w:rPr>
                <w:sz w:val="20"/>
                <w:szCs w:val="20"/>
                <w:color w:val="auto"/>
              </w:rPr>
            </w:pPr>
            <w:r>
              <w:rPr>
                <w:rFonts w:ascii="Arial" w:cs="Arial" w:eastAsia="Arial" w:hAnsi="Arial"/>
                <w:sz w:val="16"/>
                <w:szCs w:val="16"/>
                <w:color w:val="auto"/>
              </w:rPr>
              <w:t>712,752</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00" w:type="dxa"/>
            <w:vAlign w:val="bottom"/>
            <w:tcBorders>
              <w:top w:val="single" w:sz="8" w:color="auto"/>
            </w:tcBorders>
            <w:vMerge w:val="restart"/>
          </w:tcPr>
          <w:p>
            <w:pPr>
              <w:ind w:left="100"/>
              <w:spacing w:after="0"/>
              <w:rPr>
                <w:sz w:val="20"/>
                <w:szCs w:val="20"/>
                <w:color w:val="auto"/>
              </w:rPr>
            </w:pPr>
            <w:r>
              <w:rPr>
                <w:rFonts w:ascii="Arial" w:cs="Arial" w:eastAsia="Arial" w:hAnsi="Arial"/>
                <w:sz w:val="16"/>
                <w:szCs w:val="16"/>
                <w:color w:val="auto"/>
              </w:rPr>
              <w:t>711,451</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4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704,650</w:t>
            </w:r>
          </w:p>
        </w:tc>
        <w:tc>
          <w:tcPr>
            <w:tcW w:w="12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89"/>
              </w:rPr>
              <w:t>$</w:t>
            </w:r>
          </w:p>
        </w:tc>
        <w:tc>
          <w:tcPr>
            <w:tcW w:w="7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444,455</w:t>
            </w:r>
          </w:p>
        </w:tc>
        <w:tc>
          <w:tcPr>
            <w:tcW w:w="24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6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427,611</w:t>
            </w:r>
          </w:p>
        </w:tc>
        <w:tc>
          <w:tcPr>
            <w:tcW w:w="22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72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430,287</w:t>
            </w:r>
          </w:p>
        </w:tc>
        <w:tc>
          <w:tcPr>
            <w:tcW w:w="100" w:type="dxa"/>
            <w:vAlign w:val="bottom"/>
          </w:tcPr>
          <w:p>
            <w:pPr>
              <w:spacing w:after="0"/>
              <w:rPr>
                <w:sz w:val="17"/>
                <w:szCs w:val="17"/>
                <w:color w:val="auto"/>
              </w:rPr>
            </w:pPr>
          </w:p>
        </w:tc>
        <w:tc>
          <w:tcPr>
            <w:tcW w:w="108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6,904,080</w:t>
            </w:r>
          </w:p>
        </w:tc>
        <w:tc>
          <w:tcPr>
            <w:tcW w:w="1020" w:type="dxa"/>
            <w:vAlign w:val="bottom"/>
            <w:tcBorders>
              <w:top w:val="single" w:sz="8" w:color="auto"/>
            </w:tcBorders>
            <w:vMerge w:val="restart"/>
          </w:tcPr>
          <w:p>
            <w:pPr>
              <w:jc w:val="right"/>
              <w:ind w:right="99"/>
              <w:spacing w:after="0"/>
              <w:rPr>
                <w:sz w:val="20"/>
                <w:szCs w:val="20"/>
                <w:color w:val="auto"/>
              </w:rPr>
            </w:pPr>
            <w:r>
              <w:rPr>
                <w:rFonts w:ascii="Arial" w:cs="Arial" w:eastAsia="Arial" w:hAnsi="Arial"/>
                <w:sz w:val="16"/>
                <w:szCs w:val="16"/>
                <w:color w:val="auto"/>
              </w:rPr>
              <w:t>7,373,587</w:t>
            </w:r>
          </w:p>
        </w:tc>
        <w:tc>
          <w:tcPr>
            <w:tcW w:w="9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7,041,185</w:t>
            </w:r>
          </w:p>
        </w:tc>
        <w:tc>
          <w:tcPr>
            <w:tcW w:w="0" w:type="dxa"/>
            <w:vAlign w:val="bottom"/>
          </w:tcPr>
          <w:p>
            <w:pPr>
              <w:spacing w:after="0"/>
              <w:rPr>
                <w:sz w:val="1"/>
                <w:szCs w:val="1"/>
                <w:color w:val="auto"/>
              </w:rPr>
            </w:pPr>
          </w:p>
        </w:tc>
      </w:tr>
      <w:tr>
        <w:trPr>
          <w:trHeight w:val="206"/>
        </w:trPr>
        <w:tc>
          <w:tcPr>
            <w:tcW w:w="2640" w:type="dxa"/>
            <w:vAlign w:val="bottom"/>
            <w:gridSpan w:val="2"/>
          </w:tcPr>
          <w:p>
            <w:pPr>
              <w:ind w:left="280"/>
              <w:spacing w:after="0"/>
              <w:rPr>
                <w:sz w:val="20"/>
                <w:szCs w:val="20"/>
                <w:color w:val="auto"/>
              </w:rPr>
            </w:pPr>
            <w:r>
              <w:rPr>
                <w:rFonts w:ascii="Arial" w:cs="Arial" w:eastAsia="Arial" w:hAnsi="Arial"/>
                <w:sz w:val="16"/>
                <w:szCs w:val="16"/>
                <w:color w:val="auto"/>
                <w:w w:val="99"/>
              </w:rPr>
              <w:t>(non-GAAP), and Quantities Sold</w:t>
            </w:r>
          </w:p>
        </w:tc>
        <w:tc>
          <w:tcPr>
            <w:tcW w:w="200" w:type="dxa"/>
            <w:vAlign w:val="bottom"/>
            <w:vMerge w:val="continue"/>
          </w:tcPr>
          <w:p>
            <w:pPr>
              <w:spacing w:after="0"/>
              <w:rPr>
                <w:sz w:val="17"/>
                <w:szCs w:val="17"/>
                <w:color w:val="auto"/>
              </w:rPr>
            </w:pPr>
          </w:p>
        </w:tc>
        <w:tc>
          <w:tcPr>
            <w:tcW w:w="68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0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740" w:type="dxa"/>
            <w:vAlign w:val="bottom"/>
            <w:vMerge w:val="continue"/>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240" w:type="dxa"/>
            <w:vAlign w:val="bottom"/>
            <w:vMerge w:val="continue"/>
          </w:tcPr>
          <w:p>
            <w:pPr>
              <w:spacing w:after="0"/>
              <w:rPr>
                <w:sz w:val="17"/>
                <w:szCs w:val="17"/>
                <w:color w:val="auto"/>
              </w:rPr>
            </w:pPr>
          </w:p>
        </w:tc>
        <w:tc>
          <w:tcPr>
            <w:tcW w:w="660" w:type="dxa"/>
            <w:vAlign w:val="bottom"/>
            <w:vMerge w:val="continue"/>
          </w:tcPr>
          <w:p>
            <w:pPr>
              <w:spacing w:after="0"/>
              <w:rPr>
                <w:sz w:val="17"/>
                <w:szCs w:val="17"/>
                <w:color w:val="auto"/>
              </w:rPr>
            </w:pPr>
          </w:p>
        </w:tc>
        <w:tc>
          <w:tcPr>
            <w:tcW w:w="22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1020" w:type="dxa"/>
            <w:vAlign w:val="bottom"/>
            <w:vMerge w:val="continue"/>
          </w:tcPr>
          <w:p>
            <w:pPr>
              <w:spacing w:after="0"/>
              <w:rPr>
                <w:sz w:val="17"/>
                <w:szCs w:val="17"/>
                <w:color w:val="auto"/>
              </w:rPr>
            </w:pPr>
          </w:p>
        </w:tc>
        <w:tc>
          <w:tcPr>
            <w:tcW w:w="9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12700</wp:posOffset>
            </wp:positionV>
            <wp:extent cx="557403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1677670</wp:posOffset>
            </wp:positionH>
            <wp:positionV relativeFrom="paragraph">
              <wp:posOffset>-130175</wp:posOffset>
            </wp:positionV>
            <wp:extent cx="5574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4030" cy="8890"/>
                    </a:xfrm>
                    <a:prstGeom prst="rect">
                      <a:avLst/>
                    </a:prstGeom>
                    <a:noFill/>
                  </pic:spPr>
                </pic:pic>
              </a:graphicData>
            </a:graphic>
          </wp:anchor>
        </w:drawing>
      </w:r>
    </w:p>
    <w:p>
      <w:pPr>
        <w:spacing w:after="0" w:line="3" w:lineRule="exact"/>
        <w:rPr>
          <w:sz w:val="20"/>
          <w:szCs w:val="20"/>
          <w:color w:val="auto"/>
        </w:rPr>
      </w:pPr>
    </w:p>
    <w:p>
      <w:pPr>
        <w:ind w:left="340" w:right="620" w:hanging="332"/>
        <w:spacing w:after="0" w:line="284" w:lineRule="auto"/>
        <w:tabs>
          <w:tab w:leader="none" w:pos="340" w:val="left"/>
        </w:tabs>
        <w:numPr>
          <w:ilvl w:val="0"/>
          <w:numId w:val="12"/>
        </w:numPr>
        <w:rPr>
          <w:rFonts w:ascii="Arial" w:cs="Arial" w:eastAsia="Arial" w:hAnsi="Arial"/>
          <w:sz w:val="14"/>
          <w:szCs w:val="14"/>
          <w:color w:val="auto"/>
        </w:rPr>
      </w:pPr>
      <w:r>
        <w:rPr>
          <w:rFonts w:ascii="Arial" w:cs="Arial" w:eastAsia="Arial" w:hAnsi="Arial"/>
          <w:sz w:val="14"/>
          <w:szCs w:val="14"/>
          <w:color w:val="auto"/>
        </w:rPr>
        <w:t>2019 revenue and purchased power, as well as associated quantities, for a certain wholesale contract have been presented on a net basis. Prior year amounts were presented on a gross basis and, due to their immaterial nature, were not revised. This 2019 presentation change has no impact on Gross margin.</w:t>
      </w:r>
    </w:p>
    <w:p>
      <w:pPr>
        <w:spacing w:after="0" w:line="1" w:lineRule="exact"/>
        <w:rPr>
          <w:rFonts w:ascii="Arial" w:cs="Arial" w:eastAsia="Arial" w:hAnsi="Arial"/>
          <w:sz w:val="14"/>
          <w:szCs w:val="14"/>
          <w:color w:val="auto"/>
        </w:rPr>
      </w:pPr>
    </w:p>
    <w:p>
      <w:pPr>
        <w:ind w:left="340" w:right="6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MWh includes Other Uses, Losses or Generation, net, which is approximately 5%, 6%, and 6% for Colorado Electric, South Dakota Electric and Wyoming Electric, respectively.</w:t>
      </w:r>
    </w:p>
    <w:p>
      <w:pPr>
        <w:ind w:left="340" w:right="40" w:hanging="332"/>
        <w:spacing w:after="0" w:line="263" w:lineRule="auto"/>
        <w:tabs>
          <w:tab w:leader="none" w:pos="340" w:val="left"/>
        </w:tabs>
        <w:numPr>
          <w:ilvl w:val="0"/>
          <w:numId w:val="12"/>
        </w:numPr>
        <w:rPr>
          <w:rFonts w:ascii="Arial" w:cs="Arial" w:eastAsia="Arial" w:hAnsi="Arial"/>
          <w:sz w:val="15"/>
          <w:szCs w:val="15"/>
          <w:color w:val="auto"/>
        </w:rPr>
      </w:pPr>
      <w:r>
        <w:rPr>
          <w:rFonts w:ascii="Arial" w:cs="Arial" w:eastAsia="Arial" w:hAnsi="Arial"/>
          <w:sz w:val="15"/>
          <w:szCs w:val="15"/>
          <w:color w:val="auto"/>
        </w:rPr>
        <w:t xml:space="preserve">Due to the changes in our segment disclosures discussed in </w:t>
      </w:r>
      <w:hyperlink w:anchor="page98">
        <w:r>
          <w:rPr>
            <w:rFonts w:ascii="Arial" w:cs="Arial" w:eastAsia="Arial" w:hAnsi="Arial"/>
            <w:sz w:val="15"/>
            <w:szCs w:val="15"/>
            <w:u w:val="single" w:color="auto"/>
            <w:color w:val="0000EE"/>
          </w:rPr>
          <w:t>Note 5</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 this Annual Report on Form 10-K, cost of fuel and purchased power was revised for the years ended December 31, 2018 and December 31, 2017 which resulted in an increase of $6.7 million and $6.0 million, respectively. There were corresponding decreases to Gross margin for both years. These changes had no impact on consolidated financial results.</w:t>
      </w:r>
    </w:p>
    <w:p>
      <w:pPr>
        <w:ind w:left="340" w:right="400" w:hanging="332"/>
        <w:spacing w:after="0" w:line="257"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For further information on Gross Margin, see “</w:t>
      </w:r>
      <w:hyperlink w:anchor="page50">
        <w:r>
          <w:rPr>
            <w:rFonts w:ascii="Arial" w:cs="Arial" w:eastAsia="Arial" w:hAnsi="Arial"/>
            <w:sz w:val="16"/>
            <w:szCs w:val="16"/>
            <w:u w:val="single" w:color="auto"/>
            <w:color w:val="0000EE"/>
          </w:rPr>
          <w:t>Non-GAAP Financial Measure</w:t>
        </w:r>
      </w:hyperlink>
      <w:r>
        <w:rPr>
          <w:rFonts w:ascii="Arial" w:cs="Arial" w:eastAsia="Arial" w:hAnsi="Arial"/>
          <w:sz w:val="16"/>
          <w:szCs w:val="16"/>
          <w:color w:val="auto"/>
        </w:rPr>
        <w:t xml:space="preserve">” within Management’s Discussion and Analysis of Financial Condition and Results of Operations in </w:t>
      </w:r>
      <w:hyperlink w:anchor="page42">
        <w:r>
          <w:rPr>
            <w:rFonts w:ascii="Arial" w:cs="Arial" w:eastAsia="Arial" w:hAnsi="Arial"/>
            <w:sz w:val="16"/>
            <w:szCs w:val="16"/>
            <w:u w:val="single" w:color="auto"/>
            <w:color w:val="0000EE"/>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335"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6"/>
        </w:trPr>
        <w:tc>
          <w:tcPr>
            <w:tcW w:w="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64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560" w:type="dxa"/>
            <w:vAlign w:val="bottom"/>
            <w:gridSpan w:val="2"/>
          </w:tcPr>
          <w:p>
            <w:pPr>
              <w:jc w:val="right"/>
              <w:ind w:right="99"/>
              <w:spacing w:after="0"/>
              <w:rPr>
                <w:sz w:val="20"/>
                <w:szCs w:val="20"/>
                <w:color w:val="auto"/>
              </w:rPr>
            </w:pPr>
            <w:r>
              <w:rPr>
                <w:rFonts w:ascii="Arial" w:cs="Arial" w:eastAsia="Arial" w:hAnsi="Arial"/>
                <w:sz w:val="16"/>
                <w:szCs w:val="16"/>
                <w:color w:val="auto"/>
              </w:rPr>
              <w:t>For the year ended December 31,</w:t>
            </w: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60" w:type="dxa"/>
            <w:vAlign w:val="bottom"/>
            <w:gridSpan w:val="2"/>
          </w:tcPr>
          <w:p>
            <w:pPr>
              <w:jc w:val="right"/>
              <w:ind w:right="799"/>
              <w:spacing w:after="0"/>
              <w:rPr>
                <w:sz w:val="20"/>
                <w:szCs w:val="20"/>
                <w:color w:val="auto"/>
              </w:rPr>
            </w:pPr>
            <w:r>
              <w:rPr>
                <w:rFonts w:ascii="Arial" w:cs="Arial" w:eastAsia="Arial" w:hAnsi="Arial"/>
                <w:sz w:val="16"/>
                <w:szCs w:val="16"/>
                <w:color w:val="auto"/>
              </w:rPr>
              <w:t>2019</w:t>
            </w:r>
          </w:p>
        </w:tc>
        <w:tc>
          <w:tcPr>
            <w:tcW w:w="1740" w:type="dxa"/>
            <w:vAlign w:val="bottom"/>
          </w:tcPr>
          <w:p>
            <w:pPr>
              <w:jc w:val="right"/>
              <w:ind w:right="959"/>
              <w:spacing w:after="0"/>
              <w:rPr>
                <w:sz w:val="20"/>
                <w:szCs w:val="20"/>
                <w:color w:val="auto"/>
              </w:rPr>
            </w:pPr>
            <w:r>
              <w:rPr>
                <w:rFonts w:ascii="Arial" w:cs="Arial" w:eastAsia="Arial" w:hAnsi="Arial"/>
                <w:sz w:val="16"/>
                <w:szCs w:val="16"/>
                <w:color w:val="auto"/>
              </w:rPr>
              <w:t>2018</w:t>
            </w:r>
          </w:p>
        </w:tc>
        <w:tc>
          <w:tcPr>
            <w:tcW w:w="1060" w:type="dxa"/>
            <w:vAlign w:val="bottom"/>
          </w:tcPr>
          <w:p>
            <w:pPr>
              <w:jc w:val="right"/>
              <w:ind w:right="499"/>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6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Coal-fired</w:t>
            </w:r>
          </w:p>
        </w:tc>
        <w:tc>
          <w:tcPr>
            <w:tcW w:w="1860" w:type="dxa"/>
            <w:vAlign w:val="bottom"/>
            <w:tcBorders>
              <w:bottom w:val="single" w:sz="8" w:color="CEFFE7"/>
            </w:tcBorders>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2,226,028</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2,368,506</w:t>
            </w:r>
          </w:p>
        </w:tc>
        <w:tc>
          <w:tcPr>
            <w:tcW w:w="10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2,230,617</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6700" w:type="dxa"/>
            <w:vAlign w:val="bottom"/>
            <w:gridSpan w:val="2"/>
          </w:tcPr>
          <w:p>
            <w:pPr>
              <w:ind w:left="20"/>
              <w:spacing w:after="0"/>
              <w:rPr>
                <w:sz w:val="20"/>
                <w:szCs w:val="20"/>
                <w:color w:val="auto"/>
              </w:rPr>
            </w:pPr>
            <w:r>
              <w:rPr>
                <w:rFonts w:ascii="Arial" w:cs="Arial" w:eastAsia="Arial" w:hAnsi="Arial"/>
                <w:sz w:val="16"/>
                <w:szCs w:val="16"/>
                <w:color w:val="auto"/>
              </w:rPr>
              <w:t>Natural Gas and Oil</w:t>
            </w:r>
          </w:p>
        </w:tc>
        <w:tc>
          <w:tcPr>
            <w:tcW w:w="1860" w:type="dxa"/>
            <w:vAlign w:val="bottom"/>
            <w:gridSpan w:val="2"/>
          </w:tcPr>
          <w:p>
            <w:pPr>
              <w:jc w:val="right"/>
              <w:ind w:right="279"/>
              <w:spacing w:after="0"/>
              <w:rPr>
                <w:sz w:val="20"/>
                <w:szCs w:val="20"/>
                <w:color w:val="auto"/>
              </w:rPr>
            </w:pPr>
            <w:r>
              <w:rPr>
                <w:rFonts w:ascii="Arial" w:cs="Arial" w:eastAsia="Arial" w:hAnsi="Arial"/>
                <w:sz w:val="16"/>
                <w:szCs w:val="16"/>
                <w:color w:val="auto"/>
              </w:rPr>
              <w:t>600,002</w:t>
            </w:r>
          </w:p>
        </w:tc>
        <w:tc>
          <w:tcPr>
            <w:tcW w:w="1740" w:type="dxa"/>
            <w:vAlign w:val="bottom"/>
          </w:tcPr>
          <w:p>
            <w:pPr>
              <w:jc w:val="right"/>
              <w:ind w:right="439"/>
              <w:spacing w:after="0"/>
              <w:rPr>
                <w:sz w:val="20"/>
                <w:szCs w:val="20"/>
                <w:color w:val="auto"/>
              </w:rPr>
            </w:pPr>
            <w:r>
              <w:rPr>
                <w:rFonts w:ascii="Arial" w:cs="Arial" w:eastAsia="Arial" w:hAnsi="Arial"/>
                <w:sz w:val="16"/>
                <w:szCs w:val="16"/>
                <w:color w:val="auto"/>
              </w:rPr>
              <w:t>446,373</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307,815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Wind</w:t>
            </w:r>
          </w:p>
        </w:tc>
        <w:tc>
          <w:tcPr>
            <w:tcW w:w="1860" w:type="dxa"/>
            <w:vAlign w:val="bottom"/>
            <w:tcBorders>
              <w:bottom w:val="single" w:sz="8" w:color="CEFFE7"/>
            </w:tcBorders>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238,999</w:t>
            </w:r>
          </w:p>
        </w:tc>
        <w:tc>
          <w:tcPr>
            <w:tcW w:w="1740" w:type="dxa"/>
            <w:vAlign w:val="bottom"/>
            <w:tcBorders>
              <w:bottom w:val="single" w:sz="8" w:color="CEFFE7"/>
            </w:tcBorders>
            <w:shd w:val="clear" w:color="auto" w:fill="CEFFE7"/>
          </w:tcPr>
          <w:p>
            <w:pPr>
              <w:jc w:val="right"/>
              <w:ind w:right="439"/>
              <w:spacing w:after="0"/>
              <w:rPr>
                <w:sz w:val="20"/>
                <w:szCs w:val="20"/>
                <w:color w:val="auto"/>
              </w:rPr>
            </w:pPr>
            <w:r>
              <w:rPr>
                <w:rFonts w:ascii="Arial" w:cs="Arial" w:eastAsia="Arial" w:hAnsi="Arial"/>
                <w:sz w:val="16"/>
                <w:szCs w:val="16"/>
                <w:color w:val="auto"/>
              </w:rPr>
              <w:t>253,180</w:t>
            </w:r>
          </w:p>
        </w:tc>
        <w:tc>
          <w:tcPr>
            <w:tcW w:w="10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239,472</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6700" w:type="dxa"/>
            <w:vAlign w:val="bottom"/>
            <w:gridSpan w:val="2"/>
          </w:tcPr>
          <w:p>
            <w:pPr>
              <w:ind w:left="260"/>
              <w:spacing w:after="0"/>
              <w:rPr>
                <w:sz w:val="20"/>
                <w:szCs w:val="20"/>
                <w:color w:val="auto"/>
              </w:rPr>
            </w:pPr>
            <w:r>
              <w:rPr>
                <w:rFonts w:ascii="Arial" w:cs="Arial" w:eastAsia="Arial" w:hAnsi="Arial"/>
                <w:sz w:val="16"/>
                <w:szCs w:val="16"/>
                <w:color w:val="auto"/>
              </w:rPr>
              <w:t>Total Generated</w:t>
            </w:r>
          </w:p>
        </w:tc>
        <w:tc>
          <w:tcPr>
            <w:tcW w:w="1860" w:type="dxa"/>
            <w:vAlign w:val="bottom"/>
            <w:tcBorders>
              <w:top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3,065,029</w:t>
            </w:r>
          </w:p>
        </w:tc>
        <w:tc>
          <w:tcPr>
            <w:tcW w:w="1740" w:type="dxa"/>
            <w:vAlign w:val="bottom"/>
            <w:tcBorders>
              <w:top w:val="single" w:sz="8" w:color="auto"/>
            </w:tcBorders>
          </w:tcPr>
          <w:p>
            <w:pPr>
              <w:jc w:val="right"/>
              <w:ind w:right="439"/>
              <w:spacing w:after="0"/>
              <w:rPr>
                <w:sz w:val="20"/>
                <w:szCs w:val="20"/>
                <w:color w:val="auto"/>
              </w:rPr>
            </w:pPr>
            <w:r>
              <w:rPr>
                <w:rFonts w:ascii="Arial" w:cs="Arial" w:eastAsia="Arial" w:hAnsi="Arial"/>
                <w:sz w:val="16"/>
                <w:szCs w:val="16"/>
                <w:color w:val="auto"/>
              </w:rPr>
              <w:t>3,068,059</w:t>
            </w: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2,777,904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670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 xml:space="preserve">Purchased </w:t>
            </w:r>
            <w:r>
              <w:rPr>
                <w:rFonts w:ascii="Arial" w:cs="Arial" w:eastAsia="Arial" w:hAnsi="Arial"/>
                <w:sz w:val="21"/>
                <w:szCs w:val="21"/>
                <w:color w:val="auto"/>
                <w:vertAlign w:val="superscript"/>
              </w:rPr>
              <w:t>(a)</w:t>
            </w:r>
          </w:p>
        </w:tc>
        <w:tc>
          <w:tcPr>
            <w:tcW w:w="1860" w:type="dxa"/>
            <w:vAlign w:val="bottom"/>
            <w:tcBorders>
              <w:bottom w:val="single" w:sz="8" w:color="auto"/>
            </w:tcBorders>
            <w:gridSpan w:val="2"/>
            <w:shd w:val="clear" w:color="auto" w:fill="CEFFE7"/>
          </w:tcPr>
          <w:p>
            <w:pPr>
              <w:jc w:val="right"/>
              <w:ind w:right="279"/>
              <w:spacing w:after="0"/>
              <w:rPr>
                <w:sz w:val="20"/>
                <w:szCs w:val="20"/>
                <w:color w:val="auto"/>
              </w:rPr>
            </w:pPr>
            <w:r>
              <w:rPr>
                <w:rFonts w:ascii="Arial" w:cs="Arial" w:eastAsia="Arial" w:hAnsi="Arial"/>
                <w:sz w:val="16"/>
                <w:szCs w:val="16"/>
                <w:color w:val="auto"/>
              </w:rPr>
              <w:t>3,839,051</w:t>
            </w:r>
          </w:p>
        </w:tc>
        <w:tc>
          <w:tcPr>
            <w:tcW w:w="1740" w:type="dxa"/>
            <w:vAlign w:val="bottom"/>
            <w:tcBorders>
              <w:bottom w:val="single" w:sz="8" w:color="auto"/>
            </w:tcBorders>
            <w:shd w:val="clear" w:color="auto" w:fill="CEFFE7"/>
          </w:tcPr>
          <w:p>
            <w:pPr>
              <w:jc w:val="right"/>
              <w:ind w:right="439"/>
              <w:spacing w:after="0"/>
              <w:rPr>
                <w:sz w:val="20"/>
                <w:szCs w:val="20"/>
                <w:color w:val="auto"/>
              </w:rPr>
            </w:pPr>
            <w:r>
              <w:rPr>
                <w:rFonts w:ascii="Arial" w:cs="Arial" w:eastAsia="Arial" w:hAnsi="Arial"/>
                <w:sz w:val="16"/>
                <w:szCs w:val="16"/>
                <w:color w:val="auto"/>
              </w:rPr>
              <w:t>4,305,528</w:t>
            </w:r>
          </w:p>
        </w:tc>
        <w:tc>
          <w:tcPr>
            <w:tcW w:w="106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4,263,281</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6700" w:type="dxa"/>
            <w:vAlign w:val="bottom"/>
            <w:gridSpan w:val="2"/>
          </w:tcPr>
          <w:p>
            <w:pPr>
              <w:ind w:left="260"/>
              <w:spacing w:after="0"/>
              <w:rPr>
                <w:sz w:val="20"/>
                <w:szCs w:val="20"/>
                <w:color w:val="auto"/>
              </w:rPr>
            </w:pPr>
            <w:r>
              <w:rPr>
                <w:rFonts w:ascii="Arial" w:cs="Arial" w:eastAsia="Arial" w:hAnsi="Arial"/>
                <w:sz w:val="16"/>
                <w:szCs w:val="16"/>
                <w:color w:val="auto"/>
              </w:rPr>
              <w:t>Total Generated and Purchased</w:t>
            </w:r>
          </w:p>
        </w:tc>
        <w:tc>
          <w:tcPr>
            <w:tcW w:w="1860" w:type="dxa"/>
            <w:vAlign w:val="bottom"/>
            <w:tcBorders>
              <w:bottom w:val="single" w:sz="8" w:color="auto"/>
            </w:tcBorders>
            <w:gridSpan w:val="2"/>
          </w:tcPr>
          <w:p>
            <w:pPr>
              <w:jc w:val="right"/>
              <w:ind w:right="279"/>
              <w:spacing w:after="0"/>
              <w:rPr>
                <w:sz w:val="20"/>
                <w:szCs w:val="20"/>
                <w:color w:val="auto"/>
              </w:rPr>
            </w:pPr>
            <w:r>
              <w:rPr>
                <w:rFonts w:ascii="Arial" w:cs="Arial" w:eastAsia="Arial" w:hAnsi="Arial"/>
                <w:sz w:val="16"/>
                <w:szCs w:val="16"/>
                <w:color w:val="auto"/>
              </w:rPr>
              <w:t>6,904,080</w:t>
            </w:r>
          </w:p>
        </w:tc>
        <w:tc>
          <w:tcPr>
            <w:tcW w:w="17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color w:val="auto"/>
              </w:rPr>
              <w:t>7,373,587</w:t>
            </w:r>
          </w:p>
        </w:tc>
        <w:tc>
          <w:tcPr>
            <w:tcW w:w="106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7,041,185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560" w:type="dxa"/>
            <w:vAlign w:val="bottom"/>
            <w:tcBorders>
              <w:bottom w:val="single" w:sz="8" w:color="auto"/>
            </w:tcBorders>
            <w:gridSpan w:val="2"/>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8"/>
        </w:trPr>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60" w:type="dxa"/>
            <w:vAlign w:val="bottom"/>
            <w:gridSpan w:val="2"/>
          </w:tcPr>
          <w:p>
            <w:pPr>
              <w:jc w:val="right"/>
              <w:ind w:right="59"/>
              <w:spacing w:after="0"/>
              <w:rPr>
                <w:sz w:val="20"/>
                <w:szCs w:val="20"/>
                <w:color w:val="auto"/>
              </w:rPr>
            </w:pPr>
            <w:r>
              <w:rPr>
                <w:rFonts w:ascii="Arial" w:cs="Arial" w:eastAsia="Arial" w:hAnsi="Arial"/>
                <w:sz w:val="16"/>
                <w:szCs w:val="16"/>
                <w:color w:val="auto"/>
              </w:rPr>
              <w:t>For the year ended December 31,</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Quantities Generated and Purchased (MWh)</w:t>
            </w:r>
          </w:p>
        </w:tc>
        <w:tc>
          <w:tcPr>
            <w:tcW w:w="1860" w:type="dxa"/>
            <w:vAlign w:val="bottom"/>
            <w:gridSpan w:val="2"/>
          </w:tcPr>
          <w:p>
            <w:pPr>
              <w:jc w:val="right"/>
              <w:ind w:right="799"/>
              <w:spacing w:after="0"/>
              <w:rPr>
                <w:sz w:val="20"/>
                <w:szCs w:val="20"/>
                <w:color w:val="auto"/>
              </w:rPr>
            </w:pPr>
            <w:r>
              <w:rPr>
                <w:rFonts w:ascii="Arial" w:cs="Arial" w:eastAsia="Arial" w:hAnsi="Arial"/>
                <w:sz w:val="16"/>
                <w:szCs w:val="16"/>
                <w:color w:val="auto"/>
              </w:rPr>
              <w:t>2019</w:t>
            </w:r>
          </w:p>
        </w:tc>
        <w:tc>
          <w:tcPr>
            <w:tcW w:w="1740" w:type="dxa"/>
            <w:vAlign w:val="bottom"/>
          </w:tcPr>
          <w:p>
            <w:pPr>
              <w:jc w:val="right"/>
              <w:ind w:right="979"/>
              <w:spacing w:after="0"/>
              <w:rPr>
                <w:sz w:val="20"/>
                <w:szCs w:val="20"/>
                <w:color w:val="auto"/>
              </w:rPr>
            </w:pPr>
            <w:r>
              <w:rPr>
                <w:rFonts w:ascii="Arial" w:cs="Arial" w:eastAsia="Arial" w:hAnsi="Arial"/>
                <w:sz w:val="16"/>
                <w:szCs w:val="16"/>
                <w:color w:val="auto"/>
              </w:rPr>
              <w:t>2018</w:t>
            </w:r>
          </w:p>
        </w:tc>
        <w:tc>
          <w:tcPr>
            <w:tcW w:w="1060" w:type="dxa"/>
            <w:vAlign w:val="bottom"/>
          </w:tcPr>
          <w:p>
            <w:pPr>
              <w:jc w:val="right"/>
              <w:ind w:right="499"/>
              <w:spacing w:after="0"/>
              <w:rPr>
                <w:sz w:val="20"/>
                <w:szCs w:val="20"/>
                <w:color w:val="auto"/>
              </w:rPr>
            </w:pPr>
            <w:r>
              <w:rPr>
                <w:rFonts w:ascii="Arial" w:cs="Arial" w:eastAsia="Arial" w:hAnsi="Arial"/>
                <w:sz w:val="16"/>
                <w:szCs w:val="16"/>
                <w:color w:val="auto"/>
              </w:rPr>
              <w:t>2017</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tcPr>
          <w:p>
            <w:pPr>
              <w:ind w:left="20"/>
              <w:spacing w:after="0"/>
              <w:rPr>
                <w:sz w:val="20"/>
                <w:szCs w:val="20"/>
                <w:color w:val="auto"/>
              </w:rPr>
            </w:pPr>
            <w:r>
              <w:rPr>
                <w:rFonts w:ascii="Arial" w:cs="Arial" w:eastAsia="Arial" w:hAnsi="Arial"/>
                <w:sz w:val="16"/>
                <w:szCs w:val="16"/>
                <w:color w:val="auto"/>
              </w:rPr>
              <w:t>Generated:</w:t>
            </w:r>
          </w:p>
        </w:tc>
        <w:tc>
          <w:tcPr>
            <w:tcW w:w="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Colorado Electric</w:t>
            </w:r>
          </w:p>
        </w:tc>
        <w:tc>
          <w:tcPr>
            <w:tcW w:w="1860" w:type="dxa"/>
            <w:vAlign w:val="bottom"/>
            <w:tcBorders>
              <w:bottom w:val="single" w:sz="8" w:color="CEFFE7"/>
            </w:tcBorders>
            <w:gridSpan w:val="2"/>
            <w:shd w:val="clear" w:color="auto" w:fill="CEFFE7"/>
          </w:tcPr>
          <w:p>
            <w:pPr>
              <w:jc w:val="right"/>
              <w:ind w:right="299"/>
              <w:spacing w:after="0"/>
              <w:rPr>
                <w:sz w:val="20"/>
                <w:szCs w:val="20"/>
                <w:color w:val="auto"/>
              </w:rPr>
            </w:pPr>
            <w:r>
              <w:rPr>
                <w:rFonts w:ascii="Arial" w:cs="Arial" w:eastAsia="Arial" w:hAnsi="Arial"/>
                <w:sz w:val="16"/>
                <w:szCs w:val="16"/>
                <w:color w:val="auto"/>
              </w:rPr>
              <w:t>443,770</w:t>
            </w:r>
          </w:p>
        </w:tc>
        <w:tc>
          <w:tcPr>
            <w:tcW w:w="1740" w:type="dxa"/>
            <w:vAlign w:val="bottom"/>
            <w:tcBorders>
              <w:bottom w:val="single" w:sz="8" w:color="CEFFE7"/>
            </w:tcBorders>
            <w:shd w:val="clear" w:color="auto" w:fill="CEFFE7"/>
          </w:tcPr>
          <w:p>
            <w:pPr>
              <w:jc w:val="right"/>
              <w:ind w:right="479"/>
              <w:spacing w:after="0"/>
              <w:rPr>
                <w:sz w:val="20"/>
                <w:szCs w:val="20"/>
                <w:color w:val="auto"/>
              </w:rPr>
            </w:pPr>
            <w:r>
              <w:rPr>
                <w:rFonts w:ascii="Arial" w:cs="Arial" w:eastAsia="Arial" w:hAnsi="Arial"/>
                <w:sz w:val="16"/>
                <w:szCs w:val="16"/>
                <w:color w:val="auto"/>
              </w:rPr>
              <w:t>481,446</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397,965</w:t>
            </w:r>
          </w:p>
        </w:tc>
        <w:tc>
          <w:tcPr>
            <w:tcW w:w="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South Dakota Electric</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1,768,456</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1,734,222</w:t>
            </w:r>
          </w:p>
        </w:tc>
        <w:tc>
          <w:tcPr>
            <w:tcW w:w="1060" w:type="dxa"/>
            <w:vAlign w:val="bottom"/>
          </w:tcPr>
          <w:p>
            <w:pPr>
              <w:jc w:val="right"/>
              <w:spacing w:after="0"/>
              <w:rPr>
                <w:sz w:val="20"/>
                <w:szCs w:val="20"/>
                <w:color w:val="auto"/>
              </w:rPr>
            </w:pPr>
            <w:r>
              <w:rPr>
                <w:rFonts w:ascii="Arial" w:cs="Arial" w:eastAsia="Arial" w:hAnsi="Arial"/>
                <w:sz w:val="16"/>
                <w:szCs w:val="16"/>
                <w:color w:val="auto"/>
              </w:rPr>
              <w:t>1,581,915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Wyoming Electric</w:t>
            </w:r>
          </w:p>
        </w:tc>
        <w:tc>
          <w:tcPr>
            <w:tcW w:w="4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852,803</w:t>
            </w:r>
          </w:p>
        </w:tc>
        <w:tc>
          <w:tcPr>
            <w:tcW w:w="1740" w:type="dxa"/>
            <w:vAlign w:val="bottom"/>
            <w:tcBorders>
              <w:bottom w:val="single" w:sz="8" w:color="CEFFE7"/>
            </w:tcBorders>
            <w:shd w:val="clear" w:color="auto" w:fill="CEFFE7"/>
          </w:tcPr>
          <w:p>
            <w:pPr>
              <w:jc w:val="right"/>
              <w:ind w:right="479"/>
              <w:spacing w:after="0"/>
              <w:rPr>
                <w:sz w:val="20"/>
                <w:szCs w:val="20"/>
                <w:color w:val="auto"/>
              </w:rPr>
            </w:pPr>
            <w:r>
              <w:rPr>
                <w:rFonts w:ascii="Arial" w:cs="Arial" w:eastAsia="Arial" w:hAnsi="Arial"/>
                <w:sz w:val="16"/>
                <w:szCs w:val="16"/>
                <w:color w:val="auto"/>
              </w:rPr>
              <w:t>852,391</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798,024</w:t>
            </w:r>
          </w:p>
        </w:tc>
        <w:tc>
          <w:tcPr>
            <w:tcW w:w="2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0" w:type="dxa"/>
            <w:vAlign w:val="bottom"/>
          </w:tcPr>
          <w:p>
            <w:pPr>
              <w:ind w:left="480"/>
              <w:spacing w:after="0"/>
              <w:rPr>
                <w:sz w:val="20"/>
                <w:szCs w:val="20"/>
                <w:color w:val="auto"/>
              </w:rPr>
            </w:pPr>
            <w:r>
              <w:rPr>
                <w:rFonts w:ascii="Arial" w:cs="Arial" w:eastAsia="Arial" w:hAnsi="Arial"/>
                <w:sz w:val="16"/>
                <w:szCs w:val="16"/>
                <w:color w:val="auto"/>
              </w:rPr>
              <w:t>Total Generated</w:t>
            </w:r>
          </w:p>
        </w:tc>
        <w:tc>
          <w:tcPr>
            <w:tcW w:w="40" w:type="dxa"/>
            <w:vAlign w:val="bottom"/>
          </w:tcPr>
          <w:p>
            <w:pPr>
              <w:spacing w:after="0"/>
              <w:rPr>
                <w:sz w:val="18"/>
                <w:szCs w:val="18"/>
                <w:color w:val="auto"/>
              </w:rPr>
            </w:pPr>
          </w:p>
        </w:tc>
        <w:tc>
          <w:tcPr>
            <w:tcW w:w="1820" w:type="dxa"/>
            <w:vAlign w:val="bottom"/>
            <w:tcBorders>
              <w:top w:val="single" w:sz="8" w:color="auto"/>
            </w:tcBorders>
          </w:tcPr>
          <w:p>
            <w:pPr>
              <w:jc w:val="right"/>
              <w:ind w:right="299"/>
              <w:spacing w:after="0"/>
              <w:rPr>
                <w:sz w:val="20"/>
                <w:szCs w:val="20"/>
                <w:color w:val="auto"/>
              </w:rPr>
            </w:pPr>
            <w:r>
              <w:rPr>
                <w:rFonts w:ascii="Arial" w:cs="Arial" w:eastAsia="Arial" w:hAnsi="Arial"/>
                <w:sz w:val="16"/>
                <w:szCs w:val="16"/>
                <w:color w:val="auto"/>
              </w:rPr>
              <w:t>3,065,029</w:t>
            </w:r>
          </w:p>
        </w:tc>
        <w:tc>
          <w:tcPr>
            <w:tcW w:w="1740" w:type="dxa"/>
            <w:vAlign w:val="bottom"/>
            <w:tcBorders>
              <w:top w:val="single" w:sz="8" w:color="auto"/>
            </w:tcBorders>
          </w:tcPr>
          <w:p>
            <w:pPr>
              <w:jc w:val="right"/>
              <w:ind w:right="479"/>
              <w:spacing w:after="0"/>
              <w:rPr>
                <w:sz w:val="20"/>
                <w:szCs w:val="20"/>
                <w:color w:val="auto"/>
              </w:rPr>
            </w:pPr>
            <w:r>
              <w:rPr>
                <w:rFonts w:ascii="Arial" w:cs="Arial" w:eastAsia="Arial" w:hAnsi="Arial"/>
                <w:sz w:val="16"/>
                <w:szCs w:val="16"/>
                <w:color w:val="auto"/>
              </w:rPr>
              <w:t>3,068,059</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2,777,904</w:t>
            </w: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Purchased:</w:t>
            </w:r>
          </w:p>
        </w:tc>
        <w:tc>
          <w:tcPr>
            <w:tcW w:w="40" w:type="dxa"/>
            <w:vAlign w:val="bottom"/>
            <w:tcBorders>
              <w:bottom w:val="single" w:sz="8" w:color="CEFFE7"/>
            </w:tcBorders>
            <w:shd w:val="clear" w:color="auto" w:fill="CEFFE7"/>
          </w:tcPr>
          <w:p>
            <w:pPr>
              <w:spacing w:after="0"/>
              <w:rPr>
                <w:sz w:val="20"/>
                <w:szCs w:val="20"/>
                <w:color w:val="auto"/>
              </w:rPr>
            </w:pPr>
          </w:p>
        </w:tc>
        <w:tc>
          <w:tcPr>
            <w:tcW w:w="1820" w:type="dxa"/>
            <w:vAlign w:val="bottom"/>
            <w:tcBorders>
              <w:bottom w:val="single" w:sz="8" w:color="CEFFE7"/>
            </w:tcBorders>
            <w:shd w:val="clear" w:color="auto" w:fill="CEFFE7"/>
          </w:tcPr>
          <w:p>
            <w:pPr>
              <w:spacing w:after="0"/>
              <w:rPr>
                <w:sz w:val="20"/>
                <w:szCs w:val="20"/>
                <w:color w:val="auto"/>
              </w:rPr>
            </w:pPr>
          </w:p>
        </w:tc>
        <w:tc>
          <w:tcPr>
            <w:tcW w:w="174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spacing w:after="0"/>
              <w:rPr>
                <w:sz w:val="20"/>
                <w:szCs w:val="20"/>
                <w:color w:val="auto"/>
              </w:rPr>
            </w:pPr>
          </w:p>
        </w:tc>
        <w:tc>
          <w:tcPr>
            <w:tcW w:w="20" w:type="dxa"/>
            <w:vAlign w:val="bottom"/>
            <w:tcBorders>
              <w:bottom w:val="single" w:sz="8" w:color="CEFFE7"/>
            </w:tcBorders>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Colorado Electric</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1,737,215</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1,670,472</w:t>
            </w:r>
          </w:p>
        </w:tc>
        <w:tc>
          <w:tcPr>
            <w:tcW w:w="1060" w:type="dxa"/>
            <w:vAlign w:val="bottom"/>
          </w:tcPr>
          <w:p>
            <w:pPr>
              <w:jc w:val="right"/>
              <w:spacing w:after="0"/>
              <w:rPr>
                <w:sz w:val="20"/>
                <w:szCs w:val="20"/>
                <w:color w:val="auto"/>
              </w:rPr>
            </w:pPr>
            <w:r>
              <w:rPr>
                <w:rFonts w:ascii="Arial" w:cs="Arial" w:eastAsia="Arial" w:hAnsi="Arial"/>
                <w:sz w:val="16"/>
                <w:szCs w:val="16"/>
                <w:color w:val="auto"/>
              </w:rPr>
              <w:t>1,693,711</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Pr>
          <w:p>
            <w:pPr>
              <w:spacing w:after="0"/>
              <w:rPr>
                <w:sz w:val="2"/>
                <w:szCs w:val="2"/>
                <w:color w:val="auto"/>
              </w:rPr>
            </w:pPr>
          </w:p>
        </w:tc>
        <w:tc>
          <w:tcPr>
            <w:tcW w:w="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0" w:type="dxa"/>
            <w:vAlign w:val="bottom"/>
            <w:shd w:val="clear" w:color="auto" w:fill="CEFFE7"/>
          </w:tcPr>
          <w:p>
            <w:pPr>
              <w:ind w:left="260"/>
              <w:spacing w:after="0"/>
              <w:rPr>
                <w:sz w:val="20"/>
                <w:szCs w:val="20"/>
                <w:color w:val="auto"/>
              </w:rPr>
            </w:pPr>
            <w:r>
              <w:rPr>
                <w:rFonts w:ascii="Arial" w:cs="Arial" w:eastAsia="Arial" w:hAnsi="Arial"/>
                <w:sz w:val="16"/>
                <w:szCs w:val="16"/>
                <w:color w:val="auto"/>
              </w:rPr>
              <w:t xml:space="preserve">South Dakota Electric </w:t>
            </w:r>
            <w:r>
              <w:rPr>
                <w:rFonts w:ascii="Arial" w:cs="Arial" w:eastAsia="Arial" w:hAnsi="Arial"/>
                <w:sz w:val="21"/>
                <w:szCs w:val="21"/>
                <w:color w:val="auto"/>
                <w:vertAlign w:val="superscript"/>
              </w:rPr>
              <w:t>(a)</w:t>
            </w:r>
          </w:p>
        </w:tc>
        <w:tc>
          <w:tcPr>
            <w:tcW w:w="1860" w:type="dxa"/>
            <w:vAlign w:val="bottom"/>
            <w:gridSpan w:val="2"/>
            <w:shd w:val="clear" w:color="auto" w:fill="CEFFE7"/>
          </w:tcPr>
          <w:p>
            <w:pPr>
              <w:jc w:val="right"/>
              <w:ind w:right="299"/>
              <w:spacing w:after="0"/>
              <w:rPr>
                <w:sz w:val="20"/>
                <w:szCs w:val="20"/>
                <w:color w:val="auto"/>
              </w:rPr>
            </w:pPr>
            <w:r>
              <w:rPr>
                <w:rFonts w:ascii="Arial" w:cs="Arial" w:eastAsia="Arial" w:hAnsi="Arial"/>
                <w:sz w:val="16"/>
                <w:szCs w:val="16"/>
                <w:color w:val="auto"/>
              </w:rPr>
              <w:t>1,030,431</w:t>
            </w:r>
          </w:p>
        </w:tc>
        <w:tc>
          <w:tcPr>
            <w:tcW w:w="1740" w:type="dxa"/>
            <w:vAlign w:val="bottom"/>
            <w:shd w:val="clear" w:color="auto" w:fill="CEFFE7"/>
          </w:tcPr>
          <w:p>
            <w:pPr>
              <w:jc w:val="right"/>
              <w:ind w:right="479"/>
              <w:spacing w:after="0"/>
              <w:rPr>
                <w:sz w:val="20"/>
                <w:szCs w:val="20"/>
                <w:color w:val="auto"/>
              </w:rPr>
            </w:pPr>
            <w:r>
              <w:rPr>
                <w:rFonts w:ascii="Arial" w:cs="Arial" w:eastAsia="Arial" w:hAnsi="Arial"/>
                <w:sz w:val="16"/>
                <w:szCs w:val="16"/>
                <w:color w:val="auto"/>
              </w:rPr>
              <w:t>1,626,174</w:t>
            </w:r>
          </w:p>
        </w:tc>
        <w:tc>
          <w:tcPr>
            <w:tcW w:w="10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1,605,477</w:t>
            </w:r>
          </w:p>
        </w:tc>
        <w:tc>
          <w:tcPr>
            <w:tcW w:w="20" w:type="dxa"/>
            <w:vAlign w:val="bottom"/>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0" w:type="dxa"/>
            <w:vAlign w:val="bottom"/>
          </w:tcPr>
          <w:p>
            <w:pPr>
              <w:ind w:left="260"/>
              <w:spacing w:after="0"/>
              <w:rPr>
                <w:sz w:val="20"/>
                <w:szCs w:val="20"/>
                <w:color w:val="auto"/>
              </w:rPr>
            </w:pPr>
            <w:r>
              <w:rPr>
                <w:rFonts w:ascii="Arial" w:cs="Arial" w:eastAsia="Arial" w:hAnsi="Arial"/>
                <w:sz w:val="16"/>
                <w:szCs w:val="16"/>
                <w:color w:val="auto"/>
              </w:rPr>
              <w:t>Wyoming Electric</w:t>
            </w:r>
          </w:p>
        </w:tc>
        <w:tc>
          <w:tcPr>
            <w:tcW w:w="1860" w:type="dxa"/>
            <w:vAlign w:val="bottom"/>
            <w:gridSpan w:val="2"/>
          </w:tcPr>
          <w:p>
            <w:pPr>
              <w:jc w:val="right"/>
              <w:ind w:right="299"/>
              <w:spacing w:after="0"/>
              <w:rPr>
                <w:sz w:val="20"/>
                <w:szCs w:val="20"/>
                <w:color w:val="auto"/>
              </w:rPr>
            </w:pPr>
            <w:r>
              <w:rPr>
                <w:rFonts w:ascii="Arial" w:cs="Arial" w:eastAsia="Arial" w:hAnsi="Arial"/>
                <w:sz w:val="16"/>
                <w:szCs w:val="16"/>
                <w:color w:val="auto"/>
              </w:rPr>
              <w:t>1,071,405</w:t>
            </w:r>
          </w:p>
        </w:tc>
        <w:tc>
          <w:tcPr>
            <w:tcW w:w="1740" w:type="dxa"/>
            <w:vAlign w:val="bottom"/>
          </w:tcPr>
          <w:p>
            <w:pPr>
              <w:jc w:val="right"/>
              <w:ind w:right="479"/>
              <w:spacing w:after="0"/>
              <w:rPr>
                <w:sz w:val="20"/>
                <w:szCs w:val="20"/>
                <w:color w:val="auto"/>
              </w:rPr>
            </w:pPr>
            <w:r>
              <w:rPr>
                <w:rFonts w:ascii="Arial" w:cs="Arial" w:eastAsia="Arial" w:hAnsi="Arial"/>
                <w:sz w:val="16"/>
                <w:szCs w:val="16"/>
                <w:color w:val="auto"/>
              </w:rPr>
              <w:t>1,008,882</w:t>
            </w:r>
          </w:p>
        </w:tc>
        <w:tc>
          <w:tcPr>
            <w:tcW w:w="1060" w:type="dxa"/>
            <w:vAlign w:val="bottom"/>
          </w:tcPr>
          <w:p>
            <w:pPr>
              <w:jc w:val="right"/>
              <w:spacing w:after="0"/>
              <w:rPr>
                <w:sz w:val="20"/>
                <w:szCs w:val="20"/>
                <w:color w:val="auto"/>
              </w:rPr>
            </w:pPr>
            <w:r>
              <w:rPr>
                <w:rFonts w:ascii="Arial" w:cs="Arial" w:eastAsia="Arial" w:hAnsi="Arial"/>
                <w:sz w:val="16"/>
                <w:szCs w:val="16"/>
                <w:color w:val="auto"/>
              </w:rPr>
              <w:t>964,093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0" w:type="dxa"/>
            <w:vAlign w:val="bottom"/>
          </w:tcPr>
          <w:p>
            <w:pPr>
              <w:spacing w:after="0"/>
              <w:rPr>
                <w:sz w:val="2"/>
                <w:szCs w:val="2"/>
                <w:color w:val="auto"/>
              </w:rPr>
            </w:pPr>
          </w:p>
        </w:tc>
        <w:tc>
          <w:tcPr>
            <w:tcW w:w="300" w:type="dxa"/>
            <w:vAlign w:val="bottom"/>
          </w:tcPr>
          <w:p>
            <w:pPr>
              <w:spacing w:after="0"/>
              <w:rPr>
                <w:sz w:val="2"/>
                <w:szCs w:val="2"/>
                <w:color w:val="auto"/>
              </w:rPr>
            </w:pPr>
          </w:p>
        </w:tc>
        <w:tc>
          <w:tcPr>
            <w:tcW w:w="6400" w:type="dxa"/>
            <w:vAlign w:val="bottom"/>
            <w:tcBorders>
              <w:bottom w:val="single" w:sz="8" w:color="CEFFE7"/>
            </w:tcBorders>
          </w:tcPr>
          <w:p>
            <w:pPr>
              <w:spacing w:after="0"/>
              <w:rPr>
                <w:sz w:val="2"/>
                <w:szCs w:val="2"/>
                <w:color w:val="auto"/>
              </w:rPr>
            </w:pPr>
          </w:p>
        </w:tc>
        <w:tc>
          <w:tcPr>
            <w:tcW w:w="40" w:type="dxa"/>
            <w:vAlign w:val="bottom"/>
            <w:tcBorders>
              <w:bottom w:val="single" w:sz="8" w:color="CEFFE7"/>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tcBorders>
              <w:bottom w:val="single" w:sz="8" w:color="CEFFE7"/>
            </w:tcBorders>
            <w:shd w:val="clear" w:color="auto" w:fill="CEFFE7"/>
          </w:tcPr>
          <w:p>
            <w:pPr>
              <w:ind w:left="480"/>
              <w:spacing w:after="0"/>
              <w:rPr>
                <w:sz w:val="20"/>
                <w:szCs w:val="20"/>
                <w:color w:val="auto"/>
              </w:rPr>
            </w:pPr>
            <w:r>
              <w:rPr>
                <w:rFonts w:ascii="Arial" w:cs="Arial" w:eastAsia="Arial" w:hAnsi="Arial"/>
                <w:sz w:val="16"/>
                <w:szCs w:val="16"/>
                <w:color w:val="auto"/>
              </w:rPr>
              <w:t>Total Purchased</w:t>
            </w:r>
          </w:p>
        </w:tc>
        <w:tc>
          <w:tcPr>
            <w:tcW w:w="1860" w:type="dxa"/>
            <w:vAlign w:val="bottom"/>
            <w:tcBorders>
              <w:bottom w:val="single" w:sz="8" w:color="CEFFE7"/>
            </w:tcBorders>
            <w:gridSpan w:val="2"/>
            <w:shd w:val="clear" w:color="auto" w:fill="CEFFE7"/>
          </w:tcPr>
          <w:p>
            <w:pPr>
              <w:jc w:val="right"/>
              <w:ind w:right="299"/>
              <w:spacing w:after="0"/>
              <w:rPr>
                <w:sz w:val="20"/>
                <w:szCs w:val="20"/>
                <w:color w:val="auto"/>
              </w:rPr>
            </w:pPr>
            <w:r>
              <w:rPr>
                <w:rFonts w:ascii="Arial" w:cs="Arial" w:eastAsia="Arial" w:hAnsi="Arial"/>
                <w:sz w:val="16"/>
                <w:szCs w:val="16"/>
                <w:color w:val="auto"/>
              </w:rPr>
              <w:t>3,839,051</w:t>
            </w:r>
          </w:p>
        </w:tc>
        <w:tc>
          <w:tcPr>
            <w:tcW w:w="1740" w:type="dxa"/>
            <w:vAlign w:val="bottom"/>
            <w:tcBorders>
              <w:bottom w:val="single" w:sz="8" w:color="CEFFE7"/>
            </w:tcBorders>
            <w:shd w:val="clear" w:color="auto" w:fill="CEFFE7"/>
          </w:tcPr>
          <w:p>
            <w:pPr>
              <w:jc w:val="right"/>
              <w:ind w:right="479"/>
              <w:spacing w:after="0"/>
              <w:rPr>
                <w:sz w:val="20"/>
                <w:szCs w:val="20"/>
                <w:color w:val="auto"/>
              </w:rPr>
            </w:pPr>
            <w:r>
              <w:rPr>
                <w:rFonts w:ascii="Arial" w:cs="Arial" w:eastAsia="Arial" w:hAnsi="Arial"/>
                <w:sz w:val="16"/>
                <w:szCs w:val="16"/>
                <w:color w:val="auto"/>
              </w:rPr>
              <w:t>4,305,528</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4,263,281</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20" w:type="dxa"/>
            <w:vAlign w:val="bottom"/>
            <w:tcBorders>
              <w:top w:val="single" w:sz="8" w:color="auto"/>
            </w:tcBorders>
          </w:tcPr>
          <w:p>
            <w:pPr>
              <w:spacing w:after="0"/>
              <w:rPr>
                <w:sz w:val="21"/>
                <w:szCs w:val="21"/>
                <w:color w:val="auto"/>
              </w:rPr>
            </w:pPr>
          </w:p>
        </w:tc>
        <w:tc>
          <w:tcPr>
            <w:tcW w:w="174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2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40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6"/>
                <w:szCs w:val="16"/>
                <w:color w:val="auto"/>
              </w:rPr>
              <w:t>Total Generated and Purchased</w:t>
            </w:r>
          </w:p>
        </w:tc>
        <w:tc>
          <w:tcPr>
            <w:tcW w:w="4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auto"/>
            </w:tcBorders>
            <w:shd w:val="clear" w:color="auto" w:fill="CEFFE7"/>
          </w:tcPr>
          <w:p>
            <w:pPr>
              <w:jc w:val="right"/>
              <w:ind w:right="299"/>
              <w:spacing w:after="0"/>
              <w:rPr>
                <w:sz w:val="20"/>
                <w:szCs w:val="20"/>
                <w:color w:val="auto"/>
              </w:rPr>
            </w:pPr>
            <w:r>
              <w:rPr>
                <w:rFonts w:ascii="Arial" w:cs="Arial" w:eastAsia="Arial" w:hAnsi="Arial"/>
                <w:sz w:val="16"/>
                <w:szCs w:val="16"/>
                <w:color w:val="auto"/>
              </w:rPr>
              <w:t>6,904,080</w:t>
            </w:r>
          </w:p>
        </w:tc>
        <w:tc>
          <w:tcPr>
            <w:tcW w:w="1740" w:type="dxa"/>
            <w:vAlign w:val="bottom"/>
            <w:tcBorders>
              <w:bottom w:val="single" w:sz="8" w:color="auto"/>
            </w:tcBorders>
            <w:shd w:val="clear" w:color="auto" w:fill="CEFFE7"/>
          </w:tcPr>
          <w:p>
            <w:pPr>
              <w:jc w:val="right"/>
              <w:ind w:right="479"/>
              <w:spacing w:after="0"/>
              <w:rPr>
                <w:sz w:val="20"/>
                <w:szCs w:val="20"/>
                <w:color w:val="auto"/>
              </w:rPr>
            </w:pPr>
            <w:r>
              <w:rPr>
                <w:rFonts w:ascii="Arial" w:cs="Arial" w:eastAsia="Arial" w:hAnsi="Arial"/>
                <w:sz w:val="16"/>
                <w:szCs w:val="16"/>
                <w:color w:val="auto"/>
              </w:rPr>
              <w:t>7,373,587</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7,041,185</w:t>
            </w:r>
          </w:p>
        </w:tc>
        <w:tc>
          <w:tcPr>
            <w:tcW w:w="20" w:type="dxa"/>
            <w:vAlign w:val="bottom"/>
            <w:tcBorders>
              <w:bottom w:val="single" w:sz="8" w:color="auto"/>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40" w:type="dxa"/>
            <w:vAlign w:val="bottom"/>
            <w:gridSpan w:val="3"/>
            <w:vMerge w:val="restart"/>
          </w:tcPr>
          <w:p>
            <w:pPr>
              <w:jc w:val="right"/>
              <w:ind w:right="5219"/>
              <w:spacing w:after="0"/>
              <w:rPr>
                <w:sz w:val="20"/>
                <w:szCs w:val="20"/>
                <w:color w:val="auto"/>
              </w:rPr>
            </w:pPr>
            <w:r>
              <w:rPr>
                <w:rFonts w:ascii="Arial" w:cs="Arial" w:eastAsia="Arial" w:hAnsi="Arial"/>
                <w:sz w:val="18"/>
                <w:szCs w:val="18"/>
                <w:color w:val="auto"/>
                <w:w w:val="88"/>
              </w:rPr>
              <w:t>________________</w:t>
            </w:r>
          </w:p>
        </w:tc>
        <w:tc>
          <w:tcPr>
            <w:tcW w:w="4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740" w:type="dxa"/>
            <w:vAlign w:val="bottom"/>
            <w:gridSpan w:val="3"/>
            <w:vMerge w:val="continue"/>
          </w:tcPr>
          <w:p>
            <w:pPr>
              <w:spacing w:after="0"/>
              <w:rPr>
                <w:sz w:val="17"/>
                <w:szCs w:val="17"/>
                <w:color w:val="auto"/>
              </w:rPr>
            </w:pPr>
          </w:p>
        </w:tc>
        <w:tc>
          <w:tcPr>
            <w:tcW w:w="4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60" w:hanging="332"/>
        <w:spacing w:after="0" w:line="263" w:lineRule="auto"/>
        <w:tabs>
          <w:tab w:leader="none" w:pos="340" w:val="left"/>
        </w:tabs>
        <w:numPr>
          <w:ilvl w:val="0"/>
          <w:numId w:val="13"/>
        </w:numPr>
        <w:rPr>
          <w:rFonts w:ascii="Arial" w:cs="Arial" w:eastAsia="Arial" w:hAnsi="Arial"/>
          <w:sz w:val="16"/>
          <w:szCs w:val="16"/>
          <w:color w:val="auto"/>
        </w:rPr>
      </w:pPr>
      <w:r>
        <w:rPr>
          <w:rFonts w:ascii="Arial" w:cs="Arial" w:eastAsia="Arial" w:hAnsi="Arial"/>
          <w:sz w:val="16"/>
          <w:szCs w:val="16"/>
          <w:color w:val="auto"/>
        </w:rPr>
        <w:t>2019 purchased power quantities for a wholesale contract have been presented on a net basis. Prior year amounts were presented on a gross basis and, due to their immaterial nature, were not revised. This 2019 presentation change has no impact on Gross margin.</w:t>
      </w:r>
    </w:p>
    <w:p>
      <w:pPr>
        <w:spacing w:after="0" w:line="393"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62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595"/>
        </w:trPr>
        <w:tc>
          <w:tcPr>
            <w:tcW w:w="1220" w:type="dxa"/>
            <w:vAlign w:val="bottom"/>
            <w:tcBorders>
              <w:top w:val="single" w:sz="8" w:color="0000EE"/>
            </w:tcBorders>
          </w:tcPr>
          <w:p>
            <w:pPr>
              <w:spacing w:after="0"/>
              <w:rPr>
                <w:sz w:val="24"/>
                <w:szCs w:val="24"/>
                <w:color w:val="auto"/>
              </w:rPr>
            </w:pPr>
          </w:p>
        </w:tc>
        <w:tc>
          <w:tcPr>
            <w:tcW w:w="5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center"/>
              <w:ind w:right="179"/>
              <w:spacing w:after="0"/>
              <w:rPr>
                <w:sz w:val="20"/>
                <w:szCs w:val="20"/>
                <w:color w:val="auto"/>
              </w:rPr>
            </w:pPr>
            <w:r>
              <w:rPr>
                <w:rFonts w:ascii="Arial" w:cs="Arial" w:eastAsia="Arial" w:hAnsi="Arial"/>
                <w:sz w:val="16"/>
                <w:szCs w:val="16"/>
                <w:color w:val="auto"/>
                <w:w w:val="91"/>
              </w:rPr>
              <w:t>As of December 31,</w:t>
            </w:r>
          </w:p>
        </w:tc>
        <w:tc>
          <w:tcPr>
            <w:tcW w:w="1320" w:type="dxa"/>
            <w:vAlign w:val="bottom"/>
          </w:tcPr>
          <w:p>
            <w:pPr>
              <w:spacing w:after="0"/>
              <w:rPr>
                <w:sz w:val="24"/>
                <w:szCs w:val="24"/>
                <w:color w:val="auto"/>
              </w:rPr>
            </w:pPr>
          </w:p>
        </w:tc>
      </w:tr>
      <w:tr>
        <w:trPr>
          <w:trHeight w:val="257"/>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Customers at End of Year</w:t>
            </w:r>
          </w:p>
        </w:tc>
        <w:tc>
          <w:tcPr>
            <w:tcW w:w="1620" w:type="dxa"/>
            <w:vAlign w:val="bottom"/>
          </w:tcPr>
          <w:p>
            <w:pPr>
              <w:jc w:val="right"/>
              <w:ind w:right="579"/>
              <w:spacing w:after="0"/>
              <w:rPr>
                <w:sz w:val="20"/>
                <w:szCs w:val="20"/>
                <w:color w:val="auto"/>
              </w:rPr>
            </w:pPr>
            <w:r>
              <w:rPr>
                <w:rFonts w:ascii="Arial" w:cs="Arial" w:eastAsia="Arial" w:hAnsi="Arial"/>
                <w:sz w:val="16"/>
                <w:szCs w:val="16"/>
                <w:color w:val="auto"/>
              </w:rPr>
              <w:t>2019</w:t>
            </w:r>
          </w:p>
        </w:tc>
        <w:tc>
          <w:tcPr>
            <w:tcW w:w="1840" w:type="dxa"/>
            <w:vAlign w:val="bottom"/>
          </w:tcPr>
          <w:p>
            <w:pPr>
              <w:jc w:val="center"/>
              <w:ind w:right="199"/>
              <w:spacing w:after="0"/>
              <w:rPr>
                <w:sz w:val="20"/>
                <w:szCs w:val="20"/>
                <w:color w:val="auto"/>
              </w:rPr>
            </w:pPr>
            <w:r>
              <w:rPr>
                <w:rFonts w:ascii="Arial" w:cs="Arial" w:eastAsia="Arial" w:hAnsi="Arial"/>
                <w:sz w:val="16"/>
                <w:szCs w:val="16"/>
                <w:color w:val="auto"/>
                <w:w w:val="89"/>
              </w:rPr>
              <w:t>2018</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2017</w:t>
            </w:r>
          </w:p>
        </w:tc>
      </w:tr>
      <w:tr>
        <w:trPr>
          <w:trHeight w:val="33"/>
        </w:trPr>
        <w:tc>
          <w:tcPr>
            <w:tcW w:w="12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183,232</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181,459</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179,911</w:t>
            </w:r>
          </w:p>
        </w:tc>
      </w:tr>
      <w:tr>
        <w:trPr>
          <w:trHeight w:val="33"/>
        </w:trPr>
        <w:tc>
          <w:tcPr>
            <w:tcW w:w="12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16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29,921</w:t>
            </w:r>
          </w:p>
        </w:tc>
        <w:tc>
          <w:tcPr>
            <w:tcW w:w="18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29,299</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29,354</w:t>
            </w:r>
          </w:p>
        </w:tc>
      </w:tr>
      <w:tr>
        <w:trPr>
          <w:trHeight w:val="224"/>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83</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84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86</w:t>
            </w:r>
          </w:p>
        </w:tc>
      </w:tr>
      <w:tr>
        <w:trPr>
          <w:trHeight w:val="33"/>
        </w:trPr>
        <w:tc>
          <w:tcPr>
            <w:tcW w:w="12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7"/>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Other</w:t>
            </w:r>
          </w:p>
        </w:tc>
        <w:tc>
          <w:tcPr>
            <w:tcW w:w="16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1,024</w:t>
            </w:r>
          </w:p>
        </w:tc>
        <w:tc>
          <w:tcPr>
            <w:tcW w:w="18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1,030</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914</w:t>
            </w:r>
          </w:p>
        </w:tc>
      </w:tr>
      <w:tr>
        <w:trPr>
          <w:trHeight w:val="244"/>
        </w:trPr>
        <w:tc>
          <w:tcPr>
            <w:tcW w:w="6640" w:type="dxa"/>
            <w:vAlign w:val="bottom"/>
            <w:gridSpan w:val="2"/>
          </w:tcPr>
          <w:p>
            <w:pPr>
              <w:ind w:left="280"/>
              <w:spacing w:after="0"/>
              <w:rPr>
                <w:sz w:val="20"/>
                <w:szCs w:val="20"/>
                <w:color w:val="auto"/>
              </w:rPr>
            </w:pPr>
            <w:r>
              <w:rPr>
                <w:rFonts w:ascii="Arial" w:cs="Arial" w:eastAsia="Arial" w:hAnsi="Arial"/>
                <w:sz w:val="16"/>
                <w:szCs w:val="16"/>
                <w:color w:val="auto"/>
              </w:rPr>
              <w:t>Total Electric Customers at End of Year</w:t>
            </w:r>
          </w:p>
        </w:tc>
        <w:tc>
          <w:tcPr>
            <w:tcW w:w="162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214,260</w:t>
            </w:r>
          </w:p>
        </w:tc>
        <w:tc>
          <w:tcPr>
            <w:tcW w:w="1840" w:type="dxa"/>
            <w:vAlign w:val="bottom"/>
            <w:tcBorders>
              <w:top w:val="single" w:sz="8" w:color="auto"/>
              <w:bottom w:val="single" w:sz="8" w:color="auto"/>
            </w:tcBorders>
          </w:tcPr>
          <w:p>
            <w:pPr>
              <w:jc w:val="right"/>
              <w:ind w:right="279"/>
              <w:spacing w:after="0"/>
              <w:rPr>
                <w:sz w:val="20"/>
                <w:szCs w:val="20"/>
                <w:color w:val="auto"/>
              </w:rPr>
            </w:pPr>
            <w:r>
              <w:rPr>
                <w:rFonts w:ascii="Arial" w:cs="Arial" w:eastAsia="Arial" w:hAnsi="Arial"/>
                <w:sz w:val="16"/>
                <w:szCs w:val="16"/>
                <w:color w:val="auto"/>
              </w:rPr>
              <w:t>211,872</w:t>
            </w:r>
          </w:p>
        </w:tc>
        <w:tc>
          <w:tcPr>
            <w:tcW w:w="1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210,265</w:t>
            </w:r>
          </w:p>
        </w:tc>
      </w:tr>
      <w:tr>
        <w:trPr>
          <w:trHeight w:val="20"/>
        </w:trPr>
        <w:tc>
          <w:tcPr>
            <w:tcW w:w="1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575"/>
        </w:trPr>
        <w:tc>
          <w:tcPr>
            <w:tcW w:w="1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840" w:type="dxa"/>
            <w:vAlign w:val="bottom"/>
          </w:tcPr>
          <w:p>
            <w:pPr>
              <w:jc w:val="center"/>
              <w:ind w:right="179"/>
              <w:spacing w:after="0"/>
              <w:rPr>
                <w:sz w:val="20"/>
                <w:szCs w:val="20"/>
                <w:color w:val="auto"/>
              </w:rPr>
            </w:pPr>
            <w:r>
              <w:rPr>
                <w:rFonts w:ascii="Arial" w:cs="Arial" w:eastAsia="Arial" w:hAnsi="Arial"/>
                <w:sz w:val="16"/>
                <w:szCs w:val="16"/>
                <w:color w:val="auto"/>
                <w:w w:val="91"/>
              </w:rPr>
              <w:t>As of December 31,</w:t>
            </w:r>
          </w:p>
        </w:tc>
        <w:tc>
          <w:tcPr>
            <w:tcW w:w="1320" w:type="dxa"/>
            <w:vAlign w:val="bottom"/>
          </w:tcPr>
          <w:p>
            <w:pPr>
              <w:spacing w:after="0"/>
              <w:rPr>
                <w:sz w:val="24"/>
                <w:szCs w:val="24"/>
                <w:color w:val="auto"/>
              </w:rPr>
            </w:pPr>
          </w:p>
        </w:tc>
      </w:tr>
      <w:tr>
        <w:trPr>
          <w:trHeight w:val="257"/>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Customers at End of Year</w:t>
            </w:r>
          </w:p>
        </w:tc>
        <w:tc>
          <w:tcPr>
            <w:tcW w:w="1620" w:type="dxa"/>
            <w:vAlign w:val="bottom"/>
          </w:tcPr>
          <w:p>
            <w:pPr>
              <w:jc w:val="right"/>
              <w:ind w:right="579"/>
              <w:spacing w:after="0"/>
              <w:rPr>
                <w:sz w:val="20"/>
                <w:szCs w:val="20"/>
                <w:color w:val="auto"/>
              </w:rPr>
            </w:pPr>
            <w:r>
              <w:rPr>
                <w:rFonts w:ascii="Arial" w:cs="Arial" w:eastAsia="Arial" w:hAnsi="Arial"/>
                <w:sz w:val="16"/>
                <w:szCs w:val="16"/>
                <w:color w:val="auto"/>
              </w:rPr>
              <w:t>2019</w:t>
            </w:r>
          </w:p>
        </w:tc>
        <w:tc>
          <w:tcPr>
            <w:tcW w:w="1840" w:type="dxa"/>
            <w:vAlign w:val="bottom"/>
          </w:tcPr>
          <w:p>
            <w:pPr>
              <w:jc w:val="center"/>
              <w:ind w:right="199"/>
              <w:spacing w:after="0"/>
              <w:rPr>
                <w:sz w:val="20"/>
                <w:szCs w:val="20"/>
                <w:color w:val="auto"/>
              </w:rPr>
            </w:pPr>
            <w:r>
              <w:rPr>
                <w:rFonts w:ascii="Arial" w:cs="Arial" w:eastAsia="Arial" w:hAnsi="Arial"/>
                <w:sz w:val="16"/>
                <w:szCs w:val="16"/>
                <w:color w:val="auto"/>
                <w:w w:val="89"/>
              </w:rPr>
              <w:t>2018</w:t>
            </w:r>
          </w:p>
        </w:tc>
        <w:tc>
          <w:tcPr>
            <w:tcW w:w="1320" w:type="dxa"/>
            <w:vAlign w:val="bottom"/>
          </w:tcPr>
          <w:p>
            <w:pPr>
              <w:jc w:val="right"/>
              <w:ind w:right="539"/>
              <w:spacing w:after="0"/>
              <w:rPr>
                <w:sz w:val="20"/>
                <w:szCs w:val="20"/>
                <w:color w:val="auto"/>
              </w:rPr>
            </w:pPr>
            <w:r>
              <w:rPr>
                <w:rFonts w:ascii="Arial" w:cs="Arial" w:eastAsia="Arial" w:hAnsi="Arial"/>
                <w:sz w:val="16"/>
                <w:szCs w:val="16"/>
                <w:color w:val="auto"/>
              </w:rPr>
              <w:t>2017</w:t>
            </w:r>
          </w:p>
        </w:tc>
      </w:tr>
      <w:tr>
        <w:trPr>
          <w:trHeight w:val="33"/>
        </w:trPr>
        <w:tc>
          <w:tcPr>
            <w:tcW w:w="1220" w:type="dxa"/>
            <w:vAlign w:val="bottom"/>
            <w:tcBorders>
              <w:bottom w:val="single" w:sz="8" w:color="auto"/>
            </w:tcBorders>
          </w:tcPr>
          <w:p>
            <w:pPr>
              <w:spacing w:after="0"/>
              <w:rPr>
                <w:sz w:val="2"/>
                <w:szCs w:val="2"/>
                <w:color w:val="auto"/>
              </w:rPr>
            </w:pPr>
          </w:p>
        </w:tc>
        <w:tc>
          <w:tcPr>
            <w:tcW w:w="54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17"/>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Colorado Electric</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97,890</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96,645</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95,951</w:t>
            </w:r>
          </w:p>
        </w:tc>
      </w:tr>
      <w:tr>
        <w:trPr>
          <w:trHeight w:val="33"/>
        </w:trPr>
        <w:tc>
          <w:tcPr>
            <w:tcW w:w="12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37"/>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South Dakota Electric</w:t>
            </w:r>
          </w:p>
        </w:tc>
        <w:tc>
          <w:tcPr>
            <w:tcW w:w="162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73,052</w:t>
            </w:r>
          </w:p>
        </w:tc>
        <w:tc>
          <w:tcPr>
            <w:tcW w:w="1840" w:type="dxa"/>
            <w:vAlign w:val="bottom"/>
            <w:tcBorders>
              <w:bottom w:val="single" w:sz="8" w:color="CEFFE7"/>
            </w:tcBorders>
            <w:shd w:val="clear" w:color="auto" w:fill="CEFFE7"/>
          </w:tcPr>
          <w:p>
            <w:pPr>
              <w:jc w:val="right"/>
              <w:ind w:right="279"/>
              <w:spacing w:after="0"/>
              <w:rPr>
                <w:sz w:val="20"/>
                <w:szCs w:val="20"/>
                <w:color w:val="auto"/>
              </w:rPr>
            </w:pPr>
            <w:r>
              <w:rPr>
                <w:rFonts w:ascii="Arial" w:cs="Arial" w:eastAsia="Arial" w:hAnsi="Arial"/>
                <w:sz w:val="16"/>
                <w:szCs w:val="16"/>
                <w:color w:val="auto"/>
              </w:rPr>
              <w:t>72,533</w:t>
            </w:r>
          </w:p>
        </w:tc>
        <w:tc>
          <w:tcPr>
            <w:tcW w:w="1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72,184</w:t>
            </w:r>
          </w:p>
        </w:tc>
      </w:tr>
      <w:tr>
        <w:trPr>
          <w:trHeight w:val="224"/>
        </w:trPr>
        <w:tc>
          <w:tcPr>
            <w:tcW w:w="6640" w:type="dxa"/>
            <w:vAlign w:val="bottom"/>
            <w:gridSpan w:val="2"/>
          </w:tcPr>
          <w:p>
            <w:pPr>
              <w:ind w:left="40"/>
              <w:spacing w:after="0"/>
              <w:rPr>
                <w:sz w:val="20"/>
                <w:szCs w:val="20"/>
                <w:color w:val="auto"/>
              </w:rPr>
            </w:pPr>
            <w:r>
              <w:rPr>
                <w:rFonts w:ascii="Arial" w:cs="Arial" w:eastAsia="Arial" w:hAnsi="Arial"/>
                <w:sz w:val="16"/>
                <w:szCs w:val="16"/>
                <w:color w:val="auto"/>
              </w:rPr>
              <w:t>Wyoming Electric</w:t>
            </w:r>
          </w:p>
        </w:tc>
        <w:tc>
          <w:tcPr>
            <w:tcW w:w="1620" w:type="dxa"/>
            <w:vAlign w:val="bottom"/>
          </w:tcPr>
          <w:p>
            <w:pPr>
              <w:jc w:val="right"/>
              <w:ind w:right="59"/>
              <w:spacing w:after="0"/>
              <w:rPr>
                <w:sz w:val="20"/>
                <w:szCs w:val="20"/>
                <w:color w:val="auto"/>
              </w:rPr>
            </w:pPr>
            <w:r>
              <w:rPr>
                <w:rFonts w:ascii="Arial" w:cs="Arial" w:eastAsia="Arial" w:hAnsi="Arial"/>
                <w:sz w:val="16"/>
                <w:szCs w:val="16"/>
                <w:color w:val="auto"/>
              </w:rPr>
              <w:t>43,318</w:t>
            </w:r>
          </w:p>
        </w:tc>
        <w:tc>
          <w:tcPr>
            <w:tcW w:w="1840" w:type="dxa"/>
            <w:vAlign w:val="bottom"/>
          </w:tcPr>
          <w:p>
            <w:pPr>
              <w:jc w:val="right"/>
              <w:ind w:right="279"/>
              <w:spacing w:after="0"/>
              <w:rPr>
                <w:sz w:val="20"/>
                <w:szCs w:val="20"/>
                <w:color w:val="auto"/>
              </w:rPr>
            </w:pPr>
            <w:r>
              <w:rPr>
                <w:rFonts w:ascii="Arial" w:cs="Arial" w:eastAsia="Arial" w:hAnsi="Arial"/>
                <w:sz w:val="16"/>
                <w:szCs w:val="16"/>
                <w:color w:val="auto"/>
              </w:rPr>
              <w:t>42,694</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42,130</w:t>
            </w:r>
          </w:p>
        </w:tc>
      </w:tr>
      <w:tr>
        <w:trPr>
          <w:trHeight w:val="33"/>
        </w:trPr>
        <w:tc>
          <w:tcPr>
            <w:tcW w:w="1220" w:type="dxa"/>
            <w:vAlign w:val="bottom"/>
            <w:tcBorders>
              <w:bottom w:val="single" w:sz="8" w:color="CEFFE7"/>
            </w:tcBorders>
          </w:tcPr>
          <w:p>
            <w:pPr>
              <w:spacing w:after="0"/>
              <w:rPr>
                <w:sz w:val="2"/>
                <w:szCs w:val="2"/>
                <w:color w:val="auto"/>
              </w:rPr>
            </w:pPr>
          </w:p>
        </w:tc>
        <w:tc>
          <w:tcPr>
            <w:tcW w:w="5420" w:type="dxa"/>
            <w:vAlign w:val="bottom"/>
            <w:tcBorders>
              <w:bottom w:val="single" w:sz="8" w:color="CEFFE7"/>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Total Electric Customers at End of Year</w:t>
            </w:r>
          </w:p>
        </w:tc>
        <w:tc>
          <w:tcPr>
            <w:tcW w:w="162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214,260</w:t>
            </w:r>
          </w:p>
        </w:tc>
        <w:tc>
          <w:tcPr>
            <w:tcW w:w="1840" w:type="dxa"/>
            <w:vAlign w:val="bottom"/>
            <w:tcBorders>
              <w:bottom w:val="single" w:sz="8" w:color="auto"/>
            </w:tcBorders>
            <w:shd w:val="clear" w:color="auto" w:fill="CEFFE7"/>
          </w:tcPr>
          <w:p>
            <w:pPr>
              <w:jc w:val="right"/>
              <w:ind w:right="279"/>
              <w:spacing w:after="0"/>
              <w:rPr>
                <w:sz w:val="20"/>
                <w:szCs w:val="20"/>
                <w:color w:val="auto"/>
              </w:rPr>
            </w:pPr>
            <w:r>
              <w:rPr>
                <w:rFonts w:ascii="Arial" w:cs="Arial" w:eastAsia="Arial" w:hAnsi="Arial"/>
                <w:sz w:val="16"/>
                <w:szCs w:val="16"/>
                <w:color w:val="auto"/>
              </w:rPr>
              <w:t>211,872</w:t>
            </w:r>
          </w:p>
        </w:tc>
        <w:tc>
          <w:tcPr>
            <w:tcW w:w="13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210,265</w:t>
            </w:r>
          </w:p>
        </w:tc>
      </w:tr>
      <w:tr>
        <w:trPr>
          <w:trHeight w:val="20"/>
        </w:trPr>
        <w:tc>
          <w:tcPr>
            <w:tcW w:w="1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Gas Utilities Segment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We conduct natural gas utility operations through our Arkansas, Colorado, Iowa, Kansas, Nebraska and Wyoming subsidiaries. Our Gas Utilities transport and distribute natural gas through our distribution network to approximately 1,066,000 customers. Additionally, we sell contractual pipeline capacity and gas commodities to other utilities and marketing companies, including our affiliates, on an as-available basis.</w:t>
      </w:r>
    </w:p>
    <w:p>
      <w:pPr>
        <w:spacing w:after="0" w:line="181"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We also provide non-regulated services to our regulated customers. Black Hills Energy Services provides natural gas supply to approximately 49,000 retail distribution customers under the Choice Gas Program in Nebraska and Wyoming. Additionally, we provide services under the Service Guard Comfort Plan and Tech Services and also offer HomeServe products.</w:t>
      </w:r>
    </w:p>
    <w:p>
      <w:pPr>
        <w:spacing w:after="0" w:line="181"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procure natural gas for our distribution customers from a diverse mix of producers, processors and marketers and generally use hedging, physical fixed-price purchases and market-based price purchases to achieve dollar-cost averaging within our natural gas portfolio. The majority of our procured natural gas is transported in interstate pipelines under firm transportation service agreements.</w:t>
      </w:r>
    </w:p>
    <w:p>
      <w:pPr>
        <w:spacing w:after="0" w:line="181" w:lineRule="exact"/>
        <w:rPr>
          <w:sz w:val="20"/>
          <w:szCs w:val="20"/>
          <w:color w:val="auto"/>
        </w:rPr>
      </w:pPr>
    </w:p>
    <w:p>
      <w:pPr>
        <w:jc w:val="both"/>
        <w:ind w:right="340"/>
        <w:spacing w:after="0" w:line="342" w:lineRule="auto"/>
        <w:rPr>
          <w:sz w:val="20"/>
          <w:szCs w:val="20"/>
          <w:color w:val="auto"/>
        </w:rPr>
      </w:pPr>
      <w:r>
        <w:rPr>
          <w:rFonts w:ascii="Arial" w:cs="Arial" w:eastAsia="Arial" w:hAnsi="Arial"/>
          <w:sz w:val="16"/>
          <w:szCs w:val="16"/>
          <w:color w:val="auto"/>
        </w:rPr>
        <w:t>In addition to company-owned storage assets in Arkansas, Colorado and Wyoming, we also contract with many of the third-party transportation providers noted above for natural gas storage service to provide gas supply during the winter heating season and to meet peak day customer demand for natural gas.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certain information regarding our regulated underground gas storage facilities as of December 31, 2019:</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760" w:type="dxa"/>
            <w:vAlign w:val="bottom"/>
          </w:tcPr>
          <w:p>
            <w:pPr>
              <w:jc w:val="right"/>
              <w:ind w:right="110"/>
              <w:spacing w:after="0"/>
              <w:rPr>
                <w:sz w:val="20"/>
                <w:szCs w:val="20"/>
                <w:color w:val="auto"/>
              </w:rPr>
            </w:pPr>
            <w:r>
              <w:rPr>
                <w:rFonts w:ascii="Arial" w:cs="Arial" w:eastAsia="Arial" w:hAnsi="Arial"/>
                <w:sz w:val="18"/>
                <w:szCs w:val="18"/>
                <w:color w:val="auto"/>
              </w:rPr>
              <w:t>Working Capacity</w:t>
            </w:r>
          </w:p>
        </w:tc>
        <w:tc>
          <w:tcPr>
            <w:tcW w:w="18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2200" w:type="dxa"/>
            <w:vAlign w:val="bottom"/>
          </w:tcPr>
          <w:p>
            <w:pPr>
              <w:jc w:val="right"/>
              <w:spacing w:after="0"/>
              <w:rPr>
                <w:sz w:val="20"/>
                <w:szCs w:val="20"/>
                <w:color w:val="auto"/>
              </w:rPr>
            </w:pPr>
            <w:r>
              <w:rPr>
                <w:rFonts w:ascii="Arial" w:cs="Arial" w:eastAsia="Arial" w:hAnsi="Arial"/>
                <w:sz w:val="18"/>
                <w:szCs w:val="18"/>
                <w:color w:val="auto"/>
                <w:w w:val="98"/>
              </w:rPr>
              <w:t>Maximum Daily Withdrawal</w:t>
            </w:r>
          </w:p>
        </w:tc>
      </w:tr>
      <w:tr>
        <w:trPr>
          <w:trHeight w:val="230"/>
        </w:trPr>
        <w:tc>
          <w:tcPr>
            <w:tcW w:w="3740" w:type="dxa"/>
            <w:vAlign w:val="bottom"/>
          </w:tcPr>
          <w:p>
            <w:pPr>
              <w:ind w:left="40"/>
              <w:spacing w:after="0"/>
              <w:rPr>
                <w:sz w:val="20"/>
                <w:szCs w:val="20"/>
                <w:color w:val="auto"/>
              </w:rPr>
            </w:pPr>
            <w:r>
              <w:rPr>
                <w:rFonts w:ascii="Arial" w:cs="Arial" w:eastAsia="Arial" w:hAnsi="Arial"/>
                <w:sz w:val="18"/>
                <w:szCs w:val="18"/>
                <w:color w:val="auto"/>
              </w:rPr>
              <w:t>State</w:t>
            </w:r>
          </w:p>
        </w:tc>
        <w:tc>
          <w:tcPr>
            <w:tcW w:w="1760" w:type="dxa"/>
            <w:vAlign w:val="bottom"/>
          </w:tcPr>
          <w:p>
            <w:pPr>
              <w:jc w:val="right"/>
              <w:ind w:right="550"/>
              <w:spacing w:after="0"/>
              <w:rPr>
                <w:sz w:val="20"/>
                <w:szCs w:val="20"/>
                <w:color w:val="auto"/>
              </w:rPr>
            </w:pPr>
            <w:r>
              <w:rPr>
                <w:rFonts w:ascii="Arial" w:cs="Arial" w:eastAsia="Arial" w:hAnsi="Arial"/>
                <w:sz w:val="18"/>
                <w:szCs w:val="18"/>
                <w:color w:val="auto"/>
              </w:rPr>
              <w:t>(Mcf)</w:t>
            </w:r>
          </w:p>
        </w:tc>
        <w:tc>
          <w:tcPr>
            <w:tcW w:w="1880" w:type="dxa"/>
            <w:vAlign w:val="bottom"/>
          </w:tcPr>
          <w:p>
            <w:pPr>
              <w:jc w:val="right"/>
              <w:ind w:right="150"/>
              <w:spacing w:after="0"/>
              <w:rPr>
                <w:sz w:val="20"/>
                <w:szCs w:val="20"/>
                <w:color w:val="auto"/>
              </w:rPr>
            </w:pPr>
            <w:r>
              <w:rPr>
                <w:rFonts w:ascii="Arial" w:cs="Arial" w:eastAsia="Arial" w:hAnsi="Arial"/>
                <w:sz w:val="18"/>
                <w:szCs w:val="18"/>
                <w:color w:val="auto"/>
              </w:rPr>
              <w:t>Cushion Gas (Mcf)</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Total Capacity (Mcf)</w:t>
            </w:r>
          </w:p>
        </w:tc>
        <w:tc>
          <w:tcPr>
            <w:tcW w:w="2200" w:type="dxa"/>
            <w:vAlign w:val="bottom"/>
          </w:tcPr>
          <w:p>
            <w:pPr>
              <w:jc w:val="right"/>
              <w:ind w:right="330"/>
              <w:spacing w:after="0"/>
              <w:rPr>
                <w:sz w:val="20"/>
                <w:szCs w:val="20"/>
                <w:color w:val="auto"/>
              </w:rPr>
            </w:pPr>
            <w:r>
              <w:rPr>
                <w:rFonts w:ascii="Arial" w:cs="Arial" w:eastAsia="Arial" w:hAnsi="Arial"/>
                <w:sz w:val="18"/>
                <w:szCs w:val="18"/>
                <w:color w:val="auto"/>
              </w:rPr>
              <w:t>Capability (Mcfd)</w:t>
            </w:r>
          </w:p>
        </w:tc>
      </w:tr>
      <w:tr>
        <w:trPr>
          <w:trHeight w:val="27"/>
        </w:trPr>
        <w:tc>
          <w:tcPr>
            <w:tcW w:w="374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r>
      <w:tr>
        <w:trPr>
          <w:trHeight w:val="244"/>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1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8,442,700</w:t>
            </w: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13,149,040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21,591,740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196,000</w:t>
            </w:r>
          </w:p>
        </w:tc>
      </w:tr>
      <w:tr>
        <w:trPr>
          <w:trHeight w:val="243"/>
        </w:trPr>
        <w:tc>
          <w:tcPr>
            <w:tcW w:w="3740" w:type="dxa"/>
            <w:vAlign w:val="bottom"/>
          </w:tcPr>
          <w:p>
            <w:pPr>
              <w:ind w:left="40"/>
              <w:spacing w:after="0"/>
              <w:rPr>
                <w:sz w:val="20"/>
                <w:szCs w:val="20"/>
                <w:color w:val="auto"/>
              </w:rPr>
            </w:pPr>
            <w:r>
              <w:rPr>
                <w:rFonts w:ascii="Arial" w:cs="Arial" w:eastAsia="Arial" w:hAnsi="Arial"/>
                <w:sz w:val="18"/>
                <w:szCs w:val="18"/>
                <w:color w:val="auto"/>
              </w:rPr>
              <w:t>Colorado</w:t>
            </w:r>
          </w:p>
        </w:tc>
        <w:tc>
          <w:tcPr>
            <w:tcW w:w="1760" w:type="dxa"/>
            <w:vAlign w:val="bottom"/>
          </w:tcPr>
          <w:p>
            <w:pPr>
              <w:jc w:val="right"/>
              <w:spacing w:after="0"/>
              <w:rPr>
                <w:sz w:val="20"/>
                <w:szCs w:val="20"/>
                <w:color w:val="auto"/>
              </w:rPr>
            </w:pPr>
            <w:r>
              <w:rPr>
                <w:rFonts w:ascii="Arial" w:cs="Arial" w:eastAsia="Arial" w:hAnsi="Arial"/>
                <w:sz w:val="18"/>
                <w:szCs w:val="18"/>
                <w:color w:val="auto"/>
              </w:rPr>
              <w:t>2,360,895</w:t>
            </w:r>
          </w:p>
        </w:tc>
        <w:tc>
          <w:tcPr>
            <w:tcW w:w="1880" w:type="dxa"/>
            <w:vAlign w:val="bottom"/>
          </w:tcPr>
          <w:p>
            <w:pPr>
              <w:jc w:val="right"/>
              <w:ind w:right="50"/>
              <w:spacing w:after="0"/>
              <w:rPr>
                <w:sz w:val="20"/>
                <w:szCs w:val="20"/>
                <w:color w:val="auto"/>
              </w:rPr>
            </w:pPr>
            <w:r>
              <w:rPr>
                <w:rFonts w:ascii="Arial" w:cs="Arial" w:eastAsia="Arial" w:hAnsi="Arial"/>
                <w:sz w:val="18"/>
                <w:szCs w:val="18"/>
                <w:color w:val="auto"/>
              </w:rPr>
              <w:t>6,165,315</w:t>
            </w:r>
          </w:p>
        </w:tc>
        <w:tc>
          <w:tcPr>
            <w:tcW w:w="1740" w:type="dxa"/>
            <w:vAlign w:val="bottom"/>
          </w:tcPr>
          <w:p>
            <w:pPr>
              <w:jc w:val="right"/>
              <w:spacing w:after="0"/>
              <w:rPr>
                <w:sz w:val="20"/>
                <w:szCs w:val="20"/>
                <w:color w:val="auto"/>
              </w:rPr>
            </w:pPr>
            <w:r>
              <w:rPr>
                <w:rFonts w:ascii="Arial" w:cs="Arial" w:eastAsia="Arial" w:hAnsi="Arial"/>
                <w:sz w:val="18"/>
                <w:szCs w:val="18"/>
                <w:color w:val="auto"/>
              </w:rPr>
              <w:t>8,526,210</w:t>
            </w:r>
          </w:p>
        </w:tc>
        <w:tc>
          <w:tcPr>
            <w:tcW w:w="2200" w:type="dxa"/>
            <w:vAlign w:val="bottom"/>
          </w:tcPr>
          <w:p>
            <w:pPr>
              <w:jc w:val="right"/>
              <w:ind w:right="30"/>
              <w:spacing w:after="0"/>
              <w:rPr>
                <w:sz w:val="20"/>
                <w:szCs w:val="20"/>
                <w:color w:val="auto"/>
              </w:rPr>
            </w:pPr>
            <w:r>
              <w:rPr>
                <w:rFonts w:ascii="Arial" w:cs="Arial" w:eastAsia="Arial" w:hAnsi="Arial"/>
                <w:sz w:val="18"/>
                <w:szCs w:val="18"/>
                <w:color w:val="auto"/>
              </w:rPr>
              <w:t>30,000</w:t>
            </w:r>
          </w:p>
        </w:tc>
      </w:tr>
      <w:tr>
        <w:trPr>
          <w:trHeight w:val="27"/>
        </w:trPr>
        <w:tc>
          <w:tcPr>
            <w:tcW w:w="374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2200" w:type="dxa"/>
            <w:vAlign w:val="bottom"/>
          </w:tcPr>
          <w:p>
            <w:pPr>
              <w:spacing w:after="0"/>
              <w:rPr>
                <w:sz w:val="2"/>
                <w:szCs w:val="2"/>
                <w:color w:val="auto"/>
              </w:rPr>
            </w:pPr>
          </w:p>
        </w:tc>
      </w:tr>
      <w:tr>
        <w:trPr>
          <w:trHeight w:val="270"/>
        </w:trPr>
        <w:tc>
          <w:tcPr>
            <w:tcW w:w="37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w:t>
            </w:r>
          </w:p>
        </w:tc>
        <w:tc>
          <w:tcPr>
            <w:tcW w:w="1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5,733,900</w:t>
            </w:r>
          </w:p>
        </w:tc>
        <w:tc>
          <w:tcPr>
            <w:tcW w:w="1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17,145,600</w:t>
            </w:r>
          </w:p>
        </w:tc>
        <w:tc>
          <w:tcPr>
            <w:tcW w:w="1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22,879,500</w:t>
            </w:r>
          </w:p>
        </w:tc>
        <w:tc>
          <w:tcPr>
            <w:tcW w:w="22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36,000</w:t>
            </w:r>
          </w:p>
        </w:tc>
      </w:tr>
      <w:tr>
        <w:trPr>
          <w:trHeight w:val="257"/>
        </w:trPr>
        <w:tc>
          <w:tcPr>
            <w:tcW w:w="3740" w:type="dxa"/>
            <w:vAlign w:val="bottom"/>
          </w:tcPr>
          <w:p>
            <w:pPr>
              <w:ind w:left="180"/>
              <w:spacing w:after="0"/>
              <w:rPr>
                <w:sz w:val="20"/>
                <w:szCs w:val="20"/>
                <w:color w:val="auto"/>
              </w:rPr>
            </w:pPr>
            <w:r>
              <w:rPr>
                <w:rFonts w:ascii="Arial" w:cs="Arial" w:eastAsia="Arial" w:hAnsi="Arial"/>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16,537,495</w:t>
            </w:r>
          </w:p>
        </w:tc>
        <w:tc>
          <w:tcPr>
            <w:tcW w:w="1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36,459,955</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52,997,450</w:t>
            </w:r>
          </w:p>
        </w:tc>
        <w:tc>
          <w:tcPr>
            <w:tcW w:w="22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262,000</w:t>
            </w:r>
          </w:p>
        </w:tc>
      </w:tr>
      <w:tr>
        <w:trPr>
          <w:trHeight w:val="20"/>
        </w:trPr>
        <w:tc>
          <w:tcPr>
            <w:tcW w:w="374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r>
      <w:tr>
        <w:trPr>
          <w:trHeight w:val="824"/>
        </w:trPr>
        <w:tc>
          <w:tcPr>
            <w:tcW w:w="374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880" w:type="dxa"/>
            <w:vAlign w:val="bottom"/>
          </w:tcPr>
          <w:p>
            <w:pPr>
              <w:jc w:val="right"/>
              <w:ind w:right="1570"/>
              <w:spacing w:after="0"/>
              <w:rPr>
                <w:sz w:val="20"/>
                <w:szCs w:val="20"/>
                <w:color w:val="auto"/>
              </w:rPr>
            </w:pPr>
            <w:r>
              <w:rPr>
                <w:rFonts w:ascii="Arial" w:cs="Arial" w:eastAsia="Arial" w:hAnsi="Arial"/>
                <w:sz w:val="18"/>
                <w:szCs w:val="18"/>
                <w:color w:val="auto"/>
                <w:w w:val="99"/>
              </w:rPr>
              <w:t>17</w:t>
            </w:r>
          </w:p>
        </w:tc>
        <w:tc>
          <w:tcPr>
            <w:tcW w:w="1740" w:type="dxa"/>
            <w:vAlign w:val="bottom"/>
          </w:tcPr>
          <w:p>
            <w:pPr>
              <w:spacing w:after="0"/>
              <w:rPr>
                <w:sz w:val="24"/>
                <w:szCs w:val="24"/>
                <w:color w:val="auto"/>
              </w:rPr>
            </w:pPr>
          </w:p>
        </w:tc>
        <w:tc>
          <w:tcPr>
            <w:tcW w:w="22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summarize certain operating information for our Gas Utilities.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240" w:type="dxa"/>
            <w:vAlign w:val="bottom"/>
          </w:tcPr>
          <w:p>
            <w:pPr>
              <w:ind w:left="40"/>
              <w:spacing w:after="0"/>
              <w:rPr>
                <w:sz w:val="20"/>
                <w:szCs w:val="20"/>
                <w:color w:val="auto"/>
              </w:rPr>
            </w:pPr>
            <w:r>
              <w:rPr>
                <w:rFonts w:ascii="Arial" w:cs="Arial" w:eastAsia="Arial" w:hAnsi="Arial"/>
                <w:sz w:val="18"/>
                <w:szCs w:val="18"/>
                <w:color w:val="auto"/>
              </w:rPr>
              <w:t>System Infrastructure (in line miles) as of</w:t>
            </w:r>
          </w:p>
        </w:tc>
        <w:tc>
          <w:tcPr>
            <w:tcW w:w="2640" w:type="dxa"/>
            <w:vAlign w:val="bottom"/>
          </w:tcPr>
          <w:p>
            <w:pPr>
              <w:jc w:val="right"/>
              <w:ind w:right="850"/>
              <w:spacing w:after="0"/>
              <w:rPr>
                <w:sz w:val="20"/>
                <w:szCs w:val="20"/>
                <w:color w:val="auto"/>
              </w:rPr>
            </w:pPr>
            <w:r>
              <w:rPr>
                <w:rFonts w:ascii="Arial" w:cs="Arial" w:eastAsia="Arial" w:hAnsi="Arial"/>
                <w:sz w:val="18"/>
                <w:szCs w:val="18"/>
                <w:color w:val="auto"/>
              </w:rPr>
              <w:t>Intrastate Gas</w:t>
            </w:r>
          </w:p>
        </w:tc>
        <w:tc>
          <w:tcPr>
            <w:tcW w:w="2400" w:type="dxa"/>
            <w:vAlign w:val="bottom"/>
          </w:tcPr>
          <w:p>
            <w:pPr>
              <w:jc w:val="right"/>
              <w:ind w:right="750"/>
              <w:spacing w:after="0"/>
              <w:rPr>
                <w:sz w:val="20"/>
                <w:szCs w:val="20"/>
                <w:color w:val="auto"/>
              </w:rPr>
            </w:pPr>
            <w:r>
              <w:rPr>
                <w:rFonts w:ascii="Arial" w:cs="Arial" w:eastAsia="Arial" w:hAnsi="Arial"/>
                <w:sz w:val="18"/>
                <w:szCs w:val="18"/>
                <w:color w:val="auto"/>
              </w:rPr>
              <w:t>Gas Distribution</w:t>
            </w:r>
          </w:p>
        </w:tc>
        <w:tc>
          <w:tcPr>
            <w:tcW w:w="2140" w:type="dxa"/>
            <w:vAlign w:val="bottom"/>
          </w:tcPr>
          <w:p>
            <w:pPr>
              <w:jc w:val="right"/>
              <w:ind w:right="510"/>
              <w:spacing w:after="0"/>
              <w:rPr>
                <w:sz w:val="20"/>
                <w:szCs w:val="20"/>
                <w:color w:val="auto"/>
              </w:rPr>
            </w:pPr>
            <w:r>
              <w:rPr>
                <w:rFonts w:ascii="Arial" w:cs="Arial" w:eastAsia="Arial" w:hAnsi="Arial"/>
                <w:sz w:val="18"/>
                <w:szCs w:val="18"/>
                <w:color w:val="auto"/>
              </w:rPr>
              <w:t>Gas Distribution</w:t>
            </w:r>
          </w:p>
        </w:tc>
      </w:tr>
      <w:tr>
        <w:trPr>
          <w:trHeight w:val="230"/>
        </w:trPr>
        <w:tc>
          <w:tcPr>
            <w:tcW w:w="4240" w:type="dxa"/>
            <w:vAlign w:val="bottom"/>
          </w:tcPr>
          <w:p>
            <w:pPr>
              <w:ind w:left="40"/>
              <w:spacing w:after="0"/>
              <w:rPr>
                <w:sz w:val="20"/>
                <w:szCs w:val="20"/>
                <w:color w:val="auto"/>
              </w:rPr>
            </w:pPr>
            <w:r>
              <w:rPr>
                <w:rFonts w:ascii="Arial" w:cs="Arial" w:eastAsia="Arial" w:hAnsi="Arial"/>
                <w:sz w:val="18"/>
                <w:szCs w:val="18"/>
                <w:color w:val="auto"/>
              </w:rPr>
              <w:t>December 31, 2019</w:t>
            </w:r>
          </w:p>
        </w:tc>
        <w:tc>
          <w:tcPr>
            <w:tcW w:w="2640" w:type="dxa"/>
            <w:vAlign w:val="bottom"/>
          </w:tcPr>
          <w:p>
            <w:pPr>
              <w:jc w:val="right"/>
              <w:ind w:right="510"/>
              <w:spacing w:after="0"/>
              <w:rPr>
                <w:sz w:val="20"/>
                <w:szCs w:val="20"/>
                <w:color w:val="auto"/>
              </w:rPr>
            </w:pPr>
            <w:r>
              <w:rPr>
                <w:rFonts w:ascii="Arial" w:cs="Arial" w:eastAsia="Arial" w:hAnsi="Arial"/>
                <w:sz w:val="18"/>
                <w:szCs w:val="18"/>
                <w:color w:val="auto"/>
              </w:rPr>
              <w:t>Transmission Pipelines</w:t>
            </w:r>
          </w:p>
        </w:tc>
        <w:tc>
          <w:tcPr>
            <w:tcW w:w="2400" w:type="dxa"/>
            <w:vAlign w:val="bottom"/>
          </w:tcPr>
          <w:p>
            <w:pPr>
              <w:jc w:val="right"/>
              <w:ind w:right="1130"/>
              <w:spacing w:after="0"/>
              <w:rPr>
                <w:sz w:val="20"/>
                <w:szCs w:val="20"/>
                <w:color w:val="auto"/>
              </w:rPr>
            </w:pPr>
            <w:r>
              <w:rPr>
                <w:rFonts w:ascii="Arial" w:cs="Arial" w:eastAsia="Arial" w:hAnsi="Arial"/>
                <w:sz w:val="18"/>
                <w:szCs w:val="18"/>
                <w:color w:val="auto"/>
              </w:rPr>
              <w:t>Mains</w:t>
            </w:r>
          </w:p>
        </w:tc>
        <w:tc>
          <w:tcPr>
            <w:tcW w:w="2140" w:type="dxa"/>
            <w:vAlign w:val="bottom"/>
          </w:tcPr>
          <w:p>
            <w:pPr>
              <w:jc w:val="right"/>
              <w:ind w:right="610"/>
              <w:spacing w:after="0"/>
              <w:rPr>
                <w:sz w:val="20"/>
                <w:szCs w:val="20"/>
                <w:color w:val="auto"/>
              </w:rPr>
            </w:pPr>
            <w:r>
              <w:rPr>
                <w:rFonts w:ascii="Arial" w:cs="Arial" w:eastAsia="Arial" w:hAnsi="Arial"/>
                <w:sz w:val="18"/>
                <w:szCs w:val="18"/>
                <w:color w:val="auto"/>
              </w:rPr>
              <w:t>Service Lines</w:t>
            </w:r>
          </w:p>
        </w:tc>
      </w:tr>
      <w:tr>
        <w:trPr>
          <w:trHeight w:val="27"/>
        </w:trPr>
        <w:tc>
          <w:tcPr>
            <w:tcW w:w="42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Arkansas</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942</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4,880</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1,161</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Colorado</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693</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6,814</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2,554</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Iowa</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165</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2,813</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2,138</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Kansas</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330</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2,910</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1,355</w:t>
            </w:r>
          </w:p>
        </w:tc>
      </w:tr>
      <w:tr>
        <w:trPr>
          <w:trHeight w:val="27"/>
        </w:trPr>
        <w:tc>
          <w:tcPr>
            <w:tcW w:w="4240" w:type="dxa"/>
            <w:vAlign w:val="bottom"/>
          </w:tcPr>
          <w:p>
            <w:pPr>
              <w:spacing w:after="0"/>
              <w:rPr>
                <w:sz w:val="2"/>
                <w:szCs w:val="2"/>
                <w:color w:val="auto"/>
              </w:rPr>
            </w:pPr>
          </w:p>
        </w:tc>
        <w:tc>
          <w:tcPr>
            <w:tcW w:w="2640" w:type="dxa"/>
            <w:vAlign w:val="bottom"/>
          </w:tcPr>
          <w:p>
            <w:pPr>
              <w:spacing w:after="0"/>
              <w:rPr>
                <w:sz w:val="2"/>
                <w:szCs w:val="2"/>
                <w:color w:val="auto"/>
              </w:rPr>
            </w:pPr>
          </w:p>
        </w:tc>
        <w:tc>
          <w:tcPr>
            <w:tcW w:w="24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42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Nebraska</w:t>
            </w:r>
          </w:p>
        </w:tc>
        <w:tc>
          <w:tcPr>
            <w:tcW w:w="264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1,311</w:t>
            </w:r>
          </w:p>
        </w:tc>
        <w:tc>
          <w:tcPr>
            <w:tcW w:w="2400" w:type="dxa"/>
            <w:vAlign w:val="bottom"/>
            <w:tcBorders>
              <w:bottom w:val="single" w:sz="8" w:color="CEFFE7"/>
            </w:tcBorders>
            <w:shd w:val="clear" w:color="auto" w:fill="CEFFE7"/>
          </w:tcPr>
          <w:p>
            <w:pPr>
              <w:jc w:val="right"/>
              <w:ind w:right="270"/>
              <w:spacing w:after="0"/>
              <w:rPr>
                <w:sz w:val="20"/>
                <w:szCs w:val="20"/>
                <w:color w:val="auto"/>
              </w:rPr>
            </w:pPr>
            <w:r>
              <w:rPr>
                <w:rFonts w:ascii="Arial" w:cs="Arial" w:eastAsia="Arial" w:hAnsi="Arial"/>
                <w:sz w:val="18"/>
                <w:szCs w:val="18"/>
                <w:color w:val="auto"/>
              </w:rPr>
              <w:t>8,664</w:t>
            </w:r>
          </w:p>
        </w:tc>
        <w:tc>
          <w:tcPr>
            <w:tcW w:w="2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3,230</w:t>
            </w:r>
          </w:p>
        </w:tc>
      </w:tr>
      <w:tr>
        <w:trPr>
          <w:trHeight w:val="243"/>
        </w:trPr>
        <w:tc>
          <w:tcPr>
            <w:tcW w:w="4240" w:type="dxa"/>
            <w:vAlign w:val="bottom"/>
          </w:tcPr>
          <w:p>
            <w:pPr>
              <w:ind w:left="40"/>
              <w:spacing w:after="0"/>
              <w:rPr>
                <w:sz w:val="20"/>
                <w:szCs w:val="20"/>
                <w:color w:val="auto"/>
              </w:rPr>
            </w:pPr>
            <w:r>
              <w:rPr>
                <w:rFonts w:ascii="Arial" w:cs="Arial" w:eastAsia="Arial" w:hAnsi="Arial"/>
                <w:sz w:val="18"/>
                <w:szCs w:val="18"/>
                <w:color w:val="auto"/>
              </w:rPr>
              <w:t>Wyoming</w:t>
            </w:r>
          </w:p>
        </w:tc>
        <w:tc>
          <w:tcPr>
            <w:tcW w:w="2640" w:type="dxa"/>
            <w:vAlign w:val="bottom"/>
          </w:tcPr>
          <w:p>
            <w:pPr>
              <w:jc w:val="right"/>
              <w:ind w:right="250"/>
              <w:spacing w:after="0"/>
              <w:rPr>
                <w:sz w:val="20"/>
                <w:szCs w:val="20"/>
                <w:color w:val="auto"/>
              </w:rPr>
            </w:pPr>
            <w:r>
              <w:rPr>
                <w:rFonts w:ascii="Arial" w:cs="Arial" w:eastAsia="Arial" w:hAnsi="Arial"/>
                <w:sz w:val="18"/>
                <w:szCs w:val="18"/>
                <w:color w:val="auto"/>
              </w:rPr>
              <w:t>1,334</w:t>
            </w:r>
          </w:p>
        </w:tc>
        <w:tc>
          <w:tcPr>
            <w:tcW w:w="2400" w:type="dxa"/>
            <w:vAlign w:val="bottom"/>
          </w:tcPr>
          <w:p>
            <w:pPr>
              <w:jc w:val="right"/>
              <w:ind w:right="270"/>
              <w:spacing w:after="0"/>
              <w:rPr>
                <w:sz w:val="20"/>
                <w:szCs w:val="20"/>
                <w:color w:val="auto"/>
              </w:rPr>
            </w:pPr>
            <w:r>
              <w:rPr>
                <w:rFonts w:ascii="Arial" w:cs="Arial" w:eastAsia="Arial" w:hAnsi="Arial"/>
                <w:sz w:val="18"/>
                <w:szCs w:val="18"/>
                <w:color w:val="auto"/>
              </w:rPr>
              <w:t>3,472</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1,219</w:t>
            </w:r>
          </w:p>
        </w:tc>
      </w:tr>
      <w:tr>
        <w:trPr>
          <w:trHeight w:val="27"/>
        </w:trPr>
        <w:tc>
          <w:tcPr>
            <w:tcW w:w="4240" w:type="dxa"/>
            <w:vAlign w:val="bottom"/>
            <w:tcBorders>
              <w:bottom w:val="single" w:sz="8" w:color="CEFFE7"/>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57"/>
        </w:trPr>
        <w:tc>
          <w:tcPr>
            <w:tcW w:w="42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64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4,775</w:t>
            </w:r>
          </w:p>
        </w:tc>
        <w:tc>
          <w:tcPr>
            <w:tcW w:w="2400" w:type="dxa"/>
            <w:vAlign w:val="bottom"/>
            <w:tcBorders>
              <w:bottom w:val="single" w:sz="8" w:color="auto"/>
            </w:tcBorders>
            <w:shd w:val="clear" w:color="auto" w:fill="CEFFE7"/>
          </w:tcPr>
          <w:p>
            <w:pPr>
              <w:jc w:val="right"/>
              <w:ind w:right="270"/>
              <w:spacing w:after="0"/>
              <w:rPr>
                <w:sz w:val="20"/>
                <w:szCs w:val="20"/>
                <w:color w:val="auto"/>
              </w:rPr>
            </w:pPr>
            <w:r>
              <w:rPr>
                <w:rFonts w:ascii="Arial" w:cs="Arial" w:eastAsia="Arial" w:hAnsi="Arial"/>
                <w:sz w:val="18"/>
                <w:szCs w:val="18"/>
                <w:color w:val="auto"/>
              </w:rPr>
              <w:t>29,553</w:t>
            </w:r>
          </w:p>
        </w:tc>
        <w:tc>
          <w:tcPr>
            <w:tcW w:w="2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11,657</w:t>
            </w:r>
          </w:p>
        </w:tc>
      </w:tr>
      <w:tr>
        <w:trPr>
          <w:trHeight w:val="20"/>
        </w:trPr>
        <w:tc>
          <w:tcPr>
            <w:tcW w:w="4240" w:type="dxa"/>
            <w:vAlign w:val="bottom"/>
          </w:tcPr>
          <w:p>
            <w:pPr>
              <w:spacing w:after="0" w:line="20" w:lineRule="exact"/>
              <w:rPr>
                <w:sz w:val="1"/>
                <w:szCs w:val="1"/>
                <w:color w:val="auto"/>
              </w:rPr>
            </w:pPr>
          </w:p>
        </w:tc>
        <w:tc>
          <w:tcPr>
            <w:tcW w:w="2640" w:type="dxa"/>
            <w:vAlign w:val="bottom"/>
            <w:tcBorders>
              <w:bottom w:val="single" w:sz="8" w:color="auto"/>
            </w:tcBorders>
          </w:tcPr>
          <w:p>
            <w:pPr>
              <w:spacing w:after="0" w:line="20" w:lineRule="exact"/>
              <w:rPr>
                <w:sz w:val="1"/>
                <w:szCs w:val="1"/>
                <w:color w:val="auto"/>
              </w:rPr>
            </w:pPr>
          </w:p>
        </w:tc>
        <w:tc>
          <w:tcPr>
            <w:tcW w:w="240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80" w:type="dxa"/>
            <w:vAlign w:val="bottom"/>
            <w:gridSpan w:val="2"/>
          </w:tcPr>
          <w:p>
            <w:pPr>
              <w:jc w:val="right"/>
              <w:ind w:right="230"/>
              <w:spacing w:after="0"/>
              <w:rPr>
                <w:sz w:val="20"/>
                <w:szCs w:val="20"/>
                <w:color w:val="auto"/>
              </w:rPr>
            </w:pPr>
            <w:r>
              <w:rPr>
                <w:rFonts w:ascii="Arial" w:cs="Arial" w:eastAsia="Arial" w:hAnsi="Arial"/>
                <w:sz w:val="18"/>
                <w:szCs w:val="18"/>
                <w:color w:val="auto"/>
                <w:w w:val="94"/>
              </w:rPr>
              <w:t>For the year ended December 31,</w:t>
            </w: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0"/>
        </w:trPr>
        <w:tc>
          <w:tcPr>
            <w:tcW w:w="3540" w:type="dxa"/>
            <w:vAlign w:val="bottom"/>
          </w:tcPr>
          <w:p>
            <w:pPr>
              <w:ind w:left="40"/>
              <w:spacing w:after="0"/>
              <w:rPr>
                <w:sz w:val="20"/>
                <w:szCs w:val="20"/>
                <w:color w:val="auto"/>
              </w:rPr>
            </w:pPr>
            <w:r>
              <w:rPr>
                <w:rFonts w:ascii="Arial" w:cs="Arial" w:eastAsia="Arial" w:hAnsi="Arial"/>
                <w:sz w:val="18"/>
                <w:szCs w:val="18"/>
                <w:color w:val="auto"/>
              </w:rPr>
              <w:t>Degree Days</w:t>
            </w:r>
          </w:p>
        </w:tc>
        <w:tc>
          <w:tcPr>
            <w:tcW w:w="2600" w:type="dxa"/>
            <w:vAlign w:val="bottom"/>
            <w:gridSpan w:val="2"/>
          </w:tcPr>
          <w:p>
            <w:pPr>
              <w:jc w:val="right"/>
              <w:ind w:right="1050"/>
              <w:spacing w:after="0"/>
              <w:rPr>
                <w:sz w:val="20"/>
                <w:szCs w:val="20"/>
                <w:color w:val="auto"/>
              </w:rPr>
            </w:pPr>
            <w:r>
              <w:rPr>
                <w:rFonts w:ascii="Arial" w:cs="Arial" w:eastAsia="Arial" w:hAnsi="Arial"/>
                <w:sz w:val="18"/>
                <w:szCs w:val="18"/>
                <w:color w:val="auto"/>
              </w:rPr>
              <w:t>2019</w:t>
            </w:r>
          </w:p>
        </w:tc>
        <w:tc>
          <w:tcPr>
            <w:tcW w:w="2880" w:type="dxa"/>
            <w:vAlign w:val="bottom"/>
            <w:gridSpan w:val="2"/>
          </w:tcPr>
          <w:p>
            <w:pPr>
              <w:jc w:val="right"/>
              <w:ind w:right="1230"/>
              <w:spacing w:after="0"/>
              <w:rPr>
                <w:sz w:val="20"/>
                <w:szCs w:val="20"/>
                <w:color w:val="auto"/>
              </w:rPr>
            </w:pPr>
            <w:r>
              <w:rPr>
                <w:rFonts w:ascii="Arial" w:cs="Arial" w:eastAsia="Arial" w:hAnsi="Arial"/>
                <w:sz w:val="18"/>
                <w:szCs w:val="18"/>
                <w:color w:val="auto"/>
              </w:rPr>
              <w:t>2018</w:t>
            </w:r>
          </w:p>
        </w:tc>
        <w:tc>
          <w:tcPr>
            <w:tcW w:w="2400" w:type="dxa"/>
            <w:vAlign w:val="bottom"/>
            <w:gridSpan w:val="2"/>
          </w:tcPr>
          <w:p>
            <w:pPr>
              <w:jc w:val="right"/>
              <w:ind w:right="950"/>
              <w:spacing w:after="0"/>
              <w:rPr>
                <w:sz w:val="20"/>
                <w:szCs w:val="20"/>
                <w:color w:val="auto"/>
              </w:rPr>
            </w:pPr>
            <w:r>
              <w:rPr>
                <w:rFonts w:ascii="Arial" w:cs="Arial" w:eastAsia="Arial" w:hAnsi="Arial"/>
                <w:sz w:val="18"/>
                <w:szCs w:val="18"/>
                <w:color w:val="auto"/>
              </w:rPr>
              <w:t>2017</w:t>
            </w:r>
          </w:p>
        </w:tc>
      </w:tr>
      <w:tr>
        <w:trPr>
          <w:trHeight w:val="27"/>
        </w:trPr>
        <w:tc>
          <w:tcPr>
            <w:tcW w:w="35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22"/>
        </w:trPr>
        <w:tc>
          <w:tcPr>
            <w:tcW w:w="35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340" w:type="dxa"/>
            <w:vAlign w:val="bottom"/>
          </w:tcPr>
          <w:p>
            <w:pPr>
              <w:jc w:val="right"/>
              <w:ind w:right="70"/>
              <w:spacing w:after="0"/>
              <w:rPr>
                <w:sz w:val="20"/>
                <w:szCs w:val="20"/>
                <w:color w:val="auto"/>
              </w:rPr>
            </w:pPr>
            <w:r>
              <w:rPr>
                <w:rFonts w:ascii="Arial" w:cs="Arial" w:eastAsia="Arial" w:hAnsi="Arial"/>
                <w:sz w:val="18"/>
                <w:szCs w:val="18"/>
                <w:color w:val="auto"/>
                <w:w w:val="98"/>
              </w:rPr>
              <w:t>Variance From</w:t>
            </w:r>
          </w:p>
        </w:tc>
        <w:tc>
          <w:tcPr>
            <w:tcW w:w="1420" w:type="dxa"/>
            <w:vAlign w:val="bottom"/>
          </w:tcPr>
          <w:p>
            <w:pPr>
              <w:spacing w:after="0"/>
              <w:rPr>
                <w:sz w:val="19"/>
                <w:szCs w:val="19"/>
                <w:color w:val="auto"/>
              </w:rPr>
            </w:pPr>
          </w:p>
        </w:tc>
        <w:tc>
          <w:tcPr>
            <w:tcW w:w="1460" w:type="dxa"/>
            <w:vAlign w:val="bottom"/>
          </w:tcPr>
          <w:p>
            <w:pPr>
              <w:jc w:val="right"/>
              <w:ind w:right="190"/>
              <w:spacing w:after="0"/>
              <w:rPr>
                <w:sz w:val="20"/>
                <w:szCs w:val="20"/>
                <w:color w:val="auto"/>
              </w:rPr>
            </w:pPr>
            <w:r>
              <w:rPr>
                <w:rFonts w:ascii="Arial" w:cs="Arial" w:eastAsia="Arial" w:hAnsi="Arial"/>
                <w:sz w:val="18"/>
                <w:szCs w:val="18"/>
                <w:color w:val="auto"/>
                <w:w w:val="98"/>
              </w:rPr>
              <w:t>Variance From</w:t>
            </w:r>
          </w:p>
        </w:tc>
        <w:tc>
          <w:tcPr>
            <w:tcW w:w="11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Variance From</w:t>
            </w:r>
          </w:p>
        </w:tc>
      </w:tr>
      <w:tr>
        <w:trPr>
          <w:trHeight w:val="230"/>
        </w:trPr>
        <w:tc>
          <w:tcPr>
            <w:tcW w:w="3540" w:type="dxa"/>
            <w:vAlign w:val="bottom"/>
          </w:tcPr>
          <w:p>
            <w:pPr>
              <w:spacing w:after="0"/>
              <w:rPr>
                <w:sz w:val="20"/>
                <w:szCs w:val="20"/>
                <w:color w:val="auto"/>
              </w:rPr>
            </w:pPr>
          </w:p>
        </w:tc>
        <w:tc>
          <w:tcPr>
            <w:tcW w:w="1260" w:type="dxa"/>
            <w:vAlign w:val="bottom"/>
          </w:tcPr>
          <w:p>
            <w:pPr>
              <w:jc w:val="right"/>
              <w:ind w:right="290"/>
              <w:spacing w:after="0"/>
              <w:rPr>
                <w:sz w:val="20"/>
                <w:szCs w:val="20"/>
                <w:color w:val="auto"/>
              </w:rPr>
            </w:pPr>
            <w:r>
              <w:rPr>
                <w:rFonts w:ascii="Arial" w:cs="Arial" w:eastAsia="Arial" w:hAnsi="Arial"/>
                <w:sz w:val="18"/>
                <w:szCs w:val="18"/>
                <w:color w:val="auto"/>
              </w:rPr>
              <w:t>Actual</w:t>
            </w:r>
          </w:p>
        </w:tc>
        <w:tc>
          <w:tcPr>
            <w:tcW w:w="1340" w:type="dxa"/>
            <w:vAlign w:val="bottom"/>
          </w:tcPr>
          <w:p>
            <w:pPr>
              <w:jc w:val="right"/>
              <w:ind w:right="330"/>
              <w:spacing w:after="0"/>
              <w:rPr>
                <w:sz w:val="20"/>
                <w:szCs w:val="20"/>
                <w:color w:val="auto"/>
              </w:rPr>
            </w:pPr>
            <w:r>
              <w:rPr>
                <w:rFonts w:ascii="Arial" w:cs="Arial" w:eastAsia="Arial" w:hAnsi="Arial"/>
                <w:sz w:val="18"/>
                <w:szCs w:val="18"/>
                <w:color w:val="auto"/>
              </w:rPr>
              <w:t>Normal</w:t>
            </w:r>
          </w:p>
        </w:tc>
        <w:tc>
          <w:tcPr>
            <w:tcW w:w="1420" w:type="dxa"/>
            <w:vAlign w:val="bottom"/>
          </w:tcPr>
          <w:p>
            <w:pPr>
              <w:jc w:val="right"/>
              <w:ind w:right="350"/>
              <w:spacing w:after="0"/>
              <w:rPr>
                <w:sz w:val="20"/>
                <w:szCs w:val="20"/>
                <w:color w:val="auto"/>
              </w:rPr>
            </w:pPr>
            <w:r>
              <w:rPr>
                <w:rFonts w:ascii="Arial" w:cs="Arial" w:eastAsia="Arial" w:hAnsi="Arial"/>
                <w:sz w:val="18"/>
                <w:szCs w:val="18"/>
                <w:color w:val="auto"/>
              </w:rPr>
              <w:t>Actual</w:t>
            </w:r>
          </w:p>
        </w:tc>
        <w:tc>
          <w:tcPr>
            <w:tcW w:w="1460" w:type="dxa"/>
            <w:vAlign w:val="bottom"/>
          </w:tcPr>
          <w:p>
            <w:pPr>
              <w:jc w:val="right"/>
              <w:ind w:right="450"/>
              <w:spacing w:after="0"/>
              <w:rPr>
                <w:sz w:val="20"/>
                <w:szCs w:val="20"/>
                <w:color w:val="auto"/>
              </w:rPr>
            </w:pPr>
            <w:r>
              <w:rPr>
                <w:rFonts w:ascii="Arial" w:cs="Arial" w:eastAsia="Arial" w:hAnsi="Arial"/>
                <w:sz w:val="18"/>
                <w:szCs w:val="18"/>
                <w:color w:val="auto"/>
              </w:rPr>
              <w:t>Normal</w:t>
            </w:r>
          </w:p>
        </w:tc>
        <w:tc>
          <w:tcPr>
            <w:tcW w:w="1140" w:type="dxa"/>
            <w:vAlign w:val="bottom"/>
          </w:tcPr>
          <w:p>
            <w:pPr>
              <w:jc w:val="right"/>
              <w:ind w:right="270"/>
              <w:spacing w:after="0"/>
              <w:rPr>
                <w:sz w:val="20"/>
                <w:szCs w:val="20"/>
                <w:color w:val="auto"/>
              </w:rPr>
            </w:pPr>
            <w:r>
              <w:rPr>
                <w:rFonts w:ascii="Arial" w:cs="Arial" w:eastAsia="Arial" w:hAnsi="Arial"/>
                <w:sz w:val="18"/>
                <w:szCs w:val="18"/>
                <w:color w:val="auto"/>
              </w:rPr>
              <w:t>Actual</w:t>
            </w: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Normal</w:t>
            </w:r>
          </w:p>
        </w:tc>
      </w:tr>
      <w:tr>
        <w:trPr>
          <w:trHeight w:val="27"/>
        </w:trPr>
        <w:tc>
          <w:tcPr>
            <w:tcW w:w="3540" w:type="dxa"/>
            <w:vAlign w:val="bottom"/>
            <w:tcBorders>
              <w:bottom w:val="single" w:sz="8" w:color="CEFFE7"/>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Heating Degree Days:</w:t>
            </w:r>
          </w:p>
        </w:tc>
        <w:tc>
          <w:tcPr>
            <w:tcW w:w="1260" w:type="dxa"/>
            <w:vAlign w:val="bottom"/>
            <w:tcBorders>
              <w:bottom w:val="single" w:sz="8" w:color="CEFFE7"/>
            </w:tcBorders>
            <w:shd w:val="clear" w:color="auto" w:fill="CEFFE7"/>
          </w:tcPr>
          <w:p>
            <w:pPr>
              <w:spacing w:after="0"/>
              <w:rPr>
                <w:sz w:val="21"/>
                <w:szCs w:val="21"/>
                <w:color w:val="auto"/>
              </w:rPr>
            </w:pPr>
          </w:p>
        </w:tc>
        <w:tc>
          <w:tcPr>
            <w:tcW w:w="1340" w:type="dxa"/>
            <w:vAlign w:val="bottom"/>
            <w:tcBorders>
              <w:bottom w:val="single" w:sz="8" w:color="CEFFE7"/>
            </w:tcBorders>
            <w:shd w:val="clear" w:color="auto" w:fill="CEFFE7"/>
          </w:tcPr>
          <w:p>
            <w:pPr>
              <w:spacing w:after="0"/>
              <w:rPr>
                <w:sz w:val="21"/>
                <w:szCs w:val="21"/>
                <w:color w:val="auto"/>
              </w:rPr>
            </w:pPr>
          </w:p>
        </w:tc>
        <w:tc>
          <w:tcPr>
            <w:tcW w:w="1420" w:type="dxa"/>
            <w:vAlign w:val="bottom"/>
            <w:tcBorders>
              <w:bottom w:val="single" w:sz="8" w:color="CEFFE7"/>
            </w:tcBorders>
            <w:shd w:val="clear" w:color="auto" w:fill="CEFFE7"/>
          </w:tcPr>
          <w:p>
            <w:pPr>
              <w:spacing w:after="0"/>
              <w:rPr>
                <w:sz w:val="21"/>
                <w:szCs w:val="21"/>
                <w:color w:val="auto"/>
              </w:rPr>
            </w:pPr>
          </w:p>
        </w:tc>
        <w:tc>
          <w:tcPr>
            <w:tcW w:w="146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1260" w:type="dxa"/>
            <w:vAlign w:val="bottom"/>
            <w:tcBorders>
              <w:bottom w:val="single" w:sz="8" w:color="CEFFE7"/>
            </w:tcBorders>
            <w:shd w:val="clear" w:color="auto" w:fill="CEFFE7"/>
          </w:tcPr>
          <w:p>
            <w:pPr>
              <w:spacing w:after="0"/>
              <w:rPr>
                <w:sz w:val="21"/>
                <w:szCs w:val="21"/>
                <w:color w:val="auto"/>
              </w:rPr>
            </w:pPr>
          </w:p>
        </w:tc>
      </w:tr>
      <w:tr>
        <w:trPr>
          <w:trHeight w:val="270"/>
        </w:trPr>
        <w:tc>
          <w:tcPr>
            <w:tcW w:w="354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Arkansas </w:t>
            </w:r>
            <w:r>
              <w:rPr>
                <w:rFonts w:ascii="Arial" w:cs="Arial" w:eastAsia="Arial" w:hAnsi="Arial"/>
                <w:sz w:val="25"/>
                <w:szCs w:val="25"/>
                <w:color w:val="auto"/>
                <w:vertAlign w:val="superscript"/>
              </w:rPr>
              <w:t>(a)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3,897</w:t>
            </w:r>
          </w:p>
        </w:tc>
        <w:tc>
          <w:tcPr>
            <w:tcW w:w="1340" w:type="dxa"/>
            <w:vAlign w:val="bottom"/>
          </w:tcPr>
          <w:p>
            <w:pPr>
              <w:jc w:val="right"/>
              <w:ind w:right="430"/>
              <w:spacing w:after="0"/>
              <w:rPr>
                <w:sz w:val="20"/>
                <w:szCs w:val="20"/>
                <w:color w:val="auto"/>
              </w:rPr>
            </w:pPr>
            <w:r>
              <w:rPr>
                <w:rFonts w:ascii="Arial" w:cs="Arial" w:eastAsia="Arial" w:hAnsi="Arial"/>
                <w:sz w:val="18"/>
                <w:szCs w:val="18"/>
                <w:color w:val="auto"/>
              </w:rPr>
              <w:t>(4)%</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4,169</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3%</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3,295</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(19)%</w:t>
            </w:r>
          </w:p>
        </w:tc>
      </w:tr>
      <w:tr>
        <w:trPr>
          <w:trHeight w:val="250"/>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w:t>
            </w:r>
          </w:p>
        </w:tc>
        <w:tc>
          <w:tcPr>
            <w:tcW w:w="1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6,672</w:t>
            </w:r>
          </w:p>
        </w:tc>
        <w:tc>
          <w:tcPr>
            <w:tcW w:w="1340" w:type="dxa"/>
            <w:vAlign w:val="bottom"/>
            <w:tcBorders>
              <w:bottom w:val="single" w:sz="8" w:color="CEFFE7"/>
            </w:tcBorders>
            <w:shd w:val="clear" w:color="auto" w:fill="CEFFE7"/>
          </w:tcPr>
          <w:p>
            <w:pPr>
              <w:jc w:val="right"/>
              <w:ind w:right="490"/>
              <w:spacing w:after="0"/>
              <w:rPr>
                <w:sz w:val="20"/>
                <w:szCs w:val="20"/>
                <w:color w:val="auto"/>
              </w:rPr>
            </w:pPr>
            <w:r>
              <w:rPr>
                <w:rFonts w:ascii="Arial" w:cs="Arial" w:eastAsia="Arial" w:hAnsi="Arial"/>
                <w:sz w:val="18"/>
                <w:szCs w:val="18"/>
                <w:color w:val="auto"/>
              </w:rPr>
              <w:t>1%</w:t>
            </w: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6,136</w:t>
            </w:r>
          </w:p>
        </w:tc>
        <w:tc>
          <w:tcPr>
            <w:tcW w:w="1460" w:type="dxa"/>
            <w:vAlign w:val="bottom"/>
            <w:tcBorders>
              <w:bottom w:val="single" w:sz="8" w:color="CEFFE7"/>
            </w:tcBorders>
            <w:shd w:val="clear" w:color="auto" w:fill="CEFFE7"/>
          </w:tcPr>
          <w:p>
            <w:pPr>
              <w:jc w:val="right"/>
              <w:ind w:right="550"/>
              <w:spacing w:after="0"/>
              <w:rPr>
                <w:sz w:val="20"/>
                <w:szCs w:val="20"/>
                <w:color w:val="auto"/>
              </w:rPr>
            </w:pPr>
            <w:r>
              <w:rPr>
                <w:rFonts w:ascii="Arial" w:cs="Arial" w:eastAsia="Arial" w:hAnsi="Arial"/>
                <w:sz w:val="18"/>
                <w:szCs w:val="18"/>
                <w:color w:val="auto"/>
              </w:rPr>
              <w:t>(7)%</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5,728</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(14)%</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Iowa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7,200</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6%</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7,192</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6,149</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(9)%</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5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Kansas </w:t>
            </w:r>
            <w:r>
              <w:rPr>
                <w:rFonts w:ascii="Arial" w:cs="Arial" w:eastAsia="Arial" w:hAnsi="Arial"/>
                <w:sz w:val="25"/>
                <w:szCs w:val="25"/>
                <w:color w:val="auto"/>
                <w:vertAlign w:val="superscript"/>
              </w:rPr>
              <w:t>(a)</w:t>
            </w:r>
          </w:p>
        </w:tc>
        <w:tc>
          <w:tcPr>
            <w:tcW w:w="1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5,190</w:t>
            </w:r>
          </w:p>
        </w:tc>
        <w:tc>
          <w:tcPr>
            <w:tcW w:w="1340" w:type="dxa"/>
            <w:vAlign w:val="bottom"/>
            <w:shd w:val="clear" w:color="auto" w:fill="CEFFE7"/>
          </w:tcPr>
          <w:p>
            <w:pPr>
              <w:jc w:val="right"/>
              <w:ind w:right="490"/>
              <w:spacing w:after="0"/>
              <w:rPr>
                <w:sz w:val="20"/>
                <w:szCs w:val="20"/>
                <w:color w:val="auto"/>
              </w:rPr>
            </w:pPr>
            <w:r>
              <w:rPr>
                <w:rFonts w:ascii="Arial" w:cs="Arial" w:eastAsia="Arial" w:hAnsi="Arial"/>
                <w:sz w:val="18"/>
                <w:szCs w:val="18"/>
                <w:color w:val="auto"/>
              </w:rPr>
              <w:t>6%</w:t>
            </w:r>
          </w:p>
        </w:tc>
        <w:tc>
          <w:tcPr>
            <w:tcW w:w="142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5,242</w:t>
            </w:r>
          </w:p>
        </w:tc>
        <w:tc>
          <w:tcPr>
            <w:tcW w:w="1460" w:type="dxa"/>
            <w:vAlign w:val="bottom"/>
            <w:shd w:val="clear" w:color="auto" w:fill="CEFFE7"/>
          </w:tcPr>
          <w:p>
            <w:pPr>
              <w:jc w:val="right"/>
              <w:ind w:right="610"/>
              <w:spacing w:after="0"/>
              <w:rPr>
                <w:sz w:val="20"/>
                <w:szCs w:val="20"/>
                <w:color w:val="auto"/>
              </w:rPr>
            </w:pPr>
            <w:r>
              <w:rPr>
                <w:rFonts w:ascii="Arial" w:cs="Arial" w:eastAsia="Arial" w:hAnsi="Arial"/>
                <w:sz w:val="18"/>
                <w:szCs w:val="18"/>
                <w:color w:val="auto"/>
              </w:rPr>
              <w:t>7%</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4,452</w:t>
            </w:r>
          </w:p>
        </w:tc>
        <w:tc>
          <w:tcPr>
            <w:tcW w:w="1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(9)%</w:t>
            </w:r>
          </w:p>
        </w:tc>
      </w:tr>
      <w:tr>
        <w:trPr>
          <w:trHeight w:val="243"/>
        </w:trPr>
        <w:tc>
          <w:tcPr>
            <w:tcW w:w="3540" w:type="dxa"/>
            <w:vAlign w:val="bottom"/>
          </w:tcPr>
          <w:p>
            <w:pPr>
              <w:ind w:left="40"/>
              <w:spacing w:after="0"/>
              <w:rPr>
                <w:sz w:val="20"/>
                <w:szCs w:val="20"/>
                <w:color w:val="auto"/>
              </w:rPr>
            </w:pPr>
            <w:r>
              <w:rPr>
                <w:rFonts w:ascii="Arial" w:cs="Arial" w:eastAsia="Arial" w:hAnsi="Arial"/>
                <w:sz w:val="18"/>
                <w:szCs w:val="18"/>
                <w:color w:val="auto"/>
              </w:rPr>
              <w:t>Nebraska</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6,578</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7%</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6,563</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6%</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5,554</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w:t>
            </w:r>
          </w:p>
        </w:tc>
      </w:tr>
      <w:tr>
        <w:trPr>
          <w:trHeight w:val="27"/>
        </w:trPr>
        <w:tc>
          <w:tcPr>
            <w:tcW w:w="35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3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w:t>
            </w:r>
          </w:p>
        </w:tc>
        <w:tc>
          <w:tcPr>
            <w:tcW w:w="1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8,010</w:t>
            </w:r>
          </w:p>
        </w:tc>
        <w:tc>
          <w:tcPr>
            <w:tcW w:w="1340" w:type="dxa"/>
            <w:vAlign w:val="bottom"/>
            <w:tcBorders>
              <w:bottom w:val="single" w:sz="8" w:color="CEFFE7"/>
            </w:tcBorders>
            <w:shd w:val="clear" w:color="auto" w:fill="CEFFE7"/>
          </w:tcPr>
          <w:p>
            <w:pPr>
              <w:jc w:val="right"/>
              <w:ind w:right="490"/>
              <w:spacing w:after="0"/>
              <w:rPr>
                <w:sz w:val="20"/>
                <w:szCs w:val="20"/>
                <w:color w:val="auto"/>
              </w:rPr>
            </w:pPr>
            <w:r>
              <w:rPr>
                <w:rFonts w:ascii="Arial" w:cs="Arial" w:eastAsia="Arial" w:hAnsi="Arial"/>
                <w:sz w:val="18"/>
                <w:szCs w:val="18"/>
                <w:color w:val="auto"/>
              </w:rPr>
              <w:t>7%</w:t>
            </w:r>
          </w:p>
        </w:tc>
        <w:tc>
          <w:tcPr>
            <w:tcW w:w="14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7,425</w:t>
            </w:r>
          </w:p>
        </w:tc>
        <w:tc>
          <w:tcPr>
            <w:tcW w:w="1460" w:type="dxa"/>
            <w:vAlign w:val="bottom"/>
            <w:tcBorders>
              <w:bottom w:val="single" w:sz="8" w:color="CEFFE7"/>
            </w:tcBorders>
            <w:shd w:val="clear" w:color="auto" w:fill="CEFFE7"/>
          </w:tcPr>
          <w:p>
            <w:pPr>
              <w:jc w:val="right"/>
              <w:ind w:right="550"/>
              <w:spacing w:after="0"/>
              <w:rPr>
                <w:sz w:val="20"/>
                <w:szCs w:val="20"/>
                <w:color w:val="auto"/>
              </w:rPr>
            </w:pPr>
            <w:r>
              <w:rPr>
                <w:rFonts w:ascii="Arial" w:cs="Arial" w:eastAsia="Arial" w:hAnsi="Arial"/>
                <w:sz w:val="18"/>
                <w:szCs w:val="18"/>
                <w:color w:val="auto"/>
              </w:rPr>
              <w:t>(1)%</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7,123</w:t>
            </w:r>
          </w:p>
        </w:tc>
        <w:tc>
          <w:tcPr>
            <w:tcW w:w="1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(5)%</w:t>
            </w:r>
          </w:p>
        </w:tc>
      </w:tr>
      <w:tr>
        <w:trPr>
          <w:trHeight w:val="256"/>
        </w:trPr>
        <w:tc>
          <w:tcPr>
            <w:tcW w:w="3540" w:type="dxa"/>
            <w:vAlign w:val="bottom"/>
          </w:tcPr>
          <w:p>
            <w:pPr>
              <w:ind w:left="180"/>
              <w:spacing w:after="0" w:line="256" w:lineRule="exact"/>
              <w:rPr>
                <w:sz w:val="20"/>
                <w:szCs w:val="20"/>
                <w:color w:val="auto"/>
              </w:rPr>
            </w:pPr>
            <w:r>
              <w:rPr>
                <w:rFonts w:ascii="Arial" w:cs="Arial" w:eastAsia="Arial" w:hAnsi="Arial"/>
                <w:sz w:val="18"/>
                <w:szCs w:val="18"/>
                <w:color w:val="auto"/>
              </w:rPr>
              <w:t xml:space="preserve">Combined </w:t>
            </w:r>
            <w:r>
              <w:rPr>
                <w:rFonts w:ascii="Arial" w:cs="Arial" w:eastAsia="Arial" w:hAnsi="Arial"/>
                <w:sz w:val="25"/>
                <w:szCs w:val="25"/>
                <w:color w:val="auto"/>
                <w:vertAlign w:val="superscript"/>
              </w:rPr>
              <w:t>(b)</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6,840</w:t>
            </w:r>
          </w:p>
        </w:tc>
        <w:tc>
          <w:tcPr>
            <w:tcW w:w="1340" w:type="dxa"/>
            <w:vAlign w:val="bottom"/>
          </w:tcPr>
          <w:p>
            <w:pPr>
              <w:jc w:val="right"/>
              <w:ind w:right="490"/>
              <w:spacing w:after="0"/>
              <w:rPr>
                <w:sz w:val="20"/>
                <w:szCs w:val="20"/>
                <w:color w:val="auto"/>
              </w:rPr>
            </w:pPr>
            <w:r>
              <w:rPr>
                <w:rFonts w:ascii="Arial" w:cs="Arial" w:eastAsia="Arial" w:hAnsi="Arial"/>
                <w:sz w:val="18"/>
                <w:szCs w:val="18"/>
                <w:color w:val="auto"/>
              </w:rPr>
              <w:t>5%</w:t>
            </w:r>
          </w:p>
        </w:tc>
        <w:tc>
          <w:tcPr>
            <w:tcW w:w="1420" w:type="dxa"/>
            <w:vAlign w:val="bottom"/>
          </w:tcPr>
          <w:p>
            <w:pPr>
              <w:jc w:val="right"/>
              <w:ind w:right="30"/>
              <w:spacing w:after="0"/>
              <w:rPr>
                <w:sz w:val="20"/>
                <w:szCs w:val="20"/>
                <w:color w:val="auto"/>
              </w:rPr>
            </w:pPr>
            <w:r>
              <w:rPr>
                <w:rFonts w:ascii="Arial" w:cs="Arial" w:eastAsia="Arial" w:hAnsi="Arial"/>
                <w:sz w:val="18"/>
                <w:szCs w:val="18"/>
                <w:color w:val="auto"/>
              </w:rPr>
              <w:t>6,628</w:t>
            </w:r>
          </w:p>
        </w:tc>
        <w:tc>
          <w:tcPr>
            <w:tcW w:w="1460" w:type="dxa"/>
            <w:vAlign w:val="bottom"/>
          </w:tcPr>
          <w:p>
            <w:pPr>
              <w:jc w:val="right"/>
              <w:ind w:right="610"/>
              <w:spacing w:after="0"/>
              <w:rPr>
                <w:sz w:val="20"/>
                <w:szCs w:val="20"/>
                <w:color w:val="auto"/>
              </w:rPr>
            </w:pPr>
            <w:r>
              <w:rPr>
                <w:rFonts w:ascii="Arial" w:cs="Arial" w:eastAsia="Arial" w:hAnsi="Arial"/>
                <w:sz w:val="18"/>
                <w:szCs w:val="18"/>
                <w:color w:val="auto"/>
              </w:rPr>
              <w:t>2%</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5,862</w:t>
            </w:r>
          </w:p>
        </w:tc>
        <w:tc>
          <w:tcPr>
            <w:tcW w:w="1260" w:type="dxa"/>
            <w:vAlign w:val="bottom"/>
          </w:tcPr>
          <w:p>
            <w:pPr>
              <w:jc w:val="center"/>
              <w:spacing w:after="0"/>
              <w:rPr>
                <w:sz w:val="20"/>
                <w:szCs w:val="20"/>
                <w:color w:val="auto"/>
              </w:rPr>
            </w:pPr>
            <w:r>
              <w:rPr>
                <w:rFonts w:ascii="Arial" w:cs="Arial" w:eastAsia="Arial" w:hAnsi="Arial"/>
                <w:sz w:val="18"/>
                <w:szCs w:val="18"/>
                <w:color w:val="auto"/>
                <w:w w:val="91"/>
              </w:rPr>
              <w:t>(10)%</w:t>
            </w:r>
          </w:p>
        </w:tc>
      </w:tr>
      <w:tr>
        <w:trPr>
          <w:trHeight w:val="230"/>
        </w:trPr>
        <w:tc>
          <w:tcPr>
            <w:tcW w:w="3540" w:type="dxa"/>
            <w:vAlign w:val="bottom"/>
          </w:tcPr>
          <w:p>
            <w:pPr>
              <w:spacing w:after="0"/>
              <w:rPr>
                <w:sz w:val="20"/>
                <w:szCs w:val="20"/>
                <w:color w:val="auto"/>
              </w:rPr>
            </w:pPr>
            <w:r>
              <w:rPr>
                <w:rFonts w:ascii="Arial" w:cs="Arial" w:eastAsia="Arial" w:hAnsi="Arial"/>
                <w:sz w:val="18"/>
                <w:szCs w:val="18"/>
                <w:color w:val="auto"/>
              </w:rPr>
              <w:t>________________</w:t>
            </w:r>
          </w:p>
        </w:tc>
        <w:tc>
          <w:tcPr>
            <w:tcW w:w="126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60" w:type="dxa"/>
            <w:vAlign w:val="bottom"/>
          </w:tcPr>
          <w:p>
            <w:pPr>
              <w:spacing w:after="0"/>
              <w:rPr>
                <w:sz w:val="20"/>
                <w:szCs w:val="20"/>
                <w:color w:val="auto"/>
              </w:rPr>
            </w:pPr>
          </w:p>
        </w:tc>
      </w:tr>
    </w:tbl>
    <w:p>
      <w:pPr>
        <w:ind w:left="340" w:hanging="332"/>
        <w:spacing w:after="0"/>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Arkansas and Kansas have weather normalization mechanisms that mitigate the weather impact on gross margins.</w:t>
      </w:r>
    </w:p>
    <w:p>
      <w:pPr>
        <w:spacing w:after="0" w:line="9" w:lineRule="exact"/>
        <w:rPr>
          <w:rFonts w:ascii="Arial" w:cs="Arial" w:eastAsia="Arial" w:hAnsi="Arial"/>
          <w:sz w:val="16"/>
          <w:szCs w:val="16"/>
          <w:color w:val="auto"/>
        </w:rPr>
      </w:pPr>
    </w:p>
    <w:p>
      <w:pPr>
        <w:ind w:left="340" w:right="120" w:hanging="332"/>
        <w:spacing w:after="0" w:line="257" w:lineRule="auto"/>
        <w:tabs>
          <w:tab w:leader="none" w:pos="3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combined heating degree days are calculated based on a weighted average of total customers by state excluding Kansas due to its weather normalization mechanism. Arkansas Gas is partially excluded based on the weather normalization mechanism in effect from November through April.</w:t>
      </w:r>
    </w:p>
    <w:p>
      <w:pPr>
        <w:spacing w:after="0" w:line="18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b w:val="1"/>
          <w:bCs w:val="1"/>
          <w:i w:val="1"/>
          <w:iCs w:val="1"/>
          <w:color w:val="auto"/>
        </w:rPr>
        <w:t xml:space="preserve">Seasonal Variations of Business. </w:t>
      </w:r>
      <w:r>
        <w:rPr>
          <w:rFonts w:ascii="Arial" w:cs="Arial" w:eastAsia="Arial" w:hAnsi="Arial"/>
          <w:sz w:val="17"/>
          <w:szCs w:val="17"/>
          <w:color w:val="auto"/>
        </w:rPr>
        <w:t>Our Gas Utilities are seasonal businesses and weather patterns may impact their operating performance. Demand for natural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gas is sensitive to seasonal heating and industrial load requirements, as well as market price. In particular, demand is often greater in the winter months for heating. Natural gas is used primarily for residential and commercial heating, so the demand for this product depends heavily upon weather throughout our service territories and as a result, a significant amount of natural gas revenue is normally recognized in the heating season consisting of the first and fourth quarters. Demand for natural gas can also be impacted by summer weather patterns that are cooler than normal and/or provide higher than normal precipitation; both of which can reduce natural gas demand for irrigation.</w:t>
      </w:r>
    </w:p>
    <w:p>
      <w:pPr>
        <w:spacing w:after="0" w:line="178" w:lineRule="exact"/>
        <w:rPr>
          <w:sz w:val="20"/>
          <w:szCs w:val="20"/>
          <w:color w:val="auto"/>
        </w:rPr>
      </w:pPr>
    </w:p>
    <w:p>
      <w:pPr>
        <w:ind w:right="240"/>
        <w:spacing w:after="0" w:line="25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We generally have limited competition for the retail distribution of natural gas in our service areas. Various restructuring and competitive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initiatives have been discussed in several of the states in which our utilities operate. These initiatives are aimed at increasing competition. To date, these initiatives have not had a material impact on our utilities. Although we face competition from independent marketers for the sale of natural gas to our industrial and commercial customers, in instances where independent marketers displace us as the seller of natural gas, we still collect a distribution charge for transporting the gas through our distribution network.</w:t>
      </w:r>
    </w:p>
    <w:p>
      <w:pPr>
        <w:spacing w:after="0" w:line="18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i w:val="1"/>
          <w:iCs w:val="1"/>
          <w:color w:val="auto"/>
        </w:rPr>
        <w:t xml:space="preserve">Rates and Regulation. </w:t>
      </w:r>
      <w:r>
        <w:rPr>
          <w:rFonts w:ascii="Arial" w:cs="Arial" w:eastAsia="Arial" w:hAnsi="Arial"/>
          <w:sz w:val="18"/>
          <w:szCs w:val="18"/>
          <w:color w:val="auto"/>
        </w:rPr>
        <w:t>Our Gas Utilities are subject to the jurisdiction of the public utility commissions in the states where they operate. These commissions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oversee services and facilities, rates and charges, accounting, valuation of property, depreciation rates and various other matters. The public utility commissions determine the rates we are allowed to charge for our utility services. Rate decisions are influenced by many factors, including the cost of providing service, capital expenditures, the prudence of costs we incur, views concerning appropriate rates of return, general economic conditions and the political environment. Certain commissions also have jurisdiction over the issuance of debt or securities and the creation of liens on property located in their states to secure bonds or other securities.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26" w:right="239" w:bottom="1440" w:gutter="0" w:footer="0" w:header="0"/>
        </w:sectPr>
      </w:pPr>
    </w:p>
    <w:bookmarkStart w:id="18" w:name="page19"/>
    <w:bookmarkEnd w:id="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Our Gas Utilities are authorized to use natural gas cost recovery mechanisms that allow them to adjust their rates to reflect changes in the wholesale cost of natural gas and to ensure that they recover all the costs prudently incurred in purchasing gas for their customers. In addition to natural gas cost recovery mechanisms, we have other recovery mechanisms, which vary by utility, but allow us to recover certain costs or earn a return on capital investments, such as energy efficiency plan costs and system safety and integrity investments. The following table provides regulatory information for each of our natural gas utilities:</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920" w:type="dxa"/>
            <w:vAlign w:val="bottom"/>
          </w:tcPr>
          <w:p>
            <w:pPr>
              <w:jc w:val="center"/>
              <w:spacing w:after="0"/>
              <w:rPr>
                <w:sz w:val="20"/>
                <w:szCs w:val="20"/>
                <w:color w:val="auto"/>
              </w:rPr>
            </w:pPr>
            <w:r>
              <w:rPr>
                <w:rFonts w:ascii="Arial" w:cs="Arial" w:eastAsia="Arial" w:hAnsi="Arial"/>
                <w:sz w:val="16"/>
                <w:szCs w:val="16"/>
                <w:color w:val="auto"/>
                <w:w w:val="94"/>
              </w:rPr>
              <w:t>Authorized</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Authorized</w:t>
            </w:r>
          </w:p>
        </w:tc>
        <w:tc>
          <w:tcPr>
            <w:tcW w:w="1200" w:type="dxa"/>
            <w:vAlign w:val="bottom"/>
          </w:tcPr>
          <w:p>
            <w:pPr>
              <w:jc w:val="center"/>
              <w:spacing w:after="0"/>
              <w:rPr>
                <w:sz w:val="20"/>
                <w:szCs w:val="20"/>
                <w:color w:val="auto"/>
              </w:rPr>
            </w:pPr>
            <w:r>
              <w:rPr>
                <w:rFonts w:ascii="Arial" w:cs="Arial" w:eastAsia="Arial" w:hAnsi="Arial"/>
                <w:sz w:val="16"/>
                <w:szCs w:val="16"/>
                <w:color w:val="auto"/>
                <w:w w:val="94"/>
              </w:rPr>
              <w:t>Authorized Rate</w:t>
            </w:r>
          </w:p>
        </w:tc>
        <w:tc>
          <w:tcPr>
            <w:tcW w:w="760" w:type="dxa"/>
            <w:vAlign w:val="bottom"/>
          </w:tcPr>
          <w:p>
            <w:pPr>
              <w:spacing w:after="0"/>
              <w:rPr>
                <w:sz w:val="17"/>
                <w:szCs w:val="17"/>
                <w:color w:val="auto"/>
              </w:rPr>
            </w:pPr>
          </w:p>
        </w:tc>
        <w:tc>
          <w:tcPr>
            <w:tcW w:w="4180" w:type="dxa"/>
            <w:vAlign w:val="bottom"/>
          </w:tcPr>
          <w:p>
            <w:pPr>
              <w:spacing w:after="0"/>
              <w:rPr>
                <w:sz w:val="17"/>
                <w:szCs w:val="17"/>
                <w:color w:val="auto"/>
              </w:rPr>
            </w:pP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ind w:left="200"/>
              <w:spacing w:after="0"/>
              <w:rPr>
                <w:sz w:val="20"/>
                <w:szCs w:val="20"/>
                <w:color w:val="auto"/>
              </w:rPr>
            </w:pPr>
            <w:r>
              <w:rPr>
                <w:rFonts w:ascii="Arial" w:cs="Arial" w:eastAsia="Arial" w:hAnsi="Arial"/>
                <w:sz w:val="16"/>
                <w:szCs w:val="16"/>
                <w:color w:val="auto"/>
              </w:rPr>
              <w:t>Jurisdic-</w:t>
            </w:r>
          </w:p>
        </w:tc>
        <w:tc>
          <w:tcPr>
            <w:tcW w:w="1140" w:type="dxa"/>
            <w:vAlign w:val="bottom"/>
          </w:tcPr>
          <w:p>
            <w:pPr>
              <w:jc w:val="center"/>
              <w:spacing w:after="0"/>
              <w:rPr>
                <w:sz w:val="20"/>
                <w:szCs w:val="20"/>
                <w:color w:val="auto"/>
              </w:rPr>
            </w:pPr>
            <w:r>
              <w:rPr>
                <w:rFonts w:ascii="Arial" w:cs="Arial" w:eastAsia="Arial" w:hAnsi="Arial"/>
                <w:sz w:val="16"/>
                <w:szCs w:val="16"/>
                <w:color w:val="auto"/>
                <w:w w:val="92"/>
              </w:rPr>
              <w:t>Rate of Return</w:t>
            </w:r>
          </w:p>
        </w:tc>
        <w:tc>
          <w:tcPr>
            <w:tcW w:w="920" w:type="dxa"/>
            <w:vAlign w:val="bottom"/>
          </w:tcPr>
          <w:p>
            <w:pPr>
              <w:jc w:val="center"/>
              <w:spacing w:after="0"/>
              <w:rPr>
                <w:sz w:val="20"/>
                <w:szCs w:val="20"/>
                <w:color w:val="auto"/>
              </w:rPr>
            </w:pPr>
            <w:r>
              <w:rPr>
                <w:rFonts w:ascii="Arial" w:cs="Arial" w:eastAsia="Arial" w:hAnsi="Arial"/>
                <w:sz w:val="16"/>
                <w:szCs w:val="16"/>
                <w:color w:val="auto"/>
                <w:w w:val="91"/>
              </w:rPr>
              <w:t>Return on</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Capital Structure</w:t>
            </w:r>
          </w:p>
        </w:tc>
        <w:tc>
          <w:tcPr>
            <w:tcW w:w="1200" w:type="dxa"/>
            <w:vAlign w:val="bottom"/>
          </w:tcPr>
          <w:p>
            <w:pPr>
              <w:jc w:val="center"/>
              <w:spacing w:after="0"/>
              <w:rPr>
                <w:sz w:val="20"/>
                <w:szCs w:val="20"/>
                <w:color w:val="auto"/>
              </w:rPr>
            </w:pPr>
            <w:r>
              <w:rPr>
                <w:rFonts w:ascii="Arial" w:cs="Arial" w:eastAsia="Arial" w:hAnsi="Arial"/>
                <w:sz w:val="16"/>
                <w:szCs w:val="16"/>
                <w:color w:val="auto"/>
                <w:w w:val="91"/>
              </w:rPr>
              <w:t>Base (in</w:t>
            </w:r>
          </w:p>
        </w:tc>
        <w:tc>
          <w:tcPr>
            <w:tcW w:w="760" w:type="dxa"/>
            <w:vAlign w:val="bottom"/>
          </w:tcPr>
          <w:p>
            <w:pPr>
              <w:jc w:val="center"/>
              <w:spacing w:after="0"/>
              <w:rPr>
                <w:sz w:val="20"/>
                <w:szCs w:val="20"/>
                <w:color w:val="auto"/>
              </w:rPr>
            </w:pPr>
            <w:r>
              <w:rPr>
                <w:rFonts w:ascii="Arial" w:cs="Arial" w:eastAsia="Arial" w:hAnsi="Arial"/>
                <w:sz w:val="16"/>
                <w:szCs w:val="16"/>
                <w:color w:val="auto"/>
                <w:w w:val="97"/>
              </w:rPr>
              <w:t>Effective</w:t>
            </w:r>
          </w:p>
        </w:tc>
        <w:tc>
          <w:tcPr>
            <w:tcW w:w="4180" w:type="dxa"/>
            <w:vAlign w:val="bottom"/>
          </w:tcPr>
          <w:p>
            <w:pPr>
              <w:spacing w:after="0"/>
              <w:rPr>
                <w:sz w:val="17"/>
                <w:szCs w:val="17"/>
                <w:color w:val="auto"/>
              </w:rPr>
            </w:pPr>
          </w:p>
        </w:tc>
      </w:tr>
      <w:tr>
        <w:trPr>
          <w:trHeight w:val="206"/>
        </w:trPr>
        <w:tc>
          <w:tcPr>
            <w:tcW w:w="40" w:type="dxa"/>
            <w:vAlign w:val="bottom"/>
          </w:tcPr>
          <w:p>
            <w:pPr>
              <w:spacing w:after="0"/>
              <w:rPr>
                <w:sz w:val="17"/>
                <w:szCs w:val="17"/>
                <w:color w:val="auto"/>
              </w:rPr>
            </w:pPr>
          </w:p>
        </w:tc>
        <w:tc>
          <w:tcPr>
            <w:tcW w:w="1040" w:type="dxa"/>
            <w:vAlign w:val="bottom"/>
            <w:gridSpan w:val="2"/>
          </w:tcPr>
          <w:p>
            <w:pPr>
              <w:ind w:left="200"/>
              <w:spacing w:after="0"/>
              <w:rPr>
                <w:sz w:val="20"/>
                <w:szCs w:val="20"/>
                <w:color w:val="auto"/>
              </w:rPr>
            </w:pPr>
            <w:r>
              <w:rPr>
                <w:rFonts w:ascii="Arial" w:cs="Arial" w:eastAsia="Arial" w:hAnsi="Arial"/>
                <w:sz w:val="16"/>
                <w:szCs w:val="16"/>
                <w:color w:val="auto"/>
              </w:rPr>
              <w:t>Subsidiary</w:t>
            </w:r>
          </w:p>
        </w:tc>
        <w:tc>
          <w:tcPr>
            <w:tcW w:w="840" w:type="dxa"/>
            <w:vAlign w:val="bottom"/>
          </w:tcPr>
          <w:p>
            <w:pPr>
              <w:ind w:left="360"/>
              <w:spacing w:after="0"/>
              <w:rPr>
                <w:sz w:val="20"/>
                <w:szCs w:val="20"/>
                <w:color w:val="auto"/>
              </w:rPr>
            </w:pPr>
            <w:r>
              <w:rPr>
                <w:rFonts w:ascii="Arial" w:cs="Arial" w:eastAsia="Arial" w:hAnsi="Arial"/>
                <w:sz w:val="16"/>
                <w:szCs w:val="16"/>
                <w:color w:val="auto"/>
              </w:rPr>
              <w:t>tion</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on Equity</w:t>
            </w:r>
          </w:p>
        </w:tc>
        <w:tc>
          <w:tcPr>
            <w:tcW w:w="920" w:type="dxa"/>
            <w:vAlign w:val="bottom"/>
          </w:tcPr>
          <w:p>
            <w:pPr>
              <w:jc w:val="center"/>
              <w:spacing w:after="0"/>
              <w:rPr>
                <w:sz w:val="20"/>
                <w:szCs w:val="20"/>
                <w:color w:val="auto"/>
              </w:rPr>
            </w:pPr>
            <w:r>
              <w:rPr>
                <w:rFonts w:ascii="Arial" w:cs="Arial" w:eastAsia="Arial" w:hAnsi="Arial"/>
                <w:sz w:val="16"/>
                <w:szCs w:val="16"/>
                <w:color w:val="auto"/>
                <w:w w:val="85"/>
              </w:rPr>
              <w:t>Rate Base</w:t>
            </w:r>
          </w:p>
        </w:tc>
        <w:tc>
          <w:tcPr>
            <w:tcW w:w="1300" w:type="dxa"/>
            <w:vAlign w:val="bottom"/>
          </w:tcPr>
          <w:p>
            <w:pPr>
              <w:jc w:val="center"/>
              <w:spacing w:after="0"/>
              <w:rPr>
                <w:sz w:val="20"/>
                <w:szCs w:val="20"/>
                <w:color w:val="auto"/>
              </w:rPr>
            </w:pPr>
            <w:r>
              <w:rPr>
                <w:rFonts w:ascii="Arial" w:cs="Arial" w:eastAsia="Arial" w:hAnsi="Arial"/>
                <w:sz w:val="16"/>
                <w:szCs w:val="16"/>
                <w:color w:val="auto"/>
                <w:w w:val="96"/>
              </w:rPr>
              <w:t>Debt/Equity</w:t>
            </w:r>
          </w:p>
        </w:tc>
        <w:tc>
          <w:tcPr>
            <w:tcW w:w="1200" w:type="dxa"/>
            <w:vAlign w:val="bottom"/>
          </w:tcPr>
          <w:p>
            <w:pPr>
              <w:jc w:val="center"/>
              <w:spacing w:after="0"/>
              <w:rPr>
                <w:sz w:val="20"/>
                <w:szCs w:val="20"/>
                <w:color w:val="auto"/>
              </w:rPr>
            </w:pPr>
            <w:r>
              <w:rPr>
                <w:rFonts w:ascii="Arial" w:cs="Arial" w:eastAsia="Arial" w:hAnsi="Arial"/>
                <w:sz w:val="16"/>
                <w:szCs w:val="16"/>
                <w:color w:val="auto"/>
              </w:rPr>
              <w:t>millions)</w:t>
            </w:r>
          </w:p>
        </w:tc>
        <w:tc>
          <w:tcPr>
            <w:tcW w:w="760" w:type="dxa"/>
            <w:vAlign w:val="bottom"/>
          </w:tcPr>
          <w:p>
            <w:pPr>
              <w:jc w:val="center"/>
              <w:spacing w:after="0"/>
              <w:rPr>
                <w:sz w:val="20"/>
                <w:szCs w:val="20"/>
                <w:color w:val="auto"/>
              </w:rPr>
            </w:pPr>
            <w:r>
              <w:rPr>
                <w:rFonts w:ascii="Arial" w:cs="Arial" w:eastAsia="Arial" w:hAnsi="Arial"/>
                <w:sz w:val="16"/>
                <w:szCs w:val="16"/>
                <w:color w:val="auto"/>
                <w:w w:val="94"/>
              </w:rPr>
              <w:t>Date</w:t>
            </w:r>
          </w:p>
        </w:tc>
        <w:tc>
          <w:tcPr>
            <w:tcW w:w="4180" w:type="dxa"/>
            <w:vAlign w:val="bottom"/>
          </w:tcPr>
          <w:p>
            <w:pPr>
              <w:ind w:left="1080"/>
              <w:spacing w:after="0"/>
              <w:rPr>
                <w:sz w:val="20"/>
                <w:szCs w:val="20"/>
                <w:color w:val="auto"/>
              </w:rPr>
            </w:pPr>
            <w:r>
              <w:rPr>
                <w:rFonts w:ascii="Arial" w:cs="Arial" w:eastAsia="Arial" w:hAnsi="Arial"/>
                <w:sz w:val="16"/>
                <w:szCs w:val="16"/>
                <w:color w:val="auto"/>
              </w:rPr>
              <w:t>Additional Tariffed Mechanisms</w:t>
            </w:r>
          </w:p>
        </w:tc>
      </w:tr>
      <w:tr>
        <w:trPr>
          <w:trHeight w:val="33"/>
        </w:trPr>
        <w:tc>
          <w:tcPr>
            <w:tcW w:w="4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180" w:type="dxa"/>
            <w:vAlign w:val="bottom"/>
            <w:tcBorders>
              <w:bottom w:val="single" w:sz="8" w:color="auto"/>
            </w:tcBorders>
          </w:tcPr>
          <w:p>
            <w:pPr>
              <w:spacing w:after="0"/>
              <w:rPr>
                <w:sz w:val="2"/>
                <w:szCs w:val="2"/>
                <w:color w:val="auto"/>
              </w:rPr>
            </w:pPr>
          </w:p>
        </w:tc>
      </w:tr>
      <w:tr>
        <w:trPr>
          <w:trHeight w:val="183"/>
        </w:trPr>
        <w:tc>
          <w:tcPr>
            <w:tcW w:w="40" w:type="dxa"/>
            <w:vAlign w:val="bottom"/>
          </w:tcPr>
          <w:p>
            <w:pPr>
              <w:spacing w:after="0"/>
              <w:rPr>
                <w:sz w:val="15"/>
                <w:szCs w:val="15"/>
                <w:color w:val="auto"/>
              </w:rPr>
            </w:pPr>
          </w:p>
        </w:tc>
        <w:tc>
          <w:tcPr>
            <w:tcW w:w="1040" w:type="dxa"/>
            <w:vAlign w:val="bottom"/>
            <w:gridSpan w:val="2"/>
          </w:tcPr>
          <w:p>
            <w:pPr>
              <w:spacing w:after="0" w:line="183" w:lineRule="exact"/>
              <w:rPr>
                <w:sz w:val="20"/>
                <w:szCs w:val="20"/>
                <w:color w:val="auto"/>
              </w:rPr>
            </w:pPr>
            <w:r>
              <w:rPr>
                <w:rFonts w:ascii="Arial" w:cs="Arial" w:eastAsia="Arial" w:hAnsi="Arial"/>
                <w:sz w:val="16"/>
                <w:szCs w:val="16"/>
                <w:b w:val="1"/>
                <w:bCs w:val="1"/>
                <w:i w:val="1"/>
                <w:iCs w:val="1"/>
                <w:color w:val="auto"/>
              </w:rPr>
              <w:t>Gas Utilities:</w:t>
            </w: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80" w:type="dxa"/>
            <w:vAlign w:val="bottom"/>
          </w:tcPr>
          <w:p>
            <w:pPr>
              <w:spacing w:after="0"/>
              <w:rPr>
                <w:sz w:val="15"/>
                <w:szCs w:val="15"/>
                <w:color w:val="auto"/>
              </w:rPr>
            </w:pPr>
          </w:p>
        </w:tc>
      </w:tr>
      <w:tr>
        <w:trPr>
          <w:trHeight w:val="61"/>
        </w:trPr>
        <w:tc>
          <w:tcPr>
            <w:tcW w:w="40" w:type="dxa"/>
            <w:vAlign w:val="bottom"/>
          </w:tcPr>
          <w:p>
            <w:pPr>
              <w:spacing w:after="0"/>
              <w:rPr>
                <w:sz w:val="5"/>
                <w:szCs w:val="5"/>
                <w:color w:val="auto"/>
              </w:rPr>
            </w:pPr>
          </w:p>
        </w:tc>
        <w:tc>
          <w:tcPr>
            <w:tcW w:w="880" w:type="dxa"/>
            <w:vAlign w:val="bottom"/>
            <w:tcBorders>
              <w:top w:val="single" w:sz="8" w:color="auto"/>
            </w:tcBorders>
          </w:tcPr>
          <w:p>
            <w:pPr>
              <w:spacing w:after="0"/>
              <w:rPr>
                <w:sz w:val="5"/>
                <w:szCs w:val="5"/>
                <w:color w:val="auto"/>
              </w:rPr>
            </w:pPr>
          </w:p>
        </w:tc>
        <w:tc>
          <w:tcPr>
            <w:tcW w:w="160" w:type="dxa"/>
            <w:vAlign w:val="bottom"/>
          </w:tcPr>
          <w:p>
            <w:pPr>
              <w:spacing w:after="0"/>
              <w:rPr>
                <w:sz w:val="5"/>
                <w:szCs w:val="5"/>
                <w:color w:val="auto"/>
              </w:rPr>
            </w:pPr>
          </w:p>
        </w:tc>
        <w:tc>
          <w:tcPr>
            <w:tcW w:w="8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9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180" w:type="dxa"/>
            <w:vAlign w:val="bottom"/>
          </w:tcPr>
          <w:p>
            <w:pPr>
              <w:spacing w:after="0"/>
              <w:rPr>
                <w:sz w:val="5"/>
                <w:szCs w:val="5"/>
                <w:color w:val="auto"/>
              </w:rPr>
            </w:pPr>
          </w:p>
        </w:tc>
      </w:tr>
      <w:tr>
        <w:trPr>
          <w:trHeight w:val="220"/>
        </w:trPr>
        <w:tc>
          <w:tcPr>
            <w:tcW w:w="40" w:type="dxa"/>
            <w:vAlign w:val="bottom"/>
            <w:tcBorders>
              <w:right w:val="single" w:sz="8" w:color="CEFFE7"/>
            </w:tcBorders>
          </w:tcPr>
          <w:p>
            <w:pPr>
              <w:spacing w:after="0"/>
              <w:rPr>
                <w:sz w:val="19"/>
                <w:szCs w:val="19"/>
                <w:color w:val="auto"/>
              </w:rPr>
            </w:pPr>
          </w:p>
        </w:tc>
        <w:tc>
          <w:tcPr>
            <w:tcW w:w="1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Arkansas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AR</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9.61%</w:t>
            </w:r>
          </w:p>
        </w:tc>
        <w:tc>
          <w:tcPr>
            <w:tcW w:w="92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6"/>
              </w:rPr>
              <w:t xml:space="preserve">6.82% </w:t>
            </w:r>
            <w:r>
              <w:rPr>
                <w:rFonts w:ascii="Arial" w:cs="Arial" w:eastAsia="Arial" w:hAnsi="Arial"/>
                <w:sz w:val="21"/>
                <w:szCs w:val="21"/>
                <w:color w:val="auto"/>
                <w:w w:val="86"/>
                <w:vertAlign w:val="superscript"/>
              </w:rPr>
              <w:t>(a)</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50.9%/49.1%</w:t>
            </w:r>
          </w:p>
        </w:tc>
        <w:tc>
          <w:tcPr>
            <w:tcW w:w="1200" w:type="dxa"/>
            <w:vAlign w:val="bottom"/>
            <w:shd w:val="clear" w:color="auto" w:fill="CEFFE7"/>
          </w:tcPr>
          <w:p>
            <w:pPr>
              <w:jc w:val="center"/>
              <w:spacing w:after="0" w:line="220" w:lineRule="exact"/>
              <w:rPr>
                <w:sz w:val="20"/>
                <w:szCs w:val="20"/>
                <w:color w:val="auto"/>
              </w:rPr>
            </w:pPr>
            <w:r>
              <w:rPr>
                <w:rFonts w:ascii="Arial" w:cs="Arial" w:eastAsia="Arial" w:hAnsi="Arial"/>
                <w:sz w:val="16"/>
                <w:szCs w:val="16"/>
                <w:color w:val="auto"/>
                <w:w w:val="85"/>
              </w:rPr>
              <w:t xml:space="preserve">$451.5 </w:t>
            </w:r>
            <w:r>
              <w:rPr>
                <w:rFonts w:ascii="Arial" w:cs="Arial" w:eastAsia="Arial" w:hAnsi="Arial"/>
                <w:sz w:val="21"/>
                <w:szCs w:val="21"/>
                <w:color w:val="auto"/>
                <w:w w:val="85"/>
                <w:vertAlign w:val="superscript"/>
              </w:rPr>
              <w:t>(b)</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10/2018</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4"/>
              </w:rPr>
              <w:t>GCA, Main Replacement Program, At-Risk Meter Relocation</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5"/>
              </w:rPr>
              <w:t>Program, Legislative or Regulatory Mandated Expenditures,</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Energy Efficiency, Weather Normalization Adjustment,</w:t>
            </w:r>
          </w:p>
        </w:tc>
      </w:tr>
      <w:tr>
        <w:trPr>
          <w:trHeight w:val="219"/>
        </w:trPr>
        <w:tc>
          <w:tcPr>
            <w:tcW w:w="40" w:type="dxa"/>
            <w:vAlign w:val="bottom"/>
            <w:tcBorders>
              <w:right w:val="single" w:sz="8" w:color="CEFFE7"/>
            </w:tcBorders>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Billing Determinant Adjustment</w:t>
            </w:r>
          </w:p>
        </w:tc>
      </w:tr>
      <w:tr>
        <w:trPr>
          <w:trHeight w:val="224"/>
        </w:trPr>
        <w:tc>
          <w:tcPr>
            <w:tcW w:w="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Colorado Gas</w:t>
            </w:r>
          </w:p>
        </w:tc>
        <w:tc>
          <w:tcPr>
            <w:tcW w:w="840" w:type="dxa"/>
            <w:vAlign w:val="bottom"/>
          </w:tcPr>
          <w:p>
            <w:pPr>
              <w:ind w:left="10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8.41%</w:t>
            </w:r>
          </w:p>
        </w:tc>
        <w:tc>
          <w:tcPr>
            <w:tcW w:w="1300" w:type="dxa"/>
            <w:vAlign w:val="bottom"/>
          </w:tcPr>
          <w:p>
            <w:pPr>
              <w:jc w:val="center"/>
              <w:spacing w:after="0"/>
              <w:rPr>
                <w:sz w:val="20"/>
                <w:szCs w:val="20"/>
                <w:color w:val="auto"/>
              </w:rPr>
            </w:pPr>
            <w:r>
              <w:rPr>
                <w:rFonts w:ascii="Arial" w:cs="Arial" w:eastAsia="Arial" w:hAnsi="Arial"/>
                <w:sz w:val="16"/>
                <w:szCs w:val="16"/>
                <w:color w:val="auto"/>
                <w:w w:val="93"/>
              </w:rPr>
              <w:t>50%/50%</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$57.5</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12/2012</w:t>
            </w:r>
          </w:p>
        </w:tc>
        <w:tc>
          <w:tcPr>
            <w:tcW w:w="4180" w:type="dxa"/>
            <w:vAlign w:val="bottom"/>
          </w:tcPr>
          <w:p>
            <w:pPr>
              <w:ind w:left="100"/>
              <w:spacing w:after="0"/>
              <w:rPr>
                <w:sz w:val="20"/>
                <w:szCs w:val="20"/>
                <w:color w:val="auto"/>
              </w:rPr>
            </w:pPr>
            <w:r>
              <w:rPr>
                <w:rFonts w:ascii="Arial" w:cs="Arial" w:eastAsia="Arial" w:hAnsi="Arial"/>
                <w:sz w:val="16"/>
                <w:szCs w:val="16"/>
                <w:color w:val="auto"/>
              </w:rPr>
              <w:t>GCA, Energy Efficiency Cost Recovery/DSM</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40" w:type="dxa"/>
            <w:vAlign w:val="bottom"/>
            <w:tcBorders>
              <w:right w:val="single" w:sz="8" w:color="CEFFE7"/>
            </w:tcBorders>
          </w:tcPr>
          <w:p>
            <w:pPr>
              <w:spacing w:after="0"/>
              <w:rPr>
                <w:sz w:val="19"/>
                <w:szCs w:val="19"/>
                <w:color w:val="auto"/>
              </w:rPr>
            </w:pPr>
          </w:p>
        </w:tc>
        <w:tc>
          <w:tcPr>
            <w:tcW w:w="1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Colorado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CO</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10.0%</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8.02%</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49.52%/ 50.48%</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$127.1</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12/2010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Energy Efficiency Cost Recovery/DSM</w:t>
            </w:r>
          </w:p>
        </w:tc>
      </w:tr>
      <w:tr>
        <w:trPr>
          <w:trHeight w:val="219"/>
        </w:trPr>
        <w:tc>
          <w:tcPr>
            <w:tcW w:w="40" w:type="dxa"/>
            <w:vAlign w:val="bottom"/>
            <w:tcBorders>
              <w:right w:val="single" w:sz="8" w:color="CEFFE7"/>
            </w:tcBorders>
          </w:tcPr>
          <w:p>
            <w:pPr>
              <w:spacing w:after="0"/>
              <w:rPr>
                <w:sz w:val="19"/>
                <w:szCs w:val="19"/>
                <w:color w:val="auto"/>
              </w:rPr>
            </w:pPr>
          </w:p>
        </w:tc>
        <w:tc>
          <w:tcPr>
            <w:tcW w:w="1040" w:type="dxa"/>
            <w:vAlign w:val="bottom"/>
            <w:tcBorders>
              <w:bottom w:val="single" w:sz="8" w:color="CEFFE7"/>
            </w:tcBorders>
            <w:gridSpan w:val="2"/>
            <w:shd w:val="clear" w:color="auto" w:fill="CEFFE7"/>
          </w:tcPr>
          <w:p>
            <w:pPr>
              <w:spacing w:after="0"/>
              <w:rPr>
                <w:sz w:val="20"/>
                <w:szCs w:val="20"/>
                <w:color w:val="auto"/>
              </w:rPr>
            </w:pPr>
            <w:r>
              <w:rPr>
                <w:rFonts w:ascii="Arial" w:cs="Arial" w:eastAsia="Arial" w:hAnsi="Arial"/>
                <w:sz w:val="16"/>
                <w:szCs w:val="16"/>
                <w:color w:val="auto"/>
              </w:rPr>
              <w:t>Dist.</w:t>
            </w: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RMNG</w:t>
            </w:r>
          </w:p>
        </w:tc>
        <w:tc>
          <w:tcPr>
            <w:tcW w:w="840" w:type="dxa"/>
            <w:vAlign w:val="bottom"/>
          </w:tcPr>
          <w:p>
            <w:pPr>
              <w:ind w:left="100"/>
              <w:spacing w:after="0"/>
              <w:rPr>
                <w:sz w:val="20"/>
                <w:szCs w:val="20"/>
                <w:color w:val="auto"/>
              </w:rPr>
            </w:pPr>
            <w:r>
              <w:rPr>
                <w:rFonts w:ascii="Arial" w:cs="Arial" w:eastAsia="Arial" w:hAnsi="Arial"/>
                <w:sz w:val="16"/>
                <w:szCs w:val="16"/>
                <w:color w:val="auto"/>
              </w:rPr>
              <w:t>CO</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9.9%</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6.71%</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53.37%/ 46.63%</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$118.7</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6/2018</w:t>
            </w:r>
          </w:p>
        </w:tc>
        <w:tc>
          <w:tcPr>
            <w:tcW w:w="4180" w:type="dxa"/>
            <w:vAlign w:val="bottom"/>
          </w:tcPr>
          <w:p>
            <w:pPr>
              <w:ind w:left="100"/>
              <w:spacing w:after="0"/>
              <w:rPr>
                <w:sz w:val="20"/>
                <w:szCs w:val="20"/>
                <w:color w:val="auto"/>
              </w:rPr>
            </w:pPr>
            <w:r>
              <w:rPr>
                <w:rFonts w:ascii="Arial" w:cs="Arial" w:eastAsia="Arial" w:hAnsi="Arial"/>
                <w:sz w:val="16"/>
                <w:szCs w:val="16"/>
                <w:color w:val="auto"/>
              </w:rPr>
              <w:t>System Safety Integrity Rider, Liquids/Off-system/Market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Center Services Revenue Sharing</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40" w:type="dxa"/>
            <w:vAlign w:val="bottom"/>
            <w:tcBorders>
              <w:right w:val="single" w:sz="8" w:color="CEFFE7"/>
            </w:tcBorders>
          </w:tcPr>
          <w:p>
            <w:pPr>
              <w:spacing w:after="0"/>
              <w:rPr>
                <w:sz w:val="19"/>
                <w:szCs w:val="19"/>
                <w:color w:val="auto"/>
              </w:rPr>
            </w:pPr>
          </w:p>
        </w:tc>
        <w:tc>
          <w:tcPr>
            <w:tcW w:w="1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Iowa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IA</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$109.2</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2/2011</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Energy Efficiency Cost Recovery, Capital</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6"/>
              </w:rPr>
              <w:t>Infrastructure Automatic Adjustment Mechanism, Farm Tap</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Tracker Adjustment, Gas Supply Optimization revenue</w:t>
            </w:r>
          </w:p>
        </w:tc>
      </w:tr>
      <w:tr>
        <w:trPr>
          <w:trHeight w:val="219"/>
        </w:trPr>
        <w:tc>
          <w:tcPr>
            <w:tcW w:w="40" w:type="dxa"/>
            <w:vAlign w:val="bottom"/>
            <w:tcBorders>
              <w:right w:val="single" w:sz="8" w:color="CEFFE7"/>
            </w:tcBorders>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sharing</w:t>
            </w:r>
          </w:p>
        </w:tc>
      </w:tr>
      <w:tr>
        <w:trPr>
          <w:trHeight w:val="220"/>
        </w:trPr>
        <w:tc>
          <w:tcPr>
            <w:tcW w:w="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Kansas Gas</w:t>
            </w:r>
          </w:p>
        </w:tc>
        <w:tc>
          <w:tcPr>
            <w:tcW w:w="840" w:type="dxa"/>
            <w:vAlign w:val="bottom"/>
          </w:tcPr>
          <w:p>
            <w:pPr>
              <w:ind w:left="100"/>
              <w:spacing w:after="0"/>
              <w:rPr>
                <w:sz w:val="20"/>
                <w:szCs w:val="20"/>
                <w:color w:val="auto"/>
              </w:rPr>
            </w:pPr>
            <w:r>
              <w:rPr>
                <w:rFonts w:ascii="Arial" w:cs="Arial" w:eastAsia="Arial" w:hAnsi="Arial"/>
                <w:sz w:val="16"/>
                <w:szCs w:val="16"/>
                <w:color w:val="auto"/>
              </w:rPr>
              <w:t>KS</w:t>
            </w:r>
          </w:p>
        </w:tc>
        <w:tc>
          <w:tcPr>
            <w:tcW w:w="114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920" w:type="dxa"/>
            <w:vAlign w:val="bottom"/>
          </w:tcPr>
          <w:p>
            <w:pPr>
              <w:jc w:val="center"/>
              <w:spacing w:after="0"/>
              <w:rPr>
                <w:sz w:val="20"/>
                <w:szCs w:val="20"/>
                <w:color w:val="auto"/>
              </w:rPr>
            </w:pPr>
            <w:r>
              <w:rPr>
                <w:rFonts w:ascii="Arial" w:cs="Arial" w:eastAsia="Arial" w:hAnsi="Arial"/>
                <w:sz w:val="16"/>
                <w:szCs w:val="16"/>
                <w:color w:val="auto"/>
                <w:w w:val="95"/>
              </w:rPr>
              <w:t>Global</w:t>
            </w: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Global Settlement</w:t>
            </w:r>
          </w:p>
        </w:tc>
        <w:tc>
          <w:tcPr>
            <w:tcW w:w="1200" w:type="dxa"/>
            <w:vAlign w:val="bottom"/>
          </w:tcPr>
          <w:p>
            <w:pPr>
              <w:jc w:val="center"/>
              <w:spacing w:after="0"/>
              <w:rPr>
                <w:sz w:val="20"/>
                <w:szCs w:val="20"/>
                <w:color w:val="auto"/>
              </w:rPr>
            </w:pPr>
            <w:r>
              <w:rPr>
                <w:rFonts w:ascii="Arial" w:cs="Arial" w:eastAsia="Arial" w:hAnsi="Arial"/>
                <w:sz w:val="16"/>
                <w:szCs w:val="16"/>
                <w:color w:val="auto"/>
                <w:w w:val="89"/>
              </w:rPr>
              <w:t>$127.9</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1/2015</w:t>
            </w:r>
          </w:p>
        </w:tc>
        <w:tc>
          <w:tcPr>
            <w:tcW w:w="4180" w:type="dxa"/>
            <w:vAlign w:val="bottom"/>
          </w:tcPr>
          <w:p>
            <w:pPr>
              <w:ind w:left="100"/>
              <w:spacing w:after="0"/>
              <w:rPr>
                <w:sz w:val="20"/>
                <w:szCs w:val="20"/>
                <w:color w:val="auto"/>
              </w:rPr>
            </w:pPr>
            <w:r>
              <w:rPr>
                <w:rFonts w:ascii="Arial" w:cs="Arial" w:eastAsia="Arial" w:hAnsi="Arial"/>
                <w:sz w:val="16"/>
                <w:szCs w:val="16"/>
                <w:color w:val="auto"/>
                <w:w w:val="97"/>
              </w:rPr>
              <w:t>GCA, Weather Normalization Tariff, Gas System Reliability</w:t>
            </w:r>
          </w:p>
        </w:tc>
      </w:tr>
      <w:tr>
        <w:trPr>
          <w:trHeight w:val="203"/>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jc w:val="center"/>
              <w:spacing w:after="0"/>
              <w:rPr>
                <w:sz w:val="20"/>
                <w:szCs w:val="20"/>
                <w:color w:val="auto"/>
              </w:rPr>
            </w:pPr>
            <w:r>
              <w:rPr>
                <w:rFonts w:ascii="Arial" w:cs="Arial" w:eastAsia="Arial" w:hAnsi="Arial"/>
                <w:sz w:val="16"/>
                <w:szCs w:val="16"/>
                <w:color w:val="auto"/>
                <w:w w:val="91"/>
              </w:rPr>
              <w:t>Settlement</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Settlement</w:t>
            </w: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w w:val="99"/>
              </w:rPr>
              <w:t>Surcharge, Ad Valorem Tax Surcharge, Cost of Bad Debt</w:t>
            </w:r>
          </w:p>
        </w:tc>
      </w:tr>
      <w:tr>
        <w:trPr>
          <w:trHeight w:val="206"/>
        </w:trPr>
        <w:tc>
          <w:tcPr>
            <w:tcW w:w="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Collected through GCA, Pension Levelized Adjustment</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40" w:type="dxa"/>
            <w:vAlign w:val="bottom"/>
            <w:tcBorders>
              <w:right w:val="single" w:sz="8" w:color="CEFFE7"/>
            </w:tcBorders>
          </w:tcPr>
          <w:p>
            <w:pPr>
              <w:spacing w:after="0"/>
              <w:rPr>
                <w:sz w:val="19"/>
                <w:szCs w:val="19"/>
                <w:color w:val="auto"/>
              </w:rPr>
            </w:pPr>
          </w:p>
        </w:tc>
        <w:tc>
          <w:tcPr>
            <w:tcW w:w="1040" w:type="dxa"/>
            <w:vAlign w:val="bottom"/>
            <w:gridSpan w:val="2"/>
            <w:shd w:val="clear" w:color="auto" w:fill="CEFFE7"/>
          </w:tcPr>
          <w:p>
            <w:pPr>
              <w:spacing w:after="0"/>
              <w:rPr>
                <w:sz w:val="20"/>
                <w:szCs w:val="20"/>
                <w:color w:val="auto"/>
              </w:rPr>
            </w:pPr>
            <w:r>
              <w:rPr>
                <w:rFonts w:ascii="Arial" w:cs="Arial" w:eastAsia="Arial" w:hAnsi="Arial"/>
                <w:sz w:val="16"/>
                <w:szCs w:val="16"/>
                <w:color w:val="auto"/>
                <w:w w:val="99"/>
              </w:rPr>
              <w:t>Nebraska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NE</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10.1%</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8"/>
              </w:rPr>
              <w:t>9.11%</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48%/52%</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$161.0</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9/2010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rPr>
              <w:t>GCA, Cost of Bad Debt Collected through GCA,</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1"/>
              </w:rPr>
              <w:t>Infrastructure System Replacement Cost Recovery Surcharge,</w:t>
            </w:r>
          </w:p>
        </w:tc>
      </w:tr>
      <w:tr>
        <w:trPr>
          <w:trHeight w:val="219"/>
        </w:trPr>
        <w:tc>
          <w:tcPr>
            <w:tcW w:w="40" w:type="dxa"/>
            <w:vAlign w:val="bottom"/>
            <w:tcBorders>
              <w:right w:val="single" w:sz="8" w:color="CEFFE7"/>
            </w:tcBorders>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Farm Tap Recovery Mechanism</w:t>
            </w:r>
          </w:p>
        </w:tc>
      </w:tr>
      <w:tr>
        <w:trPr>
          <w:trHeight w:val="220"/>
        </w:trPr>
        <w:tc>
          <w:tcPr>
            <w:tcW w:w="40" w:type="dxa"/>
            <w:vAlign w:val="bottom"/>
          </w:tcPr>
          <w:p>
            <w:pPr>
              <w:spacing w:after="0"/>
              <w:rPr>
                <w:sz w:val="19"/>
                <w:szCs w:val="19"/>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w w:val="99"/>
              </w:rPr>
              <w:t>Nebraska Gas</w:t>
            </w:r>
          </w:p>
        </w:tc>
        <w:tc>
          <w:tcPr>
            <w:tcW w:w="840" w:type="dxa"/>
            <w:vAlign w:val="bottom"/>
          </w:tcPr>
          <w:p>
            <w:pPr>
              <w:ind w:left="100"/>
              <w:spacing w:after="0"/>
              <w:rPr>
                <w:sz w:val="20"/>
                <w:szCs w:val="20"/>
                <w:color w:val="auto"/>
              </w:rPr>
            </w:pPr>
            <w:r>
              <w:rPr>
                <w:rFonts w:ascii="Arial" w:cs="Arial" w:eastAsia="Arial" w:hAnsi="Arial"/>
                <w:sz w:val="16"/>
                <w:szCs w:val="16"/>
                <w:color w:val="auto"/>
              </w:rPr>
              <w:t>NE</w:t>
            </w:r>
          </w:p>
        </w:tc>
        <w:tc>
          <w:tcPr>
            <w:tcW w:w="1140" w:type="dxa"/>
            <w:vAlign w:val="bottom"/>
          </w:tcPr>
          <w:p>
            <w:pPr>
              <w:jc w:val="center"/>
              <w:spacing w:after="0"/>
              <w:rPr>
                <w:sz w:val="20"/>
                <w:szCs w:val="20"/>
                <w:color w:val="auto"/>
              </w:rPr>
            </w:pPr>
            <w:r>
              <w:rPr>
                <w:rFonts w:ascii="Arial" w:cs="Arial" w:eastAsia="Arial" w:hAnsi="Arial"/>
                <w:sz w:val="16"/>
                <w:szCs w:val="16"/>
                <w:color w:val="auto"/>
                <w:w w:val="93"/>
              </w:rPr>
              <w:t>9.6%</w:t>
            </w:r>
          </w:p>
        </w:tc>
        <w:tc>
          <w:tcPr>
            <w:tcW w:w="920" w:type="dxa"/>
            <w:vAlign w:val="bottom"/>
          </w:tcPr>
          <w:p>
            <w:pPr>
              <w:jc w:val="center"/>
              <w:spacing w:after="0"/>
              <w:rPr>
                <w:sz w:val="20"/>
                <w:szCs w:val="20"/>
                <w:color w:val="auto"/>
              </w:rPr>
            </w:pPr>
            <w:r>
              <w:rPr>
                <w:rFonts w:ascii="Arial" w:cs="Arial" w:eastAsia="Arial" w:hAnsi="Arial"/>
                <w:sz w:val="16"/>
                <w:szCs w:val="16"/>
                <w:color w:val="auto"/>
                <w:w w:val="88"/>
              </w:rPr>
              <w:t>7.67%</w:t>
            </w:r>
          </w:p>
        </w:tc>
        <w:tc>
          <w:tcPr>
            <w:tcW w:w="1300" w:type="dxa"/>
            <w:vAlign w:val="bottom"/>
          </w:tcPr>
          <w:p>
            <w:pPr>
              <w:jc w:val="center"/>
              <w:spacing w:after="0"/>
              <w:rPr>
                <w:sz w:val="20"/>
                <w:szCs w:val="20"/>
                <w:color w:val="auto"/>
              </w:rPr>
            </w:pPr>
            <w:r>
              <w:rPr>
                <w:rFonts w:ascii="Arial" w:cs="Arial" w:eastAsia="Arial" w:hAnsi="Arial"/>
                <w:sz w:val="16"/>
                <w:szCs w:val="16"/>
                <w:color w:val="auto"/>
                <w:w w:val="91"/>
              </w:rPr>
              <w:t>48.84%/</w:t>
            </w:r>
          </w:p>
        </w:tc>
        <w:tc>
          <w:tcPr>
            <w:tcW w:w="1200" w:type="dxa"/>
            <w:vAlign w:val="bottom"/>
          </w:tcPr>
          <w:p>
            <w:pPr>
              <w:jc w:val="center"/>
              <w:spacing w:after="0" w:line="220" w:lineRule="exact"/>
              <w:rPr>
                <w:sz w:val="20"/>
                <w:szCs w:val="20"/>
                <w:color w:val="auto"/>
              </w:rPr>
            </w:pPr>
            <w:r>
              <w:rPr>
                <w:rFonts w:ascii="Arial" w:cs="Arial" w:eastAsia="Arial" w:hAnsi="Arial"/>
                <w:sz w:val="16"/>
                <w:szCs w:val="16"/>
                <w:color w:val="auto"/>
                <w:w w:val="87"/>
              </w:rPr>
              <w:t xml:space="preserve">$87.6/ $69.8 </w:t>
            </w:r>
            <w:r>
              <w:rPr>
                <w:rFonts w:ascii="Arial" w:cs="Arial" w:eastAsia="Arial" w:hAnsi="Arial"/>
                <w:sz w:val="21"/>
                <w:szCs w:val="21"/>
                <w:color w:val="auto"/>
                <w:w w:val="87"/>
                <w:vertAlign w:val="superscript"/>
              </w:rPr>
              <w:t>(c)</w:t>
            </w:r>
          </w:p>
        </w:tc>
        <w:tc>
          <w:tcPr>
            <w:tcW w:w="760" w:type="dxa"/>
            <w:vAlign w:val="bottom"/>
          </w:tcPr>
          <w:p>
            <w:pPr>
              <w:jc w:val="center"/>
              <w:spacing w:after="0"/>
              <w:rPr>
                <w:sz w:val="20"/>
                <w:szCs w:val="20"/>
                <w:color w:val="auto"/>
              </w:rPr>
            </w:pPr>
            <w:r>
              <w:rPr>
                <w:rFonts w:ascii="Arial" w:cs="Arial" w:eastAsia="Arial" w:hAnsi="Arial"/>
                <w:sz w:val="16"/>
                <w:szCs w:val="16"/>
                <w:color w:val="auto"/>
                <w:w w:val="89"/>
              </w:rPr>
              <w:t>6/2012</w:t>
            </w:r>
          </w:p>
        </w:tc>
        <w:tc>
          <w:tcPr>
            <w:tcW w:w="4180" w:type="dxa"/>
            <w:vAlign w:val="bottom"/>
          </w:tcPr>
          <w:p>
            <w:pPr>
              <w:ind w:left="100"/>
              <w:spacing w:after="0"/>
              <w:rPr>
                <w:sz w:val="20"/>
                <w:szCs w:val="20"/>
                <w:color w:val="auto"/>
              </w:rPr>
            </w:pPr>
            <w:r>
              <w:rPr>
                <w:rFonts w:ascii="Arial" w:cs="Arial" w:eastAsia="Arial" w:hAnsi="Arial"/>
                <w:sz w:val="16"/>
                <w:szCs w:val="16"/>
                <w:color w:val="auto"/>
                <w:w w:val="93"/>
              </w:rPr>
              <w:t>Choice Gas Program, System Safety and Integrity Rider, Bad</w:t>
            </w:r>
          </w:p>
        </w:tc>
      </w:tr>
      <w:tr>
        <w:trPr>
          <w:trHeight w:val="206"/>
        </w:trPr>
        <w:tc>
          <w:tcPr>
            <w:tcW w:w="40" w:type="dxa"/>
            <w:vAlign w:val="bottom"/>
          </w:tcPr>
          <w:p>
            <w:pPr>
              <w:spacing w:after="0"/>
              <w:rPr>
                <w:sz w:val="17"/>
                <w:szCs w:val="17"/>
                <w:color w:val="auto"/>
              </w:rPr>
            </w:pPr>
          </w:p>
        </w:tc>
        <w:tc>
          <w:tcPr>
            <w:tcW w:w="1040" w:type="dxa"/>
            <w:vAlign w:val="bottom"/>
            <w:gridSpan w:val="2"/>
          </w:tcPr>
          <w:p>
            <w:pPr>
              <w:spacing w:after="0"/>
              <w:rPr>
                <w:sz w:val="20"/>
                <w:szCs w:val="20"/>
                <w:color w:val="auto"/>
              </w:rPr>
            </w:pPr>
            <w:r>
              <w:rPr>
                <w:rFonts w:ascii="Arial" w:cs="Arial" w:eastAsia="Arial" w:hAnsi="Arial"/>
                <w:sz w:val="16"/>
                <w:szCs w:val="16"/>
                <w:color w:val="auto"/>
              </w:rPr>
              <w:t>Dist.</w:t>
            </w:r>
          </w:p>
        </w:tc>
        <w:tc>
          <w:tcPr>
            <w:tcW w:w="8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300" w:type="dxa"/>
            <w:vAlign w:val="bottom"/>
          </w:tcPr>
          <w:p>
            <w:pPr>
              <w:jc w:val="center"/>
              <w:spacing w:after="0"/>
              <w:rPr>
                <w:sz w:val="20"/>
                <w:szCs w:val="20"/>
                <w:color w:val="auto"/>
              </w:rPr>
            </w:pPr>
            <w:r>
              <w:rPr>
                <w:rFonts w:ascii="Arial" w:cs="Arial" w:eastAsia="Arial" w:hAnsi="Arial"/>
                <w:sz w:val="16"/>
                <w:szCs w:val="16"/>
                <w:color w:val="auto"/>
                <w:w w:val="92"/>
              </w:rPr>
              <w:t>51.16%</w:t>
            </w:r>
          </w:p>
        </w:tc>
        <w:tc>
          <w:tcPr>
            <w:tcW w:w="1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4180" w:type="dxa"/>
            <w:vAlign w:val="bottom"/>
          </w:tcPr>
          <w:p>
            <w:pPr>
              <w:ind w:left="100"/>
              <w:spacing w:after="0"/>
              <w:rPr>
                <w:sz w:val="20"/>
                <w:szCs w:val="20"/>
                <w:color w:val="auto"/>
              </w:rPr>
            </w:pPr>
            <w:r>
              <w:rPr>
                <w:rFonts w:ascii="Arial" w:cs="Arial" w:eastAsia="Arial" w:hAnsi="Arial"/>
                <w:sz w:val="16"/>
                <w:szCs w:val="16"/>
                <w:color w:val="auto"/>
              </w:rPr>
              <w:t>Debt expense recovered through Choice Supplier Fee</w:t>
            </w:r>
          </w:p>
        </w:tc>
      </w:tr>
      <w:tr>
        <w:trPr>
          <w:trHeight w:val="33"/>
        </w:trPr>
        <w:tc>
          <w:tcPr>
            <w:tcW w:w="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4180" w:type="dxa"/>
            <w:vAlign w:val="bottom"/>
          </w:tcPr>
          <w:p>
            <w:pPr>
              <w:spacing w:after="0"/>
              <w:rPr>
                <w:sz w:val="2"/>
                <w:szCs w:val="2"/>
                <w:color w:val="auto"/>
              </w:rPr>
            </w:pPr>
          </w:p>
        </w:tc>
      </w:tr>
      <w:tr>
        <w:trPr>
          <w:trHeight w:val="220"/>
        </w:trPr>
        <w:tc>
          <w:tcPr>
            <w:tcW w:w="40" w:type="dxa"/>
            <w:vAlign w:val="bottom"/>
            <w:tcBorders>
              <w:right w:val="single" w:sz="8" w:color="CEFFE7"/>
            </w:tcBorders>
          </w:tcPr>
          <w:p>
            <w:pPr>
              <w:spacing w:after="0"/>
              <w:rPr>
                <w:sz w:val="19"/>
                <w:szCs w:val="19"/>
                <w:color w:val="auto"/>
              </w:rPr>
            </w:pPr>
          </w:p>
        </w:tc>
        <w:tc>
          <w:tcPr>
            <w:tcW w:w="1040" w:type="dxa"/>
            <w:vAlign w:val="bottom"/>
            <w:gridSpan w:val="2"/>
            <w:shd w:val="clear" w:color="auto" w:fill="CEFFE7"/>
          </w:tcPr>
          <w:p>
            <w:pPr>
              <w:spacing w:after="0"/>
              <w:rPr>
                <w:sz w:val="20"/>
                <w:szCs w:val="20"/>
                <w:color w:val="auto"/>
              </w:rPr>
            </w:pPr>
            <w:r>
              <w:rPr>
                <w:rFonts w:ascii="Arial" w:cs="Arial" w:eastAsia="Arial" w:hAnsi="Arial"/>
                <w:sz w:val="16"/>
                <w:szCs w:val="16"/>
                <w:color w:val="auto"/>
              </w:rPr>
              <w:t>Wyoming Gas</w:t>
            </w:r>
          </w:p>
        </w:tc>
        <w:tc>
          <w:tcPr>
            <w:tcW w:w="840" w:type="dxa"/>
            <w:vAlign w:val="bottom"/>
            <w:shd w:val="clear" w:color="auto" w:fill="CEFFE7"/>
          </w:tcPr>
          <w:p>
            <w:pPr>
              <w:ind w:left="100"/>
              <w:spacing w:after="0"/>
              <w:rPr>
                <w:sz w:val="20"/>
                <w:szCs w:val="20"/>
                <w:color w:val="auto"/>
              </w:rPr>
            </w:pPr>
            <w:r>
              <w:rPr>
                <w:rFonts w:ascii="Arial" w:cs="Arial" w:eastAsia="Arial" w:hAnsi="Arial"/>
                <w:sz w:val="16"/>
                <w:szCs w:val="16"/>
                <w:color w:val="auto"/>
              </w:rPr>
              <w:t>WY</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3"/>
              </w:rPr>
              <w:t>9.4%</w:t>
            </w:r>
          </w:p>
        </w:tc>
        <w:tc>
          <w:tcPr>
            <w:tcW w:w="92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6.98</w:t>
            </w:r>
          </w:p>
        </w:tc>
        <w:tc>
          <w:tcPr>
            <w:tcW w:w="13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92"/>
              </w:rPr>
              <w:t>49.77%/50.23%</w:t>
            </w:r>
          </w:p>
        </w:tc>
        <w:tc>
          <w:tcPr>
            <w:tcW w:w="120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$354.4</w:t>
            </w:r>
          </w:p>
        </w:tc>
        <w:tc>
          <w:tcPr>
            <w:tcW w:w="76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3/2020</w:t>
            </w: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3"/>
              </w:rPr>
              <w:t>GCA, Energy Efficiency Cost Recovery, Rate Base Recovery</w:t>
            </w:r>
          </w:p>
        </w:tc>
      </w:tr>
      <w:tr>
        <w:trPr>
          <w:trHeight w:val="203"/>
        </w:trPr>
        <w:tc>
          <w:tcPr>
            <w:tcW w:w="40" w:type="dxa"/>
            <w:vAlign w:val="bottom"/>
            <w:tcBorders>
              <w:right w:val="single" w:sz="8" w:color="CEFFE7"/>
            </w:tcBorders>
          </w:tcPr>
          <w:p>
            <w:pPr>
              <w:spacing w:after="0"/>
              <w:rPr>
                <w:sz w:val="17"/>
                <w:szCs w:val="17"/>
                <w:color w:val="auto"/>
              </w:rPr>
            </w:pPr>
          </w:p>
        </w:tc>
        <w:tc>
          <w:tcPr>
            <w:tcW w:w="880" w:type="dxa"/>
            <w:vAlign w:val="bottom"/>
            <w:shd w:val="clear" w:color="auto" w:fill="CEFFE7"/>
          </w:tcPr>
          <w:p>
            <w:pPr>
              <w:spacing w:after="0"/>
              <w:rPr>
                <w:sz w:val="17"/>
                <w:szCs w:val="17"/>
                <w:color w:val="auto"/>
              </w:rPr>
            </w:pPr>
          </w:p>
        </w:tc>
        <w:tc>
          <w:tcPr>
            <w:tcW w:w="16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920" w:type="dxa"/>
            <w:vAlign w:val="bottom"/>
            <w:shd w:val="clear" w:color="auto" w:fill="CEFFE7"/>
          </w:tcPr>
          <w:p>
            <w:pPr>
              <w:spacing w:after="0"/>
              <w:rPr>
                <w:sz w:val="17"/>
                <w:szCs w:val="17"/>
                <w:color w:val="auto"/>
              </w:rPr>
            </w:pPr>
          </w:p>
        </w:tc>
        <w:tc>
          <w:tcPr>
            <w:tcW w:w="1300" w:type="dxa"/>
            <w:vAlign w:val="bottom"/>
            <w:shd w:val="clear" w:color="auto" w:fill="CEFFE7"/>
          </w:tcPr>
          <w:p>
            <w:pPr>
              <w:spacing w:after="0"/>
              <w:rPr>
                <w:sz w:val="17"/>
                <w:szCs w:val="17"/>
                <w:color w:val="auto"/>
              </w:rPr>
            </w:pPr>
          </w:p>
        </w:tc>
        <w:tc>
          <w:tcPr>
            <w:tcW w:w="120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4180" w:type="dxa"/>
            <w:vAlign w:val="bottom"/>
            <w:shd w:val="clear" w:color="auto" w:fill="CEFFE7"/>
          </w:tcPr>
          <w:p>
            <w:pPr>
              <w:ind w:left="100"/>
              <w:spacing w:after="0"/>
              <w:rPr>
                <w:sz w:val="20"/>
                <w:szCs w:val="20"/>
                <w:color w:val="auto"/>
              </w:rPr>
            </w:pPr>
            <w:r>
              <w:rPr>
                <w:rFonts w:ascii="Arial" w:cs="Arial" w:eastAsia="Arial" w:hAnsi="Arial"/>
                <w:sz w:val="16"/>
                <w:szCs w:val="16"/>
                <w:color w:val="auto"/>
                <w:w w:val="96"/>
              </w:rPr>
              <w:t>on Acquisition Adjustment, Wyoming Integrity Rider, Choice</w:t>
            </w:r>
          </w:p>
        </w:tc>
      </w:tr>
      <w:tr>
        <w:trPr>
          <w:trHeight w:val="219"/>
        </w:trPr>
        <w:tc>
          <w:tcPr>
            <w:tcW w:w="40" w:type="dxa"/>
            <w:vAlign w:val="bottom"/>
            <w:tcBorders>
              <w:right w:val="single" w:sz="8" w:color="CEFFE7"/>
            </w:tcBorders>
          </w:tcPr>
          <w:p>
            <w:pPr>
              <w:spacing w:after="0"/>
              <w:rPr>
                <w:sz w:val="19"/>
                <w:szCs w:val="19"/>
                <w:color w:val="auto"/>
              </w:rPr>
            </w:pPr>
          </w:p>
        </w:tc>
        <w:tc>
          <w:tcPr>
            <w:tcW w:w="880" w:type="dxa"/>
            <w:vAlign w:val="bottom"/>
            <w:tcBorders>
              <w:bottom w:val="single" w:sz="8" w:color="CEFFE7"/>
            </w:tcBorders>
            <w:shd w:val="clear" w:color="auto" w:fill="CEFFE7"/>
          </w:tcPr>
          <w:p>
            <w:pPr>
              <w:spacing w:after="0"/>
              <w:rPr>
                <w:sz w:val="19"/>
                <w:szCs w:val="19"/>
                <w:color w:val="auto"/>
              </w:rPr>
            </w:pPr>
          </w:p>
        </w:tc>
        <w:tc>
          <w:tcPr>
            <w:tcW w:w="16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spacing w:after="0"/>
              <w:rPr>
                <w:sz w:val="19"/>
                <w:szCs w:val="19"/>
                <w:color w:val="auto"/>
              </w:rPr>
            </w:pPr>
          </w:p>
        </w:tc>
        <w:tc>
          <w:tcPr>
            <w:tcW w:w="1140" w:type="dxa"/>
            <w:vAlign w:val="bottom"/>
            <w:tcBorders>
              <w:bottom w:val="single" w:sz="8" w:color="CEFFE7"/>
            </w:tcBorders>
            <w:shd w:val="clear" w:color="auto" w:fill="CEFFE7"/>
          </w:tcPr>
          <w:p>
            <w:pPr>
              <w:spacing w:after="0"/>
              <w:rPr>
                <w:sz w:val="19"/>
                <w:szCs w:val="19"/>
                <w:color w:val="auto"/>
              </w:rPr>
            </w:pPr>
          </w:p>
        </w:tc>
        <w:tc>
          <w:tcPr>
            <w:tcW w:w="920" w:type="dxa"/>
            <w:vAlign w:val="bottom"/>
            <w:tcBorders>
              <w:bottom w:val="single" w:sz="8" w:color="CEFFE7"/>
            </w:tcBorders>
            <w:shd w:val="clear" w:color="auto" w:fill="CEFFE7"/>
          </w:tcPr>
          <w:p>
            <w:pPr>
              <w:spacing w:after="0"/>
              <w:rPr>
                <w:sz w:val="19"/>
                <w:szCs w:val="19"/>
                <w:color w:val="auto"/>
              </w:rPr>
            </w:pPr>
          </w:p>
        </w:tc>
        <w:tc>
          <w:tcPr>
            <w:tcW w:w="1300" w:type="dxa"/>
            <w:vAlign w:val="bottom"/>
            <w:tcBorders>
              <w:bottom w:val="single" w:sz="8" w:color="CEFFE7"/>
            </w:tcBorders>
            <w:shd w:val="clear" w:color="auto" w:fill="CEFFE7"/>
          </w:tcPr>
          <w:p>
            <w:pPr>
              <w:spacing w:after="0"/>
              <w:rPr>
                <w:sz w:val="19"/>
                <w:szCs w:val="19"/>
                <w:color w:val="auto"/>
              </w:rPr>
            </w:pPr>
          </w:p>
        </w:tc>
        <w:tc>
          <w:tcPr>
            <w:tcW w:w="120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spacing w:after="0"/>
              <w:rPr>
                <w:sz w:val="19"/>
                <w:szCs w:val="19"/>
                <w:color w:val="auto"/>
              </w:rPr>
            </w:pPr>
          </w:p>
        </w:tc>
        <w:tc>
          <w:tcPr>
            <w:tcW w:w="41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6"/>
                <w:szCs w:val="16"/>
                <w:color w:val="auto"/>
              </w:rPr>
              <w:t>Gas Program</w:t>
            </w:r>
          </w:p>
        </w:tc>
      </w:tr>
      <w:tr>
        <w:trPr>
          <w:trHeight w:val="182"/>
        </w:trPr>
        <w:tc>
          <w:tcPr>
            <w:tcW w:w="40" w:type="dxa"/>
            <w:vAlign w:val="bottom"/>
          </w:tcPr>
          <w:p>
            <w:pPr>
              <w:spacing w:after="0"/>
              <w:rPr>
                <w:sz w:val="15"/>
                <w:szCs w:val="15"/>
                <w:color w:val="auto"/>
              </w:rPr>
            </w:pPr>
          </w:p>
        </w:tc>
        <w:tc>
          <w:tcPr>
            <w:tcW w:w="880" w:type="dxa"/>
            <w:vAlign w:val="bottom"/>
          </w:tcPr>
          <w:p>
            <w:pPr>
              <w:jc w:val="right"/>
              <w:ind w:right="19"/>
              <w:spacing w:after="0" w:line="182" w:lineRule="exact"/>
              <w:rPr>
                <w:sz w:val="20"/>
                <w:szCs w:val="20"/>
                <w:color w:val="auto"/>
              </w:rPr>
            </w:pPr>
            <w:r>
              <w:rPr>
                <w:rFonts w:ascii="Arial" w:cs="Arial" w:eastAsia="Arial" w:hAnsi="Arial"/>
                <w:sz w:val="16"/>
                <w:szCs w:val="16"/>
                <w:color w:val="auto"/>
                <w:w w:val="85"/>
              </w:rPr>
              <w:t>__________</w:t>
            </w: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180" w:type="dxa"/>
            <w:vAlign w:val="bottom"/>
          </w:tcPr>
          <w:p>
            <w:pPr>
              <w:spacing w:after="0"/>
              <w:rPr>
                <w:sz w:val="15"/>
                <w:szCs w:val="15"/>
                <w:color w:val="auto"/>
              </w:rPr>
            </w:pPr>
          </w:p>
        </w:tc>
      </w:tr>
    </w:tbl>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Arkansas Gas return on rate base is adjusted to remove current liabilities from rate review capital structure for comparison with other subsidiaries.</w:t>
      </w:r>
    </w:p>
    <w:p>
      <w:pPr>
        <w:spacing w:after="0" w:line="1" w:lineRule="exact"/>
        <w:rPr>
          <w:rFonts w:ascii="Arial" w:cs="Arial" w:eastAsia="Arial" w:hAnsi="Arial"/>
          <w:sz w:val="14"/>
          <w:szCs w:val="14"/>
          <w:color w:val="auto"/>
        </w:rPr>
      </w:pPr>
    </w:p>
    <w:p>
      <w:pPr>
        <w:ind w:left="340" w:hanging="332"/>
        <w:spacing w:after="0"/>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Arkansas Gas rate base is adjusted to include current liabilities for comparison with other subsidiaries.</w:t>
      </w:r>
    </w:p>
    <w:p>
      <w:pPr>
        <w:spacing w:after="0" w:line="1" w:lineRule="exact"/>
        <w:rPr>
          <w:rFonts w:ascii="Arial" w:cs="Arial" w:eastAsia="Arial" w:hAnsi="Arial"/>
          <w:sz w:val="14"/>
          <w:szCs w:val="14"/>
          <w:color w:val="auto"/>
        </w:rPr>
      </w:pPr>
    </w:p>
    <w:p>
      <w:pPr>
        <w:ind w:left="340" w:right="140" w:hanging="332"/>
        <w:spacing w:after="0" w:line="255" w:lineRule="auto"/>
        <w:tabs>
          <w:tab w:leader="none" w:pos="340" w:val="left"/>
        </w:tabs>
        <w:numPr>
          <w:ilvl w:val="0"/>
          <w:numId w:val="15"/>
        </w:numPr>
        <w:rPr>
          <w:rFonts w:ascii="Arial" w:cs="Arial" w:eastAsia="Arial" w:hAnsi="Arial"/>
          <w:sz w:val="14"/>
          <w:szCs w:val="14"/>
          <w:color w:val="auto"/>
        </w:rPr>
      </w:pPr>
      <w:r>
        <w:rPr>
          <w:rFonts w:ascii="Arial" w:cs="Arial" w:eastAsia="Arial" w:hAnsi="Arial"/>
          <w:sz w:val="14"/>
          <w:szCs w:val="14"/>
          <w:color w:val="auto"/>
        </w:rPr>
        <w:t>Total Nebraska Gas Distribution rate base of $87.6 million includes amounts allocated to serve non-jurisdictional customers. Jurisdictional Nebraska rate base totals $69.8 million and is used for calculation of jurisdictional base rates.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26" w:right="239" w:bottom="1440" w:gutter="0" w:footer="0" w:header="0"/>
        </w:sectPr>
      </w:pPr>
    </w:p>
    <w:bookmarkStart w:id="19" w:name="page20"/>
    <w:bookmarkEnd w:id="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380"/>
        <w:spacing w:after="0" w:line="308" w:lineRule="auto"/>
        <w:rPr>
          <w:sz w:val="20"/>
          <w:szCs w:val="20"/>
          <w:color w:val="auto"/>
        </w:rPr>
      </w:pPr>
      <w:r>
        <w:rPr>
          <w:rFonts w:ascii="Arial" w:cs="Arial" w:eastAsia="Arial" w:hAnsi="Arial"/>
          <w:sz w:val="17"/>
          <w:szCs w:val="17"/>
          <w:color w:val="auto"/>
        </w:rPr>
        <w:t>All of our Gas Utilities, except where the Choice Gas Program is the only option, have GCAs that allow us to pass the prudently-incurred cost of gas and certain services through to the customer between rate reviews. Some of the mechanisms we have in place include the following:</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780" w:type="dxa"/>
            <w:vAlign w:val="bottom"/>
            <w:gridSpan w:val="3"/>
          </w:tcPr>
          <w:p>
            <w:pPr>
              <w:jc w:val="center"/>
              <w:spacing w:after="0"/>
              <w:rPr>
                <w:sz w:val="20"/>
                <w:szCs w:val="20"/>
                <w:color w:val="auto"/>
              </w:rPr>
            </w:pPr>
            <w:r>
              <w:rPr>
                <w:rFonts w:ascii="Arial" w:cs="Arial" w:eastAsia="Arial" w:hAnsi="Arial"/>
                <w:sz w:val="18"/>
                <w:szCs w:val="18"/>
                <w:color w:val="auto"/>
                <w:w w:val="90"/>
              </w:rPr>
              <w:t>Cost Recovery Mechanisms</w:t>
            </w:r>
          </w:p>
        </w:tc>
        <w:tc>
          <w:tcPr>
            <w:tcW w:w="1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640" w:type="dxa"/>
            <w:vAlign w:val="bottom"/>
            <w:vMerge w:val="restart"/>
          </w:tcPr>
          <w:p>
            <w:pPr>
              <w:ind w:left="40"/>
              <w:spacing w:after="0"/>
              <w:rPr>
                <w:sz w:val="20"/>
                <w:szCs w:val="20"/>
                <w:color w:val="auto"/>
              </w:rPr>
            </w:pPr>
            <w:r>
              <w:rPr>
                <w:rFonts w:ascii="Arial" w:cs="Arial" w:eastAsia="Arial" w:hAnsi="Arial"/>
                <w:sz w:val="18"/>
                <w:szCs w:val="18"/>
                <w:color w:val="auto"/>
              </w:rPr>
              <w:t>Gas Utility Jurisdiction</w:t>
            </w: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300" w:type="dxa"/>
            <w:vAlign w:val="bottom"/>
          </w:tcPr>
          <w:p>
            <w:pPr>
              <w:jc w:val="center"/>
              <w:spacing w:after="0"/>
              <w:rPr>
                <w:sz w:val="20"/>
                <w:szCs w:val="20"/>
                <w:color w:val="auto"/>
              </w:rPr>
            </w:pPr>
            <w:r>
              <w:rPr>
                <w:rFonts w:ascii="Arial" w:cs="Arial" w:eastAsia="Arial" w:hAnsi="Arial"/>
                <w:sz w:val="18"/>
                <w:szCs w:val="18"/>
                <w:color w:val="auto"/>
              </w:rPr>
              <w:t>Billing</w:t>
            </w:r>
          </w:p>
        </w:tc>
        <w:tc>
          <w:tcPr>
            <w:tcW w:w="0" w:type="dxa"/>
            <w:vAlign w:val="bottom"/>
          </w:tcPr>
          <w:p>
            <w:pPr>
              <w:spacing w:after="0"/>
              <w:rPr>
                <w:sz w:val="1"/>
                <w:szCs w:val="1"/>
                <w:color w:val="auto"/>
              </w:rPr>
            </w:pPr>
          </w:p>
        </w:tc>
      </w:tr>
      <w:tr>
        <w:trPr>
          <w:trHeight w:val="82"/>
        </w:trPr>
        <w:tc>
          <w:tcPr>
            <w:tcW w:w="2640" w:type="dxa"/>
            <w:vAlign w:val="bottom"/>
            <w:vMerge w:val="continue"/>
          </w:tcPr>
          <w:p>
            <w:pPr>
              <w:spacing w:after="0"/>
              <w:rPr>
                <w:sz w:val="7"/>
                <w:szCs w:val="7"/>
                <w:color w:val="auto"/>
              </w:rPr>
            </w:pP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87"/>
              </w:rPr>
              <w:t>Energy</w:t>
            </w:r>
          </w:p>
        </w:tc>
        <w:tc>
          <w:tcPr>
            <w:tcW w:w="1260" w:type="dxa"/>
            <w:vAlign w:val="bottom"/>
            <w:vMerge w:val="restart"/>
          </w:tcPr>
          <w:p>
            <w:pPr>
              <w:jc w:val="center"/>
              <w:spacing w:after="0"/>
              <w:rPr>
                <w:sz w:val="20"/>
                <w:szCs w:val="20"/>
                <w:color w:val="auto"/>
              </w:rPr>
            </w:pPr>
            <w:r>
              <w:rPr>
                <w:rFonts w:ascii="Arial" w:cs="Arial" w:eastAsia="Arial" w:hAnsi="Arial"/>
                <w:sz w:val="18"/>
                <w:szCs w:val="18"/>
                <w:color w:val="auto"/>
                <w:w w:val="96"/>
              </w:rPr>
              <w:t>Integrity</w:t>
            </w:r>
          </w:p>
        </w:tc>
        <w:tc>
          <w:tcPr>
            <w:tcW w:w="1120" w:type="dxa"/>
            <w:vAlign w:val="bottom"/>
          </w:tcPr>
          <w:p>
            <w:pPr>
              <w:spacing w:after="0"/>
              <w:rPr>
                <w:sz w:val="7"/>
                <w:szCs w:val="7"/>
                <w:color w:val="auto"/>
              </w:rPr>
            </w:pPr>
          </w:p>
        </w:tc>
        <w:tc>
          <w:tcPr>
            <w:tcW w:w="1520" w:type="dxa"/>
            <w:vAlign w:val="bottom"/>
          </w:tcPr>
          <w:p>
            <w:pPr>
              <w:spacing w:after="0"/>
              <w:rPr>
                <w:sz w:val="7"/>
                <w:szCs w:val="7"/>
                <w:color w:val="auto"/>
              </w:rPr>
            </w:pPr>
          </w:p>
        </w:tc>
        <w:tc>
          <w:tcPr>
            <w:tcW w:w="1140" w:type="dxa"/>
            <w:vAlign w:val="bottom"/>
            <w:vMerge w:val="restart"/>
          </w:tcPr>
          <w:p>
            <w:pPr>
              <w:jc w:val="center"/>
              <w:ind w:right="70"/>
              <w:spacing w:after="0"/>
              <w:rPr>
                <w:sz w:val="20"/>
                <w:szCs w:val="20"/>
                <w:color w:val="auto"/>
              </w:rPr>
            </w:pPr>
            <w:r>
              <w:rPr>
                <w:rFonts w:ascii="Arial" w:cs="Arial" w:eastAsia="Arial" w:hAnsi="Arial"/>
                <w:sz w:val="18"/>
                <w:szCs w:val="18"/>
                <w:color w:val="auto"/>
                <w:w w:val="89"/>
              </w:rPr>
              <w:t>Pension</w:t>
            </w:r>
          </w:p>
        </w:tc>
        <w:tc>
          <w:tcPr>
            <w:tcW w:w="1180" w:type="dxa"/>
            <w:vAlign w:val="bottom"/>
          </w:tcPr>
          <w:p>
            <w:pPr>
              <w:spacing w:after="0"/>
              <w:rPr>
                <w:sz w:val="7"/>
                <w:szCs w:val="7"/>
                <w:color w:val="auto"/>
              </w:rPr>
            </w:pPr>
          </w:p>
        </w:tc>
        <w:tc>
          <w:tcPr>
            <w:tcW w:w="1300" w:type="dxa"/>
            <w:vAlign w:val="bottom"/>
            <w:vMerge w:val="restart"/>
          </w:tcPr>
          <w:p>
            <w:pPr>
              <w:jc w:val="center"/>
              <w:spacing w:after="0"/>
              <w:rPr>
                <w:sz w:val="20"/>
                <w:szCs w:val="20"/>
                <w:color w:val="auto"/>
              </w:rPr>
            </w:pPr>
            <w:r>
              <w:rPr>
                <w:rFonts w:ascii="Arial" w:cs="Arial" w:eastAsia="Arial" w:hAnsi="Arial"/>
                <w:sz w:val="18"/>
                <w:szCs w:val="18"/>
                <w:color w:val="auto"/>
                <w:w w:val="91"/>
              </w:rPr>
              <w:t>Determinant</w:t>
            </w:r>
          </w:p>
        </w:tc>
        <w:tc>
          <w:tcPr>
            <w:tcW w:w="0" w:type="dxa"/>
            <w:vAlign w:val="bottom"/>
          </w:tcPr>
          <w:p>
            <w:pPr>
              <w:spacing w:after="0"/>
              <w:rPr>
                <w:sz w:val="1"/>
                <w:szCs w:val="1"/>
                <w:color w:val="auto"/>
              </w:rPr>
            </w:pPr>
          </w:p>
        </w:tc>
      </w:tr>
      <w:tr>
        <w:trPr>
          <w:trHeight w:val="134"/>
        </w:trPr>
        <w:tc>
          <w:tcPr>
            <w:tcW w:w="26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1260" w:type="dxa"/>
            <w:vAlign w:val="bottom"/>
            <w:vMerge w:val="continue"/>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140" w:type="dxa"/>
            <w:vAlign w:val="bottom"/>
            <w:vMerge w:val="continue"/>
          </w:tcPr>
          <w:p>
            <w:pPr>
              <w:spacing w:after="0"/>
              <w:rPr>
                <w:sz w:val="11"/>
                <w:szCs w:val="11"/>
                <w:color w:val="auto"/>
              </w:rPr>
            </w:pPr>
          </w:p>
        </w:tc>
        <w:tc>
          <w:tcPr>
            <w:tcW w:w="1180" w:type="dxa"/>
            <w:vAlign w:val="bottom"/>
          </w:tcPr>
          <w:p>
            <w:pPr>
              <w:spacing w:after="0"/>
              <w:rPr>
                <w:sz w:val="11"/>
                <w:szCs w:val="11"/>
                <w:color w:val="auto"/>
              </w:rPr>
            </w:pPr>
          </w:p>
        </w:tc>
        <w:tc>
          <w:tcPr>
            <w:tcW w:w="13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2640" w:type="dxa"/>
            <w:vAlign w:val="bottom"/>
          </w:tcPr>
          <w:p>
            <w:pPr>
              <w:spacing w:after="0"/>
              <w:rPr>
                <w:sz w:val="20"/>
                <w:szCs w:val="20"/>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6"/>
              </w:rPr>
              <w:t>Efficiency</w:t>
            </w:r>
          </w:p>
        </w:tc>
        <w:tc>
          <w:tcPr>
            <w:tcW w:w="1260" w:type="dxa"/>
            <w:vAlign w:val="bottom"/>
          </w:tcPr>
          <w:p>
            <w:pPr>
              <w:jc w:val="center"/>
              <w:spacing w:after="0"/>
              <w:rPr>
                <w:sz w:val="20"/>
                <w:szCs w:val="20"/>
                <w:color w:val="auto"/>
              </w:rPr>
            </w:pPr>
            <w:r>
              <w:rPr>
                <w:rFonts w:ascii="Arial" w:cs="Arial" w:eastAsia="Arial" w:hAnsi="Arial"/>
                <w:sz w:val="18"/>
                <w:szCs w:val="18"/>
                <w:color w:val="auto"/>
                <w:w w:val="94"/>
              </w:rPr>
              <w:t>Additions</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w w:val="90"/>
              </w:rPr>
              <w:t>Bad Debt</w:t>
            </w:r>
          </w:p>
        </w:tc>
        <w:tc>
          <w:tcPr>
            <w:tcW w:w="1520" w:type="dxa"/>
            <w:vAlign w:val="bottom"/>
          </w:tcPr>
          <w:p>
            <w:pPr>
              <w:jc w:val="center"/>
              <w:spacing w:after="0"/>
              <w:rPr>
                <w:sz w:val="20"/>
                <w:szCs w:val="20"/>
                <w:color w:val="auto"/>
              </w:rPr>
            </w:pPr>
            <w:r>
              <w:rPr>
                <w:rFonts w:ascii="Arial" w:cs="Arial" w:eastAsia="Arial" w:hAnsi="Arial"/>
                <w:sz w:val="18"/>
                <w:szCs w:val="18"/>
                <w:color w:val="auto"/>
                <w:w w:val="91"/>
              </w:rPr>
              <w:t>Weather Normal</w:t>
            </w: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2"/>
              </w:rPr>
              <w:t>Recovery</w:t>
            </w:r>
          </w:p>
        </w:tc>
        <w:tc>
          <w:tcPr>
            <w:tcW w:w="1180" w:type="dxa"/>
            <w:vAlign w:val="bottom"/>
          </w:tcPr>
          <w:p>
            <w:pPr>
              <w:jc w:val="center"/>
              <w:spacing w:after="0"/>
              <w:rPr>
                <w:sz w:val="20"/>
                <w:szCs w:val="20"/>
                <w:color w:val="auto"/>
              </w:rPr>
            </w:pPr>
            <w:r>
              <w:rPr>
                <w:rFonts w:ascii="Arial" w:cs="Arial" w:eastAsia="Arial" w:hAnsi="Arial"/>
                <w:sz w:val="18"/>
                <w:szCs w:val="18"/>
                <w:color w:val="auto"/>
                <w:w w:val="87"/>
              </w:rPr>
              <w:t>Gas Cost</w:t>
            </w:r>
          </w:p>
        </w:tc>
        <w:tc>
          <w:tcPr>
            <w:tcW w:w="1300" w:type="dxa"/>
            <w:vAlign w:val="bottom"/>
          </w:tcPr>
          <w:p>
            <w:pPr>
              <w:jc w:val="center"/>
              <w:spacing w:after="0"/>
              <w:rPr>
                <w:sz w:val="20"/>
                <w:szCs w:val="20"/>
                <w:color w:val="auto"/>
              </w:rPr>
            </w:pPr>
            <w:r>
              <w:rPr>
                <w:rFonts w:ascii="Arial" w:cs="Arial" w:eastAsia="Arial" w:hAnsi="Arial"/>
                <w:sz w:val="18"/>
                <w:szCs w:val="18"/>
                <w:color w:val="auto"/>
                <w:w w:val="93"/>
              </w:rPr>
              <w:t>Adjustment</w:t>
            </w:r>
          </w:p>
        </w:tc>
        <w:tc>
          <w:tcPr>
            <w:tcW w:w="0" w:type="dxa"/>
            <w:vAlign w:val="bottom"/>
          </w:tcPr>
          <w:p>
            <w:pPr>
              <w:spacing w:after="0"/>
              <w:rPr>
                <w:sz w:val="1"/>
                <w:szCs w:val="1"/>
                <w:color w:val="auto"/>
              </w:rPr>
            </w:pPr>
          </w:p>
        </w:tc>
      </w:tr>
      <w:tr>
        <w:trPr>
          <w:trHeight w:val="27"/>
        </w:trPr>
        <w:tc>
          <w:tcPr>
            <w:tcW w:w="26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Arkansas Gas</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2"/>
                <w:szCs w:val="22"/>
                <w:color w:val="auto"/>
              </w:rPr>
            </w:pPr>
          </w:p>
        </w:tc>
        <w:tc>
          <w:tcPr>
            <w:tcW w:w="152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shd w:val="clear" w:color="auto" w:fill="CEFFE7"/>
          </w:tcPr>
          <w:p>
            <w:pPr>
              <w:spacing w:after="0"/>
              <w:rPr>
                <w:sz w:val="22"/>
                <w:szCs w:val="22"/>
                <w:color w:val="auto"/>
              </w:rPr>
            </w:pPr>
          </w:p>
        </w:tc>
        <w:tc>
          <w:tcPr>
            <w:tcW w:w="11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Colorado Gas</w:t>
            </w:r>
          </w:p>
        </w:tc>
        <w:tc>
          <w:tcPr>
            <w:tcW w:w="1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Colorado Gas Distribution</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1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RMNG</w:t>
            </w:r>
          </w:p>
        </w:tc>
        <w:tc>
          <w:tcPr>
            <w:tcW w:w="126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0"/>
              <w:spacing w:after="0"/>
              <w:rPr>
                <w:sz w:val="20"/>
                <w:szCs w:val="20"/>
                <w:color w:val="auto"/>
              </w:rPr>
            </w:pPr>
            <w:r>
              <w:rPr>
                <w:rFonts w:ascii="Arial" w:cs="Arial" w:eastAsia="Arial" w:hAnsi="Arial"/>
                <w:sz w:val="18"/>
                <w:szCs w:val="18"/>
                <w:color w:val="auto"/>
              </w:rPr>
              <w:t>N/A</w:t>
            </w:r>
          </w:p>
        </w:tc>
        <w:tc>
          <w:tcPr>
            <w:tcW w:w="1520" w:type="dxa"/>
            <w:vAlign w:val="bottom"/>
          </w:tcPr>
          <w:p>
            <w:pPr>
              <w:jc w:val="center"/>
              <w:spacing w:after="0"/>
              <w:rPr>
                <w:sz w:val="20"/>
                <w:szCs w:val="20"/>
                <w:color w:val="auto"/>
              </w:rPr>
            </w:pPr>
            <w:r>
              <w:rPr>
                <w:rFonts w:ascii="Arial" w:cs="Arial" w:eastAsia="Arial" w:hAnsi="Arial"/>
                <w:sz w:val="18"/>
                <w:szCs w:val="18"/>
                <w:color w:val="auto"/>
              </w:rPr>
              <w:t>N/A</w:t>
            </w:r>
          </w:p>
        </w:tc>
        <w:tc>
          <w:tcPr>
            <w:tcW w:w="1140" w:type="dxa"/>
            <w:vAlign w:val="bottom"/>
          </w:tcPr>
          <w:p>
            <w:pPr>
              <w:jc w:val="center"/>
              <w:ind w:right="70"/>
              <w:spacing w:after="0"/>
              <w:rPr>
                <w:sz w:val="20"/>
                <w:szCs w:val="20"/>
                <w:color w:val="auto"/>
              </w:rPr>
            </w:pPr>
            <w:r>
              <w:rPr>
                <w:rFonts w:ascii="Arial" w:cs="Arial" w:eastAsia="Arial" w:hAnsi="Arial"/>
                <w:sz w:val="18"/>
                <w:szCs w:val="18"/>
                <w:color w:val="auto"/>
                <w:w w:val="99"/>
              </w:rPr>
              <w:t>N/A</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300" w:type="dxa"/>
            <w:vAlign w:val="bottom"/>
          </w:tcPr>
          <w:p>
            <w:pPr>
              <w:jc w:val="center"/>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70"/>
        </w:trPr>
        <w:tc>
          <w:tcPr>
            <w:tcW w:w="2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Iowa Gas</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1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Kansas Gas</w:t>
            </w:r>
          </w:p>
        </w:tc>
        <w:tc>
          <w:tcPr>
            <w:tcW w:w="1260" w:type="dxa"/>
            <w:vAlign w:val="bottom"/>
          </w:tcPr>
          <w:p>
            <w:pPr>
              <w:spacing w:after="0"/>
              <w:rPr>
                <w:sz w:val="23"/>
                <w:szCs w:val="23"/>
                <w:color w:val="auto"/>
              </w:rPr>
            </w:pPr>
          </w:p>
        </w:tc>
        <w:tc>
          <w:tcPr>
            <w:tcW w:w="1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40" w:type="dxa"/>
            <w:vAlign w:val="bottom"/>
          </w:tcPr>
          <w:p>
            <w:pPr>
              <w:jc w:val="center"/>
              <w:ind w:right="50"/>
              <w:spacing w:after="0" w:line="181" w:lineRule="exact"/>
              <w:rPr>
                <w:sz w:val="20"/>
                <w:szCs w:val="20"/>
                <w:color w:val="auto"/>
              </w:rPr>
            </w:pPr>
            <w:r>
              <w:rPr>
                <w:rFonts w:ascii="MS PGothic" w:cs="MS PGothic" w:eastAsia="MS PGothic" w:hAnsi="MS PGothic"/>
                <w:sz w:val="18"/>
                <w:szCs w:val="18"/>
                <w:color w:val="auto"/>
                <w:w w:val="88"/>
              </w:rPr>
              <w:t>☑</w:t>
            </w:r>
          </w:p>
        </w:tc>
        <w:tc>
          <w:tcPr>
            <w:tcW w:w="11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Nebraska Gas</w:t>
            </w:r>
          </w:p>
        </w:tc>
        <w:tc>
          <w:tcPr>
            <w:tcW w:w="1260" w:type="dxa"/>
            <w:vAlign w:val="bottom"/>
            <w:shd w:val="clear" w:color="auto" w:fill="CEFFE7"/>
          </w:tcPr>
          <w:p>
            <w:pPr>
              <w:spacing w:after="0"/>
              <w:rPr>
                <w:sz w:val="23"/>
                <w:szCs w:val="23"/>
                <w:color w:val="auto"/>
              </w:rPr>
            </w:pP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1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tcPr>
          <w:p>
            <w:pPr>
              <w:ind w:left="40"/>
              <w:spacing w:after="0"/>
              <w:rPr>
                <w:sz w:val="20"/>
                <w:szCs w:val="20"/>
                <w:color w:val="auto"/>
              </w:rPr>
            </w:pPr>
            <w:r>
              <w:rPr>
                <w:rFonts w:ascii="Arial" w:cs="Arial" w:eastAsia="Arial" w:hAnsi="Arial"/>
                <w:sz w:val="18"/>
                <w:szCs w:val="18"/>
                <w:color w:val="auto"/>
              </w:rPr>
              <w:t>Nebraska Gas Distribution</w:t>
            </w:r>
          </w:p>
        </w:tc>
        <w:tc>
          <w:tcPr>
            <w:tcW w:w="1260" w:type="dxa"/>
            <w:vAlign w:val="bottom"/>
          </w:tcPr>
          <w:p>
            <w:pPr>
              <w:spacing w:after="0"/>
              <w:rPr>
                <w:sz w:val="23"/>
                <w:szCs w:val="23"/>
                <w:color w:val="auto"/>
              </w:rPr>
            </w:pPr>
          </w:p>
        </w:tc>
        <w:tc>
          <w:tcPr>
            <w:tcW w:w="126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tcPr>
          <w:p>
            <w:pPr>
              <w:jc w:val="center"/>
              <w:ind w:left="30"/>
              <w:spacing w:after="0" w:line="181" w:lineRule="exact"/>
              <w:rPr>
                <w:sz w:val="20"/>
                <w:szCs w:val="20"/>
                <w:color w:val="auto"/>
              </w:rPr>
            </w:pPr>
            <w:r>
              <w:rPr>
                <w:rFonts w:ascii="MS PGothic" w:cs="MS PGothic" w:eastAsia="MS PGothic" w:hAnsi="MS PGothic"/>
                <w:sz w:val="18"/>
                <w:szCs w:val="18"/>
                <w:color w:val="auto"/>
                <w:w w:val="88"/>
              </w:rPr>
              <w:t>☑</w:t>
            </w:r>
          </w:p>
        </w:tc>
        <w:tc>
          <w:tcPr>
            <w:tcW w:w="152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64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(a)</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26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120" w:type="dxa"/>
            <w:vAlign w:val="bottom"/>
            <w:shd w:val="clear" w:color="auto" w:fill="CEFFE7"/>
          </w:tcPr>
          <w:p>
            <w:pPr>
              <w:spacing w:after="0"/>
              <w:rPr>
                <w:sz w:val="23"/>
                <w:szCs w:val="23"/>
                <w:color w:val="auto"/>
              </w:rPr>
            </w:pPr>
          </w:p>
        </w:tc>
        <w:tc>
          <w:tcPr>
            <w:tcW w:w="1520" w:type="dxa"/>
            <w:vAlign w:val="bottom"/>
            <w:shd w:val="clear" w:color="auto" w:fill="CEFFE7"/>
          </w:tcPr>
          <w:p>
            <w:pPr>
              <w:spacing w:after="0"/>
              <w:rPr>
                <w:sz w:val="23"/>
                <w:szCs w:val="23"/>
                <w:color w:val="auto"/>
              </w:rPr>
            </w:pPr>
          </w:p>
        </w:tc>
        <w:tc>
          <w:tcPr>
            <w:tcW w:w="1140" w:type="dxa"/>
            <w:vAlign w:val="bottom"/>
            <w:shd w:val="clear" w:color="auto" w:fill="CEFFE7"/>
          </w:tcPr>
          <w:p>
            <w:pPr>
              <w:spacing w:after="0"/>
              <w:rPr>
                <w:sz w:val="23"/>
                <w:szCs w:val="23"/>
                <w:color w:val="auto"/>
              </w:rPr>
            </w:pPr>
          </w:p>
        </w:tc>
        <w:tc>
          <w:tcPr>
            <w:tcW w:w="1180" w:type="dxa"/>
            <w:vAlign w:val="bottom"/>
            <w:shd w:val="clear" w:color="auto" w:fill="CEFFE7"/>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1300" w:type="dxa"/>
            <w:vAlign w:val="bottom"/>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182"/>
        </w:trPr>
        <w:tc>
          <w:tcPr>
            <w:tcW w:w="2640" w:type="dxa"/>
            <w:vAlign w:val="bottom"/>
          </w:tcPr>
          <w:p>
            <w:pPr>
              <w:spacing w:after="0" w:line="182" w:lineRule="exact"/>
              <w:rPr>
                <w:sz w:val="20"/>
                <w:szCs w:val="20"/>
                <w:color w:val="auto"/>
              </w:rPr>
            </w:pPr>
            <w:r>
              <w:rPr>
                <w:rFonts w:ascii="Arial" w:cs="Arial" w:eastAsia="Arial" w:hAnsi="Arial"/>
                <w:sz w:val="16"/>
                <w:szCs w:val="16"/>
                <w:color w:val="auto"/>
              </w:rPr>
              <w:t>__________</w:t>
            </w:r>
          </w:p>
        </w:tc>
        <w:tc>
          <w:tcPr>
            <w:tcW w:w="1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The Wyoming Gas integrity rider is effective March 1, 2020.</w:t>
      </w:r>
    </w:p>
    <w:p>
      <w:pPr>
        <w:spacing w:after="0" w:line="156"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See </w:t>
      </w:r>
      <w:hyperlink w:anchor="page117">
        <w:r>
          <w:rPr>
            <w:rFonts w:ascii="Arial" w:cs="Arial" w:eastAsia="Arial" w:hAnsi="Arial"/>
            <w:sz w:val="17"/>
            <w:szCs w:val="17"/>
            <w:u w:val="single" w:color="auto"/>
            <w:color w:val="0000EE"/>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 this Annual Report on Form 10-K for information regarding current rate activity.</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Statistics</w:t>
      </w:r>
    </w:p>
    <w:p>
      <w:pPr>
        <w:spacing w:after="0" w:line="200" w:lineRule="exact"/>
        <w:rPr>
          <w:sz w:val="20"/>
          <w:szCs w:val="20"/>
          <w:color w:val="auto"/>
        </w:rPr>
      </w:pP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6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22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6"/>
                <w:szCs w:val="16"/>
                <w:color w:val="auto"/>
                <w:w w:val="89"/>
              </w:rPr>
              <w:t>Revenue (in thousands)</w:t>
            </w:r>
          </w:p>
        </w:tc>
        <w:tc>
          <w:tcPr>
            <w:tcW w:w="74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color w:val="auto"/>
                <w:w w:val="91"/>
              </w:rPr>
              <w:t xml:space="preserve">Gross Margin (non-GAAP) </w:t>
            </w:r>
            <w:r>
              <w:rPr>
                <w:rFonts w:ascii="Arial" w:cs="Arial" w:eastAsia="Arial" w:hAnsi="Arial"/>
                <w:sz w:val="21"/>
                <w:szCs w:val="21"/>
                <w:color w:val="auto"/>
                <w:w w:val="91"/>
                <w:vertAlign w:val="superscript"/>
              </w:rPr>
              <w:t>(a)</w:t>
            </w:r>
            <w:r>
              <w:rPr>
                <w:rFonts w:ascii="Arial" w:cs="Arial" w:eastAsia="Arial" w:hAnsi="Arial"/>
                <w:sz w:val="16"/>
                <w:szCs w:val="16"/>
                <w:color w:val="auto"/>
                <w:w w:val="91"/>
              </w:rPr>
              <w:t xml:space="preserve"> (in thousands)</w:t>
            </w: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2"/>
              </w:rPr>
              <w:t>Quantities Sold and Transported (Dth)</w:t>
            </w:r>
          </w:p>
        </w:tc>
        <w:tc>
          <w:tcPr>
            <w:tcW w:w="0" w:type="dxa"/>
            <w:vAlign w:val="bottom"/>
          </w:tcPr>
          <w:p>
            <w:pPr>
              <w:spacing w:after="0"/>
              <w:rPr>
                <w:sz w:val="1"/>
                <w:szCs w:val="1"/>
                <w:color w:val="auto"/>
              </w:rPr>
            </w:pPr>
          </w:p>
        </w:tc>
      </w:tr>
      <w:tr>
        <w:trPr>
          <w:trHeight w:val="231"/>
        </w:trPr>
        <w:tc>
          <w:tcPr>
            <w:tcW w:w="1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6"/>
          </w:tcPr>
          <w:p>
            <w:pPr>
              <w:jc w:val="center"/>
              <w:ind w:right="280"/>
              <w:spacing w:after="0"/>
              <w:rPr>
                <w:sz w:val="20"/>
                <w:szCs w:val="20"/>
                <w:color w:val="auto"/>
              </w:rPr>
            </w:pPr>
            <w:r>
              <w:rPr>
                <w:rFonts w:ascii="Arial" w:cs="Arial" w:eastAsia="Arial" w:hAnsi="Arial"/>
                <w:sz w:val="16"/>
                <w:szCs w:val="16"/>
                <w:color w:val="auto"/>
                <w:w w:val="89"/>
              </w:rPr>
              <w:t>For the year ended December 31,</w:t>
            </w:r>
          </w:p>
        </w:tc>
        <w:tc>
          <w:tcPr>
            <w:tcW w:w="240" w:type="dxa"/>
            <w:vAlign w:val="bottom"/>
          </w:tcPr>
          <w:p>
            <w:pPr>
              <w:spacing w:after="0"/>
              <w:rPr>
                <w:sz w:val="20"/>
                <w:szCs w:val="20"/>
                <w:color w:val="auto"/>
              </w:rPr>
            </w:pPr>
          </w:p>
        </w:tc>
        <w:tc>
          <w:tcPr>
            <w:tcW w:w="2920" w:type="dxa"/>
            <w:vAlign w:val="bottom"/>
            <w:gridSpan w:val="6"/>
          </w:tcPr>
          <w:p>
            <w:pPr>
              <w:jc w:val="center"/>
              <w:ind w:right="320"/>
              <w:spacing w:after="0"/>
              <w:rPr>
                <w:sz w:val="20"/>
                <w:szCs w:val="20"/>
                <w:color w:val="auto"/>
              </w:rPr>
            </w:pPr>
            <w:r>
              <w:rPr>
                <w:rFonts w:ascii="Arial" w:cs="Arial" w:eastAsia="Arial" w:hAnsi="Arial"/>
                <w:sz w:val="16"/>
                <w:szCs w:val="16"/>
                <w:color w:val="auto"/>
                <w:w w:val="89"/>
              </w:rPr>
              <w:t>For the year ended December 31,</w:t>
            </w: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w w:val="89"/>
              </w:rPr>
              <w:t>For the year ended December 31,</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20" w:type="dxa"/>
            <w:vAlign w:val="bottom"/>
          </w:tcPr>
          <w:p>
            <w:pPr>
              <w:jc w:val="right"/>
              <w:ind w:right="259"/>
              <w:spacing w:after="0"/>
              <w:rPr>
                <w:sz w:val="20"/>
                <w:szCs w:val="20"/>
                <w:color w:val="auto"/>
              </w:rPr>
            </w:pPr>
            <w:r>
              <w:rPr>
                <w:rFonts w:ascii="Arial" w:cs="Arial" w:eastAsia="Arial" w:hAnsi="Arial"/>
                <w:sz w:val="16"/>
                <w:szCs w:val="16"/>
                <w:color w:val="auto"/>
              </w:rPr>
              <w:t>2019</w:t>
            </w:r>
          </w:p>
        </w:tc>
        <w:tc>
          <w:tcPr>
            <w:tcW w:w="220" w:type="dxa"/>
            <w:vAlign w:val="bottom"/>
          </w:tcPr>
          <w:p>
            <w:pPr>
              <w:spacing w:after="0"/>
              <w:rPr>
                <w:sz w:val="23"/>
                <w:szCs w:val="23"/>
                <w:color w:val="auto"/>
              </w:rPr>
            </w:pPr>
          </w:p>
        </w:tc>
        <w:tc>
          <w:tcPr>
            <w:tcW w:w="840" w:type="dxa"/>
            <w:vAlign w:val="bottom"/>
          </w:tcPr>
          <w:p>
            <w:pPr>
              <w:jc w:val="center"/>
              <w:ind w:right="79"/>
              <w:spacing w:after="0"/>
              <w:rPr>
                <w:sz w:val="20"/>
                <w:szCs w:val="20"/>
                <w:color w:val="auto"/>
              </w:rPr>
            </w:pPr>
            <w:r>
              <w:rPr>
                <w:rFonts w:ascii="Arial" w:cs="Arial" w:eastAsia="Arial" w:hAnsi="Arial"/>
                <w:sz w:val="16"/>
                <w:szCs w:val="16"/>
                <w:color w:val="auto"/>
                <w:w w:val="89"/>
              </w:rPr>
              <w:t>2018</w:t>
            </w:r>
          </w:p>
        </w:tc>
        <w:tc>
          <w:tcPr>
            <w:tcW w:w="320" w:type="dxa"/>
            <w:vAlign w:val="bottom"/>
          </w:tcPr>
          <w:p>
            <w:pPr>
              <w:spacing w:after="0"/>
              <w:rPr>
                <w:sz w:val="23"/>
                <w:szCs w:val="23"/>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6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3"/>
                <w:szCs w:val="23"/>
                <w:color w:val="auto"/>
              </w:rPr>
            </w:pPr>
          </w:p>
        </w:tc>
        <w:tc>
          <w:tcPr>
            <w:tcW w:w="780" w:type="dxa"/>
            <w:vAlign w:val="bottom"/>
          </w:tcPr>
          <w:p>
            <w:pPr>
              <w:jc w:val="center"/>
              <w:ind w:right="119"/>
              <w:spacing w:after="0"/>
              <w:rPr>
                <w:sz w:val="20"/>
                <w:szCs w:val="20"/>
                <w:color w:val="auto"/>
              </w:rPr>
            </w:pPr>
            <w:r>
              <w:rPr>
                <w:rFonts w:ascii="Arial" w:cs="Arial" w:eastAsia="Arial" w:hAnsi="Arial"/>
                <w:sz w:val="16"/>
                <w:szCs w:val="16"/>
                <w:color w:val="auto"/>
                <w:w w:val="95"/>
              </w:rPr>
              <w:t>2018</w:t>
            </w:r>
          </w:p>
        </w:tc>
        <w:tc>
          <w:tcPr>
            <w:tcW w:w="24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3"/>
                <w:szCs w:val="23"/>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2018</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Residential</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551,701</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567,785</w:t>
            </w:r>
          </w:p>
        </w:tc>
        <w:tc>
          <w:tcPr>
            <w:tcW w:w="32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499,852</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285,802</w:t>
            </w:r>
          </w:p>
        </w:tc>
        <w:tc>
          <w:tcPr>
            <w:tcW w:w="2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276,858</w:t>
            </w: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255,626</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66,956,080</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65,352,164</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54,645,598</w:t>
            </w: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Commercial</w:t>
            </w:r>
          </w:p>
        </w:tc>
        <w:tc>
          <w:tcPr>
            <w:tcW w:w="20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212,229</w:t>
            </w:r>
          </w:p>
        </w:tc>
        <w:tc>
          <w:tcPr>
            <w:tcW w:w="220" w:type="dxa"/>
            <w:vAlign w:val="bottom"/>
          </w:tcPr>
          <w:p>
            <w:pPr>
              <w:spacing w:after="0"/>
              <w:rPr>
                <w:sz w:val="20"/>
                <w:szCs w:val="20"/>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rPr>
              <w:t>214,718</w:t>
            </w:r>
          </w:p>
        </w:tc>
        <w:tc>
          <w:tcPr>
            <w:tcW w:w="3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197,054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88,264</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82,529</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78,249</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32,241,441</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30,753,361</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27,315,871</w:t>
            </w:r>
          </w:p>
        </w:tc>
        <w:tc>
          <w:tcPr>
            <w:tcW w:w="0" w:type="dxa"/>
            <w:vAlign w:val="bottom"/>
          </w:tcPr>
          <w:p>
            <w:pPr>
              <w:spacing w:after="0"/>
              <w:rPr>
                <w:sz w:val="1"/>
                <w:szCs w:val="1"/>
                <w:color w:val="auto"/>
              </w:rPr>
            </w:pPr>
          </w:p>
        </w:tc>
      </w:tr>
      <w:tr>
        <w:trPr>
          <w:trHeight w:val="33"/>
        </w:trPr>
        <w:tc>
          <w:tcPr>
            <w:tcW w:w="1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Industrial</w:t>
            </w:r>
          </w:p>
        </w:tc>
        <w:tc>
          <w:tcPr>
            <w:tcW w:w="20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24,832</w:t>
            </w:r>
          </w:p>
        </w:tc>
        <w:tc>
          <w:tcPr>
            <w:tcW w:w="2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26,466</w:t>
            </w:r>
          </w:p>
        </w:tc>
        <w:tc>
          <w:tcPr>
            <w:tcW w:w="32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24,454</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8,053</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7,056</w:t>
            </w:r>
          </w:p>
        </w:tc>
        <w:tc>
          <w:tcPr>
            <w:tcW w:w="24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6,226</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6,548,023</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6,309,211</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5,855,053</w:t>
            </w:r>
          </w:p>
        </w:tc>
        <w:tc>
          <w:tcPr>
            <w:tcW w:w="0" w:type="dxa"/>
            <w:vAlign w:val="bottom"/>
          </w:tcPr>
          <w:p>
            <w:pPr>
              <w:spacing w:after="0"/>
              <w:rPr>
                <w:sz w:val="1"/>
                <w:szCs w:val="1"/>
                <w:color w:val="auto"/>
              </w:rPr>
            </w:pPr>
          </w:p>
        </w:tc>
      </w:tr>
      <w:tr>
        <w:trPr>
          <w:trHeight w:val="237"/>
        </w:trPr>
        <w:tc>
          <w:tcPr>
            <w:tcW w:w="1620" w:type="dxa"/>
            <w:vAlign w:val="bottom"/>
          </w:tcPr>
          <w:p>
            <w:pPr>
              <w:ind w:left="40"/>
              <w:spacing w:after="0"/>
              <w:rPr>
                <w:sz w:val="20"/>
                <w:szCs w:val="20"/>
                <w:color w:val="auto"/>
              </w:rPr>
            </w:pPr>
            <w:r>
              <w:rPr>
                <w:rFonts w:ascii="Arial" w:cs="Arial" w:eastAsia="Arial" w:hAnsi="Arial"/>
                <w:sz w:val="16"/>
                <w:szCs w:val="16"/>
                <w:color w:val="auto"/>
              </w:rPr>
              <w:t>Other</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(1,361)</w:t>
            </w: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(7,899)</w:t>
            </w:r>
          </w:p>
        </w:tc>
        <w:tc>
          <w:tcPr>
            <w:tcW w:w="32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8,647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(1,361)</w:t>
            </w:r>
          </w:p>
        </w:tc>
        <w:tc>
          <w:tcPr>
            <w:tcW w:w="24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(7,899)</w:t>
            </w:r>
          </w:p>
        </w:tc>
        <w:tc>
          <w:tcPr>
            <w:tcW w:w="24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8,647</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62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Distribution</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787,401</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801,070</w:t>
            </w:r>
          </w:p>
        </w:tc>
        <w:tc>
          <w:tcPr>
            <w:tcW w:w="32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730,007</w:t>
            </w:r>
          </w:p>
        </w:tc>
        <w:tc>
          <w:tcPr>
            <w:tcW w:w="1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380,758</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358,544</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348,748</w:t>
            </w:r>
          </w:p>
        </w:tc>
        <w:tc>
          <w:tcPr>
            <w:tcW w:w="120" w:type="dxa"/>
            <w:vAlign w:val="bottom"/>
            <w:tcBorders>
              <w:bottom w:val="single" w:sz="8" w:color="CEFFE7"/>
            </w:tcBorders>
            <w:shd w:val="clear" w:color="auto" w:fill="CEFFE7"/>
          </w:tcPr>
          <w:p>
            <w:pPr>
              <w:spacing w:after="0"/>
              <w:rPr>
                <w:sz w:val="20"/>
                <w:szCs w:val="20"/>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105,745,544</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102,414,736</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87,816,522</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EFFE7"/>
          </w:tcPr>
          <w:p>
            <w:pPr>
              <w:ind w:left="40"/>
              <w:spacing w:after="0"/>
              <w:rPr>
                <w:sz w:val="20"/>
                <w:szCs w:val="20"/>
                <w:color w:val="auto"/>
              </w:rPr>
            </w:pPr>
            <w:r>
              <w:rPr>
                <w:rFonts w:ascii="Arial" w:cs="Arial" w:eastAsia="Arial" w:hAnsi="Arial"/>
                <w:sz w:val="16"/>
                <w:szCs w:val="16"/>
                <w:color w:val="auto"/>
              </w:rPr>
              <w:t>Transportation and</w:t>
            </w:r>
          </w:p>
        </w:tc>
        <w:tc>
          <w:tcPr>
            <w:tcW w:w="2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Transmission</w:t>
            </w:r>
          </w:p>
        </w:tc>
        <w:tc>
          <w:tcPr>
            <w:tcW w:w="20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144,710</w:t>
            </w:r>
          </w:p>
        </w:tc>
        <w:tc>
          <w:tcPr>
            <w:tcW w:w="22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141,854</w:t>
            </w:r>
          </w:p>
        </w:tc>
        <w:tc>
          <w:tcPr>
            <w:tcW w:w="320" w:type="dxa"/>
            <w:vAlign w:val="bottom"/>
            <w:tcBorders>
              <w:bottom w:val="single" w:sz="8" w:color="CEFFE7"/>
            </w:tcBorders>
            <w:shd w:val="clear" w:color="auto" w:fill="CEFFE7"/>
          </w:tcPr>
          <w:p>
            <w:pPr>
              <w:spacing w:after="0"/>
              <w:rPr>
                <w:sz w:val="19"/>
                <w:szCs w:val="19"/>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135,824</w:t>
            </w: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144,710</w:t>
            </w:r>
          </w:p>
        </w:tc>
        <w:tc>
          <w:tcPr>
            <w:tcW w:w="24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141,850</w:t>
            </w:r>
          </w:p>
        </w:tc>
        <w:tc>
          <w:tcPr>
            <w:tcW w:w="24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135,824</w:t>
            </w: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153,101,264</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148,299,003</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141,600,080</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Regulated</w:t>
            </w:r>
          </w:p>
        </w:tc>
        <w:tc>
          <w:tcPr>
            <w:tcW w:w="20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932,111</w:t>
            </w:r>
          </w:p>
        </w:tc>
        <w:tc>
          <w:tcPr>
            <w:tcW w:w="2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942,924</w:t>
            </w:r>
          </w:p>
        </w:tc>
        <w:tc>
          <w:tcPr>
            <w:tcW w:w="32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865,831</w:t>
            </w:r>
          </w:p>
        </w:tc>
        <w:tc>
          <w:tcPr>
            <w:tcW w:w="10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525,468</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500,394</w:t>
            </w:r>
          </w:p>
        </w:tc>
        <w:tc>
          <w:tcPr>
            <w:tcW w:w="240" w:type="dxa"/>
            <w:vAlign w:val="bottom"/>
            <w:tcBorders>
              <w:bottom w:val="single" w:sz="8" w:color="CEFFE7"/>
            </w:tcBorders>
            <w:shd w:val="clear" w:color="auto" w:fill="CEFFE7"/>
          </w:tcPr>
          <w:p>
            <w:pPr>
              <w:spacing w:after="0"/>
              <w:rPr>
                <w:sz w:val="20"/>
                <w:szCs w:val="20"/>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484,572</w:t>
            </w:r>
          </w:p>
        </w:tc>
        <w:tc>
          <w:tcPr>
            <w:tcW w:w="120" w:type="dxa"/>
            <w:vAlign w:val="bottom"/>
            <w:tcBorders>
              <w:bottom w:val="single" w:sz="8" w:color="CEFFE7"/>
            </w:tcBorders>
            <w:shd w:val="clear" w:color="auto" w:fill="CEFFE7"/>
          </w:tcPr>
          <w:p>
            <w:pPr>
              <w:spacing w:after="0"/>
              <w:rPr>
                <w:sz w:val="20"/>
                <w:szCs w:val="20"/>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258,846,808</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250,713,739</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229,416,602</w:t>
            </w:r>
          </w:p>
        </w:tc>
        <w:tc>
          <w:tcPr>
            <w:tcW w:w="0" w:type="dxa"/>
            <w:vAlign w:val="bottom"/>
          </w:tcPr>
          <w:p>
            <w:pPr>
              <w:spacing w:after="0"/>
              <w:rPr>
                <w:sz w:val="1"/>
                <w:szCs w:val="1"/>
                <w:color w:val="auto"/>
              </w:rPr>
            </w:pPr>
          </w:p>
        </w:tc>
      </w:tr>
      <w:tr>
        <w:trPr>
          <w:trHeight w:val="216"/>
        </w:trPr>
        <w:tc>
          <w:tcPr>
            <w:tcW w:w="1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620" w:type="dxa"/>
            <w:vAlign w:val="bottom"/>
            <w:shd w:val="clear" w:color="auto" w:fill="CEFFE7"/>
          </w:tcPr>
          <w:p>
            <w:pPr>
              <w:ind w:left="40"/>
              <w:spacing w:after="0"/>
              <w:rPr>
                <w:sz w:val="20"/>
                <w:szCs w:val="20"/>
                <w:color w:val="auto"/>
              </w:rPr>
            </w:pPr>
            <w:r>
              <w:rPr>
                <w:rFonts w:ascii="Arial" w:cs="Arial" w:eastAsia="Arial" w:hAnsi="Arial"/>
                <w:sz w:val="16"/>
                <w:szCs w:val="16"/>
                <w:color w:val="auto"/>
              </w:rPr>
              <w:t>Non-regulated</w:t>
            </w:r>
          </w:p>
        </w:tc>
        <w:tc>
          <w:tcPr>
            <w:tcW w:w="20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220" w:type="dxa"/>
            <w:vAlign w:val="bottom"/>
            <w:shd w:val="clear" w:color="auto" w:fill="CEFFE7"/>
          </w:tcPr>
          <w:p>
            <w:pPr>
              <w:spacing w:after="0"/>
              <w:rPr>
                <w:sz w:val="19"/>
                <w:szCs w:val="19"/>
                <w:color w:val="auto"/>
              </w:rPr>
            </w:pPr>
          </w:p>
        </w:tc>
        <w:tc>
          <w:tcPr>
            <w:tcW w:w="84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10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120" w:type="dxa"/>
            <w:vAlign w:val="bottom"/>
            <w:shd w:val="clear" w:color="auto" w:fill="CEFFE7"/>
          </w:tcPr>
          <w:p>
            <w:pPr>
              <w:spacing w:after="0"/>
              <w:rPr>
                <w:sz w:val="19"/>
                <w:szCs w:val="19"/>
                <w:color w:val="auto"/>
              </w:rPr>
            </w:pPr>
          </w:p>
        </w:tc>
        <w:tc>
          <w:tcPr>
            <w:tcW w:w="1180" w:type="dxa"/>
            <w:vAlign w:val="bottom"/>
            <w:shd w:val="clear" w:color="auto" w:fill="CEFFE7"/>
          </w:tcPr>
          <w:p>
            <w:pPr>
              <w:spacing w:after="0"/>
              <w:rPr>
                <w:sz w:val="19"/>
                <w:szCs w:val="19"/>
                <w:color w:val="auto"/>
              </w:rPr>
            </w:pPr>
          </w:p>
        </w:tc>
        <w:tc>
          <w:tcPr>
            <w:tcW w:w="1140" w:type="dxa"/>
            <w:vAlign w:val="bottom"/>
            <w:shd w:val="clear" w:color="auto" w:fill="CEFFE7"/>
          </w:tcPr>
          <w:p>
            <w:pPr>
              <w:spacing w:after="0"/>
              <w:rPr>
                <w:sz w:val="19"/>
                <w:szCs w:val="19"/>
                <w:color w:val="auto"/>
              </w:rPr>
            </w:pPr>
          </w:p>
        </w:tc>
        <w:tc>
          <w:tcPr>
            <w:tcW w:w="108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Services</w:t>
            </w:r>
          </w:p>
        </w:tc>
        <w:tc>
          <w:tcPr>
            <w:tcW w:w="20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77,919</w:t>
            </w:r>
          </w:p>
        </w:tc>
        <w:tc>
          <w:tcPr>
            <w:tcW w:w="220" w:type="dxa"/>
            <w:vAlign w:val="bottom"/>
            <w:tcBorders>
              <w:bottom w:val="single" w:sz="8" w:color="CEFFE7"/>
            </w:tcBorders>
            <w:shd w:val="clear" w:color="auto" w:fill="CEFFE7"/>
          </w:tcPr>
          <w:p>
            <w:pPr>
              <w:spacing w:after="0"/>
              <w:rPr>
                <w:sz w:val="19"/>
                <w:szCs w:val="19"/>
                <w:color w:val="auto"/>
              </w:rPr>
            </w:pPr>
          </w:p>
        </w:tc>
        <w:tc>
          <w:tcPr>
            <w:tcW w:w="8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82,383</w:t>
            </w:r>
          </w:p>
        </w:tc>
        <w:tc>
          <w:tcPr>
            <w:tcW w:w="320" w:type="dxa"/>
            <w:vAlign w:val="bottom"/>
            <w:tcBorders>
              <w:bottom w:val="single" w:sz="8" w:color="CEFFE7"/>
            </w:tcBorders>
            <w:shd w:val="clear" w:color="auto" w:fill="CEFFE7"/>
          </w:tcPr>
          <w:p>
            <w:pPr>
              <w:spacing w:after="0"/>
              <w:rPr>
                <w:sz w:val="19"/>
                <w:szCs w:val="19"/>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81,799</w:t>
            </w: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CEFFE7"/>
            </w:tcBorders>
            <w:shd w:val="clear" w:color="auto" w:fill="CEFFE7"/>
          </w:tcPr>
          <w:p>
            <w:pPr>
              <w:spacing w:after="0"/>
              <w:rPr>
                <w:sz w:val="19"/>
                <w:szCs w:val="19"/>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58,664</w:t>
            </w:r>
          </w:p>
        </w:tc>
        <w:tc>
          <w:tcPr>
            <w:tcW w:w="24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62,760</w:t>
            </w:r>
          </w:p>
        </w:tc>
        <w:tc>
          <w:tcPr>
            <w:tcW w:w="240" w:type="dxa"/>
            <w:vAlign w:val="bottom"/>
            <w:tcBorders>
              <w:bottom w:val="single" w:sz="8" w:color="CEFFE7"/>
            </w:tcBorders>
            <w:shd w:val="clear" w:color="auto" w:fill="CEFFE7"/>
          </w:tcPr>
          <w:p>
            <w:pPr>
              <w:spacing w:after="0"/>
              <w:rPr>
                <w:sz w:val="19"/>
                <w:szCs w:val="19"/>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53,455</w:t>
            </w: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6"/>
        </w:trPr>
        <w:tc>
          <w:tcPr>
            <w:tcW w:w="1620" w:type="dxa"/>
            <w:vAlign w:val="bottom"/>
            <w:tcBorders>
              <w:bottom w:val="single" w:sz="8" w:color="CEFFE7"/>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CEFFE7"/>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20" w:type="dxa"/>
            <w:vAlign w:val="bottom"/>
            <w:tcBorders>
              <w:bottom w:val="single" w:sz="8" w:color="CEFFE7"/>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0"/>
        </w:trPr>
        <w:tc>
          <w:tcPr>
            <w:tcW w:w="1620" w:type="dxa"/>
            <w:vAlign w:val="bottom"/>
            <w:shd w:val="clear" w:color="auto" w:fill="CEFFE7"/>
          </w:tcPr>
          <w:p>
            <w:pPr>
              <w:ind w:left="40"/>
              <w:spacing w:after="0"/>
              <w:rPr>
                <w:sz w:val="20"/>
                <w:szCs w:val="20"/>
                <w:color w:val="auto"/>
              </w:rPr>
            </w:pPr>
            <w:r>
              <w:rPr>
                <w:rFonts w:ascii="Arial" w:cs="Arial" w:eastAsia="Arial" w:hAnsi="Arial"/>
                <w:sz w:val="16"/>
                <w:szCs w:val="16"/>
                <w:color w:val="auto"/>
              </w:rPr>
              <w:t>Total Revenue, Gross</w:t>
            </w:r>
          </w:p>
        </w:tc>
        <w:tc>
          <w:tcPr>
            <w:tcW w:w="20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220" w:type="dxa"/>
            <w:vAlign w:val="bottom"/>
            <w:shd w:val="clear" w:color="auto" w:fill="CEFFE7"/>
          </w:tcPr>
          <w:p>
            <w:pPr>
              <w:spacing w:after="0"/>
              <w:rPr>
                <w:sz w:val="17"/>
                <w:szCs w:val="17"/>
                <w:color w:val="auto"/>
              </w:rPr>
            </w:pPr>
          </w:p>
        </w:tc>
        <w:tc>
          <w:tcPr>
            <w:tcW w:w="840" w:type="dxa"/>
            <w:vAlign w:val="bottom"/>
            <w:shd w:val="clear" w:color="auto" w:fill="CEFFE7"/>
          </w:tcPr>
          <w:p>
            <w:pPr>
              <w:spacing w:after="0"/>
              <w:rPr>
                <w:sz w:val="17"/>
                <w:szCs w:val="17"/>
                <w:color w:val="auto"/>
              </w:rPr>
            </w:pPr>
          </w:p>
        </w:tc>
        <w:tc>
          <w:tcPr>
            <w:tcW w:w="320" w:type="dxa"/>
            <w:vAlign w:val="bottom"/>
            <w:shd w:val="clear" w:color="auto" w:fill="CEFFE7"/>
          </w:tcPr>
          <w:p>
            <w:pPr>
              <w:spacing w:after="0"/>
              <w:rPr>
                <w:sz w:val="17"/>
                <w:szCs w:val="17"/>
                <w:color w:val="auto"/>
              </w:rPr>
            </w:pPr>
          </w:p>
        </w:tc>
        <w:tc>
          <w:tcPr>
            <w:tcW w:w="7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18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shd w:val="clear" w:color="auto" w:fill="CEFFE7"/>
          </w:tcPr>
          <w:p>
            <w:pPr>
              <w:ind w:left="40"/>
              <w:spacing w:after="0"/>
              <w:rPr>
                <w:sz w:val="20"/>
                <w:szCs w:val="20"/>
                <w:color w:val="auto"/>
              </w:rPr>
            </w:pPr>
            <w:r>
              <w:rPr>
                <w:rFonts w:ascii="Arial" w:cs="Arial" w:eastAsia="Arial" w:hAnsi="Arial"/>
                <w:sz w:val="16"/>
                <w:szCs w:val="16"/>
                <w:color w:val="auto"/>
              </w:rPr>
              <w:t>Margin (non-GAAP)</w:t>
            </w:r>
          </w:p>
        </w:tc>
        <w:tc>
          <w:tcPr>
            <w:tcW w:w="2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2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98"/>
              </w:rPr>
              <w:t>1,010,030</w:t>
            </w:r>
          </w:p>
        </w:tc>
        <w:tc>
          <w:tcPr>
            <w:tcW w:w="2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1,025,307</w:t>
            </w:r>
          </w:p>
        </w:tc>
        <w:tc>
          <w:tcPr>
            <w:tcW w:w="32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947,630</w:t>
            </w:r>
          </w:p>
        </w:tc>
        <w:tc>
          <w:tcPr>
            <w:tcW w:w="100" w:type="dxa"/>
            <w:vAlign w:val="bottom"/>
            <w:shd w:val="clear" w:color="auto" w:fill="CEFFE7"/>
          </w:tcPr>
          <w:p>
            <w:pPr>
              <w:spacing w:after="0"/>
              <w:rPr>
                <w:sz w:val="17"/>
                <w:szCs w:val="17"/>
                <w:color w:val="auto"/>
              </w:rPr>
            </w:pP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584,132</w:t>
            </w:r>
          </w:p>
        </w:tc>
        <w:tc>
          <w:tcPr>
            <w:tcW w:w="2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563,154</w:t>
            </w: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538,027</w:t>
            </w:r>
          </w:p>
        </w:tc>
        <w:tc>
          <w:tcPr>
            <w:tcW w:w="120" w:type="dxa"/>
            <w:vAlign w:val="bottom"/>
            <w:shd w:val="clear" w:color="auto" w:fill="CEFFE7"/>
          </w:tcPr>
          <w:p>
            <w:pPr>
              <w:spacing w:after="0"/>
              <w:rPr>
                <w:sz w:val="17"/>
                <w:szCs w:val="17"/>
                <w:color w:val="auto"/>
              </w:rPr>
            </w:pPr>
          </w:p>
        </w:tc>
        <w:tc>
          <w:tcPr>
            <w:tcW w:w="11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258,846,808</w:t>
            </w:r>
          </w:p>
        </w:tc>
        <w:tc>
          <w:tcPr>
            <w:tcW w:w="114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250,713,739</w:t>
            </w:r>
          </w:p>
        </w:tc>
        <w:tc>
          <w:tcPr>
            <w:tcW w:w="10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229,416,602</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and Quantities Sold</w:t>
            </w:r>
          </w:p>
        </w:tc>
        <w:tc>
          <w:tcPr>
            <w:tcW w:w="200" w:type="dxa"/>
            <w:vAlign w:val="bottom"/>
            <w:tcBorders>
              <w:bottom w:val="single" w:sz="8" w:color="auto"/>
            </w:tcBorders>
            <w:vMerge w:val="continue"/>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220" w:type="dxa"/>
            <w:vAlign w:val="bottom"/>
            <w:tcBorders>
              <w:bottom w:val="single" w:sz="8" w:color="auto"/>
            </w:tcBorders>
            <w:vMerge w:val="continue"/>
            <w:shd w:val="clear" w:color="auto" w:fill="CEFFE7"/>
          </w:tcPr>
          <w:p>
            <w:pPr>
              <w:spacing w:after="0"/>
              <w:rPr>
                <w:sz w:val="19"/>
                <w:szCs w:val="19"/>
                <w:color w:val="auto"/>
              </w:rPr>
            </w:pPr>
          </w:p>
        </w:tc>
        <w:tc>
          <w:tcPr>
            <w:tcW w:w="840" w:type="dxa"/>
            <w:vAlign w:val="bottom"/>
            <w:tcBorders>
              <w:bottom w:val="single" w:sz="8" w:color="auto"/>
            </w:tcBorders>
            <w:vMerge w:val="continue"/>
            <w:shd w:val="clear" w:color="auto" w:fill="CEFFE7"/>
          </w:tcPr>
          <w:p>
            <w:pPr>
              <w:spacing w:after="0"/>
              <w:rPr>
                <w:sz w:val="19"/>
                <w:szCs w:val="19"/>
                <w:color w:val="auto"/>
              </w:rPr>
            </w:pPr>
          </w:p>
        </w:tc>
        <w:tc>
          <w:tcPr>
            <w:tcW w:w="320" w:type="dxa"/>
            <w:vAlign w:val="bottom"/>
            <w:tcBorders>
              <w:bottom w:val="single" w:sz="8" w:color="auto"/>
            </w:tcBorders>
            <w:vMerge w:val="continue"/>
            <w:shd w:val="clear" w:color="auto" w:fill="CEFFE7"/>
          </w:tcPr>
          <w:p>
            <w:pPr>
              <w:spacing w:after="0"/>
              <w:rPr>
                <w:sz w:val="19"/>
                <w:szCs w:val="19"/>
                <w:color w:val="auto"/>
              </w:rPr>
            </w:pPr>
          </w:p>
        </w:tc>
        <w:tc>
          <w:tcPr>
            <w:tcW w:w="74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6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8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8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auto"/>
            </w:tcBorders>
            <w:vMerge w:val="continue"/>
            <w:shd w:val="clear" w:color="auto" w:fill="CEFFE7"/>
          </w:tcPr>
          <w:p>
            <w:pPr>
              <w:spacing w:after="0"/>
              <w:rPr>
                <w:sz w:val="19"/>
                <w:szCs w:val="19"/>
                <w:color w:val="auto"/>
              </w:rPr>
            </w:pPr>
          </w:p>
        </w:tc>
        <w:tc>
          <w:tcPr>
            <w:tcW w:w="1140" w:type="dxa"/>
            <w:vAlign w:val="bottom"/>
            <w:tcBorders>
              <w:bottom w:val="single" w:sz="8" w:color="auto"/>
            </w:tcBorders>
            <w:vMerge w:val="continue"/>
            <w:shd w:val="clear" w:color="auto" w:fill="CEFFE7"/>
          </w:tcPr>
          <w:p>
            <w:pPr>
              <w:spacing w:after="0"/>
              <w:rPr>
                <w:sz w:val="19"/>
                <w:szCs w:val="19"/>
                <w:color w:val="auto"/>
              </w:rPr>
            </w:pPr>
          </w:p>
        </w:tc>
        <w:tc>
          <w:tcPr>
            <w:tcW w:w="10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26" w:right="239" w:bottom="1440" w:gutter="0" w:footer="0" w:header="0"/>
        </w:sectPr>
      </w:pPr>
    </w:p>
    <w:bookmarkStart w:id="20" w:name="page21"/>
    <w:bookmarkEnd w:id="20"/>
    <w:tbl>
      <w:tblPr>
        <w:tblLayout w:type="fixed"/>
        <w:tblInd w:w="0" w:type="dxa"/>
        <w:tblCellMar>
          <w:top w:w="0" w:type="dxa"/>
          <w:left w:w="0" w:type="dxa"/>
          <w:bottom w:w="0" w:type="dxa"/>
          <w:right w:w="0" w:type="dxa"/>
        </w:tblCellMar>
      </w:tblPr>
      <w:tr>
        <w:trPr>
          <w:trHeight w:val="184"/>
        </w:trPr>
        <w:tc>
          <w:tcPr>
            <w:tcW w:w="162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28"/>
        </w:trPr>
        <w:tc>
          <w:tcPr>
            <w:tcW w:w="1220" w:type="dxa"/>
            <w:vAlign w:val="bottom"/>
            <w:tcBorders>
              <w:top w:val="single" w:sz="8" w:color="0000EE"/>
            </w:tcBorders>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200" w:type="dxa"/>
            <w:vAlign w:val="bottom"/>
            <w:tcBorders>
              <w:bottom w:val="single" w:sz="8" w:color="auto"/>
            </w:tcBorders>
            <w:gridSpan w:val="4"/>
          </w:tcPr>
          <w:p>
            <w:pPr>
              <w:jc w:val="center"/>
              <w:ind w:left="479"/>
              <w:spacing w:after="0"/>
              <w:rPr>
                <w:sz w:val="20"/>
                <w:szCs w:val="20"/>
                <w:color w:val="auto"/>
              </w:rPr>
            </w:pPr>
            <w:r>
              <w:rPr>
                <w:rFonts w:ascii="Arial" w:cs="Arial" w:eastAsia="Arial" w:hAnsi="Arial"/>
                <w:sz w:val="16"/>
                <w:szCs w:val="16"/>
                <w:color w:val="auto"/>
                <w:w w:val="89"/>
              </w:rPr>
              <w:t>Revenue (in thousands)</w:t>
            </w:r>
          </w:p>
        </w:tc>
        <w:tc>
          <w:tcPr>
            <w:tcW w:w="7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7"/>
          </w:tcPr>
          <w:p>
            <w:pPr>
              <w:jc w:val="center"/>
              <w:ind w:right="80"/>
              <w:spacing w:after="0"/>
              <w:rPr>
                <w:sz w:val="20"/>
                <w:szCs w:val="20"/>
                <w:color w:val="auto"/>
              </w:rPr>
            </w:pPr>
            <w:r>
              <w:rPr>
                <w:rFonts w:ascii="Arial" w:cs="Arial" w:eastAsia="Arial" w:hAnsi="Arial"/>
                <w:sz w:val="16"/>
                <w:szCs w:val="16"/>
                <w:color w:val="auto"/>
                <w:w w:val="91"/>
              </w:rPr>
              <w:t xml:space="preserve">Gross Margin (non-GAAP) </w:t>
            </w:r>
            <w:r>
              <w:rPr>
                <w:rFonts w:ascii="Arial" w:cs="Arial" w:eastAsia="Arial" w:hAnsi="Arial"/>
                <w:sz w:val="21"/>
                <w:szCs w:val="21"/>
                <w:color w:val="auto"/>
                <w:w w:val="91"/>
                <w:vertAlign w:val="superscript"/>
              </w:rPr>
              <w:t>(a)</w:t>
            </w:r>
            <w:r>
              <w:rPr>
                <w:rFonts w:ascii="Arial" w:cs="Arial" w:eastAsia="Arial" w:hAnsi="Arial"/>
                <w:sz w:val="16"/>
                <w:szCs w:val="16"/>
                <w:color w:val="auto"/>
                <w:w w:val="91"/>
              </w:rPr>
              <w:t xml:space="preserve"> (in thousands)</w:t>
            </w:r>
          </w:p>
        </w:tc>
        <w:tc>
          <w:tcPr>
            <w:tcW w:w="340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color w:val="auto"/>
                <w:w w:val="93"/>
              </w:rPr>
              <w:t>Quantities Sold &amp; Transported (Dth)</w:t>
            </w:r>
          </w:p>
        </w:tc>
        <w:tc>
          <w:tcPr>
            <w:tcW w:w="0" w:type="dxa"/>
            <w:vAlign w:val="bottom"/>
          </w:tcPr>
          <w:p>
            <w:pPr>
              <w:spacing w:after="0"/>
              <w:rPr>
                <w:sz w:val="1"/>
                <w:szCs w:val="1"/>
                <w:color w:val="auto"/>
              </w:rPr>
            </w:pPr>
          </w:p>
        </w:tc>
      </w:tr>
      <w:tr>
        <w:trPr>
          <w:trHeight w:val="231"/>
        </w:trPr>
        <w:tc>
          <w:tcPr>
            <w:tcW w:w="12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40" w:type="dxa"/>
            <w:vAlign w:val="bottom"/>
            <w:gridSpan w:val="6"/>
          </w:tcPr>
          <w:p>
            <w:pPr>
              <w:jc w:val="center"/>
              <w:ind w:right="280"/>
              <w:spacing w:after="0"/>
              <w:rPr>
                <w:sz w:val="20"/>
                <w:szCs w:val="20"/>
                <w:color w:val="auto"/>
              </w:rPr>
            </w:pPr>
            <w:r>
              <w:rPr>
                <w:rFonts w:ascii="Arial" w:cs="Arial" w:eastAsia="Arial" w:hAnsi="Arial"/>
                <w:sz w:val="16"/>
                <w:szCs w:val="16"/>
                <w:color w:val="auto"/>
                <w:w w:val="89"/>
              </w:rPr>
              <w:t>For the year ended December 31,</w:t>
            </w:r>
          </w:p>
        </w:tc>
        <w:tc>
          <w:tcPr>
            <w:tcW w:w="240" w:type="dxa"/>
            <w:vAlign w:val="bottom"/>
          </w:tcPr>
          <w:p>
            <w:pPr>
              <w:spacing w:after="0"/>
              <w:rPr>
                <w:sz w:val="20"/>
                <w:szCs w:val="20"/>
                <w:color w:val="auto"/>
              </w:rPr>
            </w:pPr>
          </w:p>
        </w:tc>
        <w:tc>
          <w:tcPr>
            <w:tcW w:w="2920" w:type="dxa"/>
            <w:vAlign w:val="bottom"/>
            <w:gridSpan w:val="6"/>
          </w:tcPr>
          <w:p>
            <w:pPr>
              <w:jc w:val="center"/>
              <w:ind w:right="320"/>
              <w:spacing w:after="0"/>
              <w:rPr>
                <w:sz w:val="20"/>
                <w:szCs w:val="20"/>
                <w:color w:val="auto"/>
              </w:rPr>
            </w:pPr>
            <w:r>
              <w:rPr>
                <w:rFonts w:ascii="Arial" w:cs="Arial" w:eastAsia="Arial" w:hAnsi="Arial"/>
                <w:sz w:val="16"/>
                <w:szCs w:val="16"/>
                <w:color w:val="auto"/>
                <w:w w:val="89"/>
              </w:rPr>
              <w:t>For the year ended December 31,</w:t>
            </w:r>
          </w:p>
        </w:tc>
        <w:tc>
          <w:tcPr>
            <w:tcW w:w="3400" w:type="dxa"/>
            <w:vAlign w:val="bottom"/>
            <w:gridSpan w:val="3"/>
          </w:tcPr>
          <w:p>
            <w:pPr>
              <w:jc w:val="center"/>
              <w:spacing w:after="0"/>
              <w:rPr>
                <w:sz w:val="20"/>
                <w:szCs w:val="20"/>
                <w:color w:val="auto"/>
              </w:rPr>
            </w:pPr>
            <w:r>
              <w:rPr>
                <w:rFonts w:ascii="Arial" w:cs="Arial" w:eastAsia="Arial" w:hAnsi="Arial"/>
                <w:sz w:val="16"/>
                <w:szCs w:val="16"/>
                <w:color w:val="auto"/>
                <w:w w:val="89"/>
              </w:rPr>
              <w:t>For the year ended December 31,</w:t>
            </w:r>
          </w:p>
        </w:tc>
        <w:tc>
          <w:tcPr>
            <w:tcW w:w="0" w:type="dxa"/>
            <w:vAlign w:val="bottom"/>
          </w:tcPr>
          <w:p>
            <w:pPr>
              <w:spacing w:after="0"/>
              <w:rPr>
                <w:sz w:val="1"/>
                <w:szCs w:val="1"/>
                <w:color w:val="auto"/>
              </w:rPr>
            </w:pPr>
          </w:p>
        </w:tc>
      </w:tr>
      <w:tr>
        <w:trPr>
          <w:trHeight w:val="270"/>
        </w:trPr>
        <w:tc>
          <w:tcPr>
            <w:tcW w:w="12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0" w:type="dxa"/>
            <w:vAlign w:val="bottom"/>
          </w:tcPr>
          <w:p>
            <w:pPr>
              <w:jc w:val="right"/>
              <w:ind w:right="239"/>
              <w:spacing w:after="0"/>
              <w:rPr>
                <w:sz w:val="20"/>
                <w:szCs w:val="20"/>
                <w:color w:val="auto"/>
              </w:rPr>
            </w:pPr>
            <w:r>
              <w:rPr>
                <w:rFonts w:ascii="Arial" w:cs="Arial" w:eastAsia="Arial" w:hAnsi="Arial"/>
                <w:sz w:val="16"/>
                <w:szCs w:val="16"/>
                <w:color w:val="auto"/>
              </w:rPr>
              <w:t>2019</w:t>
            </w:r>
          </w:p>
        </w:tc>
        <w:tc>
          <w:tcPr>
            <w:tcW w:w="240" w:type="dxa"/>
            <w:vAlign w:val="bottom"/>
          </w:tcPr>
          <w:p>
            <w:pPr>
              <w:spacing w:after="0"/>
              <w:rPr>
                <w:sz w:val="23"/>
                <w:szCs w:val="23"/>
                <w:color w:val="auto"/>
              </w:rPr>
            </w:pPr>
          </w:p>
        </w:tc>
        <w:tc>
          <w:tcPr>
            <w:tcW w:w="820" w:type="dxa"/>
            <w:vAlign w:val="bottom"/>
          </w:tcPr>
          <w:p>
            <w:pPr>
              <w:jc w:val="center"/>
              <w:ind w:right="59"/>
              <w:spacing w:after="0"/>
              <w:rPr>
                <w:sz w:val="20"/>
                <w:szCs w:val="20"/>
                <w:color w:val="auto"/>
              </w:rPr>
            </w:pPr>
            <w:r>
              <w:rPr>
                <w:rFonts w:ascii="Arial" w:cs="Arial" w:eastAsia="Arial" w:hAnsi="Arial"/>
                <w:sz w:val="16"/>
                <w:szCs w:val="16"/>
                <w:color w:val="auto"/>
                <w:w w:val="89"/>
              </w:rPr>
              <w:t>2018</w:t>
            </w:r>
          </w:p>
        </w:tc>
        <w:tc>
          <w:tcPr>
            <w:tcW w:w="340" w:type="dxa"/>
            <w:vAlign w:val="bottom"/>
          </w:tcPr>
          <w:p>
            <w:pPr>
              <w:spacing w:after="0"/>
              <w:rPr>
                <w:sz w:val="23"/>
                <w:szCs w:val="23"/>
                <w:color w:val="auto"/>
              </w:rPr>
            </w:pPr>
          </w:p>
        </w:tc>
        <w:tc>
          <w:tcPr>
            <w:tcW w:w="740" w:type="dxa"/>
            <w:vAlign w:val="bottom"/>
          </w:tcPr>
          <w:p>
            <w:pPr>
              <w:jc w:val="right"/>
              <w:ind w:right="279"/>
              <w:spacing w:after="0"/>
              <w:rPr>
                <w:sz w:val="20"/>
                <w:szCs w:val="20"/>
                <w:color w:val="auto"/>
              </w:rPr>
            </w:pPr>
            <w:r>
              <w:rPr>
                <w:rFonts w:ascii="Arial" w:cs="Arial" w:eastAsia="Arial" w:hAnsi="Arial"/>
                <w:sz w:val="16"/>
                <w:szCs w:val="16"/>
                <w:color w:val="auto"/>
              </w:rPr>
              <w:t>2017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740" w:type="dxa"/>
            <w:vAlign w:val="bottom"/>
          </w:tcPr>
          <w:p>
            <w:pPr>
              <w:jc w:val="right"/>
              <w:ind w:right="219"/>
              <w:spacing w:after="0"/>
              <w:rPr>
                <w:sz w:val="20"/>
                <w:szCs w:val="20"/>
                <w:color w:val="auto"/>
              </w:rPr>
            </w:pPr>
            <w:r>
              <w:rPr>
                <w:rFonts w:ascii="Arial" w:cs="Arial" w:eastAsia="Arial" w:hAnsi="Arial"/>
                <w:sz w:val="16"/>
                <w:szCs w:val="16"/>
                <w:color w:val="auto"/>
              </w:rPr>
              <w:t>2019</w:t>
            </w:r>
          </w:p>
        </w:tc>
        <w:tc>
          <w:tcPr>
            <w:tcW w:w="260" w:type="dxa"/>
            <w:vAlign w:val="bottom"/>
          </w:tcPr>
          <w:p>
            <w:pPr>
              <w:spacing w:after="0"/>
              <w:rPr>
                <w:sz w:val="23"/>
                <w:szCs w:val="23"/>
                <w:color w:val="auto"/>
              </w:rPr>
            </w:pPr>
          </w:p>
        </w:tc>
        <w:tc>
          <w:tcPr>
            <w:tcW w:w="760" w:type="dxa"/>
            <w:vAlign w:val="bottom"/>
          </w:tcPr>
          <w:p>
            <w:pPr>
              <w:jc w:val="center"/>
              <w:ind w:right="99"/>
              <w:spacing w:after="0"/>
              <w:rPr>
                <w:sz w:val="20"/>
                <w:szCs w:val="20"/>
                <w:color w:val="auto"/>
              </w:rPr>
            </w:pPr>
            <w:r>
              <w:rPr>
                <w:rFonts w:ascii="Arial" w:cs="Arial" w:eastAsia="Arial" w:hAnsi="Arial"/>
                <w:sz w:val="16"/>
                <w:szCs w:val="16"/>
                <w:color w:val="auto"/>
                <w:w w:val="95"/>
              </w:rPr>
              <w:t>2018</w:t>
            </w:r>
          </w:p>
        </w:tc>
        <w:tc>
          <w:tcPr>
            <w:tcW w:w="260" w:type="dxa"/>
            <w:vAlign w:val="bottom"/>
          </w:tcPr>
          <w:p>
            <w:pPr>
              <w:spacing w:after="0"/>
              <w:rPr>
                <w:sz w:val="23"/>
                <w:szCs w:val="23"/>
                <w:color w:val="auto"/>
              </w:rPr>
            </w:pPr>
          </w:p>
        </w:tc>
        <w:tc>
          <w:tcPr>
            <w:tcW w:w="780" w:type="dxa"/>
            <w:vAlign w:val="bottom"/>
          </w:tcPr>
          <w:p>
            <w:pPr>
              <w:jc w:val="right"/>
              <w:ind w:right="259"/>
              <w:spacing w:after="0"/>
              <w:rPr>
                <w:sz w:val="20"/>
                <w:szCs w:val="20"/>
                <w:color w:val="auto"/>
              </w:rPr>
            </w:pPr>
            <w:r>
              <w:rPr>
                <w:rFonts w:ascii="Arial" w:cs="Arial" w:eastAsia="Arial" w:hAnsi="Arial"/>
                <w:sz w:val="16"/>
                <w:szCs w:val="16"/>
                <w:color w:val="auto"/>
              </w:rPr>
              <w:t>2017</w:t>
            </w:r>
          </w:p>
        </w:tc>
        <w:tc>
          <w:tcPr>
            <w:tcW w:w="120" w:type="dxa"/>
            <w:vAlign w:val="bottom"/>
          </w:tcPr>
          <w:p>
            <w:pPr>
              <w:spacing w:after="0"/>
              <w:rPr>
                <w:sz w:val="23"/>
                <w:szCs w:val="23"/>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color w:val="auto"/>
              </w:rPr>
              <w:t>2019</w:t>
            </w:r>
          </w:p>
        </w:tc>
        <w:tc>
          <w:tcPr>
            <w:tcW w:w="1140" w:type="dxa"/>
            <w:vAlign w:val="bottom"/>
          </w:tcPr>
          <w:p>
            <w:pPr>
              <w:jc w:val="center"/>
              <w:ind w:right="19"/>
              <w:spacing w:after="0"/>
              <w:rPr>
                <w:sz w:val="20"/>
                <w:szCs w:val="20"/>
                <w:color w:val="auto"/>
              </w:rPr>
            </w:pPr>
            <w:r>
              <w:rPr>
                <w:rFonts w:ascii="Arial" w:cs="Arial" w:eastAsia="Arial" w:hAnsi="Arial"/>
                <w:sz w:val="16"/>
                <w:szCs w:val="16"/>
                <w:color w:val="auto"/>
                <w:w w:val="89"/>
              </w:rPr>
              <w:t>2018</w:t>
            </w:r>
          </w:p>
        </w:tc>
        <w:tc>
          <w:tcPr>
            <w:tcW w:w="1080" w:type="dxa"/>
            <w:vAlign w:val="bottom"/>
          </w:tcPr>
          <w:p>
            <w:pPr>
              <w:jc w:val="right"/>
              <w:ind w:right="319"/>
              <w:spacing w:after="0"/>
              <w:rPr>
                <w:sz w:val="20"/>
                <w:szCs w:val="20"/>
                <w:color w:val="auto"/>
              </w:rPr>
            </w:pPr>
            <w:r>
              <w:rPr>
                <w:rFonts w:ascii="Arial" w:cs="Arial" w:eastAsia="Arial" w:hAnsi="Arial"/>
                <w:sz w:val="16"/>
                <w:szCs w:val="16"/>
                <w:color w:val="auto"/>
              </w:rPr>
              <w:t>2017</w:t>
            </w:r>
          </w:p>
        </w:tc>
        <w:tc>
          <w:tcPr>
            <w:tcW w:w="0" w:type="dxa"/>
            <w:vAlign w:val="bottom"/>
          </w:tcPr>
          <w:p>
            <w:pPr>
              <w:spacing w:after="0"/>
              <w:rPr>
                <w:sz w:val="1"/>
                <w:szCs w:val="1"/>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1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Arkansas</w:t>
            </w:r>
          </w:p>
        </w:tc>
        <w:tc>
          <w:tcPr>
            <w:tcW w:w="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185,201</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176,660</w:t>
            </w:r>
          </w:p>
        </w:tc>
        <w:tc>
          <w:tcPr>
            <w:tcW w:w="34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153,691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115,899</w:t>
            </w:r>
          </w:p>
        </w:tc>
        <w:tc>
          <w:tcPr>
            <w:tcW w:w="2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100,917</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94,007</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30,496,243</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30,931,390</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26,491,537</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Colorado</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199,369</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188,002</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180,852</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106,776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99,851</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100,718</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33,908,529</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29,857,063</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28,436,744</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Iowa</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151,619</w:t>
            </w: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161,843</w:t>
            </w:r>
          </w:p>
        </w:tc>
        <w:tc>
          <w:tcPr>
            <w:tcW w:w="3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143,446</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70,290</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68,384</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66,619</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41,795,729</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40,668,682</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37,013,645</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Kansas</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105,906</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112,306</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105,576</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58,020</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55,226</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53,841</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32,650,854</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31,387,672</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28,251,947</w:t>
            </w: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Nebraska</w:t>
            </w:r>
          </w:p>
        </w:tc>
        <w:tc>
          <w:tcPr>
            <w:tcW w:w="2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255,622</w:t>
            </w:r>
          </w:p>
        </w:tc>
        <w:tc>
          <w:tcPr>
            <w:tcW w:w="2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278,969</w:t>
            </w:r>
          </w:p>
        </w:tc>
        <w:tc>
          <w:tcPr>
            <w:tcW w:w="3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252,631</w:t>
            </w:r>
          </w:p>
        </w:tc>
        <w:tc>
          <w:tcPr>
            <w:tcW w:w="1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155,901</w:t>
            </w:r>
          </w:p>
        </w:tc>
        <w:tc>
          <w:tcPr>
            <w:tcW w:w="2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164,513</w:t>
            </w:r>
          </w:p>
        </w:tc>
        <w:tc>
          <w:tcPr>
            <w:tcW w:w="2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154,259</w:t>
            </w:r>
          </w:p>
        </w:tc>
        <w:tc>
          <w:tcPr>
            <w:tcW w:w="1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81,481,192</w:t>
            </w:r>
          </w:p>
        </w:tc>
        <w:tc>
          <w:tcPr>
            <w:tcW w:w="114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81,658,938</w:t>
            </w:r>
          </w:p>
        </w:tc>
        <w:tc>
          <w:tcPr>
            <w:tcW w:w="10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73,890,509</w:t>
            </w:r>
          </w:p>
        </w:tc>
        <w:tc>
          <w:tcPr>
            <w:tcW w:w="0" w:type="dxa"/>
            <w:vAlign w:val="bottom"/>
          </w:tcPr>
          <w:p>
            <w:pPr>
              <w:spacing w:after="0"/>
              <w:rPr>
                <w:sz w:val="1"/>
                <w:szCs w:val="1"/>
                <w:color w:val="auto"/>
              </w:rPr>
            </w:pPr>
          </w:p>
        </w:tc>
      </w:tr>
      <w:tr>
        <w:trPr>
          <w:trHeight w:val="237"/>
        </w:trPr>
        <w:tc>
          <w:tcPr>
            <w:tcW w:w="1620" w:type="dxa"/>
            <w:vAlign w:val="bottom"/>
            <w:gridSpan w:val="2"/>
          </w:tcPr>
          <w:p>
            <w:pPr>
              <w:ind w:left="40"/>
              <w:spacing w:after="0"/>
              <w:rPr>
                <w:sz w:val="20"/>
                <w:szCs w:val="20"/>
                <w:color w:val="auto"/>
              </w:rPr>
            </w:pPr>
            <w:r>
              <w:rPr>
                <w:rFonts w:ascii="Arial" w:cs="Arial" w:eastAsia="Arial" w:hAnsi="Arial"/>
                <w:sz w:val="16"/>
                <w:szCs w:val="16"/>
                <w:color w:val="auto"/>
              </w:rPr>
              <w:t>Wyoming</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112,313</w:t>
            </w: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107,527</w:t>
            </w:r>
          </w:p>
        </w:tc>
        <w:tc>
          <w:tcPr>
            <w:tcW w:w="34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6"/>
                <w:szCs w:val="16"/>
                <w:color w:val="auto"/>
              </w:rPr>
              <w:t>111,434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77,246</w:t>
            </w:r>
          </w:p>
        </w:tc>
        <w:tc>
          <w:tcPr>
            <w:tcW w:w="2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74,263</w:t>
            </w:r>
          </w:p>
        </w:tc>
        <w:tc>
          <w:tcPr>
            <w:tcW w:w="260" w:type="dxa"/>
            <w:vAlign w:val="bottom"/>
          </w:tcPr>
          <w:p>
            <w:pPr>
              <w:spacing w:after="0"/>
              <w:rPr>
                <w:sz w:val="20"/>
                <w:szCs w:val="20"/>
                <w:color w:val="auto"/>
              </w:rPr>
            </w:pPr>
          </w:p>
        </w:tc>
        <w:tc>
          <w:tcPr>
            <w:tcW w:w="780" w:type="dxa"/>
            <w:vAlign w:val="bottom"/>
          </w:tcPr>
          <w:p>
            <w:pPr>
              <w:jc w:val="right"/>
              <w:ind w:right="19"/>
              <w:spacing w:after="0"/>
              <w:rPr>
                <w:sz w:val="20"/>
                <w:szCs w:val="20"/>
                <w:color w:val="auto"/>
              </w:rPr>
            </w:pPr>
            <w:r>
              <w:rPr>
                <w:rFonts w:ascii="Arial" w:cs="Arial" w:eastAsia="Arial" w:hAnsi="Arial"/>
                <w:sz w:val="16"/>
                <w:szCs w:val="16"/>
                <w:color w:val="auto"/>
              </w:rPr>
              <w:t>68,583</w:t>
            </w:r>
          </w:p>
        </w:tc>
        <w:tc>
          <w:tcPr>
            <w:tcW w:w="120" w:type="dxa"/>
            <w:vAlign w:val="bottom"/>
          </w:tcPr>
          <w:p>
            <w:pPr>
              <w:spacing w:after="0"/>
              <w:rPr>
                <w:sz w:val="20"/>
                <w:szCs w:val="20"/>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38,514,261</w:t>
            </w: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36,209,994</w:t>
            </w: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35,332,220</w:t>
            </w:r>
          </w:p>
        </w:tc>
        <w:tc>
          <w:tcPr>
            <w:tcW w:w="0" w:type="dxa"/>
            <w:vAlign w:val="bottom"/>
          </w:tcPr>
          <w:p>
            <w:pPr>
              <w:spacing w:after="0"/>
              <w:rPr>
                <w:sz w:val="1"/>
                <w:szCs w:val="1"/>
                <w:color w:val="auto"/>
              </w:rPr>
            </w:pPr>
          </w:p>
        </w:tc>
      </w:tr>
      <w:tr>
        <w:trPr>
          <w:trHeight w:val="33"/>
        </w:trPr>
        <w:tc>
          <w:tcPr>
            <w:tcW w:w="1220" w:type="dxa"/>
            <w:vAlign w:val="bottom"/>
            <w:tcBorders>
              <w:bottom w:val="single" w:sz="8" w:color="CEFFE7"/>
            </w:tcBorders>
          </w:tcPr>
          <w:p>
            <w:pPr>
              <w:spacing w:after="0"/>
              <w:rPr>
                <w:sz w:val="2"/>
                <w:szCs w:val="2"/>
                <w:color w:val="auto"/>
              </w:rPr>
            </w:pPr>
          </w:p>
        </w:tc>
        <w:tc>
          <w:tcPr>
            <w:tcW w:w="4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162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Total Revenue, Gross</w:t>
            </w:r>
          </w:p>
        </w:tc>
        <w:tc>
          <w:tcPr>
            <w:tcW w:w="200" w:type="dxa"/>
            <w:vAlign w:val="bottom"/>
            <w:shd w:val="clear" w:color="auto" w:fill="CEFFE7"/>
          </w:tcPr>
          <w:p>
            <w:pPr>
              <w:spacing w:after="0"/>
              <w:rPr>
                <w:sz w:val="17"/>
                <w:szCs w:val="17"/>
                <w:color w:val="auto"/>
              </w:rPr>
            </w:pPr>
          </w:p>
        </w:tc>
        <w:tc>
          <w:tcPr>
            <w:tcW w:w="80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820" w:type="dxa"/>
            <w:vAlign w:val="bottom"/>
            <w:shd w:val="clear" w:color="auto" w:fill="CEFFE7"/>
          </w:tcPr>
          <w:p>
            <w:pPr>
              <w:spacing w:after="0"/>
              <w:rPr>
                <w:sz w:val="17"/>
                <w:szCs w:val="17"/>
                <w:color w:val="auto"/>
              </w:rPr>
            </w:pPr>
          </w:p>
        </w:tc>
        <w:tc>
          <w:tcPr>
            <w:tcW w:w="340" w:type="dxa"/>
            <w:vAlign w:val="bottom"/>
            <w:shd w:val="clear" w:color="auto" w:fill="CEFFE7"/>
          </w:tcPr>
          <w:p>
            <w:pPr>
              <w:spacing w:after="0"/>
              <w:rPr>
                <w:sz w:val="17"/>
                <w:szCs w:val="17"/>
                <w:color w:val="auto"/>
              </w:rPr>
            </w:pPr>
          </w:p>
        </w:tc>
        <w:tc>
          <w:tcPr>
            <w:tcW w:w="74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240" w:type="dxa"/>
            <w:vAlign w:val="bottom"/>
            <w:shd w:val="clear" w:color="auto" w:fill="CEFFE7"/>
          </w:tcPr>
          <w:p>
            <w:pPr>
              <w:spacing w:after="0"/>
              <w:rPr>
                <w:sz w:val="17"/>
                <w:szCs w:val="17"/>
                <w:color w:val="auto"/>
              </w:rPr>
            </w:pPr>
          </w:p>
        </w:tc>
        <w:tc>
          <w:tcPr>
            <w:tcW w:w="74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260" w:type="dxa"/>
            <w:vAlign w:val="bottom"/>
            <w:shd w:val="clear" w:color="auto" w:fill="CEFFE7"/>
          </w:tcPr>
          <w:p>
            <w:pPr>
              <w:spacing w:after="0"/>
              <w:rPr>
                <w:sz w:val="17"/>
                <w:szCs w:val="17"/>
                <w:color w:val="auto"/>
              </w:rPr>
            </w:pPr>
          </w:p>
        </w:tc>
        <w:tc>
          <w:tcPr>
            <w:tcW w:w="780" w:type="dxa"/>
            <w:vAlign w:val="bottom"/>
            <w:shd w:val="clear" w:color="auto" w:fill="CEFFE7"/>
          </w:tcPr>
          <w:p>
            <w:pPr>
              <w:spacing w:after="0"/>
              <w:rPr>
                <w:sz w:val="17"/>
                <w:szCs w:val="17"/>
                <w:color w:val="auto"/>
              </w:rPr>
            </w:pPr>
          </w:p>
        </w:tc>
        <w:tc>
          <w:tcPr>
            <w:tcW w:w="120" w:type="dxa"/>
            <w:vAlign w:val="bottom"/>
            <w:shd w:val="clear" w:color="auto" w:fill="CEFFE7"/>
          </w:tcPr>
          <w:p>
            <w:pPr>
              <w:spacing w:after="0"/>
              <w:rPr>
                <w:sz w:val="17"/>
                <w:szCs w:val="17"/>
                <w:color w:val="auto"/>
              </w:rPr>
            </w:pPr>
          </w:p>
        </w:tc>
        <w:tc>
          <w:tcPr>
            <w:tcW w:w="1180" w:type="dxa"/>
            <w:vAlign w:val="bottom"/>
            <w:shd w:val="clear" w:color="auto" w:fill="CEFFE7"/>
          </w:tcPr>
          <w:p>
            <w:pPr>
              <w:spacing w:after="0"/>
              <w:rPr>
                <w:sz w:val="17"/>
                <w:szCs w:val="17"/>
                <w:color w:val="auto"/>
              </w:rPr>
            </w:pPr>
          </w:p>
        </w:tc>
        <w:tc>
          <w:tcPr>
            <w:tcW w:w="1140" w:type="dxa"/>
            <w:vAlign w:val="bottom"/>
            <w:shd w:val="clear" w:color="auto" w:fill="CEFFE7"/>
          </w:tcPr>
          <w:p>
            <w:pPr>
              <w:spacing w:after="0"/>
              <w:rPr>
                <w:sz w:val="17"/>
                <w:szCs w:val="17"/>
                <w:color w:val="auto"/>
              </w:rPr>
            </w:pPr>
          </w:p>
        </w:tc>
        <w:tc>
          <w:tcPr>
            <w:tcW w:w="108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62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Margin (non-GAAP)</w:t>
            </w:r>
          </w:p>
        </w:tc>
        <w:tc>
          <w:tcPr>
            <w:tcW w:w="20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w w:val="89"/>
              </w:rPr>
              <w:t>$</w:t>
            </w:r>
          </w:p>
        </w:tc>
        <w:tc>
          <w:tcPr>
            <w:tcW w:w="80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w w:val="98"/>
              </w:rPr>
              <w:t>1,010,030</w:t>
            </w:r>
          </w:p>
        </w:tc>
        <w:tc>
          <w:tcPr>
            <w:tcW w:w="2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82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1,025,307</w:t>
            </w:r>
          </w:p>
        </w:tc>
        <w:tc>
          <w:tcPr>
            <w:tcW w:w="340" w:type="dxa"/>
            <w:vAlign w:val="bottom"/>
            <w:vMerge w:val="restart"/>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947,630</w:t>
            </w:r>
          </w:p>
        </w:tc>
        <w:tc>
          <w:tcPr>
            <w:tcW w:w="100" w:type="dxa"/>
            <w:vAlign w:val="bottom"/>
            <w:shd w:val="clear" w:color="auto" w:fill="CEFFE7"/>
          </w:tcPr>
          <w:p>
            <w:pPr>
              <w:spacing w:after="0"/>
              <w:rPr>
                <w:sz w:val="17"/>
                <w:szCs w:val="17"/>
                <w:color w:val="auto"/>
              </w:rPr>
            </w:pPr>
          </w:p>
        </w:tc>
        <w:tc>
          <w:tcPr>
            <w:tcW w:w="24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4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584,132</w:t>
            </w:r>
          </w:p>
        </w:tc>
        <w:tc>
          <w:tcPr>
            <w:tcW w:w="26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760" w:type="dxa"/>
            <w:vAlign w:val="bottom"/>
            <w:vMerge w:val="restart"/>
            <w:shd w:val="clear" w:color="auto" w:fill="CEFFE7"/>
          </w:tcPr>
          <w:p>
            <w:pPr>
              <w:jc w:val="right"/>
              <w:spacing w:after="0"/>
              <w:rPr>
                <w:sz w:val="20"/>
                <w:szCs w:val="20"/>
                <w:color w:val="auto"/>
              </w:rPr>
            </w:pPr>
            <w:r>
              <w:rPr>
                <w:rFonts w:ascii="Arial" w:cs="Arial" w:eastAsia="Arial" w:hAnsi="Arial"/>
                <w:sz w:val="16"/>
                <w:szCs w:val="16"/>
                <w:color w:val="auto"/>
              </w:rPr>
              <w:t>563,154</w:t>
            </w:r>
          </w:p>
        </w:tc>
        <w:tc>
          <w:tcPr>
            <w:tcW w:w="260" w:type="dxa"/>
            <w:vAlign w:val="bottom"/>
            <w:vMerge w:val="restart"/>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7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538,027</w:t>
            </w:r>
          </w:p>
        </w:tc>
        <w:tc>
          <w:tcPr>
            <w:tcW w:w="120" w:type="dxa"/>
            <w:vAlign w:val="bottom"/>
            <w:shd w:val="clear" w:color="auto" w:fill="CEFFE7"/>
          </w:tcPr>
          <w:p>
            <w:pPr>
              <w:spacing w:after="0"/>
              <w:rPr>
                <w:sz w:val="17"/>
                <w:szCs w:val="17"/>
                <w:color w:val="auto"/>
              </w:rPr>
            </w:pPr>
          </w:p>
        </w:tc>
        <w:tc>
          <w:tcPr>
            <w:tcW w:w="118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258,846,808</w:t>
            </w:r>
          </w:p>
        </w:tc>
        <w:tc>
          <w:tcPr>
            <w:tcW w:w="1140" w:type="dxa"/>
            <w:vAlign w:val="bottom"/>
            <w:vMerge w:val="restart"/>
            <w:shd w:val="clear" w:color="auto" w:fill="CEFFE7"/>
          </w:tcPr>
          <w:p>
            <w:pPr>
              <w:jc w:val="right"/>
              <w:ind w:right="79"/>
              <w:spacing w:after="0"/>
              <w:rPr>
                <w:sz w:val="20"/>
                <w:szCs w:val="20"/>
                <w:color w:val="auto"/>
              </w:rPr>
            </w:pPr>
            <w:r>
              <w:rPr>
                <w:rFonts w:ascii="Arial" w:cs="Arial" w:eastAsia="Arial" w:hAnsi="Arial"/>
                <w:sz w:val="16"/>
                <w:szCs w:val="16"/>
                <w:color w:val="auto"/>
              </w:rPr>
              <w:t>250,713,739</w:t>
            </w:r>
          </w:p>
        </w:tc>
        <w:tc>
          <w:tcPr>
            <w:tcW w:w="1080" w:type="dxa"/>
            <w:vAlign w:val="bottom"/>
            <w:vMerge w:val="restart"/>
            <w:shd w:val="clear" w:color="auto" w:fill="CEFFE7"/>
          </w:tcPr>
          <w:p>
            <w:pPr>
              <w:jc w:val="right"/>
              <w:ind w:right="19"/>
              <w:spacing w:after="0"/>
              <w:rPr>
                <w:sz w:val="20"/>
                <w:szCs w:val="20"/>
                <w:color w:val="auto"/>
              </w:rPr>
            </w:pPr>
            <w:r>
              <w:rPr>
                <w:rFonts w:ascii="Arial" w:cs="Arial" w:eastAsia="Arial" w:hAnsi="Arial"/>
                <w:sz w:val="16"/>
                <w:szCs w:val="16"/>
                <w:color w:val="auto"/>
              </w:rPr>
              <w:t>229,416,602</w:t>
            </w:r>
          </w:p>
        </w:tc>
        <w:tc>
          <w:tcPr>
            <w:tcW w:w="0" w:type="dxa"/>
            <w:vAlign w:val="bottom"/>
          </w:tcPr>
          <w:p>
            <w:pPr>
              <w:spacing w:after="0"/>
              <w:rPr>
                <w:sz w:val="1"/>
                <w:szCs w:val="1"/>
                <w:color w:val="auto"/>
              </w:rPr>
            </w:pPr>
          </w:p>
        </w:tc>
      </w:tr>
      <w:tr>
        <w:trPr>
          <w:trHeight w:val="219"/>
        </w:trPr>
        <w:tc>
          <w:tcPr>
            <w:tcW w:w="16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and Quantities Sold</w:t>
            </w:r>
          </w:p>
        </w:tc>
        <w:tc>
          <w:tcPr>
            <w:tcW w:w="200" w:type="dxa"/>
            <w:vAlign w:val="bottom"/>
            <w:tcBorders>
              <w:bottom w:val="single" w:sz="8" w:color="auto"/>
            </w:tcBorders>
            <w:vMerge w:val="continue"/>
            <w:shd w:val="clear" w:color="auto" w:fill="CEFFE7"/>
          </w:tcPr>
          <w:p>
            <w:pPr>
              <w:spacing w:after="0"/>
              <w:rPr>
                <w:sz w:val="19"/>
                <w:szCs w:val="19"/>
                <w:color w:val="auto"/>
              </w:rPr>
            </w:pPr>
          </w:p>
        </w:tc>
        <w:tc>
          <w:tcPr>
            <w:tcW w:w="800" w:type="dxa"/>
            <w:vAlign w:val="bottom"/>
            <w:tcBorders>
              <w:bottom w:val="single" w:sz="8" w:color="auto"/>
            </w:tcBorders>
            <w:vMerge w:val="continue"/>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820" w:type="dxa"/>
            <w:vAlign w:val="bottom"/>
            <w:tcBorders>
              <w:bottom w:val="single" w:sz="8" w:color="auto"/>
            </w:tcBorders>
            <w:vMerge w:val="continue"/>
            <w:shd w:val="clear" w:color="auto" w:fill="CEFFE7"/>
          </w:tcPr>
          <w:p>
            <w:pPr>
              <w:spacing w:after="0"/>
              <w:rPr>
                <w:sz w:val="19"/>
                <w:szCs w:val="19"/>
                <w:color w:val="auto"/>
              </w:rPr>
            </w:pPr>
          </w:p>
        </w:tc>
        <w:tc>
          <w:tcPr>
            <w:tcW w:w="340" w:type="dxa"/>
            <w:vAlign w:val="bottom"/>
            <w:tcBorders>
              <w:bottom w:val="single" w:sz="8" w:color="auto"/>
            </w:tcBorders>
            <w:vMerge w:val="continue"/>
            <w:shd w:val="clear" w:color="auto" w:fill="CEFFE7"/>
          </w:tcPr>
          <w:p>
            <w:pPr>
              <w:spacing w:after="0"/>
              <w:rPr>
                <w:sz w:val="19"/>
                <w:szCs w:val="19"/>
                <w:color w:val="auto"/>
              </w:rPr>
            </w:pPr>
          </w:p>
        </w:tc>
        <w:tc>
          <w:tcPr>
            <w:tcW w:w="740" w:type="dxa"/>
            <w:vAlign w:val="bottom"/>
            <w:tcBorders>
              <w:bottom w:val="single" w:sz="8" w:color="auto"/>
            </w:tcBorders>
            <w:vMerge w:val="continue"/>
            <w:shd w:val="clear" w:color="auto" w:fill="CEFFE7"/>
          </w:tcPr>
          <w:p>
            <w:pPr>
              <w:spacing w:after="0"/>
              <w:rPr>
                <w:sz w:val="19"/>
                <w:szCs w:val="19"/>
                <w:color w:val="auto"/>
              </w:rPr>
            </w:pPr>
          </w:p>
        </w:tc>
        <w:tc>
          <w:tcPr>
            <w:tcW w:w="100" w:type="dxa"/>
            <w:vAlign w:val="bottom"/>
            <w:tcBorders>
              <w:bottom w:val="single" w:sz="8" w:color="CEFFE7"/>
            </w:tcBorders>
            <w:shd w:val="clear" w:color="auto" w:fill="CEFFE7"/>
          </w:tcPr>
          <w:p>
            <w:pPr>
              <w:spacing w:after="0"/>
              <w:rPr>
                <w:sz w:val="19"/>
                <w:szCs w:val="19"/>
                <w:color w:val="auto"/>
              </w:rPr>
            </w:pPr>
          </w:p>
        </w:tc>
        <w:tc>
          <w:tcPr>
            <w:tcW w:w="240" w:type="dxa"/>
            <w:vAlign w:val="bottom"/>
            <w:tcBorders>
              <w:bottom w:val="single" w:sz="8" w:color="auto"/>
            </w:tcBorders>
            <w:vMerge w:val="continue"/>
            <w:shd w:val="clear" w:color="auto" w:fill="CEFFE7"/>
          </w:tcPr>
          <w:p>
            <w:pPr>
              <w:spacing w:after="0"/>
              <w:rPr>
                <w:sz w:val="19"/>
                <w:szCs w:val="19"/>
                <w:color w:val="auto"/>
              </w:rPr>
            </w:pPr>
          </w:p>
        </w:tc>
        <w:tc>
          <w:tcPr>
            <w:tcW w:w="740" w:type="dxa"/>
            <w:vAlign w:val="bottom"/>
            <w:tcBorders>
              <w:bottom w:val="single" w:sz="8" w:color="auto"/>
            </w:tcBorders>
            <w:vMerge w:val="continue"/>
            <w:shd w:val="clear" w:color="auto" w:fill="CEFFE7"/>
          </w:tcPr>
          <w:p>
            <w:pPr>
              <w:spacing w:after="0"/>
              <w:rPr>
                <w:sz w:val="19"/>
                <w:szCs w:val="19"/>
                <w:color w:val="auto"/>
              </w:rPr>
            </w:pPr>
          </w:p>
        </w:tc>
        <w:tc>
          <w:tcPr>
            <w:tcW w:w="260" w:type="dxa"/>
            <w:vAlign w:val="bottom"/>
            <w:tcBorders>
              <w:bottom w:val="single" w:sz="8" w:color="auto"/>
            </w:tcBorders>
            <w:vMerge w:val="continue"/>
            <w:shd w:val="clear" w:color="auto" w:fill="CEFFE7"/>
          </w:tcPr>
          <w:p>
            <w:pPr>
              <w:spacing w:after="0"/>
              <w:rPr>
                <w:sz w:val="19"/>
                <w:szCs w:val="19"/>
                <w:color w:val="auto"/>
              </w:rPr>
            </w:pPr>
          </w:p>
        </w:tc>
        <w:tc>
          <w:tcPr>
            <w:tcW w:w="760" w:type="dxa"/>
            <w:vAlign w:val="bottom"/>
            <w:tcBorders>
              <w:bottom w:val="single" w:sz="8" w:color="auto"/>
            </w:tcBorders>
            <w:vMerge w:val="continue"/>
            <w:shd w:val="clear" w:color="auto" w:fill="CEFFE7"/>
          </w:tcPr>
          <w:p>
            <w:pPr>
              <w:spacing w:after="0"/>
              <w:rPr>
                <w:sz w:val="19"/>
                <w:szCs w:val="19"/>
                <w:color w:val="auto"/>
              </w:rPr>
            </w:pPr>
          </w:p>
        </w:tc>
        <w:tc>
          <w:tcPr>
            <w:tcW w:w="260" w:type="dxa"/>
            <w:vAlign w:val="bottom"/>
            <w:tcBorders>
              <w:bottom w:val="single" w:sz="8" w:color="auto"/>
            </w:tcBorders>
            <w:vMerge w:val="continue"/>
            <w:shd w:val="clear" w:color="auto" w:fill="CEFFE7"/>
          </w:tcPr>
          <w:p>
            <w:pPr>
              <w:spacing w:after="0"/>
              <w:rPr>
                <w:sz w:val="19"/>
                <w:szCs w:val="19"/>
                <w:color w:val="auto"/>
              </w:rPr>
            </w:pPr>
          </w:p>
        </w:tc>
        <w:tc>
          <w:tcPr>
            <w:tcW w:w="780" w:type="dxa"/>
            <w:vAlign w:val="bottom"/>
            <w:tcBorders>
              <w:bottom w:val="single" w:sz="8" w:color="auto"/>
            </w:tcBorders>
            <w:vMerge w:val="continue"/>
            <w:shd w:val="clear" w:color="auto" w:fill="CEFFE7"/>
          </w:tcPr>
          <w:p>
            <w:pPr>
              <w:spacing w:after="0"/>
              <w:rPr>
                <w:sz w:val="19"/>
                <w:szCs w:val="19"/>
                <w:color w:val="auto"/>
              </w:rPr>
            </w:pPr>
          </w:p>
        </w:tc>
        <w:tc>
          <w:tcPr>
            <w:tcW w:w="120" w:type="dxa"/>
            <w:vAlign w:val="bottom"/>
            <w:tcBorders>
              <w:bottom w:val="single" w:sz="8" w:color="CEFFE7"/>
            </w:tcBorders>
            <w:shd w:val="clear" w:color="auto" w:fill="CEFFE7"/>
          </w:tcPr>
          <w:p>
            <w:pPr>
              <w:spacing w:after="0"/>
              <w:rPr>
                <w:sz w:val="19"/>
                <w:szCs w:val="19"/>
                <w:color w:val="auto"/>
              </w:rPr>
            </w:pPr>
          </w:p>
        </w:tc>
        <w:tc>
          <w:tcPr>
            <w:tcW w:w="1180" w:type="dxa"/>
            <w:vAlign w:val="bottom"/>
            <w:tcBorders>
              <w:bottom w:val="single" w:sz="8" w:color="auto"/>
            </w:tcBorders>
            <w:vMerge w:val="continue"/>
            <w:shd w:val="clear" w:color="auto" w:fill="CEFFE7"/>
          </w:tcPr>
          <w:p>
            <w:pPr>
              <w:spacing w:after="0"/>
              <w:rPr>
                <w:sz w:val="19"/>
                <w:szCs w:val="19"/>
                <w:color w:val="auto"/>
              </w:rPr>
            </w:pPr>
          </w:p>
        </w:tc>
        <w:tc>
          <w:tcPr>
            <w:tcW w:w="1140" w:type="dxa"/>
            <w:vAlign w:val="bottom"/>
            <w:tcBorders>
              <w:bottom w:val="single" w:sz="8" w:color="auto"/>
            </w:tcBorders>
            <w:vMerge w:val="continue"/>
            <w:shd w:val="clear" w:color="auto" w:fill="CEFFE7"/>
          </w:tcPr>
          <w:p>
            <w:pPr>
              <w:spacing w:after="0"/>
              <w:rPr>
                <w:sz w:val="19"/>
                <w:szCs w:val="19"/>
                <w:color w:val="auto"/>
              </w:rPr>
            </w:pPr>
          </w:p>
        </w:tc>
        <w:tc>
          <w:tcPr>
            <w:tcW w:w="1080" w:type="dxa"/>
            <w:vAlign w:val="bottom"/>
            <w:tcBorders>
              <w:bottom w:val="single" w:sz="8" w:color="auto"/>
            </w:tcBorders>
            <w:vMerge w:val="continue"/>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rPr>
          <w:sz w:val="20"/>
          <w:szCs w:val="20"/>
          <w:color w:val="auto"/>
        </w:rPr>
      </w:pPr>
      <w:r>
        <w:rPr>
          <w:rFonts w:ascii="Arial" w:cs="Arial" w:eastAsia="Arial" w:hAnsi="Arial"/>
          <w:sz w:val="18"/>
          <w:szCs w:val="18"/>
          <w:color w:val="auto"/>
        </w:rPr>
        <w:t>________________</w:t>
      </w:r>
    </w:p>
    <w:p>
      <w:pPr>
        <w:spacing w:after="0" w:line="9" w:lineRule="exact"/>
        <w:rPr>
          <w:sz w:val="20"/>
          <w:szCs w:val="20"/>
          <w:color w:val="auto"/>
        </w:rPr>
      </w:pPr>
    </w:p>
    <w:p>
      <w:pPr>
        <w:ind w:left="660" w:right="60" w:hanging="652"/>
        <w:spacing w:after="0" w:line="263" w:lineRule="auto"/>
        <w:tabs>
          <w:tab w:leader="none" w:pos="6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For further information on Gross Margin, see “</w:t>
      </w:r>
      <w:hyperlink w:anchor="page50">
        <w:r>
          <w:rPr>
            <w:rFonts w:ascii="Arial" w:cs="Arial" w:eastAsia="Arial" w:hAnsi="Arial"/>
            <w:sz w:val="16"/>
            <w:szCs w:val="16"/>
            <w:u w:val="single" w:color="auto"/>
            <w:color w:val="0000EE"/>
          </w:rPr>
          <w:t>Non-GAAP Financial Measure</w:t>
        </w:r>
      </w:hyperlink>
      <w:r>
        <w:rPr>
          <w:rFonts w:ascii="Arial" w:cs="Arial" w:eastAsia="Arial" w:hAnsi="Arial"/>
          <w:sz w:val="16"/>
          <w:szCs w:val="16"/>
          <w:color w:val="auto"/>
        </w:rPr>
        <w:t xml:space="preserve">” within Management’s Discussion and Analysis of Financial Condition and Results of Operations in </w:t>
      </w:r>
      <w:hyperlink w:anchor="page42">
        <w:r>
          <w:rPr>
            <w:rFonts w:ascii="Arial" w:cs="Arial" w:eastAsia="Arial" w:hAnsi="Arial"/>
            <w:sz w:val="16"/>
            <w:szCs w:val="16"/>
            <w:u w:val="single" w:color="auto"/>
            <w:color w:val="0000EE"/>
          </w:rPr>
          <w:t>Item 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this Annual Report on Form 10-K.</w:t>
      </w:r>
    </w:p>
    <w:p>
      <w:pPr>
        <w:spacing w:after="0" w:line="330" w:lineRule="exact"/>
        <w:rPr>
          <w:rFonts w:ascii="Arial" w:cs="Arial" w:eastAsia="Arial" w:hAnsi="Arial"/>
          <w:sz w:val="16"/>
          <w:szCs w:val="16"/>
          <w:color w:val="auto"/>
        </w:rPr>
      </w:pPr>
    </w:p>
    <w:tbl>
      <w:tblPr>
        <w:tblLayout w:type="fixed"/>
        <w:tblInd w:w="0" w:type="dxa"/>
        <w:tblCellMar>
          <w:top w:w="0" w:type="dxa"/>
          <w:left w:w="0" w:type="dxa"/>
          <w:bottom w:w="0" w:type="dxa"/>
          <w:right w:w="0" w:type="dxa"/>
        </w:tblCellMar>
      </w:tblPr>
      <w:tr>
        <w:trPr>
          <w:trHeight w:val="206"/>
        </w:trPr>
        <w:tc>
          <w:tcPr>
            <w:tcW w:w="340" w:type="dxa"/>
            <w:vAlign w:val="bottom"/>
          </w:tcPr>
          <w:p>
            <w:pPr>
              <w:spacing w:after="0"/>
              <w:rPr>
                <w:sz w:val="17"/>
                <w:szCs w:val="17"/>
                <w:color w:val="auto"/>
              </w:rPr>
            </w:pPr>
          </w:p>
        </w:tc>
        <w:tc>
          <w:tcPr>
            <w:tcW w:w="6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720" w:type="dxa"/>
            <w:vAlign w:val="bottom"/>
          </w:tcPr>
          <w:p>
            <w:pPr>
              <w:jc w:val="right"/>
              <w:ind w:right="279"/>
              <w:spacing w:after="0"/>
              <w:rPr>
                <w:sz w:val="20"/>
                <w:szCs w:val="20"/>
                <w:color w:val="auto"/>
              </w:rPr>
            </w:pPr>
            <w:r>
              <w:rPr>
                <w:rFonts w:ascii="Arial" w:cs="Arial" w:eastAsia="Arial" w:hAnsi="Arial"/>
                <w:sz w:val="16"/>
                <w:szCs w:val="16"/>
                <w:color w:val="auto"/>
                <w:w w:val="94"/>
              </w:rPr>
              <w:t>As of December 31,</w:t>
            </w:r>
          </w:p>
        </w:tc>
        <w:tc>
          <w:tcPr>
            <w:tcW w:w="1200" w:type="dxa"/>
            <w:vAlign w:val="bottom"/>
          </w:tcPr>
          <w:p>
            <w:pPr>
              <w:spacing w:after="0"/>
              <w:rPr>
                <w:sz w:val="17"/>
                <w:szCs w:val="17"/>
                <w:color w:val="auto"/>
              </w:rPr>
            </w:pPr>
          </w:p>
        </w:tc>
      </w:tr>
      <w:tr>
        <w:trPr>
          <w:trHeight w:val="257"/>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Customers at End of Year</w:t>
            </w:r>
          </w:p>
        </w:tc>
        <w:tc>
          <w:tcPr>
            <w:tcW w:w="1520" w:type="dxa"/>
            <w:vAlign w:val="bottom"/>
            <w:gridSpan w:val="2"/>
          </w:tcPr>
          <w:p>
            <w:pPr>
              <w:jc w:val="right"/>
              <w:ind w:right="539"/>
              <w:spacing w:after="0"/>
              <w:rPr>
                <w:sz w:val="20"/>
                <w:szCs w:val="20"/>
                <w:color w:val="auto"/>
              </w:rPr>
            </w:pPr>
            <w:r>
              <w:rPr>
                <w:rFonts w:ascii="Arial" w:cs="Arial" w:eastAsia="Arial" w:hAnsi="Arial"/>
                <w:sz w:val="16"/>
                <w:szCs w:val="16"/>
                <w:color w:val="auto"/>
              </w:rPr>
              <w:t>2019</w:t>
            </w:r>
          </w:p>
        </w:tc>
        <w:tc>
          <w:tcPr>
            <w:tcW w:w="1720" w:type="dxa"/>
            <w:vAlign w:val="bottom"/>
          </w:tcPr>
          <w:p>
            <w:pPr>
              <w:jc w:val="right"/>
              <w:ind w:right="759"/>
              <w:spacing w:after="0"/>
              <w:rPr>
                <w:sz w:val="20"/>
                <w:szCs w:val="20"/>
                <w:color w:val="auto"/>
              </w:rPr>
            </w:pPr>
            <w:r>
              <w:rPr>
                <w:rFonts w:ascii="Arial" w:cs="Arial" w:eastAsia="Arial" w:hAnsi="Arial"/>
                <w:sz w:val="16"/>
                <w:szCs w:val="16"/>
                <w:color w:val="auto"/>
              </w:rPr>
              <w:t>2018</w:t>
            </w:r>
          </w:p>
        </w:tc>
        <w:tc>
          <w:tcPr>
            <w:tcW w:w="1200" w:type="dxa"/>
            <w:vAlign w:val="bottom"/>
          </w:tcPr>
          <w:p>
            <w:pPr>
              <w:jc w:val="right"/>
              <w:ind w:right="499"/>
              <w:spacing w:after="0"/>
              <w:rPr>
                <w:sz w:val="20"/>
                <w:szCs w:val="20"/>
                <w:color w:val="auto"/>
              </w:rPr>
            </w:pPr>
            <w:r>
              <w:rPr>
                <w:rFonts w:ascii="Arial" w:cs="Arial" w:eastAsia="Arial" w:hAnsi="Arial"/>
                <w:sz w:val="16"/>
                <w:szCs w:val="16"/>
                <w:color w:val="auto"/>
              </w:rPr>
              <w:t>2017</w:t>
            </w:r>
          </w:p>
        </w:tc>
      </w:tr>
      <w:tr>
        <w:trPr>
          <w:trHeight w:val="33"/>
        </w:trPr>
        <w:tc>
          <w:tcPr>
            <w:tcW w:w="340" w:type="dxa"/>
            <w:vAlign w:val="bottom"/>
            <w:tcBorders>
              <w:bottom w:val="single" w:sz="8" w:color="auto"/>
            </w:tcBorders>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340" w:type="dxa"/>
            <w:vAlign w:val="bottom"/>
            <w:shd w:val="clear" w:color="auto" w:fill="CEFFE7"/>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7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Residential</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831,351</w:t>
            </w: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821,624</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806,744</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Commercial</w:t>
            </w:r>
          </w:p>
        </w:tc>
        <w:tc>
          <w:tcPr>
            <w:tcW w:w="1520" w:type="dxa"/>
            <w:vAlign w:val="bottom"/>
            <w:tcBorders>
              <w:bottom w:val="single" w:sz="8" w:color="CEFFE7"/>
            </w:tcBorders>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82,912</w:t>
            </w:r>
          </w:p>
        </w:tc>
        <w:tc>
          <w:tcPr>
            <w:tcW w:w="172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82,498</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86,461</w:t>
            </w:r>
          </w:p>
        </w:tc>
      </w:tr>
      <w:tr>
        <w:trPr>
          <w:trHeight w:val="22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Industrial</w:t>
            </w:r>
          </w:p>
        </w:tc>
        <w:tc>
          <w:tcPr>
            <w:tcW w:w="1520" w:type="dxa"/>
            <w:vAlign w:val="bottom"/>
            <w:gridSpan w:val="2"/>
          </w:tcPr>
          <w:p>
            <w:pPr>
              <w:jc w:val="right"/>
              <w:ind w:right="59"/>
              <w:spacing w:after="0"/>
              <w:rPr>
                <w:sz w:val="20"/>
                <w:szCs w:val="20"/>
                <w:color w:val="auto"/>
              </w:rPr>
            </w:pPr>
            <w:r>
              <w:rPr>
                <w:rFonts w:ascii="Arial" w:cs="Arial" w:eastAsia="Arial" w:hAnsi="Arial"/>
                <w:sz w:val="16"/>
                <w:szCs w:val="16"/>
                <w:color w:val="auto"/>
              </w:rPr>
              <w:t>2,208</w:t>
            </w:r>
          </w:p>
        </w:tc>
        <w:tc>
          <w:tcPr>
            <w:tcW w:w="1720" w:type="dxa"/>
            <w:vAlign w:val="bottom"/>
          </w:tcPr>
          <w:p>
            <w:pPr>
              <w:jc w:val="right"/>
              <w:ind w:right="299"/>
              <w:spacing w:after="0"/>
              <w:rPr>
                <w:sz w:val="20"/>
                <w:szCs w:val="20"/>
                <w:color w:val="auto"/>
              </w:rPr>
            </w:pPr>
            <w:r>
              <w:rPr>
                <w:rFonts w:ascii="Arial" w:cs="Arial" w:eastAsia="Arial" w:hAnsi="Arial"/>
                <w:sz w:val="16"/>
                <w:szCs w:val="16"/>
                <w:color w:val="auto"/>
              </w:rPr>
              <w:t>2,221</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2,214</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69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Transportation/Other</w:t>
            </w:r>
          </w:p>
        </w:tc>
        <w:tc>
          <w:tcPr>
            <w:tcW w:w="1520" w:type="dxa"/>
            <w:vAlign w:val="bottom"/>
            <w:tcBorders>
              <w:bottom w:val="single" w:sz="8" w:color="CEFFE7"/>
            </w:tcBorders>
            <w:gridSpan w:val="2"/>
            <w:shd w:val="clear" w:color="auto" w:fill="CEFFE7"/>
          </w:tcPr>
          <w:p>
            <w:pPr>
              <w:jc w:val="right"/>
              <w:ind w:right="59"/>
              <w:spacing w:after="0"/>
              <w:rPr>
                <w:sz w:val="20"/>
                <w:szCs w:val="20"/>
                <w:color w:val="auto"/>
              </w:rPr>
            </w:pPr>
            <w:r>
              <w:rPr>
                <w:rFonts w:ascii="Arial" w:cs="Arial" w:eastAsia="Arial" w:hAnsi="Arial"/>
                <w:sz w:val="16"/>
                <w:szCs w:val="16"/>
                <w:color w:val="auto"/>
              </w:rPr>
              <w:t>149,971</w:t>
            </w:r>
          </w:p>
        </w:tc>
        <w:tc>
          <w:tcPr>
            <w:tcW w:w="1720" w:type="dxa"/>
            <w:vAlign w:val="bottom"/>
            <w:tcBorders>
              <w:bottom w:val="single" w:sz="8" w:color="CEFFE7"/>
            </w:tcBorders>
            <w:shd w:val="clear" w:color="auto" w:fill="CEFFE7"/>
          </w:tcPr>
          <w:p>
            <w:pPr>
              <w:jc w:val="right"/>
              <w:ind w:right="299"/>
              <w:spacing w:after="0"/>
              <w:rPr>
                <w:sz w:val="20"/>
                <w:szCs w:val="20"/>
                <w:color w:val="auto"/>
              </w:rPr>
            </w:pPr>
            <w:r>
              <w:rPr>
                <w:rFonts w:ascii="Arial" w:cs="Arial" w:eastAsia="Arial" w:hAnsi="Arial"/>
                <w:sz w:val="16"/>
                <w:szCs w:val="16"/>
                <w:color w:val="auto"/>
              </w:rPr>
              <w:t>147,550</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146,839</w:t>
            </w:r>
          </w:p>
        </w:tc>
      </w:tr>
      <w:tr>
        <w:trPr>
          <w:trHeight w:val="244"/>
        </w:trPr>
        <w:tc>
          <w:tcPr>
            <w:tcW w:w="6980" w:type="dxa"/>
            <w:vAlign w:val="bottom"/>
            <w:gridSpan w:val="2"/>
          </w:tcPr>
          <w:p>
            <w:pPr>
              <w:ind w:left="40"/>
              <w:spacing w:after="0"/>
              <w:rPr>
                <w:sz w:val="20"/>
                <w:szCs w:val="20"/>
                <w:color w:val="auto"/>
              </w:rPr>
            </w:pPr>
            <w:r>
              <w:rPr>
                <w:rFonts w:ascii="Arial" w:cs="Arial" w:eastAsia="Arial" w:hAnsi="Arial"/>
                <w:sz w:val="16"/>
                <w:szCs w:val="16"/>
                <w:color w:val="auto"/>
              </w:rPr>
              <w:t>Total Customers at End of Year</w:t>
            </w:r>
          </w:p>
        </w:tc>
        <w:tc>
          <w:tcPr>
            <w:tcW w:w="1520" w:type="dxa"/>
            <w:vAlign w:val="bottom"/>
            <w:tcBorders>
              <w:top w:val="single" w:sz="8" w:color="auto"/>
              <w:bottom w:val="single" w:sz="8" w:color="auto"/>
            </w:tcBorders>
            <w:gridSpan w:val="2"/>
          </w:tcPr>
          <w:p>
            <w:pPr>
              <w:jc w:val="right"/>
              <w:ind w:right="59"/>
              <w:spacing w:after="0"/>
              <w:rPr>
                <w:sz w:val="20"/>
                <w:szCs w:val="20"/>
                <w:color w:val="auto"/>
              </w:rPr>
            </w:pPr>
            <w:r>
              <w:rPr>
                <w:rFonts w:ascii="Arial" w:cs="Arial" w:eastAsia="Arial" w:hAnsi="Arial"/>
                <w:sz w:val="16"/>
                <w:szCs w:val="16"/>
                <w:color w:val="auto"/>
              </w:rPr>
              <w:t>1,066,442</w:t>
            </w:r>
          </w:p>
        </w:tc>
        <w:tc>
          <w:tcPr>
            <w:tcW w:w="1720" w:type="dxa"/>
            <w:vAlign w:val="bottom"/>
            <w:tcBorders>
              <w:top w:val="single" w:sz="8" w:color="auto"/>
              <w:bottom w:val="single" w:sz="8" w:color="auto"/>
            </w:tcBorders>
          </w:tcPr>
          <w:p>
            <w:pPr>
              <w:jc w:val="right"/>
              <w:ind w:right="299"/>
              <w:spacing w:after="0"/>
              <w:rPr>
                <w:sz w:val="20"/>
                <w:szCs w:val="20"/>
                <w:color w:val="auto"/>
              </w:rPr>
            </w:pPr>
            <w:r>
              <w:rPr>
                <w:rFonts w:ascii="Arial" w:cs="Arial" w:eastAsia="Arial" w:hAnsi="Arial"/>
                <w:sz w:val="16"/>
                <w:szCs w:val="16"/>
                <w:color w:val="auto"/>
              </w:rPr>
              <w:t>1,053,893</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1,042,258</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683"/>
        </w:trPr>
        <w:tc>
          <w:tcPr>
            <w:tcW w:w="340" w:type="dxa"/>
            <w:vAlign w:val="bottom"/>
          </w:tcPr>
          <w:p>
            <w:pPr>
              <w:spacing w:after="0"/>
              <w:rPr>
                <w:sz w:val="24"/>
                <w:szCs w:val="24"/>
                <w:color w:val="auto"/>
              </w:rPr>
            </w:pPr>
          </w:p>
        </w:tc>
        <w:tc>
          <w:tcPr>
            <w:tcW w:w="6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720" w:type="dxa"/>
            <w:vAlign w:val="bottom"/>
          </w:tcPr>
          <w:p>
            <w:pPr>
              <w:jc w:val="right"/>
              <w:ind w:right="219"/>
              <w:spacing w:after="0"/>
              <w:rPr>
                <w:sz w:val="20"/>
                <w:szCs w:val="20"/>
                <w:color w:val="auto"/>
              </w:rPr>
            </w:pPr>
            <w:r>
              <w:rPr>
                <w:rFonts w:ascii="Arial" w:cs="Arial" w:eastAsia="Arial" w:hAnsi="Arial"/>
                <w:sz w:val="16"/>
                <w:szCs w:val="16"/>
                <w:color w:val="auto"/>
                <w:w w:val="98"/>
              </w:rPr>
              <w:t>As of December 31,</w:t>
            </w:r>
          </w:p>
        </w:tc>
        <w:tc>
          <w:tcPr>
            <w:tcW w:w="1200" w:type="dxa"/>
            <w:vAlign w:val="bottom"/>
          </w:tcPr>
          <w:p>
            <w:pPr>
              <w:spacing w:after="0"/>
              <w:rPr>
                <w:sz w:val="24"/>
                <w:szCs w:val="24"/>
                <w:color w:val="auto"/>
              </w:rPr>
            </w:pPr>
          </w:p>
        </w:tc>
      </w:tr>
      <w:tr>
        <w:trPr>
          <w:trHeight w:val="257"/>
        </w:trPr>
        <w:tc>
          <w:tcPr>
            <w:tcW w:w="340" w:type="dxa"/>
            <w:vAlign w:val="bottom"/>
          </w:tcPr>
          <w:p>
            <w:pPr>
              <w:spacing w:after="0"/>
              <w:rPr>
                <w:sz w:val="22"/>
                <w:szCs w:val="22"/>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Customers at End of Year</w:t>
            </w:r>
          </w:p>
        </w:tc>
        <w:tc>
          <w:tcPr>
            <w:tcW w:w="1520" w:type="dxa"/>
            <w:vAlign w:val="bottom"/>
            <w:gridSpan w:val="2"/>
          </w:tcPr>
          <w:p>
            <w:pPr>
              <w:jc w:val="right"/>
              <w:ind w:right="439"/>
              <w:spacing w:after="0"/>
              <w:rPr>
                <w:sz w:val="20"/>
                <w:szCs w:val="20"/>
                <w:color w:val="auto"/>
              </w:rPr>
            </w:pPr>
            <w:r>
              <w:rPr>
                <w:rFonts w:ascii="Arial" w:cs="Arial" w:eastAsia="Arial" w:hAnsi="Arial"/>
                <w:sz w:val="16"/>
                <w:szCs w:val="16"/>
                <w:color w:val="auto"/>
              </w:rPr>
              <w:t>2019</w:t>
            </w:r>
          </w:p>
        </w:tc>
        <w:tc>
          <w:tcPr>
            <w:tcW w:w="1720" w:type="dxa"/>
            <w:vAlign w:val="bottom"/>
          </w:tcPr>
          <w:p>
            <w:pPr>
              <w:jc w:val="right"/>
              <w:ind w:right="699"/>
              <w:spacing w:after="0"/>
              <w:rPr>
                <w:sz w:val="20"/>
                <w:szCs w:val="20"/>
                <w:color w:val="auto"/>
              </w:rPr>
            </w:pPr>
            <w:r>
              <w:rPr>
                <w:rFonts w:ascii="Arial" w:cs="Arial" w:eastAsia="Arial" w:hAnsi="Arial"/>
                <w:sz w:val="16"/>
                <w:szCs w:val="16"/>
                <w:color w:val="auto"/>
              </w:rPr>
              <w:t>2018</w:t>
            </w:r>
          </w:p>
        </w:tc>
        <w:tc>
          <w:tcPr>
            <w:tcW w:w="1200" w:type="dxa"/>
            <w:vAlign w:val="bottom"/>
          </w:tcPr>
          <w:p>
            <w:pPr>
              <w:jc w:val="right"/>
              <w:ind w:right="479"/>
              <w:spacing w:after="0"/>
              <w:rPr>
                <w:sz w:val="20"/>
                <w:szCs w:val="20"/>
                <w:color w:val="auto"/>
              </w:rPr>
            </w:pPr>
            <w:r>
              <w:rPr>
                <w:rFonts w:ascii="Arial" w:cs="Arial" w:eastAsia="Arial" w:hAnsi="Arial"/>
                <w:sz w:val="16"/>
                <w:szCs w:val="16"/>
                <w:color w:val="auto"/>
              </w:rPr>
              <w:t>2017</w:t>
            </w:r>
          </w:p>
        </w:tc>
      </w:tr>
      <w:tr>
        <w:trPr>
          <w:trHeight w:val="33"/>
        </w:trPr>
        <w:tc>
          <w:tcPr>
            <w:tcW w:w="340" w:type="dxa"/>
            <w:vAlign w:val="bottom"/>
          </w:tcPr>
          <w:p>
            <w:pPr>
              <w:spacing w:after="0"/>
              <w:rPr>
                <w:sz w:val="2"/>
                <w:szCs w:val="2"/>
                <w:color w:val="auto"/>
              </w:rPr>
            </w:pPr>
          </w:p>
        </w:tc>
        <w:tc>
          <w:tcPr>
            <w:tcW w:w="66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10"/>
        </w:trPr>
        <w:tc>
          <w:tcPr>
            <w:tcW w:w="340" w:type="dxa"/>
            <w:vAlign w:val="bottom"/>
          </w:tcPr>
          <w:p>
            <w:pPr>
              <w:spacing w:after="0"/>
              <w:rPr>
                <w:sz w:val="18"/>
                <w:szCs w:val="18"/>
                <w:color w:val="auto"/>
              </w:rPr>
            </w:pPr>
          </w:p>
        </w:tc>
        <w:tc>
          <w:tcPr>
            <w:tcW w:w="6640" w:type="dxa"/>
            <w:vAlign w:val="bottom"/>
            <w:shd w:val="clear" w:color="auto" w:fill="CEFFE7"/>
          </w:tcPr>
          <w:p>
            <w:pPr>
              <w:spacing w:after="0"/>
              <w:rPr>
                <w:sz w:val="18"/>
                <w:szCs w:val="18"/>
                <w:color w:val="auto"/>
              </w:rPr>
            </w:pPr>
          </w:p>
        </w:tc>
        <w:tc>
          <w:tcPr>
            <w:tcW w:w="120" w:type="dxa"/>
            <w:vAlign w:val="bottom"/>
            <w:shd w:val="clear" w:color="auto" w:fill="CEFFE7"/>
          </w:tcPr>
          <w:p>
            <w:pPr>
              <w:spacing w:after="0"/>
              <w:rPr>
                <w:sz w:val="18"/>
                <w:szCs w:val="18"/>
                <w:color w:val="auto"/>
              </w:rPr>
            </w:pPr>
          </w:p>
        </w:tc>
        <w:tc>
          <w:tcPr>
            <w:tcW w:w="1400" w:type="dxa"/>
            <w:vAlign w:val="bottom"/>
            <w:shd w:val="clear" w:color="auto" w:fill="CEFFE7"/>
          </w:tcPr>
          <w:p>
            <w:pPr>
              <w:spacing w:after="0"/>
              <w:rPr>
                <w:sz w:val="18"/>
                <w:szCs w:val="18"/>
                <w:color w:val="auto"/>
              </w:rPr>
            </w:pPr>
          </w:p>
        </w:tc>
        <w:tc>
          <w:tcPr>
            <w:tcW w:w="1720" w:type="dxa"/>
            <w:vAlign w:val="bottom"/>
            <w:shd w:val="clear" w:color="auto" w:fill="CEFFE7"/>
          </w:tcPr>
          <w:p>
            <w:pPr>
              <w:spacing w:after="0"/>
              <w:rPr>
                <w:sz w:val="18"/>
                <w:szCs w:val="18"/>
                <w:color w:val="auto"/>
              </w:rPr>
            </w:pPr>
          </w:p>
        </w:tc>
        <w:tc>
          <w:tcPr>
            <w:tcW w:w="1200" w:type="dxa"/>
            <w:vAlign w:val="bottom"/>
            <w:shd w:val="clear" w:color="auto" w:fill="CEFFE7"/>
          </w:tcPr>
          <w:p>
            <w:pPr>
              <w:spacing w:after="0"/>
              <w:rPr>
                <w:sz w:val="18"/>
                <w:szCs w:val="18"/>
                <w:color w:val="auto"/>
              </w:rPr>
            </w:pP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Arkansas</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174,447</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171,978</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169,303</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Colorado</w:t>
            </w:r>
          </w:p>
        </w:tc>
        <w:tc>
          <w:tcPr>
            <w:tcW w:w="15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191,950</w:t>
            </w:r>
          </w:p>
        </w:tc>
        <w:tc>
          <w:tcPr>
            <w:tcW w:w="17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186,759</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181,876</w:t>
            </w: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Iowa</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159,641</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158,485</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157,444</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37"/>
        </w:trPr>
        <w:tc>
          <w:tcPr>
            <w:tcW w:w="340" w:type="dxa"/>
            <w:vAlign w:val="bottom"/>
          </w:tcPr>
          <w:p>
            <w:pPr>
              <w:spacing w:after="0"/>
              <w:rPr>
                <w:sz w:val="20"/>
                <w:szCs w:val="20"/>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Kansas</w:t>
            </w:r>
          </w:p>
        </w:tc>
        <w:tc>
          <w:tcPr>
            <w:tcW w:w="15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115,846</w:t>
            </w:r>
          </w:p>
        </w:tc>
        <w:tc>
          <w:tcPr>
            <w:tcW w:w="17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114,840</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114,082</w:t>
            </w:r>
          </w:p>
        </w:tc>
      </w:tr>
      <w:tr>
        <w:trPr>
          <w:trHeight w:val="224"/>
        </w:trPr>
        <w:tc>
          <w:tcPr>
            <w:tcW w:w="340" w:type="dxa"/>
            <w:vAlign w:val="bottom"/>
          </w:tcPr>
          <w:p>
            <w:pPr>
              <w:spacing w:after="0"/>
              <w:rPr>
                <w:sz w:val="19"/>
                <w:szCs w:val="19"/>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Nebraska</w:t>
            </w:r>
          </w:p>
        </w:tc>
        <w:tc>
          <w:tcPr>
            <w:tcW w:w="1520" w:type="dxa"/>
            <w:vAlign w:val="bottom"/>
            <w:gridSpan w:val="2"/>
          </w:tcPr>
          <w:p>
            <w:pPr>
              <w:jc w:val="right"/>
              <w:spacing w:after="0"/>
              <w:rPr>
                <w:sz w:val="20"/>
                <w:szCs w:val="20"/>
                <w:color w:val="auto"/>
              </w:rPr>
            </w:pPr>
            <w:r>
              <w:rPr>
                <w:rFonts w:ascii="Arial" w:cs="Arial" w:eastAsia="Arial" w:hAnsi="Arial"/>
                <w:sz w:val="16"/>
                <w:szCs w:val="16"/>
                <w:color w:val="auto"/>
              </w:rPr>
              <w:t>293,576</w:t>
            </w:r>
          </w:p>
        </w:tc>
        <w:tc>
          <w:tcPr>
            <w:tcW w:w="1720" w:type="dxa"/>
            <w:vAlign w:val="bottom"/>
          </w:tcPr>
          <w:p>
            <w:pPr>
              <w:jc w:val="right"/>
              <w:ind w:right="259"/>
              <w:spacing w:after="0"/>
              <w:rPr>
                <w:sz w:val="20"/>
                <w:szCs w:val="20"/>
                <w:color w:val="auto"/>
              </w:rPr>
            </w:pPr>
            <w:r>
              <w:rPr>
                <w:rFonts w:ascii="Arial" w:cs="Arial" w:eastAsia="Arial" w:hAnsi="Arial"/>
                <w:sz w:val="16"/>
                <w:szCs w:val="16"/>
                <w:color w:val="auto"/>
              </w:rPr>
              <w:t>291,723</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290,264</w:t>
            </w:r>
          </w:p>
        </w:tc>
      </w:tr>
      <w:tr>
        <w:trPr>
          <w:trHeight w:val="33"/>
        </w:trPr>
        <w:tc>
          <w:tcPr>
            <w:tcW w:w="340" w:type="dxa"/>
            <w:vAlign w:val="bottom"/>
          </w:tcPr>
          <w:p>
            <w:pPr>
              <w:spacing w:after="0"/>
              <w:rPr>
                <w:sz w:val="2"/>
                <w:szCs w:val="2"/>
                <w:color w:val="auto"/>
              </w:rPr>
            </w:pPr>
          </w:p>
        </w:tc>
        <w:tc>
          <w:tcPr>
            <w:tcW w:w="6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7"/>
        </w:trPr>
        <w:tc>
          <w:tcPr>
            <w:tcW w:w="340" w:type="dxa"/>
            <w:vAlign w:val="bottom"/>
          </w:tcPr>
          <w:p>
            <w:pPr>
              <w:spacing w:after="0"/>
              <w:rPr>
                <w:sz w:val="22"/>
                <w:szCs w:val="22"/>
                <w:color w:val="auto"/>
              </w:rPr>
            </w:pPr>
          </w:p>
        </w:tc>
        <w:tc>
          <w:tcPr>
            <w:tcW w:w="66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Wyoming</w:t>
            </w:r>
          </w:p>
        </w:tc>
        <w:tc>
          <w:tcPr>
            <w:tcW w:w="120" w:type="dxa"/>
            <w:vAlign w:val="bottom"/>
            <w:tcBorders>
              <w:bottom w:val="single" w:sz="8" w:color="CEFFE7"/>
            </w:tcBorders>
            <w:shd w:val="clear" w:color="auto" w:fill="CEFFE7"/>
          </w:tcPr>
          <w:p>
            <w:pPr>
              <w:spacing w:after="0"/>
              <w:rPr>
                <w:sz w:val="22"/>
                <w:szCs w:val="22"/>
                <w:color w:val="auto"/>
              </w:rPr>
            </w:pPr>
          </w:p>
        </w:tc>
        <w:tc>
          <w:tcPr>
            <w:tcW w:w="14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130,982</w:t>
            </w:r>
          </w:p>
        </w:tc>
        <w:tc>
          <w:tcPr>
            <w:tcW w:w="172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rPr>
              <w:t>130,108</w:t>
            </w:r>
          </w:p>
        </w:tc>
        <w:tc>
          <w:tcPr>
            <w:tcW w:w="12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129,289</w:t>
            </w:r>
          </w:p>
        </w:tc>
      </w:tr>
      <w:tr>
        <w:trPr>
          <w:trHeight w:val="244"/>
        </w:trPr>
        <w:tc>
          <w:tcPr>
            <w:tcW w:w="340" w:type="dxa"/>
            <w:vAlign w:val="bottom"/>
          </w:tcPr>
          <w:p>
            <w:pPr>
              <w:spacing w:after="0"/>
              <w:rPr>
                <w:sz w:val="21"/>
                <w:szCs w:val="21"/>
                <w:color w:val="auto"/>
              </w:rPr>
            </w:pPr>
          </w:p>
        </w:tc>
        <w:tc>
          <w:tcPr>
            <w:tcW w:w="6640" w:type="dxa"/>
            <w:vAlign w:val="bottom"/>
          </w:tcPr>
          <w:p>
            <w:pPr>
              <w:ind w:left="20"/>
              <w:spacing w:after="0"/>
              <w:rPr>
                <w:sz w:val="20"/>
                <w:szCs w:val="20"/>
                <w:color w:val="auto"/>
              </w:rPr>
            </w:pPr>
            <w:r>
              <w:rPr>
                <w:rFonts w:ascii="Arial" w:cs="Arial" w:eastAsia="Arial" w:hAnsi="Arial"/>
                <w:sz w:val="16"/>
                <w:szCs w:val="16"/>
                <w:color w:val="auto"/>
              </w:rPr>
              <w:t>Total Customers at End of Year</w:t>
            </w:r>
          </w:p>
        </w:tc>
        <w:tc>
          <w:tcPr>
            <w:tcW w:w="120" w:type="dxa"/>
            <w:vAlign w:val="bottom"/>
          </w:tcPr>
          <w:p>
            <w:pPr>
              <w:spacing w:after="0"/>
              <w:rPr>
                <w:sz w:val="21"/>
                <w:szCs w:val="21"/>
                <w:color w:val="auto"/>
              </w:rPr>
            </w:pPr>
          </w:p>
        </w:tc>
        <w:tc>
          <w:tcPr>
            <w:tcW w:w="14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1,066,442</w:t>
            </w:r>
          </w:p>
        </w:tc>
        <w:tc>
          <w:tcPr>
            <w:tcW w:w="172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rPr>
              <w:t>1,053,893</w:t>
            </w:r>
          </w:p>
        </w:tc>
        <w:tc>
          <w:tcPr>
            <w:tcW w:w="120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1,042,258</w:t>
            </w:r>
          </w:p>
        </w:tc>
      </w:tr>
      <w:tr>
        <w:trPr>
          <w:trHeight w:val="20"/>
        </w:trPr>
        <w:tc>
          <w:tcPr>
            <w:tcW w:w="340" w:type="dxa"/>
            <w:vAlign w:val="bottom"/>
          </w:tcPr>
          <w:p>
            <w:pPr>
              <w:spacing w:after="0" w:line="20" w:lineRule="exact"/>
              <w:rPr>
                <w:sz w:val="1"/>
                <w:szCs w:val="1"/>
                <w:color w:val="auto"/>
              </w:rPr>
            </w:pPr>
          </w:p>
        </w:tc>
        <w:tc>
          <w:tcPr>
            <w:tcW w:w="6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00" w:lineRule="exact"/>
        <w:rPr>
          <w:rFonts w:ascii="Arial" w:cs="Arial" w:eastAsia="Arial" w:hAnsi="Arial"/>
          <w:sz w:val="16"/>
          <w:szCs w:val="16"/>
          <w:color w:val="auto"/>
        </w:rPr>
      </w:pPr>
    </w:p>
    <w:p>
      <w:pPr>
        <w:spacing w:after="0" w:line="21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Utility Regulation Characteristics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State Regulations</w:t>
      </w:r>
    </w:p>
    <w:p>
      <w:pPr>
        <w:spacing w:after="0" w:line="22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Certain states where we conduct electric utility operations have adopted renewable energy portfolio standards that require or encourage our Electric Utilities to source, by a certain future date, a minimum percentage of the electricity delivered to customers from renewable energy generation facilities. As of December 31, 2019, we were subject to the following renewable energy portfolio standards or objectives:</w:t>
      </w:r>
    </w:p>
    <w:p>
      <w:pPr>
        <w:spacing w:after="0" w:line="181" w:lineRule="exact"/>
        <w:rPr>
          <w:sz w:val="20"/>
          <w:szCs w:val="20"/>
          <w:color w:val="auto"/>
        </w:rPr>
      </w:pPr>
    </w:p>
    <w:p>
      <w:pPr>
        <w:ind w:left="660" w:right="180" w:hanging="328"/>
        <w:spacing w:after="0" w:line="291" w:lineRule="auto"/>
        <w:tabs>
          <w:tab w:leader="none" w:pos="660" w:val="left"/>
        </w:tabs>
        <w:numPr>
          <w:ilvl w:val="0"/>
          <w:numId w:val="18"/>
        </w:numPr>
        <w:rPr>
          <w:rFonts w:ascii="Arial" w:cs="Arial" w:eastAsia="Arial" w:hAnsi="Arial"/>
          <w:sz w:val="16"/>
          <w:szCs w:val="16"/>
          <w:color w:val="auto"/>
        </w:rPr>
      </w:pPr>
      <w:r>
        <w:rPr>
          <w:rFonts w:ascii="Arial" w:cs="Arial" w:eastAsia="Arial" w:hAnsi="Arial"/>
          <w:sz w:val="16"/>
          <w:szCs w:val="16"/>
          <w:u w:val="single" w:color="auto"/>
          <w:color w:val="auto"/>
        </w:rPr>
        <w:t>Colorado</w:t>
      </w:r>
      <w:r>
        <w:rPr>
          <w:rFonts w:ascii="Arial" w:cs="Arial" w:eastAsia="Arial" w:hAnsi="Arial"/>
          <w:sz w:val="16"/>
          <w:szCs w:val="16"/>
          <w:color w:val="auto"/>
        </w:rPr>
        <w:t>. Colorado adopted a renewable energy standard that has two components: (i) electric resource standards and (ii) a 2% maximum annual retail rate impact for compliance with the electric resource standards. The electric resource standards require our Colorado Electric subsidiary to generate, or cause to be generated, electricity from renewable energy sources equaling: (i) 20% of retail sales from 2015 to 2019; and (ii) 30% of retail sales by 2020. Of these amounts, 3% must be generated from distributed generation sources with one-half of these resources being located at customer facilities. The net annual incremental retail rate impact from these renewable resource acquisitions (as compared to non-renewable resources) is limited to 2%. The standard encourages the CPUC to consider earlier and timely cost recovery for utility investment in renewable resources, including the use of a forward rider mechanism. We have been and currently remain in compliance with these standards.</w:t>
      </w:r>
    </w:p>
    <w:p>
      <w:pPr>
        <w:spacing w:after="0" w:line="167" w:lineRule="exact"/>
        <w:rPr>
          <w:rFonts w:ascii="Arial" w:cs="Arial" w:eastAsia="Arial" w:hAnsi="Arial"/>
          <w:sz w:val="16"/>
          <w:szCs w:val="16"/>
          <w:color w:val="auto"/>
        </w:rPr>
      </w:pPr>
    </w:p>
    <w:p>
      <w:pPr>
        <w:ind w:left="660" w:right="60"/>
        <w:spacing w:after="0" w:line="264" w:lineRule="auto"/>
        <w:rPr>
          <w:rFonts w:ascii="Arial" w:cs="Arial" w:eastAsia="Arial" w:hAnsi="Arial"/>
          <w:sz w:val="16"/>
          <w:szCs w:val="16"/>
          <w:color w:val="auto"/>
        </w:rPr>
      </w:pPr>
      <w:r>
        <w:rPr>
          <w:rFonts w:ascii="Arial" w:cs="Arial" w:eastAsia="Arial" w:hAnsi="Arial"/>
          <w:sz w:val="18"/>
          <w:szCs w:val="18"/>
          <w:color w:val="auto"/>
        </w:rPr>
        <w:t>On November 26, 2019, Black Hills Electric Generation placed in service Busch Ranch II. Black Hills Electric Generation provides the wind energy generated from Busch Ranch II to Colorado Electric under a 25-year PPA, which expires in November 2044. This renewable energy will enable Colorado Electric to comply with Colorado's Renewable Energy Standard.</w:t>
      </w:r>
    </w:p>
    <w:p>
      <w:pPr>
        <w:spacing w:after="0" w:line="181"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Montana</w:t>
      </w:r>
      <w:r>
        <w:rPr>
          <w:rFonts w:ascii="Arial" w:cs="Arial" w:eastAsia="Arial" w:hAnsi="Arial"/>
          <w:sz w:val="18"/>
          <w:szCs w:val="18"/>
          <w:color w:val="auto"/>
        </w:rPr>
        <w:t>. In 2005, Montana established a renewable portfolio standard that requires public utilities to obtain a percentage of their retail electricity sales from eligible renewable resources. In March 2013, South Dakota Electric filed a petition with the MTPSC requesting a waiver of the renewable portfolio standards primarily due to exceeding the applicable “cost cap” included in the standards. In March 2013, the Montana Legislature adopted legislation that had the effect of excluding South Dakota Electric from all renewable portfolio standard requirements under State Senate Bill 164, primarily due to the very low number of customers South Dakota Electric has in Montana and the relatively high cost of meeting the renewable requirements.</w:t>
      </w:r>
    </w:p>
    <w:p>
      <w:pPr>
        <w:spacing w:after="0" w:line="193"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South Dakota</w:t>
      </w:r>
      <w:r>
        <w:rPr>
          <w:rFonts w:ascii="Arial" w:cs="Arial" w:eastAsia="Arial" w:hAnsi="Arial"/>
          <w:sz w:val="18"/>
          <w:szCs w:val="18"/>
          <w:color w:val="auto"/>
        </w:rPr>
        <w:t>. South Dakota has adopted a renewable portfolio objective that encourages, but does not mandate utilities to generate, or cause to be generated, at least 10% of their retail electricity supply from renewable energy sources by 2015.</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u w:val="single" w:color="auto"/>
          <w:color w:val="auto"/>
        </w:rPr>
        <w:t>Wyoming</w:t>
      </w:r>
      <w:r>
        <w:rPr>
          <w:rFonts w:ascii="Arial" w:cs="Arial" w:eastAsia="Arial" w:hAnsi="Arial"/>
          <w:sz w:val="18"/>
          <w:szCs w:val="18"/>
          <w:color w:val="auto"/>
        </w:rPr>
        <w:t>. Wyoming currently has no renewable energy portfolio standard.</w:t>
      </w:r>
    </w:p>
    <w:p>
      <w:pPr>
        <w:spacing w:after="0" w:line="22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Absent a specific renewable energy mandate in the territories we serve, our current strategy is to proactively integrate alternative and renewable energy into our utility energy supply while mitigating customer rate impacts. Mandatory portfolio standards have increased, and will likely continue to increase, the power supply costs of our Electric Utilities’ operations. Although we will seek to recover these higher costs in rates, we can provide no assurance that we will be able to secure full recovery of the costs we pay to be in compliance with standards or objectives. We cannot at this time reasonably forecast the potential costs associated with any new renewable energy standards that have been or may be proposed at the federal or state level.</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Regulation</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 xml:space="preserve">Energy Policy Act. </w:t>
      </w:r>
      <w:r>
        <w:rPr>
          <w:rFonts w:ascii="Arial" w:cs="Arial" w:eastAsia="Arial" w:hAnsi="Arial"/>
          <w:sz w:val="18"/>
          <w:szCs w:val="18"/>
          <w:color w:val="auto"/>
        </w:rPr>
        <w:t>BHC is a holding company whose assets consist primarily of investments in our subsidiaries, including subsidiaries that are public utilities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and a holding company regulated by FERC under the Federal Power Act and PUHCA 2005.</w:t>
      </w:r>
    </w:p>
    <w:p>
      <w:pPr>
        <w:spacing w:after="0" w:line="170"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i w:val="1"/>
          <w:iCs w:val="1"/>
          <w:color w:val="auto"/>
        </w:rPr>
        <w:t>Federal Power Act</w:t>
      </w:r>
      <w:r>
        <w:rPr>
          <w:rFonts w:ascii="Arial" w:cs="Arial" w:eastAsia="Arial" w:hAnsi="Arial"/>
          <w:sz w:val="18"/>
          <w:szCs w:val="18"/>
          <w:color w:val="auto"/>
        </w:rPr>
        <w:t>. The Federal Power Act gives FERC exclusive rate-making jurisdiction over wholesale sales of electricity and the transmission of</w:t>
      </w:r>
      <w:r>
        <w:rPr>
          <w:rFonts w:ascii="Arial" w:cs="Arial" w:eastAsia="Arial" w:hAnsi="Arial"/>
          <w:sz w:val="18"/>
          <w:szCs w:val="18"/>
          <w:i w:val="1"/>
          <w:iCs w:val="1"/>
          <w:color w:val="auto"/>
        </w:rPr>
        <w:t xml:space="preserve"> </w:t>
      </w:r>
      <w:r>
        <w:rPr>
          <w:rFonts w:ascii="Arial" w:cs="Arial" w:eastAsia="Arial" w:hAnsi="Arial"/>
          <w:sz w:val="18"/>
          <w:szCs w:val="18"/>
          <w:color w:val="auto"/>
        </w:rPr>
        <w:t>electricity in interstate commerce. Pursuant to the Federal Power Act, all public utilities subject to FERC’s jurisdiction must maintain tariffs and rate schedules on file with FERC that govern the rates, and terms and conditions for the provision of FERC-jurisdictional wholesale power and transmission services. Public utilities are also subject to accounting, record-keeping and reporting requirements administered by FERC. FERC also places certain limitations on transactions between public utilities and their affiliates. Our public Electric Utilities’ subsidiaries provide FERC-jurisdictional services subject to FERC’s oversight.</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6" w:right="259" w:bottom="1440" w:gutter="0" w:footer="0" w:header="0"/>
        </w:sectPr>
      </w:pPr>
    </w:p>
    <w:bookmarkStart w:id="22" w:name="page23"/>
    <w:bookmarkEnd w:id="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Our Electric Utilities and Power Generation entities are authorized by FERC to make wholesale sales of electric capacity and energy at market-based rates under tariffs on file with FERC. As a condition of their market-based rate authority, each files Electric Quarterly Reports with FERC. Our Electric Utilities own and operate FERC-jurisdictional interstate transmission facilities and provide open access transmission service under tariffs on file with FERC. Our Electric Utilities are subject to routine audit by FERC with respect to their compliance with FERC’s regulations.</w:t>
      </w:r>
    </w:p>
    <w:p>
      <w:pPr>
        <w:spacing w:after="0" w:line="17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Federal Power Act authorizes FERC to certify and oversee a national electric reliability organization with authority to promulgate and enforce mandatory reliability standards applicable to all users, owners and operators of the bulk-power system. FERC has certified NERC as the electric reliability organization. NERC has promulgated mandatory reliability standards and NERC, in conjunction with regional reliability organizations that operate under FERC’s and NERC’s authority and oversight, enforces those mandatory reliability standards.</w:t>
      </w:r>
    </w:p>
    <w:p>
      <w:pPr>
        <w:spacing w:after="0" w:line="18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i w:val="1"/>
          <w:iCs w:val="1"/>
          <w:color w:val="auto"/>
        </w:rPr>
        <w:t>PUHCA 2005</w:t>
      </w:r>
      <w:r>
        <w:rPr>
          <w:rFonts w:ascii="Arial" w:cs="Arial" w:eastAsia="Arial" w:hAnsi="Arial"/>
          <w:sz w:val="18"/>
          <w:szCs w:val="18"/>
          <w:color w:val="auto"/>
        </w:rPr>
        <w:t>. PUHCA 2005 gives FERC authority with respect to the books and records of a utility holding company. As a utility holding company with a</w:t>
      </w:r>
      <w:r>
        <w:rPr>
          <w:rFonts w:ascii="Arial" w:cs="Arial" w:eastAsia="Arial" w:hAnsi="Arial"/>
          <w:sz w:val="18"/>
          <w:szCs w:val="18"/>
          <w:i w:val="1"/>
          <w:iCs w:val="1"/>
          <w:color w:val="auto"/>
        </w:rPr>
        <w:t xml:space="preserve"> </w:t>
      </w:r>
      <w:r>
        <w:rPr>
          <w:rFonts w:ascii="Arial" w:cs="Arial" w:eastAsia="Arial" w:hAnsi="Arial"/>
          <w:sz w:val="18"/>
          <w:szCs w:val="18"/>
          <w:color w:val="auto"/>
        </w:rPr>
        <w:t>centralized service company subsidiary, BHSC, we are subject to FERC’s authority under PUHCA 2005.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Power Generation Segment</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Power Generation segment, which operates through Black Hills Electric Generation and its subsidiaries, acquires, develops, constructs and operates our non-regulated power plants. As of December 31, 2019, we held varying interests in independent power plants with a total net ownership of approximately 423 MW.</w:t>
      </w:r>
    </w:p>
    <w:p>
      <w:pPr>
        <w:spacing w:after="0" w:line="18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We produce electric power from our generating plants and sell the electric capacity and energy, primarily to affiliates under a combination of mid- to long-term contracts, which mitigates the impact of a potential downturn in future power prices. We currently sell a majority of our non-regulated generating capacity under contracts having terms greater than one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the power plant ownership interests held by our Power Generation segment include:</w:t>
      </w:r>
    </w:p>
    <w:p>
      <w:pPr>
        <w:spacing w:after="0" w:line="167"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284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0"/>
              </w:rPr>
              <w:t>Ownership</w:t>
            </w:r>
          </w:p>
        </w:tc>
        <w:tc>
          <w:tcPr>
            <w:tcW w:w="1440" w:type="dxa"/>
            <w:vAlign w:val="bottom"/>
          </w:tcPr>
          <w:p>
            <w:pPr>
              <w:jc w:val="right"/>
              <w:spacing w:after="0"/>
              <w:rPr>
                <w:sz w:val="20"/>
                <w:szCs w:val="20"/>
                <w:color w:val="auto"/>
              </w:rPr>
            </w:pPr>
            <w:r>
              <w:rPr>
                <w:rFonts w:ascii="Arial" w:cs="Arial" w:eastAsia="Arial" w:hAnsi="Arial"/>
                <w:sz w:val="18"/>
                <w:szCs w:val="18"/>
                <w:b w:val="1"/>
                <w:bCs w:val="1"/>
                <w:color w:val="auto"/>
                <w:w w:val="95"/>
              </w:rPr>
              <w:t>Owned Capacity</w:t>
            </w:r>
          </w:p>
        </w:tc>
        <w:tc>
          <w:tcPr>
            <w:tcW w:w="1800" w:type="dxa"/>
            <w:vAlign w:val="bottom"/>
          </w:tcPr>
          <w:p>
            <w:pPr>
              <w:spacing w:after="0"/>
              <w:rPr>
                <w:sz w:val="18"/>
                <w:szCs w:val="18"/>
                <w:color w:val="auto"/>
              </w:rPr>
            </w:pPr>
          </w:p>
        </w:tc>
      </w:tr>
      <w:tr>
        <w:trPr>
          <w:trHeight w:val="234"/>
        </w:trPr>
        <w:tc>
          <w:tcPr>
            <w:tcW w:w="2840" w:type="dxa"/>
            <w:vAlign w:val="bottom"/>
          </w:tcPr>
          <w:p>
            <w:pPr>
              <w:ind w:left="20"/>
              <w:spacing w:after="0"/>
              <w:rPr>
                <w:sz w:val="20"/>
                <w:szCs w:val="20"/>
                <w:color w:val="auto"/>
              </w:rPr>
            </w:pPr>
            <w:r>
              <w:rPr>
                <w:rFonts w:ascii="Arial" w:cs="Arial" w:eastAsia="Arial" w:hAnsi="Arial"/>
                <w:sz w:val="18"/>
                <w:szCs w:val="18"/>
                <w:b w:val="1"/>
                <w:bCs w:val="1"/>
                <w:color w:val="auto"/>
              </w:rPr>
              <w:t>Power Plants</w:t>
            </w:r>
          </w:p>
        </w:tc>
        <w:tc>
          <w:tcPr>
            <w:tcW w:w="1940" w:type="dxa"/>
            <w:vAlign w:val="bottom"/>
          </w:tcPr>
          <w:p>
            <w:pPr>
              <w:jc w:val="center"/>
              <w:ind w:left="530"/>
              <w:spacing w:after="0"/>
              <w:rPr>
                <w:sz w:val="20"/>
                <w:szCs w:val="20"/>
                <w:color w:val="auto"/>
              </w:rPr>
            </w:pPr>
            <w:r>
              <w:rPr>
                <w:rFonts w:ascii="Arial" w:cs="Arial" w:eastAsia="Arial" w:hAnsi="Arial"/>
                <w:sz w:val="18"/>
                <w:szCs w:val="18"/>
                <w:b w:val="1"/>
                <w:bCs w:val="1"/>
                <w:color w:val="auto"/>
                <w:w w:val="90"/>
              </w:rPr>
              <w:t>Fuel Type</w:t>
            </w:r>
          </w:p>
        </w:tc>
        <w:tc>
          <w:tcPr>
            <w:tcW w:w="19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w:t>
            </w: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92"/>
              </w:rPr>
              <w:t>Interest</w:t>
            </w:r>
          </w:p>
        </w:tc>
        <w:tc>
          <w:tcPr>
            <w:tcW w:w="1440" w:type="dxa"/>
            <w:vAlign w:val="bottom"/>
          </w:tcPr>
          <w:p>
            <w:pPr>
              <w:jc w:val="right"/>
              <w:ind w:right="410"/>
              <w:spacing w:after="0"/>
              <w:rPr>
                <w:sz w:val="20"/>
                <w:szCs w:val="20"/>
                <w:color w:val="auto"/>
              </w:rPr>
            </w:pPr>
            <w:r>
              <w:rPr>
                <w:rFonts w:ascii="Arial" w:cs="Arial" w:eastAsia="Arial" w:hAnsi="Arial"/>
                <w:sz w:val="18"/>
                <w:szCs w:val="18"/>
                <w:b w:val="1"/>
                <w:bCs w:val="1"/>
                <w:color w:val="auto"/>
              </w:rPr>
              <w:t>(MW)</w:t>
            </w:r>
          </w:p>
        </w:tc>
        <w:tc>
          <w:tcPr>
            <w:tcW w:w="1800" w:type="dxa"/>
            <w:vAlign w:val="bottom"/>
          </w:tcPr>
          <w:p>
            <w:pPr>
              <w:jc w:val="center"/>
              <w:spacing w:after="0"/>
              <w:rPr>
                <w:sz w:val="20"/>
                <w:szCs w:val="20"/>
                <w:color w:val="auto"/>
              </w:rPr>
            </w:pPr>
            <w:r>
              <w:rPr>
                <w:rFonts w:ascii="Arial" w:cs="Arial" w:eastAsia="Arial" w:hAnsi="Arial"/>
                <w:sz w:val="18"/>
                <w:szCs w:val="18"/>
                <w:b w:val="1"/>
                <w:bCs w:val="1"/>
                <w:color w:val="auto"/>
                <w:w w:val="91"/>
              </w:rPr>
              <w:t>In Service Date</w:t>
            </w:r>
          </w:p>
        </w:tc>
      </w:tr>
      <w:tr>
        <w:trPr>
          <w:trHeight w:val="27"/>
        </w:trPr>
        <w:tc>
          <w:tcPr>
            <w:tcW w:w="28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64"/>
        </w:trPr>
        <w:tc>
          <w:tcPr>
            <w:tcW w:w="28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Wygen I </w:t>
            </w:r>
            <w:r>
              <w:rPr>
                <w:rFonts w:ascii="Arial" w:cs="Arial" w:eastAsia="Arial" w:hAnsi="Arial"/>
                <w:sz w:val="25"/>
                <w:szCs w:val="25"/>
                <w:color w:val="auto"/>
                <w:vertAlign w:val="superscript"/>
              </w:rPr>
              <w:t>(a)</w:t>
            </w:r>
          </w:p>
        </w:tc>
        <w:tc>
          <w:tcPr>
            <w:tcW w:w="1940" w:type="dxa"/>
            <w:vAlign w:val="bottom"/>
            <w:shd w:val="clear" w:color="auto" w:fill="CEFFE7"/>
          </w:tcPr>
          <w:p>
            <w:pPr>
              <w:jc w:val="center"/>
              <w:ind w:left="550"/>
              <w:spacing w:after="0"/>
              <w:rPr>
                <w:sz w:val="20"/>
                <w:szCs w:val="20"/>
                <w:color w:val="auto"/>
              </w:rPr>
            </w:pPr>
            <w:r>
              <w:rPr>
                <w:rFonts w:ascii="Arial" w:cs="Arial" w:eastAsia="Arial" w:hAnsi="Arial"/>
                <w:sz w:val="18"/>
                <w:szCs w:val="18"/>
                <w:color w:val="auto"/>
                <w:w w:val="91"/>
              </w:rPr>
              <w:t>Coal</w:t>
            </w:r>
          </w:p>
        </w:tc>
        <w:tc>
          <w:tcPr>
            <w:tcW w:w="19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4"/>
              </w:rPr>
              <w:t>Gillette, Wyoming</w:t>
            </w:r>
          </w:p>
        </w:tc>
        <w:tc>
          <w:tcPr>
            <w:tcW w:w="136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0"/>
              </w:rPr>
              <w:t>76.5%</w:t>
            </w:r>
          </w:p>
        </w:tc>
        <w:tc>
          <w:tcPr>
            <w:tcW w:w="14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68.9</w:t>
            </w:r>
          </w:p>
        </w:tc>
        <w:tc>
          <w:tcPr>
            <w:tcW w:w="18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2003</w:t>
            </w:r>
          </w:p>
        </w:tc>
      </w:tr>
      <w:tr>
        <w:trPr>
          <w:trHeight w:val="243"/>
        </w:trPr>
        <w:tc>
          <w:tcPr>
            <w:tcW w:w="2840" w:type="dxa"/>
            <w:vAlign w:val="bottom"/>
          </w:tcPr>
          <w:p>
            <w:pPr>
              <w:ind w:left="20"/>
              <w:spacing w:after="0"/>
              <w:rPr>
                <w:sz w:val="20"/>
                <w:szCs w:val="20"/>
                <w:color w:val="auto"/>
              </w:rPr>
            </w:pPr>
            <w:r>
              <w:rPr>
                <w:rFonts w:ascii="Arial" w:cs="Arial" w:eastAsia="Arial" w:hAnsi="Arial"/>
                <w:sz w:val="18"/>
                <w:szCs w:val="18"/>
                <w:color w:val="auto"/>
              </w:rPr>
              <w:t>Pueblo Airport Generation</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84"/>
              </w:rPr>
              <w:t>Gas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360" w:type="dxa"/>
            <w:vAlign w:val="bottom"/>
          </w:tcPr>
          <w:p>
            <w:pPr>
              <w:jc w:val="center"/>
              <w:ind w:left="10"/>
              <w:spacing w:after="0"/>
              <w:rPr>
                <w:sz w:val="20"/>
                <w:szCs w:val="20"/>
                <w:color w:val="auto"/>
              </w:rPr>
            </w:pPr>
            <w:r>
              <w:rPr>
                <w:rFonts w:ascii="Arial" w:cs="Arial" w:eastAsia="Arial" w:hAnsi="Arial"/>
                <w:sz w:val="18"/>
                <w:szCs w:val="18"/>
                <w:color w:val="auto"/>
                <w:w w:val="90"/>
              </w:rPr>
              <w:t>50.1%</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200.0</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2012</w:t>
            </w:r>
          </w:p>
        </w:tc>
      </w:tr>
      <w:tr>
        <w:trPr>
          <w:trHeight w:val="27"/>
        </w:trPr>
        <w:tc>
          <w:tcPr>
            <w:tcW w:w="284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70"/>
        </w:trPr>
        <w:tc>
          <w:tcPr>
            <w:tcW w:w="28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Busch Ranch I </w:t>
            </w:r>
            <w:r>
              <w:rPr>
                <w:rFonts w:ascii="Arial" w:cs="Arial" w:eastAsia="Arial" w:hAnsi="Arial"/>
                <w:sz w:val="25"/>
                <w:szCs w:val="25"/>
                <w:color w:val="auto"/>
                <w:vertAlign w:val="superscript"/>
              </w:rPr>
              <w:t>(b)</w:t>
            </w:r>
          </w:p>
        </w:tc>
        <w:tc>
          <w:tcPr>
            <w:tcW w:w="1940" w:type="dxa"/>
            <w:vAlign w:val="bottom"/>
            <w:shd w:val="clear" w:color="auto" w:fill="CEFFE7"/>
          </w:tcPr>
          <w:p>
            <w:pPr>
              <w:jc w:val="center"/>
              <w:ind w:left="530"/>
              <w:spacing w:after="0"/>
              <w:rPr>
                <w:sz w:val="20"/>
                <w:szCs w:val="20"/>
                <w:color w:val="auto"/>
              </w:rPr>
            </w:pPr>
            <w:r>
              <w:rPr>
                <w:rFonts w:ascii="Arial" w:cs="Arial" w:eastAsia="Arial" w:hAnsi="Arial"/>
                <w:sz w:val="18"/>
                <w:szCs w:val="18"/>
                <w:color w:val="auto"/>
                <w:w w:val="97"/>
              </w:rPr>
              <w:t>Wind</w:t>
            </w:r>
          </w:p>
        </w:tc>
        <w:tc>
          <w:tcPr>
            <w:tcW w:w="19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Pueblo, Colorado</w:t>
            </w:r>
          </w:p>
        </w:tc>
        <w:tc>
          <w:tcPr>
            <w:tcW w:w="136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0"/>
              </w:rPr>
              <w:t>50.0%</w:t>
            </w:r>
          </w:p>
        </w:tc>
        <w:tc>
          <w:tcPr>
            <w:tcW w:w="14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14.5</w:t>
            </w:r>
          </w:p>
        </w:tc>
        <w:tc>
          <w:tcPr>
            <w:tcW w:w="18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2012</w:t>
            </w:r>
          </w:p>
        </w:tc>
      </w:tr>
      <w:tr>
        <w:trPr>
          <w:trHeight w:val="270"/>
        </w:trPr>
        <w:tc>
          <w:tcPr>
            <w:tcW w:w="28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Busch Ranch II </w:t>
            </w:r>
            <w:r>
              <w:rPr>
                <w:rFonts w:ascii="Arial" w:cs="Arial" w:eastAsia="Arial" w:hAnsi="Arial"/>
                <w:sz w:val="25"/>
                <w:szCs w:val="25"/>
                <w:color w:val="auto"/>
                <w:vertAlign w:val="superscript"/>
              </w:rPr>
              <w:t>(c) (e)</w:t>
            </w:r>
          </w:p>
        </w:tc>
        <w:tc>
          <w:tcPr>
            <w:tcW w:w="1940" w:type="dxa"/>
            <w:vAlign w:val="bottom"/>
          </w:tcPr>
          <w:p>
            <w:pPr>
              <w:jc w:val="center"/>
              <w:ind w:left="530"/>
              <w:spacing w:after="0"/>
              <w:rPr>
                <w:sz w:val="20"/>
                <w:szCs w:val="20"/>
                <w:color w:val="auto"/>
              </w:rPr>
            </w:pPr>
            <w:r>
              <w:rPr>
                <w:rFonts w:ascii="Arial" w:cs="Arial" w:eastAsia="Arial" w:hAnsi="Arial"/>
                <w:sz w:val="18"/>
                <w:szCs w:val="18"/>
                <w:color w:val="auto"/>
                <w:w w:val="97"/>
              </w:rPr>
              <w:t>Wind</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Pueblo, Colorado</w:t>
            </w:r>
          </w:p>
        </w:tc>
        <w:tc>
          <w:tcPr>
            <w:tcW w:w="1360" w:type="dxa"/>
            <w:vAlign w:val="bottom"/>
          </w:tcPr>
          <w:p>
            <w:pPr>
              <w:jc w:val="center"/>
              <w:spacing w:after="0"/>
              <w:rPr>
                <w:sz w:val="20"/>
                <w:szCs w:val="20"/>
                <w:color w:val="auto"/>
              </w:rPr>
            </w:pPr>
            <w:r>
              <w:rPr>
                <w:rFonts w:ascii="Arial" w:cs="Arial" w:eastAsia="Arial" w:hAnsi="Arial"/>
                <w:sz w:val="18"/>
                <w:szCs w:val="18"/>
                <w:color w:val="auto"/>
                <w:w w:val="91"/>
              </w:rPr>
              <w:t>100.0%</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60.0</w:t>
            </w:r>
          </w:p>
        </w:tc>
        <w:tc>
          <w:tcPr>
            <w:tcW w:w="1800" w:type="dxa"/>
            <w:vAlign w:val="bottom"/>
          </w:tcPr>
          <w:p>
            <w:pPr>
              <w:jc w:val="center"/>
              <w:spacing w:after="0"/>
              <w:rPr>
                <w:sz w:val="20"/>
                <w:szCs w:val="20"/>
                <w:color w:val="auto"/>
              </w:rPr>
            </w:pPr>
            <w:r>
              <w:rPr>
                <w:rFonts w:ascii="Arial" w:cs="Arial" w:eastAsia="Arial" w:hAnsi="Arial"/>
                <w:sz w:val="18"/>
                <w:szCs w:val="18"/>
                <w:color w:val="auto"/>
                <w:w w:val="89"/>
              </w:rPr>
              <w:t>2019</w:t>
            </w:r>
          </w:p>
        </w:tc>
      </w:tr>
      <w:tr>
        <w:trPr>
          <w:trHeight w:val="270"/>
        </w:trPr>
        <w:tc>
          <w:tcPr>
            <w:tcW w:w="28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Top of Iowa </w:t>
            </w:r>
            <w:r>
              <w:rPr>
                <w:rFonts w:ascii="Arial" w:cs="Arial" w:eastAsia="Arial" w:hAnsi="Arial"/>
                <w:sz w:val="25"/>
                <w:szCs w:val="25"/>
                <w:color w:val="auto"/>
                <w:vertAlign w:val="superscript"/>
              </w:rPr>
              <w:t>(d) (e)</w:t>
            </w:r>
          </w:p>
        </w:tc>
        <w:tc>
          <w:tcPr>
            <w:tcW w:w="1940" w:type="dxa"/>
            <w:vAlign w:val="bottom"/>
            <w:shd w:val="clear" w:color="auto" w:fill="CEFFE7"/>
          </w:tcPr>
          <w:p>
            <w:pPr>
              <w:jc w:val="center"/>
              <w:ind w:left="530"/>
              <w:spacing w:after="0"/>
              <w:rPr>
                <w:sz w:val="20"/>
                <w:szCs w:val="20"/>
                <w:color w:val="auto"/>
              </w:rPr>
            </w:pPr>
            <w:r>
              <w:rPr>
                <w:rFonts w:ascii="Arial" w:cs="Arial" w:eastAsia="Arial" w:hAnsi="Arial"/>
                <w:sz w:val="18"/>
                <w:szCs w:val="18"/>
                <w:color w:val="auto"/>
                <w:w w:val="97"/>
              </w:rPr>
              <w:t>Wind</w:t>
            </w:r>
          </w:p>
        </w:tc>
        <w:tc>
          <w:tcPr>
            <w:tcW w:w="19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Joice, Iowa</w:t>
            </w:r>
          </w:p>
        </w:tc>
        <w:tc>
          <w:tcPr>
            <w:tcW w:w="1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100.0%</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80.0</w:t>
            </w:r>
          </w:p>
        </w:tc>
        <w:tc>
          <w:tcPr>
            <w:tcW w:w="18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2019</w:t>
            </w:r>
          </w:p>
        </w:tc>
      </w:tr>
      <w:tr>
        <w:trPr>
          <w:trHeight w:val="237"/>
        </w:trPr>
        <w:tc>
          <w:tcPr>
            <w:tcW w:w="284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423.4</w:t>
            </w:r>
          </w:p>
        </w:tc>
        <w:tc>
          <w:tcPr>
            <w:tcW w:w="18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5150485</wp:posOffset>
            </wp:positionH>
            <wp:positionV relativeFrom="paragraph">
              <wp:posOffset>17145</wp:posOffset>
            </wp:positionV>
            <wp:extent cx="9264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926465" cy="8890"/>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34290</wp:posOffset>
            </wp:positionV>
            <wp:extent cx="92646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926465" cy="8890"/>
                    </a:xfrm>
                    <a:prstGeom prst="rect">
                      <a:avLst/>
                    </a:prstGeom>
                    <a:noFill/>
                  </pic:spPr>
                </pic:pic>
              </a:graphicData>
            </a:graphic>
          </wp:anchor>
        </w:drawing>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_________________________</w:t>
      </w:r>
    </w:p>
    <w:p>
      <w:pPr>
        <w:spacing w:after="0" w:line="19" w:lineRule="exact"/>
        <w:rPr>
          <w:sz w:val="20"/>
          <w:szCs w:val="20"/>
          <w:color w:val="auto"/>
        </w:rPr>
      </w:pPr>
    </w:p>
    <w:p>
      <w:pPr>
        <w:ind w:left="3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Wygen I generation facility is a mine-mouth, coal-fired power plant with a total capacity of 90 MW located at our Gillette, Wyoming energy complex. We own 76.5% of the plant and MEAN owns the remaining 23.5%.</w:t>
      </w:r>
    </w:p>
    <w:p>
      <w:pPr>
        <w:ind w:left="340" w:right="20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December 11, 2018, Black Hills Electric Generation purchased a 50% ownership interest in Busch Ranch I. This facility originally qualified under the Section 1603 program grant in lieu of ITCs.</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November 26, 2019, Black Hills Electric Generation placed in service Busch Ranch II.</w:t>
      </w:r>
    </w:p>
    <w:p>
      <w:pPr>
        <w:spacing w:after="0" w:line="5"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February 5, 2019, Black Hills Electric Generation purchased 80 MW of wind generating assets in Iowa. A third-party operates the facility and we sell the wind energy generated in the MISO market.</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This facility qualifies for PTCs at $25/MWh under IRC 45 during the 10-year period beginning on the date the facility was originally placed in service.</w:t>
      </w:r>
    </w:p>
    <w:p>
      <w:pPr>
        <w:spacing w:after="0" w:line="176" w:lineRule="exact"/>
        <w:rPr>
          <w:sz w:val="20"/>
          <w:szCs w:val="20"/>
          <w:color w:val="auto"/>
        </w:rPr>
      </w:pPr>
    </w:p>
    <w:p>
      <w:pPr>
        <w:ind w:right="380"/>
        <w:spacing w:after="0" w:line="277" w:lineRule="auto"/>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Power Sales Agreements. </w:t>
      </w:r>
      <w:r>
        <w:rPr>
          <w:rFonts w:ascii="Arial" w:cs="Arial" w:eastAsia="Arial" w:hAnsi="Arial"/>
          <w:sz w:val="18"/>
          <w:szCs w:val="18"/>
          <w:color w:val="auto"/>
        </w:rPr>
        <w:t>Our Power Generation facilities have various long-term power sales agreements. See</w:t>
      </w:r>
      <w:r>
        <w:rPr>
          <w:rFonts w:ascii="Arial" w:cs="Arial" w:eastAsia="Arial" w:hAnsi="Arial"/>
          <w:sz w:val="18"/>
          <w:szCs w:val="18"/>
          <w:b w:val="1"/>
          <w:bCs w:val="1"/>
          <w:i w:val="1"/>
          <w:iCs w:val="1"/>
          <w:color w:val="auto"/>
        </w:rPr>
        <w:t xml:space="preserve"> </w:t>
      </w:r>
      <w:hyperlink w:anchor="page136">
        <w:r>
          <w:rPr>
            <w:rFonts w:ascii="Arial" w:cs="Arial" w:eastAsia="Arial" w:hAnsi="Arial"/>
            <w:sz w:val="18"/>
            <w:szCs w:val="18"/>
            <w:u w:val="single" w:color="auto"/>
            <w:color w:val="0000EE"/>
          </w:rPr>
          <w:t>Note 19</w:t>
        </w:r>
        <w:r>
          <w:rPr>
            <w:rFonts w:ascii="Arial" w:cs="Arial" w:eastAsia="Arial" w:hAnsi="Arial"/>
            <w:sz w:val="18"/>
            <w:szCs w:val="18"/>
            <w:b w:val="1"/>
            <w:bCs w:val="1"/>
            <w:i w:val="1"/>
            <w:iCs w:val="1"/>
            <w:u w:val="single" w:color="auto"/>
            <w:color w:val="auto"/>
          </w:rPr>
          <w:t xml:space="preserve"> </w:t>
        </w:r>
      </w:hyperlink>
      <w:r>
        <w:rPr>
          <w:rFonts w:ascii="Arial" w:cs="Arial" w:eastAsia="Arial" w:hAnsi="Arial"/>
          <w:sz w:val="18"/>
          <w:szCs w:val="18"/>
          <w:color w:val="auto"/>
        </w:rPr>
        <w:t>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Notes to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Financial Statements in this Annual Report on Form 10-K for further information.</w:t>
      </w:r>
    </w:p>
    <w:p>
      <w:pPr>
        <w:spacing w:after="0" w:line="170" w:lineRule="exact"/>
        <w:rPr>
          <w:sz w:val="20"/>
          <w:szCs w:val="20"/>
          <w:color w:val="auto"/>
        </w:rPr>
      </w:pPr>
    </w:p>
    <w:p>
      <w:pPr>
        <w:ind w:right="240"/>
        <w:spacing w:after="0" w:line="26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Third Party Noncontrolling Interest in Subsidiary. </w:t>
      </w:r>
      <w:r>
        <w:rPr>
          <w:rFonts w:ascii="Arial" w:cs="Arial" w:eastAsia="Arial" w:hAnsi="Arial"/>
          <w:sz w:val="18"/>
          <w:szCs w:val="18"/>
          <w:color w:val="auto"/>
        </w:rPr>
        <w:t>In 2016, Black Hills Electric Generation sold a 49.9%, noncontrolling interest in Black Hills Colorado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IPP for $216 million to a third party buyer. See </w:t>
      </w:r>
      <w:hyperlink w:anchor="page113">
        <w:r>
          <w:rPr>
            <w:rFonts w:ascii="Arial" w:cs="Arial" w:eastAsia="Arial" w:hAnsi="Arial"/>
            <w:sz w:val="18"/>
            <w:szCs w:val="18"/>
            <w:u w:val="single" w:color="auto"/>
            <w:color w:val="0000EE"/>
          </w:rPr>
          <w:t>Note 12</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for additional information.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26" w:right="25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84"/>
        </w:trPr>
        <w:tc>
          <w:tcPr>
            <w:tcW w:w="66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860" w:type="dxa"/>
            <w:vAlign w:val="bottom"/>
          </w:tcPr>
          <w:p>
            <w:pPr>
              <w:spacing w:after="0"/>
              <w:rPr>
                <w:sz w:val="16"/>
                <w:szCs w:val="16"/>
                <w:color w:val="auto"/>
              </w:rPr>
            </w:pPr>
          </w:p>
        </w:tc>
        <w:tc>
          <w:tcPr>
            <w:tcW w:w="18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6640" w:type="dxa"/>
            <w:vAlign w:val="bottom"/>
            <w:gridSpan w:val="2"/>
          </w:tcPr>
          <w:p>
            <w:pPr>
              <w:spacing w:after="0"/>
              <w:rPr>
                <w:sz w:val="20"/>
                <w:szCs w:val="20"/>
                <w:color w:val="auto"/>
              </w:rPr>
            </w:pPr>
            <w:r>
              <w:rPr>
                <w:rFonts w:ascii="Arial" w:cs="Arial" w:eastAsia="Arial" w:hAnsi="Arial"/>
                <w:sz w:val="18"/>
                <w:szCs w:val="18"/>
                <w:color w:val="auto"/>
              </w:rPr>
              <w:t>The following table summarizes MWh for our Power Generation segment:</w:t>
            </w: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3700" w:type="dxa"/>
            <w:vAlign w:val="bottom"/>
            <w:gridSpan w:val="2"/>
          </w:tcPr>
          <w:p>
            <w:pPr>
              <w:jc w:val="right"/>
              <w:ind w:right="10"/>
              <w:spacing w:after="0"/>
              <w:rPr>
                <w:sz w:val="20"/>
                <w:szCs w:val="20"/>
                <w:color w:val="auto"/>
              </w:rPr>
            </w:pPr>
            <w:r>
              <w:rPr>
                <w:rFonts w:ascii="Arial" w:cs="Arial" w:eastAsia="Arial" w:hAnsi="Arial"/>
                <w:sz w:val="18"/>
                <w:szCs w:val="18"/>
                <w:color w:val="auto"/>
              </w:rPr>
              <w:t>For the year ended December 31,</w:t>
            </w: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64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rPr>
              <w:t xml:space="preserve">Quantities Sold, Generated and Purchased (MWh) </w:t>
            </w:r>
            <w:r>
              <w:rPr>
                <w:rFonts w:ascii="Arial" w:cs="Arial" w:eastAsia="Arial" w:hAnsi="Arial"/>
                <w:sz w:val="25"/>
                <w:szCs w:val="25"/>
                <w:color w:val="auto"/>
                <w:vertAlign w:val="superscript"/>
              </w:rPr>
              <w:t>(a)</w:t>
            </w:r>
          </w:p>
        </w:tc>
        <w:tc>
          <w:tcPr>
            <w:tcW w:w="186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rPr>
              <w:t>2019</w:t>
            </w:r>
          </w:p>
        </w:tc>
        <w:tc>
          <w:tcPr>
            <w:tcW w:w="1840" w:type="dxa"/>
            <w:vAlign w:val="bottom"/>
            <w:tcBorders>
              <w:bottom w:val="single" w:sz="8" w:color="auto"/>
            </w:tcBorders>
          </w:tcPr>
          <w:p>
            <w:pPr>
              <w:jc w:val="right"/>
              <w:ind w:right="1030"/>
              <w:spacing w:after="0"/>
              <w:rPr>
                <w:sz w:val="20"/>
                <w:szCs w:val="20"/>
                <w:color w:val="auto"/>
              </w:rPr>
            </w:pPr>
            <w:r>
              <w:rPr>
                <w:rFonts w:ascii="Arial" w:cs="Arial" w:eastAsia="Arial" w:hAnsi="Arial"/>
                <w:sz w:val="18"/>
                <w:szCs w:val="18"/>
                <w:color w:val="auto"/>
              </w:rPr>
              <w:t>2018</w:t>
            </w:r>
          </w:p>
        </w:tc>
        <w:tc>
          <w:tcPr>
            <w:tcW w:w="10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44"/>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Sold</w:t>
            </w:r>
          </w:p>
        </w:tc>
        <w:tc>
          <w:tcPr>
            <w:tcW w:w="186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Black Hills Colorado IPP</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935,997</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1,000,577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943,618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EFFE7"/>
          </w:tcPr>
          <w:p>
            <w:pPr>
              <w:ind w:left="380"/>
              <w:spacing w:after="0" w:line="270" w:lineRule="exact"/>
              <w:rPr>
                <w:sz w:val="20"/>
                <w:szCs w:val="20"/>
                <w:color w:val="auto"/>
              </w:rPr>
            </w:pPr>
            <w:r>
              <w:rPr>
                <w:rFonts w:ascii="Arial" w:cs="Arial" w:eastAsia="Arial" w:hAnsi="Arial"/>
                <w:sz w:val="18"/>
                <w:szCs w:val="18"/>
                <w:color w:val="auto"/>
              </w:rPr>
              <w:t>Black Hills Wyoming</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629,788</w:t>
            </w:r>
          </w:p>
        </w:tc>
        <w:tc>
          <w:tcPr>
            <w:tcW w:w="1840" w:type="dxa"/>
            <w:vAlign w:val="bottom"/>
            <w:shd w:val="clear" w:color="auto" w:fill="CEFFE7"/>
          </w:tcPr>
          <w:p>
            <w:pPr>
              <w:jc w:val="right"/>
              <w:ind w:right="510"/>
              <w:spacing w:after="0"/>
              <w:rPr>
                <w:sz w:val="20"/>
                <w:szCs w:val="20"/>
                <w:color w:val="auto"/>
              </w:rPr>
            </w:pPr>
            <w:r>
              <w:rPr>
                <w:rFonts w:ascii="Arial" w:cs="Arial" w:eastAsia="Arial" w:hAnsi="Arial"/>
                <w:sz w:val="18"/>
                <w:szCs w:val="18"/>
                <w:color w:val="auto"/>
              </w:rPr>
              <w:t>582,938</w:t>
            </w:r>
          </w:p>
        </w:tc>
        <w:tc>
          <w:tcPr>
            <w:tcW w:w="10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645,810</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(c)</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167,296</w:t>
            </w: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5,873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EFFE7"/>
            </w:tcBorders>
            <w:gridSpan w:val="2"/>
            <w:shd w:val="clear" w:color="auto" w:fill="CEFFE7"/>
          </w:tcPr>
          <w:p>
            <w:pPr>
              <w:ind w:left="820"/>
              <w:spacing w:after="0"/>
              <w:rPr>
                <w:sz w:val="20"/>
                <w:szCs w:val="20"/>
                <w:color w:val="auto"/>
              </w:rPr>
            </w:pPr>
            <w:r>
              <w:rPr>
                <w:rFonts w:ascii="Arial" w:cs="Arial" w:eastAsia="Arial" w:hAnsi="Arial"/>
                <w:sz w:val="18"/>
                <w:szCs w:val="18"/>
                <w:color w:val="auto"/>
              </w:rPr>
              <w:t>Total Sold</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1,733,081</w:t>
            </w:r>
          </w:p>
        </w:tc>
        <w:tc>
          <w:tcPr>
            <w:tcW w:w="1840" w:type="dxa"/>
            <w:vAlign w:val="bottom"/>
            <w:tcBorders>
              <w:bottom w:val="single" w:sz="8" w:color="auto"/>
            </w:tcBorders>
            <w:shd w:val="clear" w:color="auto" w:fill="CEFFE7"/>
          </w:tcPr>
          <w:p>
            <w:pPr>
              <w:jc w:val="right"/>
              <w:ind w:right="510"/>
              <w:spacing w:after="0"/>
              <w:rPr>
                <w:sz w:val="20"/>
                <w:szCs w:val="20"/>
                <w:color w:val="auto"/>
              </w:rPr>
            </w:pPr>
            <w:r>
              <w:rPr>
                <w:rFonts w:ascii="Arial" w:cs="Arial" w:eastAsia="Arial" w:hAnsi="Arial"/>
                <w:sz w:val="18"/>
                <w:szCs w:val="18"/>
                <w:color w:val="auto"/>
              </w:rPr>
              <w:t>1,589,388</w:t>
            </w:r>
          </w:p>
        </w:tc>
        <w:tc>
          <w:tcPr>
            <w:tcW w:w="10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1,589,428</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Generated</w:t>
            </w:r>
          </w:p>
        </w:tc>
        <w:tc>
          <w:tcPr>
            <w:tcW w:w="186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640" w:type="dxa"/>
            <w:vAlign w:val="bottom"/>
            <w:gridSpan w:val="2"/>
          </w:tcPr>
          <w:p>
            <w:pPr>
              <w:ind w:left="380"/>
              <w:spacing w:after="0"/>
              <w:rPr>
                <w:sz w:val="20"/>
                <w:szCs w:val="20"/>
                <w:color w:val="auto"/>
              </w:rPr>
            </w:pPr>
            <w:r>
              <w:rPr>
                <w:rFonts w:ascii="Arial" w:cs="Arial" w:eastAsia="Arial" w:hAnsi="Arial"/>
                <w:sz w:val="18"/>
                <w:szCs w:val="18"/>
                <w:color w:val="auto"/>
              </w:rPr>
              <w:t>Black Hills Colorado IPP</w:t>
            </w:r>
          </w:p>
        </w:tc>
        <w:tc>
          <w:tcPr>
            <w:tcW w:w="1860" w:type="dxa"/>
            <w:vAlign w:val="bottom"/>
          </w:tcPr>
          <w:p>
            <w:pPr>
              <w:jc w:val="right"/>
              <w:ind w:right="290"/>
              <w:spacing w:after="0"/>
              <w:rPr>
                <w:sz w:val="20"/>
                <w:szCs w:val="20"/>
                <w:color w:val="auto"/>
              </w:rPr>
            </w:pPr>
            <w:r>
              <w:rPr>
                <w:rFonts w:ascii="Arial" w:cs="Arial" w:eastAsia="Arial" w:hAnsi="Arial"/>
                <w:sz w:val="18"/>
                <w:szCs w:val="18"/>
                <w:color w:val="auto"/>
              </w:rPr>
              <w:t>935,997</w:t>
            </w:r>
          </w:p>
        </w:tc>
        <w:tc>
          <w:tcPr>
            <w:tcW w:w="1840" w:type="dxa"/>
            <w:vAlign w:val="bottom"/>
          </w:tcPr>
          <w:p>
            <w:pPr>
              <w:jc w:val="right"/>
              <w:ind w:right="510"/>
              <w:spacing w:after="0"/>
              <w:rPr>
                <w:sz w:val="20"/>
                <w:szCs w:val="20"/>
                <w:color w:val="auto"/>
              </w:rPr>
            </w:pPr>
            <w:r>
              <w:rPr>
                <w:rFonts w:ascii="Arial" w:cs="Arial" w:eastAsia="Arial" w:hAnsi="Arial"/>
                <w:sz w:val="18"/>
                <w:szCs w:val="18"/>
                <w:color w:val="auto"/>
              </w:rPr>
              <w:t>1,000,577</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943,618</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42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640" w:type="dxa"/>
            <w:vAlign w:val="bottom"/>
            <w:gridSpan w:val="2"/>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86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557,119</w:t>
            </w:r>
          </w:p>
        </w:tc>
        <w:tc>
          <w:tcPr>
            <w:tcW w:w="1840" w:type="dxa"/>
            <w:vAlign w:val="bottom"/>
            <w:shd w:val="clear" w:color="auto" w:fill="CEFFE7"/>
          </w:tcPr>
          <w:p>
            <w:pPr>
              <w:jc w:val="right"/>
              <w:ind w:right="510"/>
              <w:spacing w:after="0"/>
              <w:rPr>
                <w:sz w:val="20"/>
                <w:szCs w:val="20"/>
                <w:color w:val="auto"/>
              </w:rPr>
            </w:pPr>
            <w:r>
              <w:rPr>
                <w:rFonts w:ascii="Arial" w:cs="Arial" w:eastAsia="Arial" w:hAnsi="Arial"/>
                <w:sz w:val="18"/>
                <w:szCs w:val="18"/>
                <w:color w:val="auto"/>
              </w:rPr>
              <w:t>501,945</w:t>
            </w:r>
          </w:p>
        </w:tc>
        <w:tc>
          <w:tcPr>
            <w:tcW w:w="10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577,124</w:t>
            </w: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Black Hills Electric Generation </w:t>
            </w:r>
            <w:r>
              <w:rPr>
                <w:rFonts w:ascii="Arial" w:cs="Arial" w:eastAsia="Arial" w:hAnsi="Arial"/>
                <w:sz w:val="25"/>
                <w:szCs w:val="25"/>
                <w:color w:val="auto"/>
                <w:vertAlign w:val="superscript"/>
              </w:rPr>
              <w:t>(c)</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167,296</w:t>
            </w: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5,873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EFFE7"/>
            </w:tcBorders>
            <w:gridSpan w:val="2"/>
            <w:shd w:val="clear" w:color="auto" w:fill="CEFFE7"/>
          </w:tcPr>
          <w:p>
            <w:pPr>
              <w:ind w:left="820"/>
              <w:spacing w:after="0"/>
              <w:rPr>
                <w:sz w:val="20"/>
                <w:szCs w:val="20"/>
                <w:color w:val="auto"/>
              </w:rPr>
            </w:pPr>
            <w:r>
              <w:rPr>
                <w:rFonts w:ascii="Arial" w:cs="Arial" w:eastAsia="Arial" w:hAnsi="Arial"/>
                <w:sz w:val="18"/>
                <w:szCs w:val="18"/>
                <w:color w:val="auto"/>
              </w:rPr>
              <w:t>Total Generated</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1,660,412</w:t>
            </w:r>
          </w:p>
        </w:tc>
        <w:tc>
          <w:tcPr>
            <w:tcW w:w="1840" w:type="dxa"/>
            <w:vAlign w:val="bottom"/>
            <w:tcBorders>
              <w:bottom w:val="single" w:sz="8" w:color="auto"/>
            </w:tcBorders>
            <w:shd w:val="clear" w:color="auto" w:fill="CEFFE7"/>
          </w:tcPr>
          <w:p>
            <w:pPr>
              <w:jc w:val="right"/>
              <w:ind w:right="510"/>
              <w:spacing w:after="0"/>
              <w:rPr>
                <w:sz w:val="20"/>
                <w:szCs w:val="20"/>
                <w:color w:val="auto"/>
              </w:rPr>
            </w:pPr>
            <w:r>
              <w:rPr>
                <w:rFonts w:ascii="Arial" w:cs="Arial" w:eastAsia="Arial" w:hAnsi="Arial"/>
                <w:sz w:val="18"/>
                <w:szCs w:val="18"/>
                <w:color w:val="auto"/>
              </w:rPr>
              <w:t>1,508,395</w:t>
            </w:r>
          </w:p>
        </w:tc>
        <w:tc>
          <w:tcPr>
            <w:tcW w:w="10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1,520,742</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12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66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Purchased</w:t>
            </w:r>
          </w:p>
        </w:tc>
        <w:tc>
          <w:tcPr>
            <w:tcW w:w="186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6640" w:type="dxa"/>
            <w:vAlign w:val="bottom"/>
            <w:tcBorders>
              <w:bottom w:val="single" w:sz="8" w:color="CEFFE7"/>
            </w:tcBorders>
            <w:gridSpan w:val="2"/>
          </w:tcPr>
          <w:p>
            <w:pPr>
              <w:ind w:left="380"/>
              <w:spacing w:after="0" w:line="270" w:lineRule="exact"/>
              <w:rPr>
                <w:sz w:val="20"/>
                <w:szCs w:val="20"/>
                <w:color w:val="auto"/>
              </w:rPr>
            </w:pPr>
            <w:r>
              <w:rPr>
                <w:rFonts w:ascii="Arial" w:cs="Arial" w:eastAsia="Arial" w:hAnsi="Arial"/>
                <w:sz w:val="18"/>
                <w:szCs w:val="18"/>
                <w:color w:val="auto"/>
              </w:rPr>
              <w:t xml:space="preserve">Black Hills Wyoming </w:t>
            </w:r>
            <w:r>
              <w:rPr>
                <w:rFonts w:ascii="Arial" w:cs="Arial" w:eastAsia="Arial" w:hAnsi="Arial"/>
                <w:sz w:val="25"/>
                <w:szCs w:val="25"/>
                <w:color w:val="auto"/>
                <w:vertAlign w:val="superscript"/>
              </w:rPr>
              <w:t>(b)</w:t>
            </w:r>
          </w:p>
        </w:tc>
        <w:tc>
          <w:tcPr>
            <w:tcW w:w="1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74,199</w:t>
            </w:r>
          </w:p>
        </w:tc>
        <w:tc>
          <w:tcPr>
            <w:tcW w:w="18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83,213</w:t>
            </w:r>
          </w:p>
        </w:tc>
        <w:tc>
          <w:tcPr>
            <w:tcW w:w="10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69,377</w:t>
            </w:r>
          </w:p>
        </w:tc>
        <w:tc>
          <w:tcPr>
            <w:tcW w:w="0" w:type="dxa"/>
            <w:vAlign w:val="bottom"/>
          </w:tcPr>
          <w:p>
            <w:pPr>
              <w:spacing w:after="0"/>
              <w:rPr>
                <w:sz w:val="1"/>
                <w:szCs w:val="1"/>
                <w:color w:val="auto"/>
              </w:rPr>
            </w:pPr>
          </w:p>
        </w:tc>
      </w:tr>
      <w:tr>
        <w:trPr>
          <w:trHeight w:val="257"/>
        </w:trPr>
        <w:tc>
          <w:tcPr>
            <w:tcW w:w="6640" w:type="dxa"/>
            <w:vAlign w:val="bottom"/>
            <w:tcBorders>
              <w:bottom w:val="single" w:sz="8" w:color="CEFFE7"/>
            </w:tcBorders>
            <w:gridSpan w:val="2"/>
            <w:shd w:val="clear" w:color="auto" w:fill="CEFFE7"/>
          </w:tcPr>
          <w:p>
            <w:pPr>
              <w:ind w:left="820"/>
              <w:spacing w:after="0"/>
              <w:rPr>
                <w:sz w:val="20"/>
                <w:szCs w:val="20"/>
                <w:color w:val="auto"/>
              </w:rPr>
            </w:pPr>
            <w:r>
              <w:rPr>
                <w:rFonts w:ascii="Arial" w:cs="Arial" w:eastAsia="Arial" w:hAnsi="Arial"/>
                <w:sz w:val="18"/>
                <w:szCs w:val="18"/>
                <w:color w:val="auto"/>
              </w:rPr>
              <w:t>Total Purchased</w:t>
            </w:r>
          </w:p>
        </w:tc>
        <w:tc>
          <w:tcPr>
            <w:tcW w:w="186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74,199</w:t>
            </w:r>
          </w:p>
        </w:tc>
        <w:tc>
          <w:tcPr>
            <w:tcW w:w="1840" w:type="dxa"/>
            <w:vAlign w:val="bottom"/>
            <w:tcBorders>
              <w:bottom w:val="single" w:sz="8" w:color="auto"/>
            </w:tcBorders>
            <w:shd w:val="clear" w:color="auto" w:fill="CEFFE7"/>
          </w:tcPr>
          <w:p>
            <w:pPr>
              <w:jc w:val="right"/>
              <w:ind w:right="510"/>
              <w:spacing w:after="0"/>
              <w:rPr>
                <w:sz w:val="20"/>
                <w:szCs w:val="20"/>
                <w:color w:val="auto"/>
              </w:rPr>
            </w:pPr>
            <w:r>
              <w:rPr>
                <w:rFonts w:ascii="Arial" w:cs="Arial" w:eastAsia="Arial" w:hAnsi="Arial"/>
                <w:sz w:val="18"/>
                <w:szCs w:val="18"/>
                <w:color w:val="auto"/>
              </w:rPr>
              <w:t>83,213</w:t>
            </w:r>
          </w:p>
        </w:tc>
        <w:tc>
          <w:tcPr>
            <w:tcW w:w="10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69,377</w:t>
            </w:r>
          </w:p>
        </w:tc>
        <w:tc>
          <w:tcPr>
            <w:tcW w:w="0" w:type="dxa"/>
            <w:vAlign w:val="bottom"/>
          </w:tcPr>
          <w:p>
            <w:pPr>
              <w:spacing w:after="0"/>
              <w:rPr>
                <w:sz w:val="1"/>
                <w:szCs w:val="1"/>
                <w:color w:val="auto"/>
              </w:rPr>
            </w:pPr>
          </w:p>
        </w:tc>
      </w:tr>
      <w:tr>
        <w:trPr>
          <w:trHeight w:val="20"/>
        </w:trPr>
        <w:tc>
          <w:tcPr>
            <w:tcW w:w="6640" w:type="dxa"/>
            <w:vAlign w:val="bottom"/>
            <w:gridSpan w:val="2"/>
            <w:vMerge w:val="restart"/>
          </w:tcPr>
          <w:p>
            <w:pPr>
              <w:spacing w:after="0"/>
              <w:rPr>
                <w:sz w:val="20"/>
                <w:szCs w:val="20"/>
                <w:color w:val="auto"/>
              </w:rPr>
            </w:pPr>
            <w:r>
              <w:rPr>
                <w:rFonts w:ascii="Arial" w:cs="Arial" w:eastAsia="Arial" w:hAnsi="Arial"/>
                <w:sz w:val="16"/>
                <w:szCs w:val="16"/>
                <w:color w:val="auto"/>
              </w:rPr>
              <w:t>____________________</w:t>
            </w:r>
          </w:p>
        </w:tc>
        <w:tc>
          <w:tcPr>
            <w:tcW w:w="186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640" w:type="dxa"/>
            <w:vAlign w:val="bottom"/>
            <w:gridSpan w:val="2"/>
            <w:vMerge w:val="continue"/>
          </w:tcPr>
          <w:p>
            <w:pPr>
              <w:spacing w:after="0"/>
              <w:rPr>
                <w:sz w:val="15"/>
                <w:szCs w:val="15"/>
                <w:color w:val="auto"/>
              </w:rPr>
            </w:pPr>
          </w:p>
        </w:tc>
        <w:tc>
          <w:tcPr>
            <w:tcW w:w="186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Company use and losses are not included in the quantities sold, generated and purchased.</w:t>
      </w:r>
    </w:p>
    <w:p>
      <w:pPr>
        <w:spacing w:after="0" w:line="5" w:lineRule="exact"/>
        <w:rPr>
          <w:rFonts w:ascii="Arial" w:cs="Arial" w:eastAsia="Arial" w:hAnsi="Arial"/>
          <w:sz w:val="16"/>
          <w:szCs w:val="16"/>
          <w:color w:val="auto"/>
        </w:rPr>
      </w:pPr>
    </w:p>
    <w:p>
      <w:pPr>
        <w:ind w:left="340" w:right="80" w:hanging="332"/>
        <w:spacing w:after="0" w:line="246"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Under the 20-year economy energy PPA (discussed in </w:t>
      </w:r>
      <w:hyperlink w:anchor="page136">
        <w:r>
          <w:rPr>
            <w:rFonts w:ascii="Arial" w:cs="Arial" w:eastAsia="Arial" w:hAnsi="Arial"/>
            <w:sz w:val="16"/>
            <w:szCs w:val="16"/>
            <w:u w:val="single" w:color="auto"/>
            <w:color w:val="0000EE"/>
          </w:rPr>
          <w:t>Note 19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with the City of Gillette, Black Hills Wyoming purchases energy on behalf of the City of Gillette and sells that energy to the City of Gillette. MWh sold may not equal MWh generated and purchased due to a dispatch agreement Black Hills Wyoming has with South Dakota Electric to cover energy imbalances.</w:t>
      </w:r>
    </w:p>
    <w:p>
      <w:pPr>
        <w:spacing w:after="0" w:line="1" w:lineRule="exact"/>
        <w:rPr>
          <w:rFonts w:ascii="Arial" w:cs="Arial" w:eastAsia="Arial" w:hAnsi="Arial"/>
          <w:sz w:val="16"/>
          <w:szCs w:val="16"/>
          <w:color w:val="auto"/>
        </w:rPr>
      </w:pPr>
    </w:p>
    <w:p>
      <w:pPr>
        <w:ind w:left="340" w:right="600" w:hanging="332"/>
        <w:spacing w:after="0" w:line="257" w:lineRule="auto"/>
        <w:tabs>
          <w:tab w:leader="none" w:pos="340" w:val="left"/>
        </w:tabs>
        <w:numPr>
          <w:ilvl w:val="0"/>
          <w:numId w:val="20"/>
        </w:numPr>
        <w:rPr>
          <w:rFonts w:ascii="Arial" w:cs="Arial" w:eastAsia="Arial" w:hAnsi="Arial"/>
          <w:sz w:val="16"/>
          <w:szCs w:val="16"/>
          <w:color w:val="auto"/>
        </w:rPr>
      </w:pPr>
      <w:r>
        <w:rPr>
          <w:rFonts w:ascii="Arial" w:cs="Arial" w:eastAsia="Arial" w:hAnsi="Arial"/>
          <w:sz w:val="16"/>
          <w:szCs w:val="16"/>
          <w:color w:val="auto"/>
        </w:rPr>
        <w:t>Black Hills Electric Generation amounts in this table are related to wind facilities held by our Power Generation segment. Change from 2018 to 2019 is driven by acquisition, and placing in service, of new wind assets.</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 xml:space="preserve">Operating Agreements. </w:t>
      </w:r>
      <w:r>
        <w:rPr>
          <w:rFonts w:ascii="Arial" w:cs="Arial" w:eastAsia="Arial" w:hAnsi="Arial"/>
          <w:sz w:val="18"/>
          <w:szCs w:val="18"/>
          <w:color w:val="auto"/>
        </w:rPr>
        <w:t>Our Power Generation segment has the following material operating agreements:</w:t>
      </w:r>
    </w:p>
    <w:p>
      <w:pPr>
        <w:spacing w:after="0" w:line="225" w:lineRule="exact"/>
        <w:rPr>
          <w:sz w:val="20"/>
          <w:szCs w:val="20"/>
          <w:color w:val="auto"/>
        </w:rPr>
      </w:pPr>
    </w:p>
    <w:p>
      <w:pPr>
        <w:ind w:left="660" w:right="340" w:hanging="328"/>
        <w:spacing w:after="0" w:line="277"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 xml:space="preserve">Black Hills Wyoming’s economy energy PPA and other ancillary agreements are discussed in </w:t>
      </w:r>
      <w:hyperlink w:anchor="page136">
        <w:r>
          <w:rPr>
            <w:rFonts w:ascii="Arial" w:cs="Arial" w:eastAsia="Arial" w:hAnsi="Arial"/>
            <w:sz w:val="18"/>
            <w:szCs w:val="18"/>
            <w:u w:val="single" w:color="auto"/>
            <w:color w:val="0000EE"/>
          </w:rPr>
          <w:t>Note 19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Operating and Maintenance Services Agreement</w:t>
      </w:r>
    </w:p>
    <w:p>
      <w:pPr>
        <w:spacing w:after="0" w:line="225" w:lineRule="exact"/>
        <w:rPr>
          <w:rFonts w:ascii="Arial" w:cs="Arial" w:eastAsia="Arial" w:hAnsi="Arial"/>
          <w:sz w:val="18"/>
          <w:szCs w:val="18"/>
          <w:color w:val="auto"/>
        </w:rPr>
      </w:pPr>
    </w:p>
    <w:p>
      <w:pPr>
        <w:ind w:left="980" w:right="160" w:hanging="324"/>
        <w:spacing w:after="0" w:line="297" w:lineRule="auto"/>
        <w:tabs>
          <w:tab w:leader="none" w:pos="980" w:val="left"/>
        </w:tabs>
        <w:numPr>
          <w:ilvl w:val="1"/>
          <w:numId w:val="21"/>
        </w:numPr>
        <w:rPr>
          <w:rFonts w:ascii="Arial" w:cs="Arial" w:eastAsia="Arial" w:hAnsi="Arial"/>
          <w:sz w:val="16"/>
          <w:szCs w:val="16"/>
          <w:color w:val="auto"/>
        </w:rPr>
      </w:pPr>
      <w:r>
        <w:rPr>
          <w:rFonts w:ascii="Arial" w:cs="Arial" w:eastAsia="Arial" w:hAnsi="Arial"/>
          <w:sz w:val="16"/>
          <w:szCs w:val="16"/>
          <w:color w:val="auto"/>
        </w:rPr>
        <w:t>In conjunction with the sale of a noncontrolling interest in 2016, an operating and maintenance services agreement was entered into between Black Hills Electric Generation and Black Hills Colorado IPP. This agreement sets forth the obligations and responsibilities of Black Hills Electric Generation as the operator of the generating facility owned by Black Hills Colorado IPP. This agreement became effective on the date of the noncontrolling interest purchase and remains effective as long as the operator or one of its affiliates is responsible for managing the generating facilities in accordance with the noncontrolling interest agreement, or until termination by owner or operator.</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Shared Services Agreements</w:t>
      </w:r>
    </w:p>
    <w:p>
      <w:pPr>
        <w:spacing w:after="0" w:line="225" w:lineRule="exact"/>
        <w:rPr>
          <w:rFonts w:ascii="Arial" w:cs="Arial" w:eastAsia="Arial" w:hAnsi="Arial"/>
          <w:sz w:val="18"/>
          <w:szCs w:val="18"/>
          <w:color w:val="auto"/>
        </w:rPr>
      </w:pPr>
    </w:p>
    <w:p>
      <w:pPr>
        <w:ind w:left="980" w:right="12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South Dakota Electric, Wyoming Electric and Black Hills Wyoming are parties to a shared facilities agreement, whereby each entity is charged for the use of assets by the affiliate entity.</w:t>
      </w:r>
    </w:p>
    <w:p>
      <w:pPr>
        <w:spacing w:after="0" w:line="170" w:lineRule="exact"/>
        <w:rPr>
          <w:rFonts w:ascii="Arial" w:cs="Arial" w:eastAsia="Arial" w:hAnsi="Arial"/>
          <w:sz w:val="18"/>
          <w:szCs w:val="18"/>
          <w:color w:val="auto"/>
        </w:rPr>
      </w:pPr>
    </w:p>
    <w:p>
      <w:pPr>
        <w:ind w:left="980" w:right="60" w:hanging="324"/>
        <w:spacing w:after="0" w:line="277"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Black Hills Colorado IPP and Colorado Electric are parties to a facility fee agreement, whereby Colorado Electric charges Black Hills Colorado IPP for the use of Colorado Electric’s assets.</w:t>
      </w:r>
    </w:p>
    <w:p>
      <w:pPr>
        <w:spacing w:after="0" w:line="170" w:lineRule="exact"/>
        <w:rPr>
          <w:rFonts w:ascii="Arial" w:cs="Arial" w:eastAsia="Arial" w:hAnsi="Arial"/>
          <w:sz w:val="18"/>
          <w:szCs w:val="18"/>
          <w:color w:val="auto"/>
        </w:rPr>
      </w:pPr>
    </w:p>
    <w:p>
      <w:pPr>
        <w:ind w:left="980" w:right="80" w:hanging="324"/>
        <w:spacing w:after="0" w:line="264" w:lineRule="auto"/>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Black Hills Colorado IPP, Wyoming Electric and South Dakota Electric are parties to a Spare Turbine Use Agreement, whereby Black Hills Colorado IPP charges South Dakota Electric and Wyoming Electric a monthly fee for the availability of a spare turbine to support the operation of Cheyenne Prairie.</w:t>
      </w:r>
    </w:p>
    <w:p>
      <w:pPr>
        <w:spacing w:after="0" w:line="181" w:lineRule="exact"/>
        <w:rPr>
          <w:rFonts w:ascii="Arial" w:cs="Arial" w:eastAsia="Arial" w:hAnsi="Arial"/>
          <w:sz w:val="18"/>
          <w:szCs w:val="18"/>
          <w:color w:val="auto"/>
        </w:rPr>
      </w:pPr>
    </w:p>
    <w:p>
      <w:pPr>
        <w:ind w:left="980" w:hanging="324"/>
        <w:spacing w:after="0"/>
        <w:tabs>
          <w:tab w:leader="none" w:pos="9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Black Hills Colorado IPP and Black Hills Wyoming receive certain staffing and management services from BHSC.</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 xml:space="preserve">Jointly owned facilities agreements are discussed in </w:t>
      </w:r>
      <w:hyperlink w:anchor="page97">
        <w:r>
          <w:rPr>
            <w:rFonts w:ascii="Arial" w:cs="Arial" w:eastAsia="Arial" w:hAnsi="Arial"/>
            <w:sz w:val="18"/>
            <w:szCs w:val="18"/>
            <w:u w:val="single" w:color="auto"/>
            <w:color w:val="0000EE"/>
          </w:rPr>
          <w:t>Note 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170"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 xml:space="preserve">Competition. </w:t>
      </w:r>
      <w:r>
        <w:rPr>
          <w:rFonts w:ascii="Arial" w:cs="Arial" w:eastAsia="Arial" w:hAnsi="Arial"/>
          <w:sz w:val="18"/>
          <w:szCs w:val="18"/>
          <w:color w:val="auto"/>
        </w:rPr>
        <w:t>The independent power industry consists of many strong and capable competitors, some of which may have more extensive operations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greater financial resources than we possess.</w:t>
      </w:r>
    </w:p>
    <w:p>
      <w:pPr>
        <w:spacing w:after="0" w:line="170"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With respect to the merchant power sector, FERC has taken steps to increase access to the national transmission grid by utility and non-utility purchasers and sellers of electricity and foster competition within the wholesale electricity markets. Our Power Generation business could face greater competition if utilities are permitted to robustly invest in power generation assets. Conversely, state regulatory rules requiring utilities to competitively bid generation resources may provide opportunity for independent power producers in some regions.</w:t>
      </w:r>
    </w:p>
    <w:p>
      <w:pPr>
        <w:spacing w:after="0" w:line="18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i w:val="1"/>
          <w:iCs w:val="1"/>
          <w:color w:val="auto"/>
        </w:rPr>
        <w:t xml:space="preserve">The Energy Policy Act of 1992. </w:t>
      </w:r>
      <w:r>
        <w:rPr>
          <w:rFonts w:ascii="Arial" w:cs="Arial" w:eastAsia="Arial" w:hAnsi="Arial"/>
          <w:sz w:val="18"/>
          <w:szCs w:val="18"/>
          <w:color w:val="auto"/>
        </w:rPr>
        <w:t>The passage of the Energy Policy Act of 1992 encouraged independent power production by providing certain exemptions</w:t>
      </w:r>
      <w:r>
        <w:rPr>
          <w:rFonts w:ascii="Arial" w:cs="Arial" w:eastAsia="Arial" w:hAnsi="Arial"/>
          <w:sz w:val="18"/>
          <w:szCs w:val="18"/>
          <w:i w:val="1"/>
          <w:iCs w:val="1"/>
          <w:color w:val="auto"/>
        </w:rPr>
        <w:t xml:space="preserve"> </w:t>
      </w:r>
      <w:r>
        <w:rPr>
          <w:rFonts w:ascii="Arial" w:cs="Arial" w:eastAsia="Arial" w:hAnsi="Arial"/>
          <w:sz w:val="18"/>
          <w:szCs w:val="18"/>
          <w:color w:val="auto"/>
        </w:rPr>
        <w:t>from regulation for EWGs. EWGs are exclusively in the business of owning or operating, or both owning and operating, eligible power facilities and selling electric energy at wholesale. EWGs are subject to FERC regulation, including rate regulation. We own five EWGs: Wygen I, Pueblo Airport Generation, Busch Ranch I, Busch Ranch II and Top of Iowa. Our EWGs were granted market-based rate authority, which allows FERC to waive certain accounting, record-keeping and reporting requirements imposed on public utilities with cost-based rates.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Mining Segment</w:t>
      </w:r>
    </w:p>
    <w:p>
      <w:pPr>
        <w:spacing w:after="0" w:line="229" w:lineRule="exact"/>
        <w:rPr>
          <w:sz w:val="20"/>
          <w:szCs w:val="20"/>
          <w:color w:val="auto"/>
        </w:rPr>
      </w:pPr>
    </w:p>
    <w:p>
      <w:pPr>
        <w:ind w:right="180"/>
        <w:spacing w:after="0" w:line="264" w:lineRule="auto"/>
        <w:rPr>
          <w:sz w:val="20"/>
          <w:szCs w:val="20"/>
          <w:color w:val="auto"/>
        </w:rPr>
      </w:pPr>
      <w:r>
        <w:rPr>
          <w:rFonts w:ascii="Arial" w:cs="Arial" w:eastAsia="Arial" w:hAnsi="Arial"/>
          <w:sz w:val="18"/>
          <w:szCs w:val="18"/>
          <w:color w:val="auto"/>
        </w:rPr>
        <w:t>Our Mining segment operates through our WRDC subsidiary. We surface mine, process and sell low-sulfur sub-bituminous coal at our mine near Gillette, Wyoming. The WRDC mine, which we acquired in 1956 from Homestake Mining Company, is located in the Powder River Basin in eastern Wyoming. We produced approximately 3.7 million tons of coal in 2019.</w:t>
      </w:r>
    </w:p>
    <w:p>
      <w:pPr>
        <w:spacing w:after="0" w:line="181"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During our surface mining operations, we strip and store the topsoil. We then remove the overburden (earth and rock covering the coal) with heavy equipment. Removal of the overburden typically requires drilling and blasting. Once the coal is exposed, we drill, fracture and systematically remove it, using front-end loaders and conveyors to transport the coal to the mine-mouth generating facilities. We reclaim disturbed areas as part of our normal mining activities by back-filling the pit with overburden removed during the mining process. Once we have replaced the overburden and topsoil, we reestablish vegetation and plant life in accordance with our approved post-mining topography plan.</w:t>
      </w:r>
    </w:p>
    <w:p>
      <w:pPr>
        <w:spacing w:after="0" w:line="173"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In a basin characterized by thick coal seams, our overburden ratio, a comparison of the cubic yards of dirt removed to a ton of coal uncovered, has in recent years trended upwards. The overburden ratio at December 31, 2019 was 2.30 which increased from the prior year as we continued mining in areas with higher overburden. We expect our stripping ratio to be approximately 2.18 by the end of 2020 as we mine in areas with comparable overburden.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26" w:right="259" w:bottom="1440" w:gutter="0" w:footer="0" w:header="0"/>
        </w:sectPr>
      </w:pPr>
    </w:p>
    <w:bookmarkStart w:id="25" w:name="page26"/>
    <w:bookmarkEnd w:id="2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Mining rights to the reserves are based on three federal leases and one state lease. The federal leases expire between March 31, 2021 and September 30, 2025 and the state lease expires on August 1, 2023. The duration of the leases varies; however, the lease terms generally are extended to the exhaustion of economically recoverable reserves, as long as active mining continues. We pay federal and state royalties of 12.5% of the selling price of all coal. As of December 31, 2019, we estimated our recoverable reserves to be approximately 185 million tons, based on a life-of-mine engineering study utilizing currently available drilling data and geological information prepared by internal engineering studies. The recoverable reserve life is equal to approximately 50 years at the current production levels. Our recoverable reserve estimates are periodically updated to reflect past production and other geological and mining data. Changes in mining methods or the utilization of new technologies may increase or decrease the recovery basis for a coal seam. Our recoverable reserves include reserves that can be economically and legally extracted at the time of their determination.</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Substantially all of the mine’s production is currently sold under contracts to:</w:t>
      </w:r>
    </w:p>
    <w:p>
      <w:pPr>
        <w:spacing w:after="0" w:line="225" w:lineRule="exact"/>
        <w:rPr>
          <w:sz w:val="20"/>
          <w:szCs w:val="20"/>
          <w:color w:val="auto"/>
        </w:rPr>
      </w:pPr>
    </w:p>
    <w:p>
      <w:pPr>
        <w:ind w:left="620" w:hanging="315"/>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South Dakota Electric for use at the 90 MW Neil Simpson II plant to which we sell approximately 500,000 tons each year. This contract is for the life of the plant;</w:t>
      </w:r>
    </w:p>
    <w:p>
      <w:pPr>
        <w:spacing w:after="0" w:line="170" w:lineRule="exact"/>
        <w:rPr>
          <w:rFonts w:ascii="Arial" w:cs="Arial" w:eastAsia="Arial" w:hAnsi="Arial"/>
          <w:sz w:val="18"/>
          <w:szCs w:val="18"/>
          <w:color w:val="auto"/>
        </w:rPr>
      </w:pPr>
    </w:p>
    <w:p>
      <w:pPr>
        <w:ind w:left="620" w:right="300" w:hanging="315"/>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Wyoming Electric for use at the 95 MW Wygen II plant to which we sell approximately 550,000 tons each year. This contract is for the life of the plant;</w:t>
      </w:r>
    </w:p>
    <w:p>
      <w:pPr>
        <w:spacing w:after="0" w:line="170" w:lineRule="exact"/>
        <w:rPr>
          <w:rFonts w:ascii="Arial" w:cs="Arial" w:eastAsia="Arial" w:hAnsi="Arial"/>
          <w:sz w:val="18"/>
          <w:szCs w:val="18"/>
          <w:color w:val="auto"/>
        </w:rPr>
      </w:pPr>
    </w:p>
    <w:p>
      <w:pPr>
        <w:ind w:left="620" w:right="100" w:hanging="315"/>
        <w:spacing w:after="0" w:line="259"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362 MW Wyodak Plant owned 80% by PacifiCorp and 20% by South Dakota Electric. PacifiCorp is obligated to purchase a minimum of 1.5 million tons each year of the contract term, subject to adjustments for planned outages. South Dakota Electric is also obligated to purchase a minimum of 375,000 tons per year for its 20% share of the power plant, subject to adjustments for planned outages. This contract expires December 31, 2022 and negotiations are underway to extend the contract;</w:t>
      </w:r>
    </w:p>
    <w:p>
      <w:pPr>
        <w:spacing w:after="0" w:line="186" w:lineRule="exact"/>
        <w:rPr>
          <w:rFonts w:ascii="Arial" w:cs="Arial" w:eastAsia="Arial" w:hAnsi="Arial"/>
          <w:sz w:val="18"/>
          <w:szCs w:val="18"/>
          <w:color w:val="auto"/>
        </w:rPr>
      </w:pPr>
    </w:p>
    <w:p>
      <w:pPr>
        <w:ind w:left="660" w:right="700" w:hanging="328"/>
        <w:spacing w:after="0" w:line="277" w:lineRule="auto"/>
        <w:tabs>
          <w:tab w:leader="none" w:pos="660" w:val="left"/>
        </w:tabs>
        <w:numPr>
          <w:ilvl w:val="1"/>
          <w:numId w:val="23"/>
        </w:numPr>
        <w:rPr>
          <w:rFonts w:ascii="Arial" w:cs="Arial" w:eastAsia="Arial" w:hAnsi="Arial"/>
          <w:sz w:val="18"/>
          <w:szCs w:val="18"/>
          <w:color w:val="auto"/>
        </w:rPr>
      </w:pPr>
      <w:r>
        <w:rPr>
          <w:rFonts w:ascii="Arial" w:cs="Arial" w:eastAsia="Arial" w:hAnsi="Arial"/>
          <w:sz w:val="18"/>
          <w:szCs w:val="18"/>
          <w:color w:val="auto"/>
        </w:rPr>
        <w:t>The 110 MW Wygen III power plant owned 52% by South Dakota Electric, 25% by MDU and 23% by the City of Gillette to which we sell approximately 600,000 tons each year. This contract expires June 1, 2060;</w:t>
      </w:r>
    </w:p>
    <w:p>
      <w:pPr>
        <w:spacing w:after="0" w:line="170" w:lineRule="exact"/>
        <w:rPr>
          <w:rFonts w:ascii="Arial" w:cs="Arial" w:eastAsia="Arial" w:hAnsi="Arial"/>
          <w:sz w:val="18"/>
          <w:szCs w:val="18"/>
          <w:color w:val="auto"/>
        </w:rPr>
      </w:pPr>
    </w:p>
    <w:p>
      <w:pPr>
        <w:ind w:left="620" w:right="180" w:hanging="315"/>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90 MW Wygen I power plant owned 76.5% by Black Hills Wyoming and 23.5% by MEAN to which we sell approximately 500,000 tons each year. This contract expires June 30, 2038; and</w:t>
      </w:r>
    </w:p>
    <w:p>
      <w:pPr>
        <w:spacing w:after="0" w:line="170" w:lineRule="exact"/>
        <w:rPr>
          <w:rFonts w:ascii="Arial" w:cs="Arial" w:eastAsia="Arial" w:hAnsi="Arial"/>
          <w:sz w:val="18"/>
          <w:szCs w:val="18"/>
          <w:color w:val="auto"/>
        </w:rPr>
      </w:pPr>
    </w:p>
    <w:p>
      <w:pPr>
        <w:ind w:left="620" w:right="20" w:hanging="315"/>
        <w:spacing w:after="0" w:line="277" w:lineRule="auto"/>
        <w:tabs>
          <w:tab w:leader="none" w:pos="62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Certain regional industrial customers served by truck to which we sell a total of approximately 150,000 tons each year. These contracts have terms of one to five years.</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Our Mining segment sells coal to South Dakota Electric and Wyoming Electric for all of their requirements under cost-based agreements that regulate earnings from these affiliate sales to a specified return on our mine’s cost-depreciated investment base. The return calculated annually is 400 basis points above Moody’s A-Rated Utility Bond Index applied to our Mining investment base. South Dakota Electric made a commitment to the SDPUC, the WPSC and the City of Gillette that coal for South Dakota Electric’s operating plants would be furnished and priced as provided by that agreement for the life of the Neil Simpson II plant and through June 1, 2060, for Wygen III. The agreement with Wyoming Electric provides coal for the life of the Wygen II plant.</w:t>
      </w:r>
    </w:p>
    <w:p>
      <w:pPr>
        <w:spacing w:after="0" w:line="158"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The price of unprocessed coal sold to PacifiCorp for the Wyodak Plant is determined by the supply agreement described above. The agreement included a price adjustment in 2019. The price adjustment essentially allowed us to retain the full economic advantage of the mine’s location adjacent to the plant. The price adjustment was based on market price plus considerations for the avoided costs of rail transportation and an unloading facility, which PacifiCorp would have to incur if it purchased from another mine. In addition, the agreement also provided for the monthly escalation of price based on an escalation factor.</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In October 2019, negotiations were completed for the price re-opener in the contract with Wyodak Plant. The new price was</w:t>
      </w:r>
    </w:p>
    <w:p>
      <w:pPr>
        <w:spacing w:after="0" w:line="23"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reset at $17.94 per ton effective July 1, 2019, compared to the prior contract price of $18.25 per ton. The current contract price is comprised of three components: 1) avoided transportation costs (approximately 20% of current price); 2) avoided costs of an unloading facility (approximately 30% of current price); and 3) a rolling 12-month average of the Coal Daily spot market price of 8,400 Btu Powder River Basin coal (approximately 50% of current price).</w:t>
      </w:r>
    </w:p>
    <w:p>
      <w:pPr>
        <w:spacing w:after="0" w:line="15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WRDC supplies coal to Black Hills Wyoming for the Wygen I generating facility for requirements under an agreement using a base price that includes price escalators and quality adjustments through June 30, 2038 and includes actual cost per ton plus a margin equal to the yield for Moody’s A-Rated Utility Bond Index plus 400 basis points with the base price being adjusted on a 5-year interval. The agreement stipulates that WRDC will supply coal to the 90 MW Wygen I plant through June 30, 2038.</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126" w:right="259" w:bottom="1440" w:gutter="0" w:footer="0" w:header="0"/>
        </w:sectPr>
      </w:pPr>
    </w:p>
    <w:bookmarkStart w:id="26" w:name="page27"/>
    <w:bookmarkEnd w:id="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b w:val="1"/>
          <w:bCs w:val="1"/>
          <w:i w:val="1"/>
          <w:iCs w:val="1"/>
          <w:color w:val="auto"/>
        </w:rPr>
        <w:t xml:space="preserve">Competition. </w:t>
      </w:r>
      <w:r>
        <w:rPr>
          <w:rFonts w:ascii="Arial" w:cs="Arial" w:eastAsia="Arial" w:hAnsi="Arial"/>
          <w:sz w:val="17"/>
          <w:szCs w:val="17"/>
          <w:color w:val="auto"/>
        </w:rPr>
        <w:t>Our strategy is to sell the majority of our production to on-site, mine-mouth generation facilities under long-term supply contracts. Historically,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any off-site sales have been to consumers within close proximity to the WRDC mine. Rail transport market opportunities for WRDC are limited due to the lower heating value (Btu) of the coal, combined with the fact that the WRDC mine is served by only one railroad, resulting in less competitive transportation rates. Management continues to explore the limited market opportunities for our product through truck transport.</w:t>
      </w:r>
    </w:p>
    <w:p>
      <w:pPr>
        <w:spacing w:after="0" w:line="17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Additionally, coal competes with other energy sources, such as natural gas, wind, solar and hydropower. Costs and other factors relating to these alternative fuels, such as safety, environmental considerations and availability affect the overall demand for coal as a fuel.</w:t>
      </w:r>
    </w:p>
    <w:p>
      <w:pPr>
        <w:spacing w:after="0" w:line="170" w:lineRule="exact"/>
        <w:rPr>
          <w:sz w:val="20"/>
          <w:szCs w:val="20"/>
          <w:color w:val="auto"/>
        </w:rPr>
      </w:pPr>
    </w:p>
    <w:p>
      <w:pPr>
        <w:jc w:val="both"/>
        <w:ind w:right="620"/>
        <w:spacing w:after="0" w:line="264" w:lineRule="auto"/>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Environmental Matters. </w:t>
      </w:r>
      <w:r>
        <w:rPr>
          <w:rFonts w:ascii="Arial" w:cs="Arial" w:eastAsia="Arial" w:hAnsi="Arial"/>
          <w:sz w:val="18"/>
          <w:szCs w:val="18"/>
          <w:color w:val="auto"/>
        </w:rPr>
        <w:t>We are subject to federal, state and local laws and regulations providing for air, water and solid waste pollution control; state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facility-siting regulations; zoning and planning regulations of certain state and local authorities; federal health and safety regulations; and state hazard communication standards. See </w:t>
      </w:r>
      <w:hyperlink w:anchor="page27">
        <w:r>
          <w:rPr>
            <w:rFonts w:ascii="Arial" w:cs="Arial" w:eastAsia="Arial" w:hAnsi="Arial"/>
            <w:sz w:val="18"/>
            <w:szCs w:val="18"/>
            <w:u w:val="single" w:color="auto"/>
            <w:color w:val="0000EE"/>
          </w:rPr>
          <w:t>Environmental Matters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section for further information.</w:t>
      </w:r>
    </w:p>
    <w:p>
      <w:pPr>
        <w:spacing w:after="0" w:line="181" w:lineRule="exact"/>
        <w:rPr>
          <w:sz w:val="20"/>
          <w:szCs w:val="20"/>
          <w:color w:val="auto"/>
        </w:rPr>
      </w:pPr>
    </w:p>
    <w:p>
      <w:pPr>
        <w:ind w:right="40"/>
        <w:spacing w:after="0" w:line="273" w:lineRule="auto"/>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Mine Reclamation. </w:t>
      </w:r>
      <w:r>
        <w:rPr>
          <w:rFonts w:ascii="Arial" w:cs="Arial" w:eastAsia="Arial" w:hAnsi="Arial"/>
          <w:sz w:val="17"/>
          <w:szCs w:val="17"/>
          <w:color w:val="auto"/>
        </w:rPr>
        <w:t>Reclamation is required during production and after mining has been completed. Under applicable law, we must submit applications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 xml:space="preserve">and receive approval from, the WDEQ for any mining and reclamation plans that provide for orderly mining, reclamation and restoration of the WRDC mine. We have approved mining permits and are in compliance with other permitting programs administered by various regulatory agencies. The WRDC mine is permitted to operate under a five-year mining permit issued by the State of Wyoming. In 2016, that five-year permit was re-issued. Based on extensive reclamation studies, we have accrued approximately $14 million for reclamation costs as of December 31, 2019. See additional information in </w:t>
      </w:r>
      <w:hyperlink w:anchor="page106">
        <w:r>
          <w:rPr>
            <w:rFonts w:ascii="Arial" w:cs="Arial" w:eastAsia="Arial" w:hAnsi="Arial"/>
            <w:sz w:val="17"/>
            <w:szCs w:val="17"/>
            <w:u w:val="single" w:color="auto"/>
            <w:color w:val="0000EE"/>
          </w:rPr>
          <w:t>Note 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 this Annual Report on Form 10-K.</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Environmental Matters</w:t>
      </w:r>
    </w:p>
    <w:p>
      <w:pPr>
        <w:spacing w:after="0" w:line="266"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222222"/>
        </w:rPr>
        <w:t>Methane Rules (Greenhouse Gas Emissions)</w:t>
      </w:r>
      <w:r>
        <w:rPr>
          <w:rFonts w:ascii="Arial" w:cs="Arial" w:eastAsia="Arial" w:hAnsi="Arial"/>
          <w:sz w:val="18"/>
          <w:szCs w:val="18"/>
          <w:color w:val="222222"/>
        </w:rPr>
        <w:t>. The EPA and the State of Colorado have implemented strict regulatory requirements on hydrocarbon and</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methane emissions associated with natural gas gathering and transmission systems. The BLM repealed similar hydrocarbon and methane emissions reductions it previously established under the Methane Rule (Venting and Flaring rule). </w:t>
      </w:r>
      <w:r>
        <w:rPr>
          <w:rFonts w:ascii="Arial" w:cs="Arial" w:eastAsia="Arial" w:hAnsi="Arial"/>
          <w:sz w:val="18"/>
          <w:szCs w:val="18"/>
          <w:color w:val="000000"/>
        </w:rPr>
        <w:t>Presently, we have four facilities in our Colorado natural gas transmission</w:t>
      </w:r>
      <w:r>
        <w:rPr>
          <w:rFonts w:ascii="Arial" w:cs="Arial" w:eastAsia="Arial" w:hAnsi="Arial"/>
          <w:sz w:val="18"/>
          <w:szCs w:val="18"/>
          <w:color w:val="222222"/>
        </w:rPr>
        <w:t xml:space="preserve"> </w:t>
      </w:r>
      <w:r>
        <w:rPr>
          <w:rFonts w:ascii="Arial" w:cs="Arial" w:eastAsia="Arial" w:hAnsi="Arial"/>
          <w:sz w:val="18"/>
          <w:szCs w:val="18"/>
          <w:color w:val="000000"/>
        </w:rPr>
        <w:t>operations affected by the hydrocarbon and methane reduction rules.</w:t>
      </w:r>
    </w:p>
    <w:p>
      <w:pPr>
        <w:spacing w:after="0" w:line="184"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 xml:space="preserve">Our operations are currently in compliance with both EPA and State of Colorado rules. Future modifications to our gathering and transmissions systems are anticipated to trigger EPA methane rules. </w:t>
      </w:r>
      <w:r>
        <w:rPr>
          <w:rFonts w:ascii="Arial" w:cs="Arial" w:eastAsia="Arial" w:hAnsi="Arial"/>
          <w:sz w:val="18"/>
          <w:szCs w:val="18"/>
          <w:color w:val="222222"/>
        </w:rPr>
        <w:t>We plan to develop a corporate-wide</w:t>
      </w:r>
      <w:r>
        <w:rPr>
          <w:rFonts w:ascii="Arial" w:cs="Arial" w:eastAsia="Arial" w:hAnsi="Arial"/>
          <w:sz w:val="18"/>
          <w:szCs w:val="18"/>
          <w:color w:val="auto"/>
        </w:rPr>
        <w:t xml:space="preserve"> methane control strategy to address GHG emissions as we anticipate this will be a requirement in future rule-making efforts.</w:t>
      </w:r>
    </w:p>
    <w:p>
      <w:pPr>
        <w:spacing w:after="0" w:line="177" w:lineRule="exact"/>
        <w:rPr>
          <w:sz w:val="20"/>
          <w:szCs w:val="20"/>
          <w:color w:val="auto"/>
        </w:rPr>
      </w:pPr>
    </w:p>
    <w:p>
      <w:pPr>
        <w:ind w:right="60"/>
        <w:spacing w:after="0" w:line="272" w:lineRule="auto"/>
        <w:rPr>
          <w:sz w:val="20"/>
          <w:szCs w:val="20"/>
          <w:color w:val="auto"/>
        </w:rPr>
      </w:pPr>
      <w:r>
        <w:rPr>
          <w:rFonts w:ascii="Arial" w:cs="Arial" w:eastAsia="Arial" w:hAnsi="Arial"/>
          <w:sz w:val="17"/>
          <w:szCs w:val="17"/>
          <w:b w:val="1"/>
          <w:bCs w:val="1"/>
          <w:color w:val="auto"/>
        </w:rPr>
        <w:t xml:space="preserve">Water Issues. </w:t>
      </w:r>
      <w:r>
        <w:rPr>
          <w:rFonts w:ascii="Arial" w:cs="Arial" w:eastAsia="Arial" w:hAnsi="Arial"/>
          <w:sz w:val="17"/>
          <w:szCs w:val="17"/>
          <w:color w:val="auto"/>
        </w:rPr>
        <w:t>Our facilities are subject to a variety of state and federal regulations governing existing and potential water/ wastewater discharges and</w:t>
      </w:r>
      <w:r>
        <w:rPr>
          <w:rFonts w:ascii="Arial" w:cs="Arial" w:eastAsia="Arial" w:hAnsi="Arial"/>
          <w:sz w:val="17"/>
          <w:szCs w:val="17"/>
          <w:b w:val="1"/>
          <w:bCs w:val="1"/>
          <w:color w:val="auto"/>
        </w:rPr>
        <w:t xml:space="preserve"> </w:t>
      </w:r>
      <w:r>
        <w:rPr>
          <w:rFonts w:ascii="Arial" w:cs="Arial" w:eastAsia="Arial" w:hAnsi="Arial"/>
          <w:sz w:val="17"/>
          <w:szCs w:val="17"/>
          <w:color w:val="auto"/>
        </w:rPr>
        <w:t>protection of surface waters from oil pollution. Generally, such regulations are promulgated under the Clean Water Act and govern overall water/wastewater discharges through EPA’s surface water discharge and storm water permits. All of our facilities that are required to have such permits have those permits in place and are in compliance with discharge limitations and plan implementation requirements. The EPA proposed effluent limitation guidelines and standards on June 7, 2013, and published the final rule on November 3, 2015. In 2017, the EPA postponed the implementation of the rule and set a timeline in 2018 to revise the rule. To date, the rule is being reviewed by the Office of Management and Budget. This rule will have an impact on the Wyodak Plant. Until the EPA issues the rule for publication, we cannot quantify what the potential impact may be on the Wyodak Plant. The terms of this new regulation may impact the next permit renewal, which will be in 2020.</w:t>
      </w:r>
    </w:p>
    <w:p>
      <w:pPr>
        <w:spacing w:after="0" w:line="172" w:lineRule="exact"/>
        <w:rPr>
          <w:sz w:val="20"/>
          <w:szCs w:val="20"/>
          <w:color w:val="auto"/>
        </w:rPr>
      </w:pPr>
    </w:p>
    <w:p>
      <w:pPr>
        <w:ind w:right="140"/>
        <w:spacing w:after="0" w:line="271" w:lineRule="auto"/>
        <w:rPr>
          <w:sz w:val="20"/>
          <w:szCs w:val="20"/>
          <w:color w:val="auto"/>
        </w:rPr>
      </w:pPr>
      <w:r>
        <w:rPr>
          <w:rFonts w:ascii="Arial" w:cs="Arial" w:eastAsia="Arial" w:hAnsi="Arial"/>
          <w:sz w:val="18"/>
          <w:szCs w:val="18"/>
          <w:b w:val="1"/>
          <w:bCs w:val="1"/>
          <w:color w:val="222222"/>
        </w:rPr>
        <w:t xml:space="preserve">Short-term Emission Limits. </w:t>
      </w:r>
      <w:r>
        <w:rPr>
          <w:rFonts w:ascii="Arial" w:cs="Arial" w:eastAsia="Arial" w:hAnsi="Arial"/>
          <w:sz w:val="18"/>
          <w:szCs w:val="18"/>
          <w:color w:val="222222"/>
        </w:rPr>
        <w:t>The EPA and State Air Quality Programs implemented short-term emission limits for coal and natural gas-fired generating</w:t>
      </w:r>
      <w:r>
        <w:rPr>
          <w:rFonts w:ascii="Arial" w:cs="Arial" w:eastAsia="Arial" w:hAnsi="Arial"/>
          <w:sz w:val="18"/>
          <w:szCs w:val="18"/>
          <w:b w:val="1"/>
          <w:bCs w:val="1"/>
          <w:color w:val="222222"/>
        </w:rPr>
        <w:t xml:space="preserve"> </w:t>
      </w:r>
      <w:r>
        <w:rPr>
          <w:rFonts w:ascii="Arial" w:cs="Arial" w:eastAsia="Arial" w:hAnsi="Arial"/>
          <w:sz w:val="18"/>
          <w:szCs w:val="18"/>
          <w:color w:val="222222"/>
        </w:rPr>
        <w:t>units during normal and start-up operating scenarios for SO</w:t>
      </w:r>
      <w:r>
        <w:rPr>
          <w:rFonts w:ascii="Arial" w:cs="Arial" w:eastAsia="Arial" w:hAnsi="Arial"/>
          <w:sz w:val="10"/>
          <w:szCs w:val="10"/>
          <w:color w:val="222222"/>
        </w:rPr>
        <w:t>2</w:t>
      </w:r>
      <w:r>
        <w:rPr>
          <w:rFonts w:ascii="Arial" w:cs="Arial" w:eastAsia="Arial" w:hAnsi="Arial"/>
          <w:sz w:val="18"/>
          <w:szCs w:val="18"/>
          <w:color w:val="222222"/>
        </w:rPr>
        <w:t>, NO</w:t>
      </w:r>
      <w:r>
        <w:rPr>
          <w:rFonts w:ascii="Arial" w:cs="Arial" w:eastAsia="Arial" w:hAnsi="Arial"/>
          <w:sz w:val="10"/>
          <w:szCs w:val="10"/>
          <w:color w:val="222222"/>
        </w:rPr>
        <w:t>x</w:t>
      </w:r>
      <w:r>
        <w:rPr>
          <w:rFonts w:ascii="Arial" w:cs="Arial" w:eastAsia="Arial" w:hAnsi="Arial"/>
          <w:sz w:val="18"/>
          <w:szCs w:val="18"/>
          <w:color w:val="222222"/>
        </w:rPr>
        <w:t xml:space="preserve"> and opacity. The limits pertain to emissions during start-up periods and upset conditions such as mechanical malfunctions. State and federal regulatory agencies typically excuse short-term emissions exceedances if they are reported and corrected immediately or if it occurs during start-up.</w:t>
      </w:r>
    </w:p>
    <w:p>
      <w:pPr>
        <w:spacing w:after="0" w:line="177" w:lineRule="exact"/>
        <w:rPr>
          <w:sz w:val="20"/>
          <w:szCs w:val="20"/>
          <w:color w:val="auto"/>
        </w:rPr>
      </w:pPr>
    </w:p>
    <w:p>
      <w:pPr>
        <w:ind w:right="160"/>
        <w:spacing w:after="0" w:line="265" w:lineRule="auto"/>
        <w:rPr>
          <w:sz w:val="20"/>
          <w:szCs w:val="20"/>
          <w:color w:val="auto"/>
        </w:rPr>
      </w:pPr>
      <w:r>
        <w:rPr>
          <w:rFonts w:ascii="Arial" w:cs="Arial" w:eastAsia="Arial" w:hAnsi="Arial"/>
          <w:sz w:val="18"/>
          <w:szCs w:val="18"/>
          <w:color w:val="222222"/>
        </w:rPr>
        <w:t>We proactively manage this requirement through maintenance efforts and installing additional pollution control systems to control SO</w:t>
      </w:r>
      <w:r>
        <w:rPr>
          <w:rFonts w:ascii="Arial" w:cs="Arial" w:eastAsia="Arial" w:hAnsi="Arial"/>
          <w:sz w:val="10"/>
          <w:szCs w:val="10"/>
          <w:color w:val="222222"/>
        </w:rPr>
        <w:t>2</w:t>
      </w:r>
      <w:r>
        <w:rPr>
          <w:rFonts w:ascii="Arial" w:cs="Arial" w:eastAsia="Arial" w:hAnsi="Arial"/>
          <w:sz w:val="18"/>
          <w:szCs w:val="18"/>
          <w:color w:val="222222"/>
        </w:rPr>
        <w:t xml:space="preserve"> emission short-term excursions during start-up. These actions have nearly eliminated our short-term emission limit compliance risk while plant availability remained above 90% for all four of our coal-fired plants. To eliminate the remaining potential for exceedances, an innovative trip logic mechanism was implemented to shut the power plant down if a predicted emission limit is to be exceeded. Similar efforts have been taken and similar results achieved with our natural gas fired combustion turbine sites as well.</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26" w:right="239" w:bottom="1440" w:gutter="0" w:footer="0" w:header="0"/>
        </w:sectPr>
      </w:pPr>
    </w:p>
    <w:bookmarkStart w:id="27" w:name="page28"/>
    <w:bookmarkEnd w:id="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44"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b w:val="1"/>
          <w:bCs w:val="1"/>
          <w:color w:val="222222"/>
        </w:rPr>
        <w:t xml:space="preserve">Regional Haze (Impacts to the Wyodak Plant). </w:t>
      </w:r>
      <w:r>
        <w:rPr>
          <w:rFonts w:ascii="Arial" w:cs="Arial" w:eastAsia="Arial" w:hAnsi="Arial"/>
          <w:sz w:val="18"/>
          <w:szCs w:val="18"/>
          <w:color w:val="222222"/>
        </w:rPr>
        <w:t>The EPA Regional Haze rule was promulgated to improve visibility in our National Parks and Wilderness</w:t>
      </w:r>
      <w:r>
        <w:rPr>
          <w:rFonts w:ascii="Arial" w:cs="Arial" w:eastAsia="Arial" w:hAnsi="Arial"/>
          <w:sz w:val="18"/>
          <w:szCs w:val="18"/>
          <w:b w:val="1"/>
          <w:bCs w:val="1"/>
          <w:color w:val="222222"/>
        </w:rPr>
        <w:t xml:space="preserve"> </w:t>
      </w:r>
      <w:r>
        <w:rPr>
          <w:rFonts w:ascii="Arial" w:cs="Arial" w:eastAsia="Arial" w:hAnsi="Arial"/>
          <w:sz w:val="18"/>
          <w:szCs w:val="18"/>
          <w:color w:val="222222"/>
        </w:rPr>
        <w:t xml:space="preserve">Areas. The State of Wyoming proposed controls in its Regional Haze State Implementation Plan (SIP) which </w:t>
      </w:r>
      <w:r>
        <w:rPr>
          <w:rFonts w:ascii="Arial" w:cs="Arial" w:eastAsia="Arial" w:hAnsi="Arial"/>
          <w:sz w:val="18"/>
          <w:szCs w:val="18"/>
          <w:color w:val="000000"/>
        </w:rPr>
        <w:t>allowed PacifiCorp to install low-NO</w:t>
      </w:r>
      <w:r>
        <w:rPr>
          <w:rFonts w:ascii="Arial" w:cs="Arial" w:eastAsia="Arial" w:hAnsi="Arial"/>
          <w:sz w:val="12"/>
          <w:szCs w:val="12"/>
          <w:color w:val="000000"/>
        </w:rPr>
        <w:t>x</w:t>
      </w:r>
      <w:r>
        <w:rPr>
          <w:rFonts w:ascii="Arial" w:cs="Arial" w:eastAsia="Arial" w:hAnsi="Arial"/>
          <w:sz w:val="18"/>
          <w:szCs w:val="18"/>
          <w:color w:val="222222"/>
        </w:rPr>
        <w:t xml:space="preserve"> </w:t>
      </w:r>
      <w:r>
        <w:rPr>
          <w:rFonts w:ascii="Arial" w:cs="Arial" w:eastAsia="Arial" w:hAnsi="Arial"/>
          <w:sz w:val="18"/>
          <w:szCs w:val="18"/>
          <w:color w:val="000000"/>
        </w:rPr>
        <w:t>burners</w:t>
      </w:r>
      <w:r>
        <w:rPr>
          <w:rFonts w:ascii="Arial" w:cs="Arial" w:eastAsia="Arial" w:hAnsi="Arial"/>
          <w:sz w:val="18"/>
          <w:szCs w:val="18"/>
          <w:color w:val="222222"/>
        </w:rPr>
        <w:t xml:space="preserve"> </w:t>
      </w:r>
      <w:r>
        <w:rPr>
          <w:rFonts w:ascii="Arial" w:cs="Arial" w:eastAsia="Arial" w:hAnsi="Arial"/>
          <w:sz w:val="18"/>
          <w:szCs w:val="18"/>
          <w:color w:val="000000"/>
        </w:rPr>
        <w:t>in the Wyodak Plant, of which South Dakota Electric owns 20%</w:t>
      </w:r>
      <w:r>
        <w:rPr>
          <w:rFonts w:ascii="Arial" w:cs="Arial" w:eastAsia="Arial" w:hAnsi="Arial"/>
          <w:sz w:val="18"/>
          <w:szCs w:val="18"/>
          <w:color w:val="222222"/>
        </w:rPr>
        <w:t>. The EPA did not agree with the State of Wyoming’s determination and overruled it in a</w:t>
      </w:r>
      <w:r>
        <w:rPr>
          <w:rFonts w:ascii="Arial" w:cs="Arial" w:eastAsia="Arial" w:hAnsi="Arial"/>
          <w:sz w:val="18"/>
          <w:szCs w:val="18"/>
          <w:color w:val="000000"/>
        </w:rPr>
        <w:t xml:space="preserve"> </w:t>
      </w:r>
      <w:r>
        <w:rPr>
          <w:rFonts w:ascii="Arial" w:cs="Arial" w:eastAsia="Arial" w:hAnsi="Arial"/>
          <w:sz w:val="18"/>
          <w:szCs w:val="18"/>
          <w:color w:val="222222"/>
        </w:rPr>
        <w:t xml:space="preserve">Federal Implementation Plan (FIP). The State of Wyoming and other interested parties are challenging the EPA’s determination. </w:t>
      </w:r>
      <w:r>
        <w:rPr>
          <w:rFonts w:ascii="Arial" w:cs="Arial" w:eastAsia="Arial" w:hAnsi="Arial"/>
          <w:sz w:val="18"/>
          <w:szCs w:val="18"/>
          <w:color w:val="000000"/>
        </w:rPr>
        <w:t>If the challenge is</w:t>
      </w:r>
      <w:r>
        <w:rPr>
          <w:rFonts w:ascii="Arial" w:cs="Arial" w:eastAsia="Arial" w:hAnsi="Arial"/>
          <w:sz w:val="18"/>
          <w:szCs w:val="18"/>
          <w:color w:val="222222"/>
        </w:rPr>
        <w:t xml:space="preserve"> </w:t>
      </w:r>
      <w:r>
        <w:rPr>
          <w:rFonts w:ascii="Arial" w:cs="Arial" w:eastAsia="Arial" w:hAnsi="Arial"/>
          <w:sz w:val="18"/>
          <w:szCs w:val="18"/>
          <w:color w:val="000000"/>
        </w:rPr>
        <w:t>unsuccessful, additional capital investment would be necessary to bring the Wyodak Plant into compliance. South Dakota Electric’s 20% share of this capital investment for the facility would be approximately $27 million if PacifiCorp is required to install a Sele</w:t>
      </w:r>
      <w:r>
        <w:rPr>
          <w:rFonts w:ascii="Arial" w:cs="Arial" w:eastAsia="Arial" w:hAnsi="Arial"/>
          <w:sz w:val="18"/>
          <w:szCs w:val="18"/>
          <w:color w:val="222222"/>
        </w:rPr>
        <w:t>ctive Catalytic Reactor for</w:t>
      </w:r>
      <w:r>
        <w:rPr>
          <w:rFonts w:ascii="Arial" w:cs="Arial" w:eastAsia="Arial" w:hAnsi="Arial"/>
          <w:sz w:val="18"/>
          <w:szCs w:val="18"/>
          <w:color w:val="000000"/>
        </w:rPr>
        <w:t xml:space="preserve"> NO</w:t>
      </w:r>
      <w:r>
        <w:rPr>
          <w:rFonts w:ascii="Arial" w:cs="Arial" w:eastAsia="Arial" w:hAnsi="Arial"/>
          <w:sz w:val="12"/>
          <w:szCs w:val="12"/>
          <w:color w:val="000000"/>
        </w:rPr>
        <w:t>x</w:t>
      </w:r>
      <w:r>
        <w:rPr>
          <w:rFonts w:ascii="Arial" w:cs="Arial" w:eastAsia="Arial" w:hAnsi="Arial"/>
          <w:sz w:val="18"/>
          <w:szCs w:val="18"/>
          <w:color w:val="000000"/>
        </w:rPr>
        <w:t xml:space="preserve"> </w:t>
      </w:r>
      <w:r>
        <w:rPr>
          <w:rFonts w:ascii="Arial" w:cs="Arial" w:eastAsia="Arial" w:hAnsi="Arial"/>
          <w:sz w:val="18"/>
          <w:szCs w:val="18"/>
          <w:color w:val="222222"/>
        </w:rPr>
        <w:t>control. The case is</w:t>
      </w:r>
      <w:r>
        <w:rPr>
          <w:rFonts w:ascii="Arial" w:cs="Arial" w:eastAsia="Arial" w:hAnsi="Arial"/>
          <w:sz w:val="18"/>
          <w:szCs w:val="18"/>
          <w:color w:val="000000"/>
        </w:rPr>
        <w:t xml:space="preserve"> </w:t>
      </w:r>
      <w:r>
        <w:rPr>
          <w:rFonts w:ascii="Arial" w:cs="Arial" w:eastAsia="Arial" w:hAnsi="Arial"/>
          <w:sz w:val="18"/>
          <w:szCs w:val="18"/>
          <w:color w:val="222222"/>
        </w:rPr>
        <w:t>currently held in abeyance at the 10th circuit court as the parties work on a settlement. Basin Electric, who is part of the legal action, settled with the EPA. In lieu of going to court, PacifiCorp entered into mediation with the EPA and conservation groups. PacifiCorp submitted a “Request for Reconsideration” on October 24, 2019 to the EPA and provided a copy to the court. The purpose of the submittal is to revisit the emission impacts and cost of additional investment.</w:t>
      </w:r>
    </w:p>
    <w:p>
      <w:pPr>
        <w:spacing w:after="0" w:line="186" w:lineRule="exact"/>
        <w:rPr>
          <w:sz w:val="20"/>
          <w:szCs w:val="20"/>
          <w:color w:val="auto"/>
        </w:rPr>
      </w:pPr>
    </w:p>
    <w:p>
      <w:pPr>
        <w:jc w:val="both"/>
        <w:ind w:right="100"/>
        <w:spacing w:after="0" w:line="289" w:lineRule="auto"/>
        <w:rPr>
          <w:sz w:val="20"/>
          <w:szCs w:val="20"/>
          <w:color w:val="auto"/>
        </w:rPr>
      </w:pPr>
      <w:r>
        <w:rPr>
          <w:rFonts w:ascii="Arial" w:cs="Arial" w:eastAsia="Arial" w:hAnsi="Arial"/>
          <w:sz w:val="17"/>
          <w:szCs w:val="17"/>
          <w:b w:val="1"/>
          <w:bCs w:val="1"/>
          <w:color w:val="222222"/>
        </w:rPr>
        <w:t xml:space="preserve">Mining. </w:t>
      </w:r>
      <w:r>
        <w:rPr>
          <w:rFonts w:ascii="Arial" w:cs="Arial" w:eastAsia="Arial" w:hAnsi="Arial"/>
          <w:sz w:val="17"/>
          <w:szCs w:val="17"/>
          <w:color w:val="222222"/>
        </w:rPr>
        <w:t>Operations at the WRDC mine must regularly address issues related to the proximity of the mine disturbance boundary to the City of Gillette and to</w:t>
      </w:r>
      <w:r>
        <w:rPr>
          <w:rFonts w:ascii="Arial" w:cs="Arial" w:eastAsia="Arial" w:hAnsi="Arial"/>
          <w:sz w:val="17"/>
          <w:szCs w:val="17"/>
          <w:b w:val="1"/>
          <w:bCs w:val="1"/>
          <w:color w:val="222222"/>
        </w:rPr>
        <w:t xml:space="preserve"> </w:t>
      </w:r>
      <w:r>
        <w:rPr>
          <w:rFonts w:ascii="Arial" w:cs="Arial" w:eastAsia="Arial" w:hAnsi="Arial"/>
          <w:sz w:val="17"/>
          <w:szCs w:val="17"/>
          <w:color w:val="222222"/>
        </w:rPr>
        <w:t>residential and industrial properties. Homeowner complaints and challenges to the permits may occur as mining operations move closer to residential areas. Specific concerns could include damage to wells, fugitive dust emissions, vibration and an emissions cloud from blasting.</w:t>
      </w:r>
    </w:p>
    <w:p>
      <w:pPr>
        <w:spacing w:after="0" w:line="158"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color w:val="222222"/>
        </w:rPr>
        <w:t xml:space="preserve">Former Manufactured Gas Plants (FMGP). </w:t>
      </w:r>
      <w:r>
        <w:rPr>
          <w:rFonts w:ascii="Arial" w:cs="Arial" w:eastAsia="Arial" w:hAnsi="Arial"/>
          <w:sz w:val="17"/>
          <w:szCs w:val="17"/>
          <w:color w:val="222222"/>
        </w:rPr>
        <w:t>Federal and state laws authorize the EPA and other agencies to issue orders compelling potentially responsible</w:t>
      </w:r>
      <w:r>
        <w:rPr>
          <w:rFonts w:ascii="Arial" w:cs="Arial" w:eastAsia="Arial" w:hAnsi="Arial"/>
          <w:sz w:val="17"/>
          <w:szCs w:val="17"/>
          <w:b w:val="1"/>
          <w:bCs w:val="1"/>
          <w:color w:val="222222"/>
        </w:rPr>
        <w:t xml:space="preserve"> </w:t>
      </w:r>
      <w:r>
        <w:rPr>
          <w:rFonts w:ascii="Arial" w:cs="Arial" w:eastAsia="Arial" w:hAnsi="Arial"/>
          <w:sz w:val="17"/>
          <w:szCs w:val="17"/>
          <w:color w:val="222222"/>
        </w:rPr>
        <w:t>parties to clean up sites that are determined to present an actual or potential threat to human health or the environment. We are currently in discussions with the EPA, state regulators, and/or other third-parties to determine the ultimate resolution to these sites. As of December 31, 2019, our Gas Utilities have two active FMGP sites, which are located in Council Bluffs, Iowa, and McCook, Nebraska. For the Council Bluffs site, the delay in clean-up is due to identifying the Potential Responsible Parties (PRPs or Successors to the Operators) to pay for the clean-up. We are the landowner and not the Successors to the Operator, whom would be responsible for paying for the majority of clean-up. We have been working with the EPA to identify the PRPs. The EPA has sent out information requests to the PRPs seeking transaction documents to determine the Successors to the Operators of the site who created the contamination. For the McCook, Nebraska site, we have been contacted by a third-party who intends to manage and pay for the clean-up at this site. The third-party is conducting site assessments and working with the State of Nebraska on a clean-up plan.</w:t>
      </w:r>
    </w:p>
    <w:p>
      <w:pPr>
        <w:spacing w:after="0" w:line="174" w:lineRule="exact"/>
        <w:rPr>
          <w:sz w:val="20"/>
          <w:szCs w:val="20"/>
          <w:color w:val="auto"/>
        </w:rPr>
      </w:pPr>
    </w:p>
    <w:p>
      <w:pPr>
        <w:ind w:right="100"/>
        <w:spacing w:after="0" w:line="314" w:lineRule="auto"/>
        <w:rPr>
          <w:sz w:val="20"/>
          <w:szCs w:val="20"/>
          <w:color w:val="auto"/>
        </w:rPr>
      </w:pPr>
      <w:r>
        <w:rPr>
          <w:rFonts w:ascii="Arial" w:cs="Arial" w:eastAsia="Arial" w:hAnsi="Arial"/>
          <w:sz w:val="16"/>
          <w:szCs w:val="16"/>
          <w:b w:val="1"/>
          <w:bCs w:val="1"/>
          <w:color w:val="auto"/>
        </w:rPr>
        <w:t xml:space="preserve">Affordable Clean Energy Rule. </w:t>
      </w:r>
      <w:r>
        <w:rPr>
          <w:rFonts w:ascii="Arial" w:cs="Arial" w:eastAsia="Arial" w:hAnsi="Arial"/>
          <w:sz w:val="16"/>
          <w:szCs w:val="16"/>
          <w:color w:val="auto"/>
        </w:rPr>
        <w:t>The EPA was directed</w:t>
      </w:r>
      <w:r>
        <w:rPr>
          <w:rFonts w:ascii="Arial" w:cs="Arial" w:eastAsia="Arial" w:hAnsi="Arial"/>
          <w:sz w:val="16"/>
          <w:szCs w:val="16"/>
          <w:b w:val="1"/>
          <w:bCs w:val="1"/>
          <w:color w:val="auto"/>
        </w:rPr>
        <w:t xml:space="preserve"> </w:t>
      </w:r>
      <w:r>
        <w:rPr>
          <w:rFonts w:ascii="Arial" w:cs="Arial" w:eastAsia="Arial" w:hAnsi="Arial"/>
          <w:sz w:val="16"/>
          <w:szCs w:val="16"/>
          <w:color w:val="222222"/>
        </w:rPr>
        <w:t>to repeal, revise, and replace the Clean Power Plan rule.</w:t>
      </w:r>
      <w:r>
        <w:rPr>
          <w:rFonts w:ascii="Arial" w:cs="Arial" w:eastAsia="Arial" w:hAnsi="Arial"/>
          <w:sz w:val="16"/>
          <w:szCs w:val="16"/>
          <w:b w:val="1"/>
          <w:bCs w:val="1"/>
          <w:color w:val="auto"/>
        </w:rPr>
        <w:t xml:space="preserve"> </w:t>
      </w:r>
      <w:r>
        <w:rPr>
          <w:rFonts w:ascii="Arial" w:cs="Arial" w:eastAsia="Arial" w:hAnsi="Arial"/>
          <w:sz w:val="16"/>
          <w:szCs w:val="16"/>
          <w:color w:val="auto"/>
        </w:rPr>
        <w:t>On August 31, 2018, the EPA published the</w:t>
      </w:r>
      <w:r>
        <w:rPr>
          <w:rFonts w:ascii="Arial" w:cs="Arial" w:eastAsia="Arial" w:hAnsi="Arial"/>
          <w:sz w:val="16"/>
          <w:szCs w:val="16"/>
          <w:b w:val="1"/>
          <w:bCs w:val="1"/>
          <w:color w:val="auto"/>
        </w:rPr>
        <w:t xml:space="preserve"> </w:t>
      </w:r>
      <w:r>
        <w:rPr>
          <w:rFonts w:ascii="Arial" w:cs="Arial" w:eastAsia="Arial" w:hAnsi="Arial"/>
          <w:sz w:val="16"/>
          <w:szCs w:val="16"/>
          <w:color w:val="auto"/>
        </w:rPr>
        <w:t>proposed Affordable Clean Energy rule. This rule focuses on heat-rate improvements on coal-fired boiler units. In July 2019, the rule was finalized and applies only to our coal-fired plants. These plants have implemented or plan to implement a majority of the efficiency requirements listed in the rule.</w:t>
      </w:r>
    </w:p>
    <w:p>
      <w:pPr>
        <w:spacing w:after="0" w:line="142"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222222"/>
        </w:rPr>
        <w:t xml:space="preserve">OSM Coal Combustion Residual Rule (CCR). </w:t>
      </w:r>
      <w:r>
        <w:rPr>
          <w:rFonts w:ascii="Arial" w:cs="Arial" w:eastAsia="Arial" w:hAnsi="Arial"/>
          <w:sz w:val="18"/>
          <w:szCs w:val="18"/>
          <w:color w:val="000000"/>
        </w:rPr>
        <w:t>The EPA issued the CCR which is currently effective and establishes requirements to protect surface and</w:t>
      </w:r>
      <w:r>
        <w:rPr>
          <w:rFonts w:ascii="Arial" w:cs="Arial" w:eastAsia="Arial" w:hAnsi="Arial"/>
          <w:sz w:val="18"/>
          <w:szCs w:val="18"/>
          <w:b w:val="1"/>
          <w:bCs w:val="1"/>
          <w:color w:val="222222"/>
        </w:rPr>
        <w:t xml:space="preserve"> </w:t>
      </w:r>
      <w:r>
        <w:rPr>
          <w:rFonts w:ascii="Arial" w:cs="Arial" w:eastAsia="Arial" w:hAnsi="Arial"/>
          <w:sz w:val="18"/>
          <w:szCs w:val="18"/>
          <w:color w:val="000000"/>
        </w:rPr>
        <w:t xml:space="preserve">groundwater from impacts of coal ash impoundments. </w:t>
      </w:r>
      <w:r>
        <w:rPr>
          <w:rFonts w:ascii="Arial" w:cs="Arial" w:eastAsia="Arial" w:hAnsi="Arial"/>
          <w:sz w:val="18"/>
          <w:szCs w:val="18"/>
          <w:color w:val="222222"/>
        </w:rPr>
        <w:t>WRDC is exempt from the EPA CCR because ash is used for backfill reclamation in areas previously</w:t>
      </w:r>
      <w:r>
        <w:rPr>
          <w:rFonts w:ascii="Arial" w:cs="Arial" w:eastAsia="Arial" w:hAnsi="Arial"/>
          <w:sz w:val="18"/>
          <w:szCs w:val="18"/>
          <w:color w:val="000000"/>
        </w:rPr>
        <w:t xml:space="preserve"> </w:t>
      </w:r>
      <w:r>
        <w:rPr>
          <w:rFonts w:ascii="Arial" w:cs="Arial" w:eastAsia="Arial" w:hAnsi="Arial"/>
          <w:sz w:val="18"/>
          <w:szCs w:val="18"/>
          <w:color w:val="222222"/>
        </w:rPr>
        <w:t>mined. The current administration has not pursued further modification of the CCR.</w:t>
      </w:r>
    </w:p>
    <w:p>
      <w:pPr>
        <w:spacing w:after="0" w:line="180" w:lineRule="exact"/>
        <w:rPr>
          <w:sz w:val="20"/>
          <w:szCs w:val="20"/>
          <w:color w:val="auto"/>
        </w:rPr>
      </w:pPr>
    </w:p>
    <w:p>
      <w:pPr>
        <w:ind w:right="40"/>
        <w:spacing w:after="0" w:line="259" w:lineRule="auto"/>
        <w:rPr>
          <w:rFonts w:ascii="Arial" w:cs="Arial" w:eastAsia="Arial" w:hAnsi="Arial"/>
          <w:sz w:val="18"/>
          <w:szCs w:val="18"/>
          <w:color w:val="222222"/>
        </w:rPr>
      </w:pPr>
      <w:r>
        <w:rPr>
          <w:rFonts w:ascii="Arial" w:cs="Arial" w:eastAsia="Arial" w:hAnsi="Arial"/>
          <w:sz w:val="18"/>
          <w:szCs w:val="18"/>
          <w:color w:val="222222"/>
        </w:rPr>
        <w:t xml:space="preserve">Environmental risk changes constantly with the implementation of new or modified regulations, changing stakeholder interests and needs, and through the introduction of innovative work practices and technologies. We assess risk annually and develop mitigation strategies to successfully and responsibly manage and ensure compliance across the enterprise. </w:t>
      </w:r>
      <w:r>
        <w:rPr>
          <w:rFonts w:ascii="Arial" w:cs="Arial" w:eastAsia="Arial" w:hAnsi="Arial"/>
          <w:sz w:val="18"/>
          <w:szCs w:val="18"/>
          <w:color w:val="000000"/>
        </w:rPr>
        <w:t>For additional information on environmental matters, see</w:t>
      </w:r>
      <w:r>
        <w:rPr>
          <w:rFonts w:ascii="Arial" w:cs="Arial" w:eastAsia="Arial" w:hAnsi="Arial"/>
          <w:sz w:val="18"/>
          <w:szCs w:val="18"/>
          <w:color w:val="222222"/>
        </w:rPr>
        <w:t xml:space="preserve"> </w:t>
      </w:r>
      <w:hyperlink w:anchor="page29">
        <w:r>
          <w:rPr>
            <w:rFonts w:ascii="Arial" w:cs="Arial" w:eastAsia="Arial" w:hAnsi="Arial"/>
            <w:sz w:val="18"/>
            <w:szCs w:val="18"/>
            <w:u w:val="single" w:color="auto"/>
            <w:color w:val="0000EE"/>
          </w:rPr>
          <w:t>Item 1A</w:t>
        </w:r>
        <w:r>
          <w:rPr>
            <w:rFonts w:ascii="Arial" w:cs="Arial" w:eastAsia="Arial" w:hAnsi="Arial"/>
            <w:sz w:val="18"/>
            <w:szCs w:val="18"/>
            <w:u w:val="single" w:color="auto"/>
            <w:color w:val="222222"/>
          </w:rPr>
          <w:t xml:space="preserve"> </w:t>
        </w:r>
      </w:hyperlink>
      <w:r>
        <w:rPr>
          <w:rFonts w:ascii="Arial" w:cs="Arial" w:eastAsia="Arial" w:hAnsi="Arial"/>
          <w:sz w:val="18"/>
          <w:szCs w:val="18"/>
          <w:color w:val="000000"/>
        </w:rPr>
        <w:t>and</w:t>
      </w:r>
      <w:r>
        <w:rPr>
          <w:rFonts w:ascii="Arial" w:cs="Arial" w:eastAsia="Arial" w:hAnsi="Arial"/>
          <w:sz w:val="18"/>
          <w:szCs w:val="18"/>
          <w:color w:val="222222"/>
        </w:rPr>
        <w:t xml:space="preserve"> </w:t>
      </w:r>
      <w:hyperlink w:anchor="page136">
        <w:r>
          <w:rPr>
            <w:rFonts w:ascii="Arial" w:cs="Arial" w:eastAsia="Arial" w:hAnsi="Arial"/>
            <w:sz w:val="18"/>
            <w:szCs w:val="18"/>
            <w:u w:val="single" w:color="auto"/>
            <w:color w:val="0000EE"/>
          </w:rPr>
          <w:t>Note 19</w:t>
        </w:r>
        <w:r>
          <w:rPr>
            <w:rFonts w:ascii="Arial" w:cs="Arial" w:eastAsia="Arial" w:hAnsi="Arial"/>
            <w:sz w:val="18"/>
            <w:szCs w:val="18"/>
            <w:u w:val="single" w:color="auto"/>
            <w:color w:val="222222"/>
          </w:rPr>
          <w:t xml:space="preserve"> </w:t>
        </w:r>
      </w:hyperlink>
      <w:r>
        <w:rPr>
          <w:rFonts w:ascii="Arial" w:cs="Arial" w:eastAsia="Arial" w:hAnsi="Arial"/>
          <w:sz w:val="18"/>
          <w:szCs w:val="18"/>
          <w:color w:val="000000"/>
        </w:rPr>
        <w:t>of</w:t>
      </w:r>
      <w:r>
        <w:rPr>
          <w:rFonts w:ascii="Arial" w:cs="Arial" w:eastAsia="Arial" w:hAnsi="Arial"/>
          <w:sz w:val="18"/>
          <w:szCs w:val="18"/>
          <w:color w:val="222222"/>
        </w:rPr>
        <w:t xml:space="preserve"> </w:t>
      </w:r>
      <w:r>
        <w:rPr>
          <w:rFonts w:ascii="Arial" w:cs="Arial" w:eastAsia="Arial" w:hAnsi="Arial"/>
          <w:sz w:val="18"/>
          <w:szCs w:val="18"/>
          <w:color w:val="000000"/>
        </w:rPr>
        <w:t>the Notes to the Consolidated</w:t>
      </w:r>
      <w:r>
        <w:rPr>
          <w:rFonts w:ascii="Arial" w:cs="Arial" w:eastAsia="Arial" w:hAnsi="Arial"/>
          <w:sz w:val="18"/>
          <w:szCs w:val="18"/>
          <w:color w:val="222222"/>
        </w:rPr>
        <w:t xml:space="preserve"> </w:t>
      </w:r>
      <w:r>
        <w:rPr>
          <w:rFonts w:ascii="Arial" w:cs="Arial" w:eastAsia="Arial" w:hAnsi="Arial"/>
          <w:sz w:val="18"/>
          <w:szCs w:val="18"/>
          <w:color w:val="000000"/>
        </w:rPr>
        <w:t>Financial Statements in this Annual Report on Form 10-K.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Other Properties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In addition to the facilities previously disclosed in Items 1 and 2, we own or lease several facilities throughout our service territories. Our owned facilities are as follows:</w:t>
      </w:r>
    </w:p>
    <w:p>
      <w:pPr>
        <w:spacing w:after="0" w:line="170" w:lineRule="exact"/>
        <w:rPr>
          <w:sz w:val="20"/>
          <w:szCs w:val="20"/>
          <w:color w:val="auto"/>
        </w:rPr>
      </w:pPr>
    </w:p>
    <w:p>
      <w:pPr>
        <w:ind w:left="340" w:hanging="251"/>
        <w:spacing w:after="0"/>
        <w:tabs>
          <w:tab w:leader="none" w:pos="34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 Rapid City, South Dakota, we have a 220,000 square foot corporate headquarters building, Horizon Point, which was completed in 2017.</w:t>
      </w:r>
    </w:p>
    <w:p>
      <w:pPr>
        <w:spacing w:after="0" w:line="236" w:lineRule="exact"/>
        <w:rPr>
          <w:rFonts w:ascii="Arial" w:cs="Arial" w:eastAsia="Arial" w:hAnsi="Arial"/>
          <w:sz w:val="17"/>
          <w:szCs w:val="17"/>
          <w:color w:val="auto"/>
        </w:rPr>
      </w:pPr>
    </w:p>
    <w:p>
      <w:pPr>
        <w:ind w:left="340" w:right="22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Arkansas, Colorado, Iowa, Kansas, Nebraska, and Wyoming we own various office, service center, storage, shop and warehouse space totaling over 1,030,000 square feet utilized by our Gas Utilities.</w:t>
      </w:r>
    </w:p>
    <w:p>
      <w:pPr>
        <w:spacing w:after="0" w:line="170" w:lineRule="exact"/>
        <w:rPr>
          <w:rFonts w:ascii="Arial" w:cs="Arial" w:eastAsia="Arial" w:hAnsi="Arial"/>
          <w:sz w:val="18"/>
          <w:szCs w:val="18"/>
          <w:color w:val="auto"/>
        </w:rPr>
      </w:pPr>
    </w:p>
    <w:p>
      <w:pPr>
        <w:ind w:left="340" w:right="380" w:hanging="251"/>
        <w:spacing w:after="0" w:line="277" w:lineRule="auto"/>
        <w:tabs>
          <w:tab w:leader="none" w:pos="34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 Colorado, South Dakota, and Wyoming we own various office, service center, storage, shop and warehouse space totaling approximately 305,000 square feet utilized by our Electric Utilities and Mining segments.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26" w:right="259" w:bottom="1440" w:gutter="0" w:footer="0" w:header="0"/>
        </w:sectPr>
      </w:pPr>
    </w:p>
    <w:bookmarkStart w:id="28" w:name="page29"/>
    <w:bookmarkEnd w:id="2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 addition to our owned properties, we lease 92,527 square feet of properties within our service areas.</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Substantially all of the tangible utility properties of South Dakota Electric and Wyoming Electric are subject to liens securing first mortgage bonds issued by South Dakota Electric and Wyoming Electric,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Employees</w:t>
      </w:r>
    </w:p>
    <w:p>
      <w:pPr>
        <w:spacing w:after="0" w:line="229"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At December 31, 2019, we had 2,944 employees. Approximately 25% of our employees are represented by a union. We have not experienced any labor stoppages in recent years. At December 31, 2019, approximately 22% of our total employees and 25% of our Electric and Gas Utilities employees were eligible for regular (age 65 with at least 5 years of service) or early (ages 55 to 64 with at least 5 years of service) retirement.</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gridSpan w:val="2"/>
          </w:tcPr>
          <w:p>
            <w:pPr>
              <w:spacing w:after="0"/>
              <w:rPr>
                <w:sz w:val="20"/>
                <w:szCs w:val="20"/>
                <w:color w:val="auto"/>
              </w:rPr>
            </w:pPr>
            <w:r>
              <w:rPr>
                <w:rFonts w:ascii="Arial" w:cs="Arial" w:eastAsia="Arial" w:hAnsi="Arial"/>
                <w:sz w:val="18"/>
                <w:szCs w:val="18"/>
                <w:color w:val="auto"/>
              </w:rPr>
              <w:t>The following table sets forth the number of employees included in continuing operations:</w:t>
            </w:r>
          </w:p>
        </w:tc>
        <w:tc>
          <w:tcPr>
            <w:tcW w:w="2460" w:type="dxa"/>
            <w:vAlign w:val="bottom"/>
          </w:tcPr>
          <w:p>
            <w:pPr>
              <w:spacing w:after="0"/>
              <w:rPr>
                <w:sz w:val="20"/>
                <w:szCs w:val="20"/>
                <w:color w:val="auto"/>
              </w:rPr>
            </w:pPr>
          </w:p>
        </w:tc>
      </w:tr>
      <w:tr>
        <w:trPr>
          <w:trHeight w:val="378"/>
        </w:trPr>
        <w:tc>
          <w:tcPr>
            <w:tcW w:w="80" w:type="dxa"/>
            <w:vAlign w:val="bottom"/>
          </w:tcPr>
          <w:p>
            <w:pPr>
              <w:spacing w:after="0"/>
              <w:rPr>
                <w:sz w:val="24"/>
                <w:szCs w:val="24"/>
                <w:color w:val="auto"/>
              </w:rPr>
            </w:pPr>
          </w:p>
        </w:tc>
        <w:tc>
          <w:tcPr>
            <w:tcW w:w="8820" w:type="dxa"/>
            <w:vAlign w:val="bottom"/>
          </w:tcPr>
          <w:p>
            <w:pPr>
              <w:spacing w:after="0"/>
              <w:rPr>
                <w:sz w:val="24"/>
                <w:szCs w:val="24"/>
                <w:color w:val="auto"/>
              </w:rPr>
            </w:pPr>
          </w:p>
        </w:tc>
        <w:tc>
          <w:tcPr>
            <w:tcW w:w="2460" w:type="dxa"/>
            <w:vAlign w:val="bottom"/>
          </w:tcPr>
          <w:p>
            <w:pPr>
              <w:jc w:val="right"/>
              <w:ind w:right="330"/>
              <w:spacing w:after="0"/>
              <w:rPr>
                <w:sz w:val="20"/>
                <w:szCs w:val="20"/>
                <w:color w:val="auto"/>
              </w:rPr>
            </w:pPr>
            <w:r>
              <w:rPr>
                <w:rFonts w:ascii="Arial" w:cs="Arial" w:eastAsia="Arial" w:hAnsi="Arial"/>
                <w:sz w:val="18"/>
                <w:szCs w:val="18"/>
                <w:color w:val="auto"/>
              </w:rPr>
              <w:t>Number of Employees</w:t>
            </w:r>
          </w:p>
        </w:tc>
      </w:tr>
      <w:tr>
        <w:trPr>
          <w:trHeight w:val="270"/>
        </w:trPr>
        <w:tc>
          <w:tcPr>
            <w:tcW w:w="80" w:type="dxa"/>
            <w:vAlign w:val="bottom"/>
          </w:tcPr>
          <w:p>
            <w:pPr>
              <w:spacing w:after="0"/>
              <w:rPr>
                <w:sz w:val="23"/>
                <w:szCs w:val="23"/>
                <w:color w:val="auto"/>
              </w:rPr>
            </w:pPr>
          </w:p>
        </w:tc>
        <w:tc>
          <w:tcPr>
            <w:tcW w:w="8820" w:type="dxa"/>
            <w:vAlign w:val="bottom"/>
          </w:tcPr>
          <w:p>
            <w:pPr>
              <w:spacing w:after="0"/>
              <w:rPr>
                <w:sz w:val="23"/>
                <w:szCs w:val="23"/>
                <w:color w:val="auto"/>
              </w:rPr>
            </w:pPr>
          </w:p>
        </w:tc>
        <w:tc>
          <w:tcPr>
            <w:tcW w:w="2460" w:type="dxa"/>
            <w:vAlign w:val="bottom"/>
          </w:tcPr>
          <w:p>
            <w:pPr>
              <w:jc w:val="right"/>
              <w:ind w:right="330"/>
              <w:spacing w:after="0"/>
              <w:rPr>
                <w:sz w:val="20"/>
                <w:szCs w:val="20"/>
                <w:color w:val="auto"/>
              </w:rPr>
            </w:pPr>
            <w:r>
              <w:rPr>
                <w:rFonts w:ascii="Arial" w:cs="Arial" w:eastAsia="Arial" w:hAnsi="Arial"/>
                <w:sz w:val="18"/>
                <w:szCs w:val="18"/>
                <w:color w:val="auto"/>
              </w:rPr>
              <w:t>At December 31, 2019</w:t>
            </w:r>
          </w:p>
        </w:tc>
      </w:tr>
      <w:tr>
        <w:trPr>
          <w:trHeight w:val="27"/>
        </w:trPr>
        <w:tc>
          <w:tcPr>
            <w:tcW w:w="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37"/>
        </w:trPr>
        <w:tc>
          <w:tcPr>
            <w:tcW w:w="80" w:type="dxa"/>
            <w:vAlign w:val="bottom"/>
          </w:tcPr>
          <w:p>
            <w:pPr>
              <w:spacing w:after="0"/>
              <w:rPr>
                <w:sz w:val="20"/>
                <w:szCs w:val="20"/>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Corporate and Shared Services</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1,273</w:t>
            </w:r>
          </w:p>
        </w:tc>
      </w:tr>
      <w:tr>
        <w:trPr>
          <w:trHeight w:val="27"/>
        </w:trPr>
        <w:tc>
          <w:tcPr>
            <w:tcW w:w="80" w:type="dxa"/>
            <w:vAlign w:val="bottom"/>
          </w:tcPr>
          <w:p>
            <w:pPr>
              <w:spacing w:after="0"/>
              <w:rPr>
                <w:sz w:val="2"/>
                <w:szCs w:val="2"/>
                <w:color w:val="auto"/>
              </w:rPr>
            </w:pPr>
          </w:p>
        </w:tc>
        <w:tc>
          <w:tcPr>
            <w:tcW w:w="8820" w:type="dxa"/>
            <w:vAlign w:val="bottom"/>
          </w:tcPr>
          <w:p>
            <w:pPr>
              <w:spacing w:after="0"/>
              <w:rPr>
                <w:sz w:val="2"/>
                <w:szCs w:val="2"/>
                <w:color w:val="auto"/>
              </w:rPr>
            </w:pPr>
          </w:p>
        </w:tc>
        <w:tc>
          <w:tcPr>
            <w:tcW w:w="2460" w:type="dxa"/>
            <w:vAlign w:val="bottom"/>
          </w:tcPr>
          <w:p>
            <w:pPr>
              <w:spacing w:after="0"/>
              <w:rPr>
                <w:sz w:val="2"/>
                <w:szCs w:val="2"/>
                <w:color w:val="auto"/>
              </w:rPr>
            </w:pPr>
          </w:p>
        </w:tc>
      </w:tr>
      <w:tr>
        <w:trPr>
          <w:trHeight w:val="250"/>
        </w:trPr>
        <w:tc>
          <w:tcPr>
            <w:tcW w:w="80" w:type="dxa"/>
            <w:vAlign w:val="bottom"/>
          </w:tcPr>
          <w:p>
            <w:pPr>
              <w:spacing w:after="0"/>
              <w:rPr>
                <w:sz w:val="21"/>
                <w:szCs w:val="21"/>
                <w:color w:val="auto"/>
              </w:rPr>
            </w:pPr>
          </w:p>
        </w:tc>
        <w:tc>
          <w:tcPr>
            <w:tcW w:w="8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Electric Utilities and Gas Utilities</w:t>
            </w:r>
          </w:p>
        </w:tc>
        <w:tc>
          <w:tcPr>
            <w:tcW w:w="24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1,609</w:t>
            </w:r>
          </w:p>
        </w:tc>
      </w:tr>
      <w:tr>
        <w:trPr>
          <w:trHeight w:val="243"/>
        </w:trPr>
        <w:tc>
          <w:tcPr>
            <w:tcW w:w="80" w:type="dxa"/>
            <w:vAlign w:val="bottom"/>
          </w:tcPr>
          <w:p>
            <w:pPr>
              <w:spacing w:after="0"/>
              <w:rPr>
                <w:sz w:val="21"/>
                <w:szCs w:val="21"/>
                <w:color w:val="auto"/>
              </w:rPr>
            </w:pPr>
          </w:p>
        </w:tc>
        <w:tc>
          <w:tcPr>
            <w:tcW w:w="8820" w:type="dxa"/>
            <w:vAlign w:val="bottom"/>
          </w:tcPr>
          <w:p>
            <w:pPr>
              <w:ind w:left="20"/>
              <w:spacing w:after="0"/>
              <w:rPr>
                <w:sz w:val="20"/>
                <w:szCs w:val="20"/>
                <w:color w:val="auto"/>
              </w:rPr>
            </w:pPr>
            <w:r>
              <w:rPr>
                <w:rFonts w:ascii="Arial" w:cs="Arial" w:eastAsia="Arial" w:hAnsi="Arial"/>
                <w:sz w:val="18"/>
                <w:szCs w:val="18"/>
                <w:color w:val="auto"/>
              </w:rPr>
              <w:t>Power Generation and Mining</w:t>
            </w:r>
          </w:p>
        </w:tc>
        <w:tc>
          <w:tcPr>
            <w:tcW w:w="2460" w:type="dxa"/>
            <w:vAlign w:val="bottom"/>
          </w:tcPr>
          <w:p>
            <w:pPr>
              <w:jc w:val="right"/>
              <w:ind w:right="10"/>
              <w:spacing w:after="0"/>
              <w:rPr>
                <w:sz w:val="20"/>
                <w:szCs w:val="20"/>
                <w:color w:val="auto"/>
              </w:rPr>
            </w:pPr>
            <w:r>
              <w:rPr>
                <w:rFonts w:ascii="Arial" w:cs="Arial" w:eastAsia="Arial" w:hAnsi="Arial"/>
                <w:sz w:val="18"/>
                <w:szCs w:val="18"/>
                <w:color w:val="auto"/>
              </w:rPr>
              <w:t>62</w:t>
            </w:r>
          </w:p>
        </w:tc>
      </w:tr>
      <w:tr>
        <w:trPr>
          <w:trHeight w:val="27"/>
        </w:trPr>
        <w:tc>
          <w:tcPr>
            <w:tcW w:w="80" w:type="dxa"/>
            <w:vAlign w:val="bottom"/>
          </w:tcPr>
          <w:p>
            <w:pPr>
              <w:spacing w:after="0"/>
              <w:rPr>
                <w:sz w:val="2"/>
                <w:szCs w:val="2"/>
                <w:color w:val="auto"/>
              </w:rPr>
            </w:pPr>
          </w:p>
        </w:tc>
        <w:tc>
          <w:tcPr>
            <w:tcW w:w="8820" w:type="dxa"/>
            <w:vAlign w:val="bottom"/>
            <w:tcBorders>
              <w:bottom w:val="single" w:sz="8" w:color="CEFFE7"/>
            </w:tcBorders>
          </w:tcPr>
          <w:p>
            <w:pPr>
              <w:spacing w:after="0"/>
              <w:rPr>
                <w:sz w:val="2"/>
                <w:szCs w:val="2"/>
                <w:color w:val="auto"/>
              </w:rPr>
            </w:pPr>
          </w:p>
        </w:tc>
        <w:tc>
          <w:tcPr>
            <w:tcW w:w="2460" w:type="dxa"/>
            <w:vAlign w:val="bottom"/>
            <w:tcBorders>
              <w:bottom w:val="single" w:sz="8" w:color="auto"/>
            </w:tcBorders>
          </w:tcPr>
          <w:p>
            <w:pPr>
              <w:spacing w:after="0"/>
              <w:rPr>
                <w:sz w:val="2"/>
                <w:szCs w:val="2"/>
                <w:color w:val="auto"/>
              </w:rPr>
            </w:pPr>
          </w:p>
        </w:tc>
      </w:tr>
      <w:tr>
        <w:trPr>
          <w:trHeight w:val="257"/>
        </w:trPr>
        <w:tc>
          <w:tcPr>
            <w:tcW w:w="80" w:type="dxa"/>
            <w:vAlign w:val="bottom"/>
          </w:tcPr>
          <w:p>
            <w:pPr>
              <w:spacing w:after="0"/>
              <w:rPr>
                <w:sz w:val="22"/>
                <w:szCs w:val="22"/>
                <w:color w:val="auto"/>
              </w:rPr>
            </w:pPr>
          </w:p>
        </w:tc>
        <w:tc>
          <w:tcPr>
            <w:tcW w:w="8820" w:type="dxa"/>
            <w:vAlign w:val="bottom"/>
            <w:tcBorders>
              <w:bottom w:val="single" w:sz="8" w:color="CEFFE7"/>
            </w:tcBorders>
            <w:shd w:val="clear" w:color="auto" w:fill="CEFFE7"/>
          </w:tcPr>
          <w:p>
            <w:pPr>
              <w:ind w:left="800"/>
              <w:spacing w:after="0"/>
              <w:rPr>
                <w:sz w:val="20"/>
                <w:szCs w:val="20"/>
                <w:color w:val="auto"/>
              </w:rPr>
            </w:pPr>
            <w:r>
              <w:rPr>
                <w:rFonts w:ascii="Arial" w:cs="Arial" w:eastAsia="Arial" w:hAnsi="Arial"/>
                <w:sz w:val="18"/>
                <w:szCs w:val="18"/>
                <w:color w:val="auto"/>
              </w:rPr>
              <w:t>Total</w:t>
            </w:r>
          </w:p>
        </w:tc>
        <w:tc>
          <w:tcPr>
            <w:tcW w:w="24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2,944</w:t>
            </w:r>
          </w:p>
        </w:tc>
      </w:tr>
      <w:tr>
        <w:trPr>
          <w:trHeight w:val="20"/>
        </w:trPr>
        <w:tc>
          <w:tcPr>
            <w:tcW w:w="80" w:type="dxa"/>
            <w:vAlign w:val="bottom"/>
          </w:tcPr>
          <w:p>
            <w:pPr>
              <w:spacing w:after="0" w:line="20" w:lineRule="exact"/>
              <w:rPr>
                <w:sz w:val="1"/>
                <w:szCs w:val="1"/>
                <w:color w:val="auto"/>
              </w:rPr>
            </w:pPr>
          </w:p>
        </w:tc>
        <w:tc>
          <w:tcPr>
            <w:tcW w:w="8820" w:type="dxa"/>
            <w:vAlign w:val="bottom"/>
          </w:tcPr>
          <w:p>
            <w:pPr>
              <w:spacing w:after="0" w:line="20" w:lineRule="exact"/>
              <w:rPr>
                <w:sz w:val="1"/>
                <w:szCs w:val="1"/>
                <w:color w:val="auto"/>
              </w:rPr>
            </w:pPr>
          </w:p>
        </w:tc>
        <w:tc>
          <w:tcPr>
            <w:tcW w:w="24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At December 31, 2019, certain employees of our Electric Utilities and Gas Utilities were covered by the following collective bargaining agreements: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10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Utility</w:t>
            </w: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Number of</w:t>
            </w:r>
          </w:p>
        </w:tc>
        <w:tc>
          <w:tcPr>
            <w:tcW w:w="3480" w:type="dxa"/>
            <w:vAlign w:val="bottom"/>
          </w:tcPr>
          <w:p>
            <w:pPr>
              <w:spacing w:after="0"/>
              <w:rPr>
                <w:sz w:val="18"/>
                <w:szCs w:val="18"/>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3"/>
              </w:rPr>
              <w:t>Expiration Date of Collective Bargaining</w:t>
            </w:r>
          </w:p>
        </w:tc>
        <w:tc>
          <w:tcPr>
            <w:tcW w:w="0" w:type="dxa"/>
            <w:vAlign w:val="bottom"/>
          </w:tcPr>
          <w:p>
            <w:pPr>
              <w:spacing w:after="0"/>
              <w:rPr>
                <w:sz w:val="1"/>
                <w:szCs w:val="1"/>
                <w:color w:val="auto"/>
              </w:rPr>
            </w:pPr>
          </w:p>
        </w:tc>
      </w:tr>
      <w:tr>
        <w:trPr>
          <w:trHeight w:val="230"/>
        </w:trPr>
        <w:tc>
          <w:tcPr>
            <w:tcW w:w="3100" w:type="dxa"/>
            <w:vAlign w:val="bottom"/>
            <w:vMerge w:val="continue"/>
          </w:tcPr>
          <w:p>
            <w:pPr>
              <w:spacing w:after="0"/>
              <w:rPr>
                <w:sz w:val="20"/>
                <w:szCs w:val="20"/>
                <w:color w:val="auto"/>
              </w:rPr>
            </w:pPr>
          </w:p>
        </w:tc>
        <w:tc>
          <w:tcPr>
            <w:tcW w:w="1480" w:type="dxa"/>
            <w:vAlign w:val="bottom"/>
          </w:tcPr>
          <w:p>
            <w:pPr>
              <w:jc w:val="right"/>
              <w:ind w:right="250"/>
              <w:spacing w:after="0"/>
              <w:rPr>
                <w:sz w:val="20"/>
                <w:szCs w:val="20"/>
                <w:color w:val="auto"/>
              </w:rPr>
            </w:pPr>
            <w:r>
              <w:rPr>
                <w:rFonts w:ascii="Arial" w:cs="Arial" w:eastAsia="Arial" w:hAnsi="Arial"/>
                <w:sz w:val="18"/>
                <w:szCs w:val="18"/>
                <w:color w:val="auto"/>
              </w:rPr>
              <w:t>Employees</w:t>
            </w:r>
          </w:p>
        </w:tc>
        <w:tc>
          <w:tcPr>
            <w:tcW w:w="3480" w:type="dxa"/>
            <w:vAlign w:val="bottom"/>
          </w:tcPr>
          <w:p>
            <w:pPr>
              <w:jc w:val="center"/>
              <w:spacing w:after="0"/>
              <w:rPr>
                <w:sz w:val="20"/>
                <w:szCs w:val="20"/>
                <w:color w:val="auto"/>
              </w:rPr>
            </w:pPr>
            <w:r>
              <w:rPr>
                <w:rFonts w:ascii="Arial" w:cs="Arial" w:eastAsia="Arial" w:hAnsi="Arial"/>
                <w:sz w:val="18"/>
                <w:szCs w:val="18"/>
                <w:color w:val="auto"/>
              </w:rPr>
              <w:t>Union Affiliation</w:t>
            </w:r>
          </w:p>
        </w:tc>
        <w:tc>
          <w:tcPr>
            <w:tcW w:w="3360" w:type="dxa"/>
            <w:vAlign w:val="bottom"/>
          </w:tcPr>
          <w:p>
            <w:pPr>
              <w:jc w:val="center"/>
              <w:spacing w:after="0"/>
              <w:rPr>
                <w:sz w:val="20"/>
                <w:szCs w:val="20"/>
                <w:color w:val="auto"/>
              </w:rPr>
            </w:pPr>
            <w:r>
              <w:rPr>
                <w:rFonts w:ascii="Arial" w:cs="Arial" w:eastAsia="Arial" w:hAnsi="Arial"/>
                <w:sz w:val="18"/>
                <w:szCs w:val="18"/>
                <w:color w:val="auto"/>
                <w:w w:val="90"/>
              </w:rPr>
              <w:t>Agreement</w:t>
            </w:r>
          </w:p>
        </w:tc>
        <w:tc>
          <w:tcPr>
            <w:tcW w:w="0" w:type="dxa"/>
            <w:vAlign w:val="bottom"/>
          </w:tcPr>
          <w:p>
            <w:pPr>
              <w:spacing w:after="0"/>
              <w:rPr>
                <w:sz w:val="1"/>
                <w:szCs w:val="1"/>
                <w:color w:val="auto"/>
              </w:rPr>
            </w:pPr>
          </w:p>
        </w:tc>
      </w:tr>
      <w:tr>
        <w:trPr>
          <w:trHeight w:val="27"/>
        </w:trPr>
        <w:tc>
          <w:tcPr>
            <w:tcW w:w="31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80" w:type="dxa"/>
            <w:vAlign w:val="bottom"/>
            <w:tcBorders>
              <w:bottom w:val="single" w:sz="8" w:color="auto"/>
            </w:tcBorders>
          </w:tcPr>
          <w:p>
            <w:pPr>
              <w:spacing w:after="0"/>
              <w:rPr>
                <w:sz w:val="2"/>
                <w:szCs w:val="2"/>
                <w:color w:val="auto"/>
              </w:rPr>
            </w:pPr>
          </w:p>
        </w:tc>
        <w:tc>
          <w:tcPr>
            <w:tcW w:w="3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 Electric</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w:t>
            </w: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IBEW Local 667</w:t>
            </w:r>
          </w:p>
        </w:tc>
        <w:tc>
          <w:tcPr>
            <w:tcW w:w="3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5"/>
              </w:rPr>
              <w:t>April 15, 2023</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South Dakota Electric</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135</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1250</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31, 2024</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Wyoming Electric</w:t>
            </w:r>
          </w:p>
        </w:tc>
        <w:tc>
          <w:tcPr>
            <w:tcW w:w="14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w:t>
            </w:r>
          </w:p>
        </w:tc>
        <w:tc>
          <w:tcPr>
            <w:tcW w:w="34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IBEW Local 111</w:t>
            </w:r>
          </w:p>
        </w:tc>
        <w:tc>
          <w:tcPr>
            <w:tcW w:w="33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June 30, 2024</w:t>
            </w: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Iowa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113</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204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July 31, 2020</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100" w:type="dxa"/>
            <w:vAlign w:val="bottom"/>
            <w:shd w:val="clear" w:color="auto" w:fill="CEFFE7"/>
          </w:tcPr>
          <w:p>
            <w:pPr>
              <w:ind w:left="40"/>
              <w:spacing w:after="0"/>
              <w:rPr>
                <w:sz w:val="20"/>
                <w:szCs w:val="20"/>
                <w:color w:val="auto"/>
              </w:rPr>
            </w:pPr>
            <w:r>
              <w:rPr>
                <w:rFonts w:ascii="Arial" w:cs="Arial" w:eastAsia="Arial" w:hAnsi="Arial"/>
                <w:sz w:val="18"/>
                <w:szCs w:val="18"/>
                <w:color w:val="auto"/>
              </w:rPr>
              <w:t>Kansas Gas</w:t>
            </w:r>
          </w:p>
        </w:tc>
        <w:tc>
          <w:tcPr>
            <w:tcW w:w="1480" w:type="dxa"/>
            <w:vAlign w:val="bottom"/>
            <w:vMerge w:val="restart"/>
            <w:shd w:val="clear" w:color="auto" w:fill="CEFFE7"/>
          </w:tcPr>
          <w:p>
            <w:pPr>
              <w:jc w:val="right"/>
              <w:ind w:right="10"/>
              <w:spacing w:after="0"/>
              <w:rPr>
                <w:sz w:val="20"/>
                <w:szCs w:val="20"/>
                <w:color w:val="auto"/>
              </w:rPr>
            </w:pPr>
            <w:r>
              <w:rPr>
                <w:rFonts w:ascii="Arial" w:cs="Arial" w:eastAsia="Arial" w:hAnsi="Arial"/>
                <w:sz w:val="18"/>
                <w:szCs w:val="18"/>
                <w:color w:val="auto"/>
              </w:rPr>
              <w:t>18</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Communications Workers of America, AFL-</w:t>
            </w:r>
          </w:p>
        </w:tc>
        <w:tc>
          <w:tcPr>
            <w:tcW w:w="3360" w:type="dxa"/>
            <w:vAlign w:val="bottom"/>
            <w:vMerge w:val="restart"/>
            <w:shd w:val="clear" w:color="auto" w:fill="CEFFE7"/>
          </w:tcPr>
          <w:p>
            <w:pPr>
              <w:jc w:val="center"/>
              <w:spacing w:after="0"/>
              <w:rPr>
                <w:sz w:val="20"/>
                <w:szCs w:val="20"/>
                <w:color w:val="auto"/>
              </w:rPr>
            </w:pPr>
            <w:r>
              <w:rPr>
                <w:rFonts w:ascii="Arial" w:cs="Arial" w:eastAsia="Arial" w:hAnsi="Arial"/>
                <w:sz w:val="18"/>
                <w:szCs w:val="18"/>
                <w:color w:val="auto"/>
                <w:w w:val="89"/>
              </w:rPr>
              <w:t>December 31, 2024</w:t>
            </w:r>
          </w:p>
        </w:tc>
        <w:tc>
          <w:tcPr>
            <w:tcW w:w="0" w:type="dxa"/>
            <w:vAlign w:val="bottom"/>
          </w:tcPr>
          <w:p>
            <w:pPr>
              <w:spacing w:after="0"/>
              <w:rPr>
                <w:sz w:val="1"/>
                <w:szCs w:val="1"/>
                <w:color w:val="auto"/>
              </w:rPr>
            </w:pPr>
          </w:p>
        </w:tc>
      </w:tr>
      <w:tr>
        <w:trPr>
          <w:trHeight w:val="122"/>
        </w:trPr>
        <w:tc>
          <w:tcPr>
            <w:tcW w:w="3100" w:type="dxa"/>
            <w:vAlign w:val="bottom"/>
            <w:shd w:val="clear" w:color="auto" w:fill="CEFFE7"/>
          </w:tcPr>
          <w:p>
            <w:pPr>
              <w:spacing w:after="0"/>
              <w:rPr>
                <w:sz w:val="10"/>
                <w:szCs w:val="10"/>
                <w:color w:val="auto"/>
              </w:rPr>
            </w:pPr>
          </w:p>
        </w:tc>
        <w:tc>
          <w:tcPr>
            <w:tcW w:w="1480" w:type="dxa"/>
            <w:vAlign w:val="bottom"/>
            <w:vMerge w:val="continue"/>
            <w:shd w:val="clear" w:color="auto" w:fill="CEFFE7"/>
          </w:tcPr>
          <w:p>
            <w:pPr>
              <w:spacing w:after="0"/>
              <w:rPr>
                <w:sz w:val="10"/>
                <w:szCs w:val="10"/>
                <w:color w:val="auto"/>
              </w:rPr>
            </w:pPr>
          </w:p>
        </w:tc>
        <w:tc>
          <w:tcPr>
            <w:tcW w:w="3480" w:type="dxa"/>
            <w:vAlign w:val="bottom"/>
            <w:vMerge w:val="restart"/>
            <w:shd w:val="clear" w:color="auto" w:fill="CEFFE7"/>
          </w:tcPr>
          <w:p>
            <w:pPr>
              <w:jc w:val="center"/>
              <w:spacing w:after="0"/>
              <w:rPr>
                <w:sz w:val="20"/>
                <w:szCs w:val="20"/>
                <w:color w:val="auto"/>
              </w:rPr>
            </w:pPr>
            <w:r>
              <w:rPr>
                <w:rFonts w:ascii="Arial" w:cs="Arial" w:eastAsia="Arial" w:hAnsi="Arial"/>
                <w:sz w:val="18"/>
                <w:szCs w:val="18"/>
                <w:color w:val="auto"/>
                <w:w w:val="94"/>
              </w:rPr>
              <w:t>CIO Local 6407</w:t>
            </w:r>
          </w:p>
        </w:tc>
        <w:tc>
          <w:tcPr>
            <w:tcW w:w="3360" w:type="dxa"/>
            <w:vAlign w:val="bottom"/>
            <w:vMerge w:val="continue"/>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3100" w:type="dxa"/>
            <w:vAlign w:val="bottom"/>
            <w:tcBorders>
              <w:bottom w:val="single" w:sz="8" w:color="CEFFE7"/>
            </w:tcBorders>
            <w:shd w:val="clear" w:color="auto" w:fill="CEFFE7"/>
          </w:tcPr>
          <w:p>
            <w:pPr>
              <w:spacing w:after="0"/>
              <w:rPr>
                <w:sz w:val="10"/>
                <w:szCs w:val="10"/>
                <w:color w:val="auto"/>
              </w:rPr>
            </w:pPr>
          </w:p>
        </w:tc>
        <w:tc>
          <w:tcPr>
            <w:tcW w:w="1480" w:type="dxa"/>
            <w:vAlign w:val="bottom"/>
            <w:tcBorders>
              <w:bottom w:val="single" w:sz="8" w:color="CEFFE7"/>
            </w:tcBorders>
            <w:shd w:val="clear" w:color="auto" w:fill="CEFFE7"/>
          </w:tcPr>
          <w:p>
            <w:pPr>
              <w:spacing w:after="0"/>
              <w:rPr>
                <w:sz w:val="10"/>
                <w:szCs w:val="10"/>
                <w:color w:val="auto"/>
              </w:rPr>
            </w:pPr>
          </w:p>
        </w:tc>
        <w:tc>
          <w:tcPr>
            <w:tcW w:w="3480" w:type="dxa"/>
            <w:vAlign w:val="bottom"/>
            <w:tcBorders>
              <w:bottom w:val="single" w:sz="8" w:color="CEFFE7"/>
            </w:tcBorders>
            <w:vMerge w:val="continue"/>
            <w:shd w:val="clear" w:color="auto" w:fill="CEFFE7"/>
          </w:tcPr>
          <w:p>
            <w:pPr>
              <w:spacing w:after="0"/>
              <w:rPr>
                <w:sz w:val="10"/>
                <w:szCs w:val="10"/>
                <w:color w:val="auto"/>
              </w:rPr>
            </w:pPr>
          </w:p>
        </w:tc>
        <w:tc>
          <w:tcPr>
            <w:tcW w:w="3360" w:type="dxa"/>
            <w:vAlign w:val="bottom"/>
            <w:tcBorders>
              <w:bottom w:val="single" w:sz="8" w:color="CEFFE7"/>
            </w:tcBorders>
            <w:shd w:val="clear" w:color="auto" w:fill="CEFFE7"/>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3100" w:type="dxa"/>
            <w:vAlign w:val="bottom"/>
          </w:tcPr>
          <w:p>
            <w:pPr>
              <w:ind w:left="40"/>
              <w:spacing w:after="0"/>
              <w:rPr>
                <w:sz w:val="20"/>
                <w:szCs w:val="20"/>
                <w:color w:val="auto"/>
              </w:rPr>
            </w:pPr>
            <w:r>
              <w:rPr>
                <w:rFonts w:ascii="Arial" w:cs="Arial" w:eastAsia="Arial" w:hAnsi="Arial"/>
                <w:sz w:val="18"/>
                <w:szCs w:val="18"/>
                <w:color w:val="auto"/>
              </w:rPr>
              <w:t>Nebraska Gas</w:t>
            </w:r>
          </w:p>
        </w:tc>
        <w:tc>
          <w:tcPr>
            <w:tcW w:w="1480" w:type="dxa"/>
            <w:vAlign w:val="bottom"/>
          </w:tcPr>
          <w:p>
            <w:pPr>
              <w:jc w:val="right"/>
              <w:ind w:right="10"/>
              <w:spacing w:after="0"/>
              <w:rPr>
                <w:sz w:val="20"/>
                <w:szCs w:val="20"/>
                <w:color w:val="auto"/>
              </w:rPr>
            </w:pPr>
            <w:r>
              <w:rPr>
                <w:rFonts w:ascii="Arial" w:cs="Arial" w:eastAsia="Arial" w:hAnsi="Arial"/>
                <w:sz w:val="18"/>
                <w:szCs w:val="18"/>
                <w:color w:val="auto"/>
              </w:rPr>
              <w:t>99</w:t>
            </w:r>
          </w:p>
        </w:tc>
        <w:tc>
          <w:tcPr>
            <w:tcW w:w="3480" w:type="dxa"/>
            <w:vAlign w:val="bottom"/>
          </w:tcPr>
          <w:p>
            <w:pPr>
              <w:jc w:val="center"/>
              <w:spacing w:after="0"/>
              <w:rPr>
                <w:sz w:val="20"/>
                <w:szCs w:val="20"/>
                <w:color w:val="auto"/>
              </w:rPr>
            </w:pPr>
            <w:r>
              <w:rPr>
                <w:rFonts w:ascii="Arial" w:cs="Arial" w:eastAsia="Arial" w:hAnsi="Arial"/>
                <w:sz w:val="18"/>
                <w:szCs w:val="18"/>
                <w:color w:val="auto"/>
                <w:w w:val="94"/>
              </w:rPr>
              <w:t>IBEW Local 244</w:t>
            </w: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March 13, 2022</w:t>
            </w:r>
          </w:p>
        </w:tc>
        <w:tc>
          <w:tcPr>
            <w:tcW w:w="0" w:type="dxa"/>
            <w:vAlign w:val="bottom"/>
          </w:tcPr>
          <w:p>
            <w:pPr>
              <w:spacing w:after="0"/>
              <w:rPr>
                <w:sz w:val="1"/>
                <w:szCs w:val="1"/>
                <w:color w:val="auto"/>
              </w:rPr>
            </w:pPr>
          </w:p>
        </w:tc>
      </w:tr>
      <w:tr>
        <w:trPr>
          <w:trHeight w:val="27"/>
        </w:trPr>
        <w:tc>
          <w:tcPr>
            <w:tcW w:w="3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0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Nebraska Gas </w:t>
            </w:r>
            <w:r>
              <w:rPr>
                <w:rFonts w:ascii="Arial" w:cs="Arial" w:eastAsia="Arial" w:hAnsi="Arial"/>
                <w:sz w:val="25"/>
                <w:szCs w:val="25"/>
                <w:color w:val="auto"/>
                <w:vertAlign w:val="superscript"/>
              </w:rPr>
              <w:t>(a)</w:t>
            </w:r>
          </w:p>
        </w:tc>
        <w:tc>
          <w:tcPr>
            <w:tcW w:w="14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146</w:t>
            </w:r>
          </w:p>
        </w:tc>
        <w:tc>
          <w:tcPr>
            <w:tcW w:w="34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70"/>
        </w:trPr>
        <w:tc>
          <w:tcPr>
            <w:tcW w:w="310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Wyoming Gas </w:t>
            </w:r>
            <w:r>
              <w:rPr>
                <w:rFonts w:ascii="Arial" w:cs="Arial" w:eastAsia="Arial" w:hAnsi="Arial"/>
                <w:sz w:val="25"/>
                <w:szCs w:val="25"/>
                <w:color w:val="auto"/>
                <w:vertAlign w:val="superscript"/>
              </w:rPr>
              <w:t>(a)</w:t>
            </w:r>
          </w:p>
        </w:tc>
        <w:tc>
          <w:tcPr>
            <w:tcW w:w="14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348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3"/>
              </w:rPr>
              <w:t>CWA Local 7476</w:t>
            </w:r>
          </w:p>
        </w:tc>
        <w:tc>
          <w:tcPr>
            <w:tcW w:w="336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0"/>
              </w:rPr>
              <w:t>October 30, 2019</w:t>
            </w:r>
          </w:p>
        </w:tc>
        <w:tc>
          <w:tcPr>
            <w:tcW w:w="0" w:type="dxa"/>
            <w:vAlign w:val="bottom"/>
          </w:tcPr>
          <w:p>
            <w:pPr>
              <w:spacing w:after="0"/>
              <w:rPr>
                <w:sz w:val="1"/>
                <w:szCs w:val="1"/>
                <w:color w:val="auto"/>
              </w:rPr>
            </w:pPr>
          </w:p>
        </w:tc>
      </w:tr>
      <w:tr>
        <w:trPr>
          <w:trHeight w:val="257"/>
        </w:trPr>
        <w:tc>
          <w:tcPr>
            <w:tcW w:w="310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8"/>
                <w:szCs w:val="18"/>
                <w:color w:val="auto"/>
              </w:rPr>
              <w:t>Total</w:t>
            </w:r>
          </w:p>
        </w:tc>
        <w:tc>
          <w:tcPr>
            <w:tcW w:w="14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737</w:t>
            </w:r>
          </w:p>
        </w:tc>
        <w:tc>
          <w:tcPr>
            <w:tcW w:w="3480" w:type="dxa"/>
            <w:vAlign w:val="bottom"/>
            <w:tcBorders>
              <w:bottom w:val="single" w:sz="8" w:color="CEFFE7"/>
            </w:tcBorders>
            <w:shd w:val="clear" w:color="auto" w:fill="CEFFE7"/>
          </w:tcPr>
          <w:p>
            <w:pPr>
              <w:spacing w:after="0"/>
              <w:rPr>
                <w:sz w:val="22"/>
                <w:szCs w:val="22"/>
                <w:color w:val="auto"/>
              </w:rPr>
            </w:pPr>
          </w:p>
        </w:tc>
        <w:tc>
          <w:tcPr>
            <w:tcW w:w="336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10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480" w:type="dxa"/>
            <w:vAlign w:val="bottom"/>
            <w:tcBorders>
              <w:bottom w:val="single" w:sz="8" w:color="auto"/>
            </w:tcBorders>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100" w:type="dxa"/>
            <w:vAlign w:val="bottom"/>
            <w:vMerge w:val="continue"/>
          </w:tcPr>
          <w:p>
            <w:pPr>
              <w:spacing w:after="0"/>
              <w:rPr>
                <w:sz w:val="17"/>
                <w:szCs w:val="17"/>
                <w:color w:val="auto"/>
              </w:rPr>
            </w:pPr>
          </w:p>
        </w:tc>
        <w:tc>
          <w:tcPr>
            <w:tcW w:w="148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160" w:hanging="332"/>
        <w:spacing w:after="0" w:line="263" w:lineRule="auto"/>
        <w:tabs>
          <w:tab w:leader="none" w:pos="3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In the 2016 negotiations with the CWA Local 7476, the union agreed to disclaim their interest in Colorado Gas employees and to split the remaining bargaining unit into two distinct bargaining units, Nebraska Gas and Wyoming Gas. There are ongoing negotiations with both bargaining units at this time.</w:t>
      </w:r>
    </w:p>
    <w:p>
      <w:pPr>
        <w:spacing w:after="0" w:line="14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RISKS</w:t>
      </w:r>
    </w:p>
    <w:p>
      <w:pPr>
        <w:spacing w:after="0" w:line="229"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The nature of our business subjects us to a number of uncertainties and risks. Risks that may adversely affect the business, financial condition, results of operations or cash flows are described below. These risk factors and other risk factors that we discuss in our periodic reports filed with the SEC should be considered for a better understanding of our Company.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continued success is dependent on execution of our strategic business plans and growth strategy.</w:t>
      </w:r>
    </w:p>
    <w:p>
      <w:pPr>
        <w:spacing w:after="0" w:line="22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Our results of operations depend, in significant part, on our ability to execute our strategic business plans and growth strategy. Technology advancements, disruptive forces and innovations in the marketplace and changing business or regulatory conditions may negatively impact our current plans and strategies. An inability to successfully and timely adapt to changing conditions and execute our strategic plans and growth strategy could materially affect our financial operating results including earnings, cash flow and liquidity.</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26" w:right="239" w:bottom="1440" w:gutter="0" w:footer="0" w:header="0"/>
        </w:sectPr>
      </w:pPr>
    </w:p>
    <w:bookmarkStart w:id="29" w:name="page30"/>
    <w:bookmarkEnd w:id="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unfavorable federal and state regulatory outcomes.</w:t>
      </w:r>
    </w:p>
    <w:p>
      <w:pPr>
        <w:spacing w:after="0" w:line="229"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regulated Electric and Gas Utilities are subject to cost-of-service regulation and earnings oversight from federal and eight state utility commissions. This regulatory treatment does not provide any assurance as to achievement of desired earnings levels. Our retail electric and gas utility rates are regulated on a state-by-state basis by the relevant state regulatory authorities based on an analysis of our costs, as reviewed and approved in a regulatory proceeding. The rates that we are allowed to charge may or may not match our related costs and allowed return on invested capital at any given time. While rate regulation is premised on the full recovery of prudently incurred costs and a reasonable rate of return on invested capital, there can be no assurance that our various regulatory authorities will judge all of our costs to have been prudently incurred or that the regulatory process in which rates are determined will result in full recovery of our costs and the allowed return on invested capital. In addition, rate decisions could be influenced by many factors, including general economic conditions and the political environment.</w:t>
      </w:r>
    </w:p>
    <w:p>
      <w:pPr>
        <w:spacing w:after="0" w:line="1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Each of our Electric and Gas Utilities are permitted to recover certain costs (such as increased fuel and purchased power costs) outside of a base rate review. To the extent we are able to pass through such costs to our customers, and the state utility commission subsequently determines that such costs should not have been paid by the customers, we may be required to refund such costs. Any such costs not recovered through rates, or any such refund, could adversely affect financial operating results including earnings, cash flow and liquidity.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future laws, regulations, or actions associated with fossil-fuel generation and GHG emissions.</w:t>
      </w:r>
    </w:p>
    <w:p>
      <w:pPr>
        <w:spacing w:after="0" w:line="229"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We own and operate regulated and unregulated electric power plants that burn fossil fuels (natural gas and coal) and a surface mine that extracts and sells coal. We also purchase and deliver natural gas to our customers. These business activities are subject to evolving public concern regarding fossil fuels, GHG emissions (such as carbon dioxide and methane) and their impact on the climate.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Increased rules and regulations associated with fossil fuels and GHG emissions could result in the impairment or retirement of some of our existing or future transmission, distribution, generation and storage facilities or coal mine. Further, these rules could create the need to purchase or build clean-energy fuel sources to fulfill obligations to our customers. These actions could also result in increased operating costs which could adversely impact customers and our financial operating results including earnings, cash flow and liquidity.</w:t>
      </w:r>
    </w:p>
    <w:p>
      <w:pPr>
        <w:spacing w:after="0" w:line="18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Our financial performance depends on the successful management of our facilities operations, including ongoing operation, construction, expansion, and refurbishment.</w:t>
      </w:r>
    </w:p>
    <w:p>
      <w:pPr>
        <w:spacing w:after="0" w:line="166"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Operation, construction, expansion and refurbishment of electric generating facilities, electric and natural gas transmission and distribution systems, natural gas storage facilities, and a coal mine involve risks that could result in fires, explosions, property damage and personal injury, including death. These risks include:</w:t>
      </w:r>
    </w:p>
    <w:p>
      <w:pPr>
        <w:spacing w:after="0" w:line="181" w:lineRule="exact"/>
        <w:rPr>
          <w:sz w:val="20"/>
          <w:szCs w:val="20"/>
          <w:color w:val="auto"/>
        </w:rPr>
      </w:pPr>
    </w:p>
    <w:p>
      <w:pPr>
        <w:ind w:left="660" w:hanging="328"/>
        <w:spacing w:after="0" w:line="264"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Inherent dangers. Electricity and natural gas are dangerous for employees and the general public; contact with power lines, natural gas pipelines, electrical or natural gas service facilities and equipment can result in fires and explosions, causing significant property damage and personal injuries, including death;</w:t>
      </w:r>
    </w:p>
    <w:p>
      <w:pPr>
        <w:spacing w:after="0" w:line="181" w:lineRule="exact"/>
        <w:rPr>
          <w:rFonts w:ascii="Arial" w:cs="Arial" w:eastAsia="Arial" w:hAnsi="Arial"/>
          <w:sz w:val="18"/>
          <w:szCs w:val="18"/>
          <w:color w:val="auto"/>
        </w:rPr>
      </w:pPr>
    </w:p>
    <w:p>
      <w:pPr>
        <w:ind w:left="660" w:right="160" w:hanging="328"/>
        <w:spacing w:after="0" w:line="259"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Weather, natural conditions and disasters. Severe weather events could negatively impact operations, including our ability to provide energy safely and reliably and our ability to complete construction, expansion or refurbishment of facilities as planned. Extreme natural conditions and other disasters such as wind, lightning, flooding and winter storms, can cause wildfires, electric transmission or distribution pole failures, natural gas pipeline interruptions, outages, property damage and personal injury;</w:t>
      </w:r>
    </w:p>
    <w:p>
      <w:pPr>
        <w:spacing w:after="0" w:line="186" w:lineRule="exact"/>
        <w:rPr>
          <w:rFonts w:ascii="Arial" w:cs="Arial" w:eastAsia="Arial" w:hAnsi="Arial"/>
          <w:sz w:val="18"/>
          <w:szCs w:val="18"/>
          <w:color w:val="auto"/>
        </w:rPr>
      </w:pPr>
    </w:p>
    <w:p>
      <w:pPr>
        <w:ind w:left="660" w:right="200" w:hanging="328"/>
        <w:spacing w:after="0" w:line="27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Operating hazards. Operating hazards such as leaks, mechanical problems and accidents, including fires or explosions could impact employee and public safety, reliability and customer confidence;</w:t>
      </w:r>
    </w:p>
    <w:p>
      <w:pPr>
        <w:spacing w:after="0" w:line="170" w:lineRule="exact"/>
        <w:rPr>
          <w:rFonts w:ascii="Arial" w:cs="Arial" w:eastAsia="Arial" w:hAnsi="Arial"/>
          <w:sz w:val="18"/>
          <w:szCs w:val="18"/>
          <w:color w:val="auto"/>
        </w:rPr>
      </w:pPr>
    </w:p>
    <w:p>
      <w:pPr>
        <w:ind w:left="660" w:right="200" w:hanging="328"/>
        <w:spacing w:after="0" w:line="257" w:lineRule="auto"/>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Labor and labor relations. The cost of recruiting and retaining skilled technical labor or the unavailability of such resources could have a negative impact on our operations. Our ability to transition and replace our retirement-eligible utility employees is a risk; at December 31, 2019, approximately 25% of our Electric Utilities and Gas Utilities employees were eligible for regular or early retirement. Our ability to avoid or minimize supply interruptions, work stoppages and labor disputes is also a risk; approximately 25% of our employees are represented by a total of eight collective bargaining agreements.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80"/>
          </w:cols>
          <w:pgMar w:left="240" w:top="126" w:right="279" w:bottom="1440" w:gutter="0" w:footer="0" w:header="0"/>
        </w:sectPr>
      </w:pPr>
    </w:p>
    <w:bookmarkStart w:id="30" w:name="page31"/>
    <w:bookmarkEnd w:id="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40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Equipment and processes. Breakdown or failure of equipment or processes, the unavailability or increased cost of equipment, and performance below expected levels of output or efficiency could negatively impact our results of operations. New plants may employ recently developed and technologically complex equipment, including newer environmental emission control technology.</w:t>
      </w:r>
    </w:p>
    <w:p>
      <w:pPr>
        <w:spacing w:after="0" w:line="181"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Disrupted transmission and distribution. We depend on transmission and distribution facilities, including those operated by unaffiliated parties, to deliver the electricity and gas that we sell to our retail and wholesale customers. If transmission is interrupted physically, mechanically, or with cyber means, our ability to sell or deliver product and satisfy our contractual obligations may be hindered;</w:t>
      </w:r>
    </w:p>
    <w:p>
      <w:pPr>
        <w:spacing w:after="0" w:line="181" w:lineRule="exact"/>
        <w:rPr>
          <w:rFonts w:ascii="Arial" w:cs="Arial" w:eastAsia="Arial" w:hAnsi="Arial"/>
          <w:sz w:val="18"/>
          <w:szCs w:val="18"/>
          <w:color w:val="auto"/>
        </w:rPr>
      </w:pPr>
    </w:p>
    <w:p>
      <w:pPr>
        <w:ind w:left="660" w:right="140" w:hanging="328"/>
        <w:spacing w:after="0" w:line="259"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Natural gas supply for generation and distribution. Our utilities purchase natural gas from a number of suppliers for our generating facilities and for distribution to our customers. Our results of operations could be negatively impacted by the lack of availability and cost of natural gas, and disruptions in the delivery of natural gas due to various factors, including but not limited to, transportation delays, labor relations, weather and environmental regulations, which could limit our utilities’ ability to operate their facilities;</w:t>
      </w:r>
    </w:p>
    <w:p>
      <w:pPr>
        <w:spacing w:after="0" w:line="186"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Replacement power. The cost of supplying or securing replacement power during scheduled and unscheduled outages of generation facilities could negatively impact our results of operations;</w:t>
      </w:r>
    </w:p>
    <w:p>
      <w:pPr>
        <w:spacing w:after="0" w:line="170" w:lineRule="exact"/>
        <w:rPr>
          <w:rFonts w:ascii="Arial" w:cs="Arial" w:eastAsia="Arial" w:hAnsi="Arial"/>
          <w:sz w:val="18"/>
          <w:szCs w:val="18"/>
          <w:color w:val="auto"/>
        </w:rPr>
      </w:pPr>
    </w:p>
    <w:p>
      <w:pPr>
        <w:ind w:left="660" w:right="420" w:hanging="328"/>
        <w:spacing w:after="0" w:line="277"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Governmental permits. The inability to obtain required governmental permits and approvals along with the cost of complying with or satisfying conditions imposed upon such approvals could negatively impact our ability to operate and our results of operations;</w:t>
      </w:r>
    </w:p>
    <w:p>
      <w:pPr>
        <w:spacing w:after="0" w:line="170" w:lineRule="exact"/>
        <w:rPr>
          <w:rFonts w:ascii="Arial" w:cs="Arial" w:eastAsia="Arial" w:hAnsi="Arial"/>
          <w:sz w:val="18"/>
          <w:szCs w:val="18"/>
          <w:color w:val="auto"/>
        </w:rPr>
      </w:pPr>
    </w:p>
    <w:p>
      <w:pPr>
        <w:ind w:left="660" w:right="100" w:hanging="328"/>
        <w:spacing w:after="0" w:line="308" w:lineRule="auto"/>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Operational limitations. Operational limitations imposed by environmental and other regulatory requirements and contractual agreements, including those that restrict the timing of generation plant scheduled outages, could negatively impact our results of operations;</w:t>
      </w:r>
    </w:p>
    <w:p>
      <w:pPr>
        <w:spacing w:after="0" w:line="146" w:lineRule="exact"/>
        <w:rPr>
          <w:rFonts w:ascii="Arial" w:cs="Arial" w:eastAsia="Arial" w:hAnsi="Arial"/>
          <w:sz w:val="17"/>
          <w:szCs w:val="17"/>
          <w:color w:val="auto"/>
        </w:rPr>
      </w:pPr>
    </w:p>
    <w:p>
      <w:pPr>
        <w:jc w:val="both"/>
        <w:ind w:left="660" w:right="120" w:hanging="328"/>
        <w:spacing w:after="0" w:line="342" w:lineRule="auto"/>
        <w:tabs>
          <w:tab w:leader="none" w:pos="660" w:val="left"/>
        </w:tabs>
        <w:numPr>
          <w:ilvl w:val="0"/>
          <w:numId w:val="27"/>
        </w:numPr>
        <w:rPr>
          <w:rFonts w:ascii="Arial" w:cs="Arial" w:eastAsia="Arial" w:hAnsi="Arial"/>
          <w:sz w:val="16"/>
          <w:szCs w:val="16"/>
          <w:color w:val="auto"/>
        </w:rPr>
      </w:pPr>
      <w:r>
        <w:rPr>
          <w:rFonts w:ascii="Arial" w:cs="Arial" w:eastAsia="Arial" w:hAnsi="Arial"/>
          <w:sz w:val="16"/>
          <w:szCs w:val="16"/>
          <w:color w:val="auto"/>
        </w:rPr>
        <w:t>Increased costs. Increased capital and operating costs to comply with increasingly stringent environmental and pipeline safety laws and regulations; unexpected engineering, environmental and geological problems; and unanticipated cost overruns could negatively impact our results of operations;</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27"/>
        </w:numPr>
        <w:rPr>
          <w:rFonts w:ascii="Arial" w:cs="Arial" w:eastAsia="Arial" w:hAnsi="Arial"/>
          <w:sz w:val="17"/>
          <w:szCs w:val="17"/>
          <w:color w:val="auto"/>
        </w:rPr>
      </w:pPr>
      <w:r>
        <w:rPr>
          <w:rFonts w:ascii="Arial" w:cs="Arial" w:eastAsia="Arial" w:hAnsi="Arial"/>
          <w:sz w:val="17"/>
          <w:szCs w:val="17"/>
          <w:color w:val="auto"/>
        </w:rPr>
        <w:t>Public opposition. Opposition by members of public or special-interest groups could negatively impact our ability to operate our businesses.</w:t>
      </w:r>
    </w:p>
    <w:p>
      <w:pPr>
        <w:spacing w:after="0" w:line="236" w:lineRule="exact"/>
        <w:rPr>
          <w:rFonts w:ascii="Arial" w:cs="Arial" w:eastAsia="Arial" w:hAnsi="Arial"/>
          <w:sz w:val="17"/>
          <w:szCs w:val="17"/>
          <w:color w:val="auto"/>
        </w:rPr>
      </w:pPr>
    </w:p>
    <w:p>
      <w:pPr>
        <w:jc w:val="both"/>
        <w:ind w:left="660" w:right="220" w:hanging="328"/>
        <w:spacing w:after="0" w:line="264" w:lineRule="auto"/>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Disruption in the functioning of our information technology and network infrastructure which is vulnerable to disability, failures and unauthorized access. If our information technology systems were to fail and we were unable to recover in a timely manner, we would be unable to fulfill critical business functions.</w:t>
      </w:r>
    </w:p>
    <w:p>
      <w:pPr>
        <w:spacing w:after="0" w:line="181"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ongoing operation of our business involves the risks described above, in addition to risks associated with threats to our overall business model, such as electrification initiatives. Any of these risks could cause us to experience negative financial results and damage to our reputation and public confidence. These risks could cause us to incur significant costs or be unable to deliver energy and/or operate below expected capacity levels, which in turn could reduce revenues or cause us to incur higher operating and maintenance costs and penalties. While we maintain insurance and obtain warranties from vendors and obligate contractors to meet certain performance levels, the proceeds of such insurance and our rights under contracts, warranties or performance guarantees may not be timely or adequate to cover lost revenues, increased expenses, liability or liquidated damage payments.</w:t>
      </w:r>
    </w:p>
    <w:p>
      <w:pPr>
        <w:spacing w:after="0" w:line="161"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Our energy production, transmission and distribution activities, and our storage facilities for our natural gas involve numerous risks that may result in accidents and other catastrophic events.</w:t>
      </w:r>
    </w:p>
    <w:p>
      <w:pPr>
        <w:spacing w:after="0" w:line="166" w:lineRule="exact"/>
        <w:rPr>
          <w:sz w:val="20"/>
          <w:szCs w:val="20"/>
          <w:color w:val="auto"/>
        </w:rPr>
      </w:pPr>
    </w:p>
    <w:p>
      <w:pPr>
        <w:jc w:val="both"/>
        <w:ind w:right="700"/>
        <w:spacing w:after="0" w:line="264" w:lineRule="auto"/>
        <w:rPr>
          <w:sz w:val="20"/>
          <w:szCs w:val="20"/>
          <w:color w:val="auto"/>
        </w:rPr>
      </w:pPr>
      <w:r>
        <w:rPr>
          <w:rFonts w:ascii="Arial" w:cs="Arial" w:eastAsia="Arial" w:hAnsi="Arial"/>
          <w:sz w:val="18"/>
          <w:szCs w:val="18"/>
          <w:color w:val="auto"/>
        </w:rPr>
        <w:t>Inherent in our businesses are a variety of hazards and operating risks, such as leaks, blowouts, fires, releases of hazardous materials, explosions and operational problems. Many of our transmission and distribution assets are located near populated residential areas, commercial business centers and industrial sites.</w:t>
      </w:r>
    </w:p>
    <w:p>
      <w:pPr>
        <w:spacing w:after="0" w:line="181"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These hazards could result in injury or loss of human life, cause environmental pollution, significantly damage property or natural resources or impair our ability to operate our facilities. While we maintain liability and property insurance coverage, such policies are subject to certain limits and deductibles. The occurrence of any of these events may not be fully covered by our insurance and could have a material adverse effect on our financial operating results including earnings, cash flow and liquidity.</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126" w:right="239" w:bottom="1440" w:gutter="0" w:footer="0" w:header="0"/>
        </w:sectPr>
      </w:pPr>
    </w:p>
    <w:bookmarkStart w:id="31" w:name="page32"/>
    <w:bookmarkEnd w:id="3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Customer growth and usage in our service territories may fluctuate with current economic conditions, emerging technologies or responses to price increases.</w:t>
      </w:r>
    </w:p>
    <w:p>
      <w:pPr>
        <w:spacing w:after="0" w:line="166" w:lineRule="exact"/>
        <w:rPr>
          <w:sz w:val="20"/>
          <w:szCs w:val="20"/>
          <w:color w:val="auto"/>
        </w:rPr>
      </w:pPr>
    </w:p>
    <w:p>
      <w:pPr>
        <w:ind w:right="420"/>
        <w:spacing w:after="0" w:line="288" w:lineRule="auto"/>
        <w:rPr>
          <w:sz w:val="20"/>
          <w:szCs w:val="20"/>
          <w:color w:val="auto"/>
        </w:rPr>
      </w:pPr>
      <w:r>
        <w:rPr>
          <w:rFonts w:ascii="Arial" w:cs="Arial" w:eastAsia="Arial" w:hAnsi="Arial"/>
          <w:sz w:val="16"/>
          <w:szCs w:val="16"/>
          <w:color w:val="auto"/>
        </w:rPr>
        <w:t>Our financial operating results are impacted by demand in our service territories. Customer growth and usage may be impacted by a number of factors, including the voluntary reduction of consumption of electricity and natural gas by our customers in response to increases in prices and energy efficiency programs, economic conditions impacting customers’ disposable income and the use of distributed generation resources or other emerging technologies.</w:t>
      </w:r>
    </w:p>
    <w:p>
      <w:pPr>
        <w:spacing w:after="0" w:line="252" w:lineRule="auto"/>
        <w:rPr>
          <w:sz w:val="20"/>
          <w:szCs w:val="20"/>
          <w:color w:val="auto"/>
        </w:rPr>
      </w:pPr>
      <w:r>
        <w:rPr>
          <w:rFonts w:ascii="Arial" w:cs="Arial" w:eastAsia="Arial" w:hAnsi="Arial"/>
          <w:sz w:val="18"/>
          <w:szCs w:val="18"/>
          <w:color w:val="auto"/>
        </w:rPr>
        <w:t>Continued technological improvements may make customer and third-party distributed generation and energy storage systems, including fuel cells, micro-turbines, wind turbines, solar cells and batteries, more cost effective and feasible for our customers. If more customers utilize their own generation, demand for energy from us would decline. Such developments could affect the price of energy and delivery of energy, require further improvements to our distribution systems to address changing load demands and could make portions of our electric system power supply and transmission and/or distribution facilities obsolete prior to the end of their useful lives. Each of these factors could materially affect our financial operating results including earnings, cash flow and liquidity.</w:t>
      </w:r>
    </w:p>
    <w:p>
      <w:pPr>
        <w:spacing w:after="0" w:line="190" w:lineRule="exact"/>
        <w:rPr>
          <w:sz w:val="20"/>
          <w:szCs w:val="20"/>
          <w:color w:val="auto"/>
        </w:rPr>
      </w:pPr>
    </w:p>
    <w:p>
      <w:pPr>
        <w:ind w:right="980"/>
        <w:spacing w:after="0" w:line="282" w:lineRule="auto"/>
        <w:rPr>
          <w:sz w:val="20"/>
          <w:szCs w:val="20"/>
          <w:color w:val="auto"/>
        </w:rPr>
      </w:pPr>
      <w:r>
        <w:rPr>
          <w:rFonts w:ascii="Arial" w:cs="Arial" w:eastAsia="Arial" w:hAnsi="Arial"/>
          <w:sz w:val="18"/>
          <w:szCs w:val="18"/>
          <w:b w:val="1"/>
          <w:bCs w:val="1"/>
          <w:color w:val="auto"/>
        </w:rPr>
        <w:t>Cyberattacks, terrorism, or other malicious acts could disrupt our operations, or lead to a loss or misuse of confidential and proprietary information.</w:t>
      </w:r>
    </w:p>
    <w:p>
      <w:pPr>
        <w:spacing w:after="0" w:line="166"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To effectively operate our business, we rely upon a sophisticated electronic control system, SCADA, information technology systems and network infrastructure to collect and retain sensitive information including personal information about our customers and employees. Cyberattacks, terrorism or other malicious acts targeting electronic control systems could result in a full or partial disruption of our electric and/or gas operations. Attacks targeting other key information technology systems, including our third-party vendors’ information systems, could further add to a full or partial disruption of our operations. Any disruption of these operations could result in a loss of service to customers and a significant decrease in revenues, as well as significant expense to repair system damage and remedy security breaches. Any theft, loss and/or fraudulent use of customer, shareowner, employee or proprietary data could subject us to significant litigation, liability and costs, as well as adversely impact our reputation with customers and regulators, among others.</w:t>
      </w:r>
    </w:p>
    <w:p>
      <w:pPr>
        <w:spacing w:after="0" w:line="167" w:lineRule="exact"/>
        <w:rPr>
          <w:sz w:val="20"/>
          <w:szCs w:val="20"/>
          <w:color w:val="auto"/>
        </w:rPr>
      </w:pPr>
    </w:p>
    <w:p>
      <w:pPr>
        <w:ind w:right="500"/>
        <w:spacing w:after="0" w:line="312" w:lineRule="auto"/>
        <w:rPr>
          <w:sz w:val="20"/>
          <w:szCs w:val="20"/>
          <w:color w:val="auto"/>
        </w:rPr>
      </w:pPr>
      <w:r>
        <w:rPr>
          <w:rFonts w:ascii="Arial" w:cs="Arial" w:eastAsia="Arial" w:hAnsi="Arial"/>
          <w:sz w:val="16"/>
          <w:szCs w:val="16"/>
          <w:color w:val="auto"/>
        </w:rPr>
        <w:t>We have instituted security measures and safeguards to protect our operational systems and information technology assets, including certain safeguards required by FERC. The security measures and safeguards we have implemented may not always be effective. Despite our implementation of security measures and safeguards, all of our information technology systems may be vulnerable to disability, failures or unauthorized access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associated with deployment of capital may impact our ability to execute our business plans and growth strategy.</w:t>
      </w:r>
    </w:p>
    <w:p>
      <w:pPr>
        <w:spacing w:after="0" w:line="22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We have significant capital investment programs planned for the next five years. The successful execution of our capital investment strategy depends on, or could be affected by, a variety of factors that include, but are not limited to: extreme weather conditions, effective management of projects, availability of qualified construction personnel including contractors, changes in commodity and other prices, governmental approvals and permitting and regulatory cost recovery.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Weather conditions may cause fluctuation in customer usage as well as service disruptions.</w:t>
      </w:r>
    </w:p>
    <w:p>
      <w:pPr>
        <w:spacing w:after="0" w:line="229" w:lineRule="exact"/>
        <w:rPr>
          <w:sz w:val="20"/>
          <w:szCs w:val="20"/>
          <w:color w:val="auto"/>
        </w:rPr>
      </w:pPr>
    </w:p>
    <w:p>
      <w:pPr>
        <w:ind w:right="140"/>
        <w:spacing w:after="0" w:line="272" w:lineRule="auto"/>
        <w:rPr>
          <w:sz w:val="20"/>
          <w:szCs w:val="20"/>
          <w:color w:val="auto"/>
        </w:rPr>
      </w:pPr>
      <w:r>
        <w:rPr>
          <w:rFonts w:ascii="Arial" w:cs="Arial" w:eastAsia="Arial" w:hAnsi="Arial"/>
          <w:sz w:val="17"/>
          <w:szCs w:val="17"/>
          <w:color w:val="auto"/>
        </w:rPr>
        <w:t>Our utility businesses are seasonal businesses and weather conditions and patterns can have a material impact on our operating performance. Demand for electricity is typically greater in the summer and winter months associated with cooling and heating, respectively. Demand for natural gas depends heavily upon winter-weather patterns throughout our service territory and a significant amount of natural gas revenues are recognized in the first and fourth quarters related to the heating season. Accordingly, our utility operations have historically generated lower revenues and income when weather conditions are cooler than normal in the summer and warmer than normal in the winter. Demand for natural gas is also impacted by summer weather patterns that are cooler than normal and provide higher than normal precipitation; both of which can reduce natural gas demand for irrigation. Unusually mild summers and winters, therefore, could have an adverse effect on our results of operations, financial position or cash flows.</w:t>
      </w:r>
    </w:p>
    <w:p>
      <w:pPr>
        <w:spacing w:after="0" w:line="178"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color w:val="auto"/>
        </w:rPr>
        <w:t>Our businesses are located in areas that could be subject to severe weather events such as snow and ice storms, tornadoes, strong winds, significant thunderstorms, flooding and drought. These events could result in lost operating revenues due to outages, property damage, including inoperable generation facilities and downed transmission and distribution lines, and storm restoration activities. We may not be able to recover the costs incurred following these weather events resulting in a negative impact on our financial operating results including earnings, cash flow and liquidity.</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26" w:right="259" w:bottom="1440" w:gutter="0" w:footer="0" w:header="0"/>
        </w:sectPr>
      </w:pPr>
    </w:p>
    <w:bookmarkStart w:id="32" w:name="page33"/>
    <w:bookmarkEnd w:id="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increased risks of regulatory penalties.</w:t>
      </w:r>
    </w:p>
    <w:p>
      <w:pPr>
        <w:spacing w:after="0" w:line="22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Business activities in the energy sector are heavily regulated, primarily by agencies of the federal government. Many agencies employ mandatory civil penalty structures for regulatory violations. The FERC, NERC, CFTC, EPA, OSHA, SEC and MSHA may impose significant civil and criminal penalties to enforce compliance requirements relative to our business, which could have a material adverse effect on our financial operating results including earnings, cash flow and liquidity.</w:t>
      </w:r>
    </w:p>
    <w:p>
      <w:pPr>
        <w:spacing w:after="0" w:line="187"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Certain Federal laws provide special protection to certain designated animal species. These laws and any state equivalents provide for significant civil and criminal penalties for non-permitted activities that result in harm to or harassment of certain protected animals, including damage to their habitats. If such species are located in an area in which we conduct operations, or if additional species in those areas become subject to protection, our operations and development projects, particularly transmission, generation, wind and pipeline projects, could be restricted or delayed, or we could be required to implement expensive mitigation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Municipal governments may seek to limit or deny our franchise privileges.</w:t>
      </w:r>
    </w:p>
    <w:p>
      <w:pPr>
        <w:spacing w:after="0" w:line="22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Municipal governments within our utility service territories possess the power of condemnation and could establish a municipal utility within a portion of our current service territories by limiting or denying franchise privileges for our operations and exercising powers of condemnation over all or part of our utility assets within municipal boundaries. We regularly engage in negotiations on renewals of franchise agreements with our municipal governments. We have from time to time faced challenges or ballot initiatives on franchise renewals. To date, we have been successful in resolving or defending each of these challenges. Although condemnation is a process that is subject to constitutional protections requiring just and fair compensation, as with any judicial procedure, the outcome is uncertain. If a municipality sought to pursue this course of action, we cannot assure that we would secure adequate recovery of our investment in assets subject to condemnation. We also cannot quantify the impact that such action would have on the remainder of our business operations.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RISKS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sub-investment grade credit rating could impact our ability to access capital markets.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Our issuer credit rating is Baa2 (Stable outlook) by Moody’s; BBB+ (Stable outlook) by S&amp;P; and BBB+ (Stable outlook) by Fitch. Reduction of our credit ratings could impair our ability to refinance or repay our existing debt and complete new financings on reasonable terms, if at all. A credit rating downgrade, particularly to sub-investment grade, could also result in counterparties requiring us to post additional collateral under existing or new contracts. In addition, a ratings downgrade would increase our interest expense under some of our existing debt obligations, including borrowings under our credit facilities, potentially significantly increasing our cost of capital and other associated operating costs.</w:t>
      </w:r>
    </w:p>
    <w:p>
      <w:pPr>
        <w:spacing w:after="0" w:line="184"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Derivatives regulations could impede our ability to manage business and financial risks by restricting our use of derivative instruments as hedges against fluctuating commodity prices and interest rates.</w:t>
      </w:r>
    </w:p>
    <w:p>
      <w:pPr>
        <w:spacing w:after="0" w:line="16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Dodd-Frank contains significant derivatives regulations, including a requirement that certain transactions be cleared resulting in a requirement to post cash collateral (commonly referred to as “margin”) for such transactions. Dodd-Frank provides for a potential exception from these clearing and cash collateral requirements for commercial end-users such as utilities and it includes a number of defined terms that will be used in determining how this exception applies to particular derivative transactions and the parties to those transactions.</w:t>
      </w:r>
    </w:p>
    <w:p>
      <w:pPr>
        <w:spacing w:after="0" w:line="18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We use derivative instruments for our hedging activities for our Gas and Electric Utilities’ operations. We may also use interest rate derivative instruments to minimize the impact of interest rate fluctuations. As a result of Dodd-Frank regulations promulgated by the CFTC, we may be required to post collateral for certain swap transactions we enter into. In addition, our exchange-traded futures contracts are subject to futures margin posting requirements, which could have a significant impact on our business by reducing our ability to execute derivative transactions to reduce commodity price uncertainty and to protect cash flows. Requirements to post collateral may cause significant liquidity issues by reducing our ability to use cash for investment or other corporate purposes, or may require us to increase our level of debt. In addition, a requirement for our counterparties to post collateral could result in additional costs being passed on to us, thereby decreasing our profitability.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126" w:right="259" w:bottom="1440" w:gutter="0" w:footer="0" w:header="0"/>
        </w:sectPr>
      </w:pPr>
    </w:p>
    <w:bookmarkStart w:id="33" w:name="page34"/>
    <w:bookmarkEnd w:id="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Our hedging activities that are designed to protect against commodity price and financial market risks may cause fluctuations in reported financial results due to mark-to-market accounting treatment.</w:t>
      </w:r>
    </w:p>
    <w:p>
      <w:pPr>
        <w:spacing w:after="0" w:line="166"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We use various financial contracts and derivatives, including futures, forwards, options and swaps to manage commodity price and financial market risks. The timing of the recognition of gains or losses on these economic hedges in accordance with GAAP does not always match up with the gains or losses on the commodities being hedged. Fluctuating commodity prices could have a negative effect on our liquidity, financial condition, and results of operations.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use of derivative financial instruments could result in material financial losses.</w:t>
      </w:r>
    </w:p>
    <w:p>
      <w:pPr>
        <w:spacing w:after="0" w:line="229"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From time to time, we have sought to limit a portion of the potential adverse effects resulting from changes in commodity prices and interest rates by using derivative financial instruments and other hedging mechanisms. To the extent that we hedge our commodity price and interest rate exposures, we forgo the benefits we would otherwise experience if commodity prices or interest rates were to change in our favor. In addition, even though they are closely monitored by management, our hedging activities can result in losses. Such losses could occur under various circumstances, including if a counterparty does not perform its obligations under the hedge arrangement, the hedge is economically imperfect, commodity prices or interest rates move unfavorably related to our physical or financial positions, or hedging policies and procedures are not followed.</w:t>
      </w:r>
    </w:p>
    <w:p>
      <w:pPr>
        <w:spacing w:after="0" w:line="174"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Market performance or changes in key valuation assumptions could require us to make significant unplanned contributions to our pension plans and other postretirement benefit plans.</w:t>
      </w:r>
    </w:p>
    <w:p>
      <w:pPr>
        <w:spacing w:after="0" w:line="166"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Assumptions related to interest rates, expected return on investments, mortality and other key actuarial assumptions have a significant impact on our funding requirements and the expense recognized related to these plans. An adverse change to key assumptions associated with our defined benefit retirement plans may require significant unplanned contributions to the plans which could adversely affect our financial operating results including earnings, cash flow and liquidity.</w:t>
      </w:r>
    </w:p>
    <w:p>
      <w:pPr>
        <w:spacing w:after="0" w:line="183"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have a holding company corporate structure with multiple subsidiaries. Corporate dividends and debt payments are dependent upon cash distributions to the holding company from the subsidiaries.</w:t>
      </w:r>
    </w:p>
    <w:p>
      <w:pPr>
        <w:spacing w:after="0" w:line="16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As a holding company, our investments in our subsidiaries are our primary assets. Our operating cash flow and ability to service our indebtedness depend on the operating cash flow of our subsidiaries and the payment of funds by them to us in the form of dividends or advances. Our subsidiaries are separate legal entities that have no obligation to make any funds available for that purpose, whether by dividends or otherwise. In addition, each subsidiary’s ability to pay dividends to us depends on any applicable contractual or regulatory restrictions that may include requirements to maintain minimum levels of cash, working capital, equity or debt service funds.</w:t>
      </w:r>
    </w:p>
    <w:p>
      <w:pPr>
        <w:spacing w:after="0" w:line="188" w:lineRule="exact"/>
        <w:rPr>
          <w:sz w:val="20"/>
          <w:szCs w:val="20"/>
          <w:color w:val="auto"/>
        </w:rPr>
      </w:pPr>
    </w:p>
    <w:p>
      <w:pPr>
        <w:jc w:val="both"/>
        <w:ind w:right="180"/>
        <w:spacing w:after="0" w:line="259" w:lineRule="auto"/>
        <w:rPr>
          <w:rFonts w:ascii="Arial" w:cs="Arial" w:eastAsia="Arial" w:hAnsi="Arial"/>
          <w:sz w:val="18"/>
          <w:szCs w:val="18"/>
          <w:color w:val="auto"/>
        </w:rPr>
      </w:pPr>
      <w:r>
        <w:rPr>
          <w:rFonts w:ascii="Arial" w:cs="Arial" w:eastAsia="Arial" w:hAnsi="Arial"/>
          <w:sz w:val="18"/>
          <w:szCs w:val="18"/>
          <w:color w:val="auto"/>
        </w:rPr>
        <w:t>There is no assurance as to the amount, if any, of future dividends because they depend on our future earnings, capital requirements and financial condition and are subject to declaration by the Board of Directors. See “</w:t>
      </w:r>
      <w:hyperlink w:anchor="page57">
        <w:r>
          <w:rPr>
            <w:rFonts w:ascii="Arial" w:cs="Arial" w:eastAsia="Arial" w:hAnsi="Arial"/>
            <w:sz w:val="18"/>
            <w:szCs w:val="18"/>
            <w:u w:val="single" w:color="auto"/>
            <w:color w:val="0000EE"/>
          </w:rPr>
          <w:t>Liquidity and Capital Resources</w:t>
        </w:r>
      </w:hyperlink>
      <w:r>
        <w:rPr>
          <w:rFonts w:ascii="Arial" w:cs="Arial" w:eastAsia="Arial" w:hAnsi="Arial"/>
          <w:sz w:val="18"/>
          <w:szCs w:val="18"/>
          <w:color w:val="auto"/>
        </w:rPr>
        <w:t xml:space="preserve">” within Management’s Discussion and Analysis of Financial Condition and Results of Operations in </w:t>
      </w:r>
      <w:hyperlink w:anchor="page42">
        <w:r>
          <w:rPr>
            <w:rFonts w:ascii="Arial" w:cs="Arial" w:eastAsia="Arial" w:hAnsi="Arial"/>
            <w:sz w:val="18"/>
            <w:szCs w:val="18"/>
            <w:u w:val="single" w:color="auto"/>
            <w:color w:val="0000EE"/>
          </w:rPr>
          <w:t>Item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 for further information regarding these restrictions and their impact on our liquidity.</w:t>
      </w:r>
    </w:p>
    <w:p>
      <w:pPr>
        <w:spacing w:after="0" w:line="183" w:lineRule="exact"/>
        <w:rPr>
          <w:sz w:val="20"/>
          <w:szCs w:val="20"/>
          <w:color w:val="auto"/>
        </w:rPr>
      </w:pPr>
    </w:p>
    <w:p>
      <w:pPr>
        <w:ind w:right="320"/>
        <w:spacing w:after="0" w:line="282" w:lineRule="auto"/>
        <w:rPr>
          <w:sz w:val="20"/>
          <w:szCs w:val="20"/>
          <w:color w:val="auto"/>
        </w:rPr>
      </w:pPr>
      <w:r>
        <w:rPr>
          <w:rFonts w:ascii="Arial" w:cs="Arial" w:eastAsia="Arial" w:hAnsi="Arial"/>
          <w:sz w:val="18"/>
          <w:szCs w:val="18"/>
          <w:b w:val="1"/>
          <w:bCs w:val="1"/>
          <w:color w:val="auto"/>
        </w:rPr>
        <w:t>We may be unable to obtain financing on reasonable terms needed to refinance debt, fund planned capital expenditures or otherwise execute our operating strategy.</w:t>
      </w:r>
    </w:p>
    <w:p>
      <w:pPr>
        <w:spacing w:after="0" w:line="166"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Our ability to execute our operating strategy is highly dependent upon our access to capital. Historically, we have addressed our liquidity needs (including funds required to make scheduled principal and interest payments, refinance debt, pay dividends and fund working capital and planned capital expenditures) with operating cash flow, borrowings under credit facilities, proceeds of debt and equity offerings and proceeds from asset sales. Our ability to access the capital markets and the costs and terms of available financing depend on many factors, including changes in our credit ratings, changes in the federal or state regulatory environment affecting energy companies, volatility in commodity or electricity prices and general economic and market conditions.</w:t>
      </w:r>
    </w:p>
    <w:p>
      <w:pPr>
        <w:spacing w:after="0" w:line="15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addition, because we are a holding company and our utility assets are owned by our subsidiaries, if we are unable to adequately access the credit markets, we could be required to take additional measures designed to ensure that our utility subsidiaries are adequately capitalized to provide safe and reliable service. Possible additional measures would be evaluated in the context of then-prevailing market conditions, prudent financial management and any applicable regulatory requirements.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00"/>
          </w:cols>
          <w:pgMar w:left="240" w:top="126" w:right="259" w:bottom="1440" w:gutter="0" w:footer="0" w:header="0"/>
        </w:sectPr>
      </w:pPr>
    </w:p>
    <w:bookmarkStart w:id="34" w:name="page35"/>
    <w:bookmarkEnd w:id="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National and regional economic conditions may cause increased counterparty credit risk, late payments and uncollectible accounts.</w:t>
      </w:r>
    </w:p>
    <w:p>
      <w:pPr>
        <w:spacing w:after="0" w:line="229"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A future recession, if one occurs, may lead to an increase in late payments from retail, commercial and industrial utility customers, as well as from our non-utility customers. If late payments and uncollectible accounts increase, earnings and cash flows from our continuing operations may be reduced.</w:t>
      </w:r>
    </w:p>
    <w:p>
      <w:pPr>
        <w:spacing w:after="0" w:line="120" w:lineRule="exact"/>
        <w:rPr>
          <w:sz w:val="20"/>
          <w:szCs w:val="20"/>
          <w:color w:val="auto"/>
        </w:rPr>
      </w:pPr>
    </w:p>
    <w:p>
      <w:pPr>
        <w:ind w:right="180"/>
        <w:spacing w:after="0" w:line="266" w:lineRule="auto"/>
        <w:rPr>
          <w:sz w:val="20"/>
          <w:szCs w:val="20"/>
          <w:color w:val="auto"/>
        </w:rPr>
      </w:pPr>
      <w:r>
        <w:rPr>
          <w:rFonts w:ascii="Arial" w:cs="Arial" w:eastAsia="Arial" w:hAnsi="Arial"/>
          <w:sz w:val="18"/>
          <w:szCs w:val="18"/>
          <w:b w:val="1"/>
          <w:bCs w:val="1"/>
          <w:color w:val="auto"/>
        </w:rPr>
        <w:t>Our ability to obtain insurance and the terms of any available insurance coverage could be adversely affected by international, national, state or local events and company-specific events, as well as the financial condition of insurers. Our insurance coverage may not provide protection against all significant losses.</w:t>
      </w:r>
    </w:p>
    <w:p>
      <w:pPr>
        <w:spacing w:after="0" w:line="180"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ability to obtain insurance, as well as the cost of such insurance, could be impacted by developments affecting insurance businesses, international, national, state or local events, as well as the financial condition of insurers. Insurance coverage may not continue to be available at all, or at rates or on terms similar to those presently available to us. A loss for which we are not fully insured could materially and adversely affect our financial results. Our insurance may not be sufficient or effective under all circumstances and against all hazards or liabilities to which the Company may be subject, including but not limited to environmental hazards, fire-related liability from natural events or inadequate facility maintenance, distribution property losses, cyber-security risks and dangers that exist in the gathering and transportation of gas in pipelines.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associated with our healthcare plans and other benefits could increase significantly.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costs of providing healthcare benefits to our employees and retirees have increased substantially in recent years. We believe that our employee benefit costs, including costs related to healthcare plans for our employees and former employees, will continue to rise. Significant regulatory developments have, and likely will continue to, require changes to our current employee benefit plans and in our administrative and accounting processes. Our electric and gas utility rates are regulated on a state-by-state basis by the relevant state regulatory authorities based on an analysis of our costs, as reviewed and approved in a regulatory proceeding. Within our utility rates we have generally recovered the cost of providing employee benefits. As benefit costs continue to rise, there can be no assurance that the state public utility commissions will allow recovery. The increasing cost, or inadequate recovery of, rising employee benefit costs may adversely affect our financial operating results including earnings, cash flow, or liquidity.</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 effective system of internal control may not be maintained, leading to material weaknesses in internal control over financial reporting.</w:t>
      </w:r>
    </w:p>
    <w:p>
      <w:pPr>
        <w:spacing w:after="0" w:line="24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Section 404 of the Sarbanes-Oxley Act of 2002 requires management to make an assessment of the design and effectiveness of internal controls. Our independent registered public accounting firm is required to attest to the effectiveness of these controls. During their assessment of these controls, management or our independent registered public accounting firm may identify areas of weakness in control design or effectiveness, which may lead to the conclusion that a material weakness in internal control exists. Any control deficiencies we identify in the future could adversely affect our ability to report our financial results on a timely and accurate basis, which could result in a loss of investor confidence in our financial reports or have a material adverse effect on our ability to operate our business or access sources of liquidity.</w:t>
      </w:r>
    </w:p>
    <w:p>
      <w:pPr>
        <w:spacing w:after="0" w:line="19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 control system, no matter how well designed and operated, can provide only reasonable, not absolute, assurance that the control system’s objectives will be met. If we are unable to assert that our internal controls over financial reporting are effective, market perception of our business, operating results and stock price could be adversely affected.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RISKS</w:t>
      </w:r>
    </w:p>
    <w:p>
      <w:pPr>
        <w:spacing w:after="0" w:line="225"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Developments in federal and state laws concerning GHG regulations and air emissions relating to climate could materially increase our generation costs and render some of our generating units uneconomical to operate and maintain.</w:t>
      </w:r>
    </w:p>
    <w:p>
      <w:pPr>
        <w:spacing w:after="0" w:line="166"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To the extent climate change occurs, our businesses could be adversely impacted. Warmer temperatures during the heating season in our utility service territories, or cooler temperatures during the cooling season in our electric service territories could adversely affect financial results through lower natural gas volumes delivered, lower MWh sold and associated lower revenues.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26" w:right="259" w:bottom="1440" w:gutter="0" w:footer="0" w:header="0"/>
        </w:sectPr>
      </w:pPr>
    </w:p>
    <w:bookmarkStart w:id="35" w:name="page36"/>
    <w:bookmarkEnd w:id="3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59" w:lineRule="auto"/>
        <w:rPr>
          <w:rFonts w:ascii="Arial" w:cs="Arial" w:eastAsia="Arial" w:hAnsi="Arial"/>
          <w:sz w:val="18"/>
          <w:szCs w:val="18"/>
          <w:color w:val="auto"/>
        </w:rPr>
      </w:pPr>
      <w:r>
        <w:rPr>
          <w:rFonts w:ascii="Arial" w:cs="Arial" w:eastAsia="Arial" w:hAnsi="Arial"/>
          <w:sz w:val="18"/>
          <w:szCs w:val="18"/>
          <w:color w:val="auto"/>
        </w:rPr>
        <w:t>We own and operate regulated and non-regulated fossil-fuel generating plants in Colorado, South Dakota and Wyoming. Developments under federal and state laws and regulations governing air emissions from fossil-fuel generating plants may result in more stringent emission limitations, which could have a material impact on our costs of operations. Various pending or final state and EPA regulations that will impact our facilities are also discussed in Item 1 of this Annual Report on Form 10-K under the section “</w:t>
      </w:r>
      <w:hyperlink w:anchor="page27">
        <w:r>
          <w:rPr>
            <w:rFonts w:ascii="Arial" w:cs="Arial" w:eastAsia="Arial" w:hAnsi="Arial"/>
            <w:sz w:val="18"/>
            <w:szCs w:val="18"/>
            <w:u w:val="single" w:color="auto"/>
            <w:color w:val="0000EE"/>
          </w:rPr>
          <w:t>Environmental Matters</w:t>
        </w:r>
      </w:hyperlink>
      <w:r>
        <w:rPr>
          <w:rFonts w:ascii="Arial" w:cs="Arial" w:eastAsia="Arial" w:hAnsi="Arial"/>
          <w:sz w:val="18"/>
          <w:szCs w:val="18"/>
          <w:color w:val="auto"/>
        </w:rPr>
        <w:t>”.</w:t>
      </w:r>
    </w:p>
    <w:p>
      <w:pPr>
        <w:spacing w:after="0" w:line="187"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There is uncertainty surrounding current climate regulation due to legal challenges, new federal climate legislation anticipated in the future, or state climate legislation and regulation. We cannot definitively estimate the effect of GHG legislation or regulation on our results of operations, financial position or cash flows.</w:t>
      </w:r>
    </w:p>
    <w:p>
      <w:pPr>
        <w:spacing w:after="0" w:line="181" w:lineRule="exact"/>
        <w:rPr>
          <w:sz w:val="20"/>
          <w:szCs w:val="20"/>
          <w:color w:val="auto"/>
        </w:rPr>
      </w:pPr>
    </w:p>
    <w:p>
      <w:pPr>
        <w:ind w:right="120"/>
        <w:spacing w:after="0" w:line="288" w:lineRule="auto"/>
        <w:rPr>
          <w:sz w:val="20"/>
          <w:szCs w:val="20"/>
          <w:color w:val="auto"/>
        </w:rPr>
      </w:pPr>
      <w:r>
        <w:rPr>
          <w:rFonts w:ascii="Arial" w:cs="Arial" w:eastAsia="Arial" w:hAnsi="Arial"/>
          <w:sz w:val="16"/>
          <w:szCs w:val="16"/>
          <w:color w:val="auto"/>
        </w:rPr>
        <w:t>New or more stringent regulations or other energy efficiency requirements could require us to incur significant additional costs relating to, among other things, the installation of additional emission control equipment, the acceleration of capital expenditures, the purchase of additional emissions allowances or offsets, the acquisition or development of additional energy supply from renewable resources, the closure or reduction of load of coal-fired power generation facilities and potential increased load of our combined cycle natural gas-fired generation units. To the extent our regulated fossil-fuel generating plants are included in rate base we will attempt to recover costs associated with complying with emission standards or other requirements. We will also attempt to recover the emission compliance costs of our non-regulated fossil-fuel generating plants from utility and other purchasers of the power generated by those non-regulated power plants. Any unrecovered costs could have a material impact on our results of operations and financial condition. In addition, future changes in environmental regulations governing air emissions could render some of our power generating units more expensive or uneconomical to operate and maintain; this could cause those generating units to be de-commissioned, potentially resulting in impairment costs. We will attempt to recover any remaining asset value; however, any unrecovered costs could have a material impact on our results of operations and financial condition.</w:t>
      </w:r>
    </w:p>
    <w:p>
      <w:pPr>
        <w:spacing w:after="0" w:line="16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The costs to achieve or maintain compliance with existing or future governmental laws, regulations or requirements, or failure to comply, could increase significantly.</w:t>
      </w:r>
    </w:p>
    <w:p>
      <w:pPr>
        <w:spacing w:after="0" w:line="16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business segments are subject to numerous environmental laws and regulations affecting many aspects of present and future operations, including air emissions, water quality, wastewater discharges, solid waste and hazardous waste. These laws and regulations may result in increased capital, operating and other costs. These laws and regulations generally require the business segments to obtain and comply with a wide variety of environmental licenses, permits, inspections and other approvals. Compliance with environmental laws and regulations may require significant expenditures, including expenditures for cleanup costs and damages arising from contaminated properties. Failure to comply with environmental regulations may result in the imposition of fines, penalties and injunctive measures affecting operating assets.</w:t>
      </w:r>
    </w:p>
    <w:p>
      <w:pPr>
        <w:spacing w:after="0" w:line="19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The business segments may not be successful in recovering capital and operating costs incurred to comply with new environmental regulations through existing regulatory rate structures and contracts with customers. More stringent environmental laws or regulations could result in additional costs of operation for existing facilities or impede the development of new facilities. Although it is not expected that the costs to comply with current environmental regulations will have a material adverse effect on the business segments’ financial position, results of operations or cash flows, future environmental compliance costs could have a significant negative impact.</w:t>
      </w:r>
    </w:p>
    <w:p>
      <w:pPr>
        <w:spacing w:after="0" w:line="184" w:lineRule="exact"/>
        <w:rPr>
          <w:sz w:val="20"/>
          <w:szCs w:val="20"/>
          <w:color w:val="auto"/>
        </w:rPr>
      </w:pPr>
    </w:p>
    <w:p>
      <w:pPr>
        <w:ind w:right="620"/>
        <w:spacing w:after="0" w:line="282" w:lineRule="auto"/>
        <w:rPr>
          <w:sz w:val="20"/>
          <w:szCs w:val="20"/>
          <w:color w:val="auto"/>
        </w:rPr>
      </w:pPr>
      <w:r>
        <w:rPr>
          <w:rFonts w:ascii="Arial" w:cs="Arial" w:eastAsia="Arial" w:hAnsi="Arial"/>
          <w:sz w:val="18"/>
          <w:szCs w:val="18"/>
          <w:b w:val="1"/>
          <w:bCs w:val="1"/>
          <w:color w:val="auto"/>
        </w:rPr>
        <w:t>The characteristics of coal may make it difficult for coal users to comply with various environmental standards related to coal combustion or utilization.</w:t>
      </w:r>
    </w:p>
    <w:p>
      <w:pPr>
        <w:spacing w:after="0" w:line="166"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Future regulations may require further reductions in emissions of mercury, hazardous pollutants, SO</w:t>
      </w:r>
      <w:r>
        <w:rPr>
          <w:rFonts w:ascii="Arial" w:cs="Arial" w:eastAsia="Arial" w:hAnsi="Arial"/>
          <w:sz w:val="12"/>
          <w:szCs w:val="12"/>
          <w:color w:val="auto"/>
        </w:rPr>
        <w:t>2</w:t>
      </w:r>
      <w:r>
        <w:rPr>
          <w:rFonts w:ascii="Arial" w:cs="Arial" w:eastAsia="Arial" w:hAnsi="Arial"/>
          <w:sz w:val="18"/>
          <w:szCs w:val="18"/>
          <w:color w:val="auto"/>
        </w:rPr>
        <w:t>, NO</w:t>
      </w:r>
      <w:r>
        <w:rPr>
          <w:rFonts w:ascii="Arial" w:cs="Arial" w:eastAsia="Arial" w:hAnsi="Arial"/>
          <w:sz w:val="12"/>
          <w:szCs w:val="12"/>
          <w:color w:val="auto"/>
        </w:rPr>
        <w:t>x</w:t>
      </w:r>
      <w:r>
        <w:rPr>
          <w:rFonts w:ascii="Arial" w:cs="Arial" w:eastAsia="Arial" w:hAnsi="Arial"/>
          <w:sz w:val="18"/>
          <w:szCs w:val="18"/>
          <w:color w:val="auto"/>
        </w:rPr>
        <w:t>, volatile organic compounds, particulate matter and GHG, which are released into the air when coal is burned. These requirements could require the installation of costly emission control technology or the implementation of other measures.</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Coal competes with other energy sources, such as natural gas, wind, solar and hydropower. The EPA was directed to repeal, revise and replace the CPP rule.</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At this time, it is not known what effect this will have on coal as a domestic energy source, and could have a significant impact on our mining operations.</w:t>
      </w:r>
    </w:p>
    <w:p>
      <w:pPr>
        <w:spacing w:after="0" w:line="22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Existing or proposed legislation focusing on emissions enacted by the United States or individual states could make coal a less attractive fuel alternative for our customers and could impose a tax or fee on the producer of the coal. If our customers decrease the volume of coal they purchase from us or switch to alternative fuels as a result of existing or future environmental regulations aimed at reducing emissions, our financial operating results including earnings, cash flow and liquidity could be adversely impacted.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126" w:right="239" w:bottom="1440" w:gutter="0" w:footer="0" w:header="0"/>
        </w:sectPr>
      </w:pPr>
    </w:p>
    <w:bookmarkStart w:id="36" w:name="page37"/>
    <w:bookmarkEnd w:id="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7"/>
          <w:szCs w:val="17"/>
          <w:b w:val="1"/>
          <w:bCs w:val="1"/>
          <w:color w:val="auto"/>
        </w:rPr>
        <w:t>UNRESOLVED STAFF COMMENTS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54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Information regarding our legal proceedings is incorporated herein by reference to the “Legal Proceedings” sub-caption within Item 8, </w:t>
      </w:r>
      <w:hyperlink w:anchor="page136">
        <w:r>
          <w:rPr>
            <w:rFonts w:ascii="Arial" w:cs="Arial" w:eastAsia="Arial" w:hAnsi="Arial"/>
            <w:sz w:val="17"/>
            <w:szCs w:val="17"/>
            <w:u w:val="single" w:color="auto"/>
            <w:color w:val="0000EE"/>
          </w:rPr>
          <w:t>Note 19</w:t>
        </w:r>
      </w:hyperlink>
      <w:r>
        <w:rPr>
          <w:rFonts w:ascii="Arial" w:cs="Arial" w:eastAsia="Arial" w:hAnsi="Arial"/>
          <w:sz w:val="17"/>
          <w:szCs w:val="17"/>
          <w:color w:val="auto"/>
        </w:rPr>
        <w:t>, “Commitments and Contingencies”, of our Notes to the Consolidated Financial Statements in this Annual Report on Form 10-K.</w:t>
      </w:r>
    </w:p>
    <w:p>
      <w:pPr>
        <w:spacing w:after="0" w:line="14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MINE SAFETY DISCLOSURES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Information concerning mine safety violations or other regulatory matters required by Sections 1503(a) of Dodd-Frank is included in </w:t>
      </w:r>
      <w:hyperlink w:anchor="page208">
        <w:r>
          <w:rPr>
            <w:rFonts w:ascii="Arial" w:cs="Arial" w:eastAsia="Arial" w:hAnsi="Arial"/>
            <w:sz w:val="18"/>
            <w:szCs w:val="18"/>
            <w:u w:val="single" w:color="auto"/>
            <w:color w:val="0000EE"/>
          </w:rPr>
          <w:t>Exhibit 95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w:t>
      </w:r>
    </w:p>
    <w:p>
      <w:pPr>
        <w:spacing w:after="0" w:line="387"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880"/>
          </w:cols>
          <w:pgMar w:left="240" w:top="126" w:right="779" w:bottom="1440" w:gutter="0" w:footer="0" w:header="0"/>
        </w:sectPr>
      </w:pPr>
    </w:p>
    <w:bookmarkStart w:id="37" w:name="page38"/>
    <w:bookmarkEnd w:id="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225" w:lineRule="exact"/>
        <w:rPr>
          <w:sz w:val="20"/>
          <w:szCs w:val="20"/>
          <w:color w:val="auto"/>
        </w:rPr>
      </w:pPr>
    </w:p>
    <w:p>
      <w:pPr>
        <w:ind w:right="40"/>
        <w:spacing w:after="0" w:line="303" w:lineRule="auto"/>
        <w:rPr>
          <w:sz w:val="20"/>
          <w:szCs w:val="20"/>
          <w:color w:val="auto"/>
        </w:rPr>
      </w:pPr>
      <w:r>
        <w:rPr>
          <w:rFonts w:ascii="Arial" w:cs="Arial" w:eastAsia="Arial" w:hAnsi="Arial"/>
          <w:sz w:val="16"/>
          <w:szCs w:val="16"/>
          <w:b w:val="1"/>
          <w:bCs w:val="1"/>
          <w:color w:val="auto"/>
        </w:rPr>
        <w:t xml:space="preserve">David R. Emery, </w:t>
      </w:r>
      <w:r>
        <w:rPr>
          <w:rFonts w:ascii="Arial" w:cs="Arial" w:eastAsia="Arial" w:hAnsi="Arial"/>
          <w:sz w:val="16"/>
          <w:szCs w:val="16"/>
          <w:color w:val="auto"/>
        </w:rPr>
        <w:t>age 57, has been Executive Chairman since January 1, 2019, Chairman and Chief Executive Officer from 2016 through 2018, and</w:t>
      </w:r>
      <w:r>
        <w:rPr>
          <w:rFonts w:ascii="Arial" w:cs="Arial" w:eastAsia="Arial" w:hAnsi="Arial"/>
          <w:sz w:val="16"/>
          <w:szCs w:val="16"/>
          <w:b w:val="1"/>
          <w:bCs w:val="1"/>
          <w:color w:val="auto"/>
        </w:rPr>
        <w:t xml:space="preserve"> </w:t>
      </w:r>
      <w:r>
        <w:rPr>
          <w:rFonts w:ascii="Arial" w:cs="Arial" w:eastAsia="Arial" w:hAnsi="Arial"/>
          <w:sz w:val="16"/>
          <w:szCs w:val="16"/>
          <w:color w:val="auto"/>
        </w:rPr>
        <w:t>Chairman, President and Chief Executive Officer from 2005 through 2015. Prior to that, he held various positions with the Company, including President and Chief Executive Officer and member of the Board of Directors from 2004 to 2005, President and Chief Operating Officer — Retail Business Segment from 2003 to 2004 and Vice President — Fuel Resources from 1997 to 2003. Mr. Emery has 30 years of experience with the Company.</w:t>
      </w:r>
    </w:p>
    <w:p>
      <w:pPr>
        <w:spacing w:after="0" w:line="151" w:lineRule="exact"/>
        <w:rPr>
          <w:sz w:val="20"/>
          <w:szCs w:val="20"/>
          <w:color w:val="auto"/>
        </w:rPr>
      </w:pPr>
    </w:p>
    <w:p>
      <w:pPr>
        <w:jc w:val="both"/>
        <w:ind w:right="200"/>
        <w:spacing w:after="0" w:line="314" w:lineRule="auto"/>
        <w:rPr>
          <w:sz w:val="20"/>
          <w:szCs w:val="20"/>
          <w:color w:val="auto"/>
        </w:rPr>
      </w:pPr>
      <w:r>
        <w:rPr>
          <w:rFonts w:ascii="Arial" w:cs="Arial" w:eastAsia="Arial" w:hAnsi="Arial"/>
          <w:sz w:val="16"/>
          <w:szCs w:val="16"/>
          <w:b w:val="1"/>
          <w:bCs w:val="1"/>
          <w:color w:val="auto"/>
        </w:rPr>
        <w:t xml:space="preserve">Linden R. Evans, </w:t>
      </w:r>
      <w:r>
        <w:rPr>
          <w:rFonts w:ascii="Arial" w:cs="Arial" w:eastAsia="Arial" w:hAnsi="Arial"/>
          <w:sz w:val="16"/>
          <w:szCs w:val="16"/>
          <w:color w:val="auto"/>
        </w:rPr>
        <w:t>age 57, has been President and Chief Executive Officer since January 1, 2019, President and Chief Operating Officer from 2016 through</w:t>
      </w:r>
      <w:r>
        <w:rPr>
          <w:rFonts w:ascii="Arial" w:cs="Arial" w:eastAsia="Arial" w:hAnsi="Arial"/>
          <w:sz w:val="16"/>
          <w:szCs w:val="16"/>
          <w:b w:val="1"/>
          <w:bCs w:val="1"/>
          <w:color w:val="auto"/>
        </w:rPr>
        <w:t xml:space="preserve"> </w:t>
      </w:r>
      <w:r>
        <w:rPr>
          <w:rFonts w:ascii="Arial" w:cs="Arial" w:eastAsia="Arial" w:hAnsi="Arial"/>
          <w:sz w:val="16"/>
          <w:szCs w:val="16"/>
          <w:color w:val="auto"/>
        </w:rPr>
        <w:t>2018, and President and Chief Operating Officer — Utilities from 2004 through 2015. Mr. Evans served as the Vice President and General Manager of our former communication subsidiary in 2003 and 2004, and Associate Counsel from 2001 to 2003. Mr. Evans has 18 years of experience with the Company.</w:t>
      </w:r>
    </w:p>
    <w:p>
      <w:pPr>
        <w:spacing w:after="0" w:line="142"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b w:val="1"/>
          <w:bCs w:val="1"/>
          <w:color w:val="auto"/>
        </w:rPr>
        <w:t xml:space="preserve">Scott A. Buchholz, </w:t>
      </w:r>
      <w:r>
        <w:rPr>
          <w:rFonts w:ascii="Arial" w:cs="Arial" w:eastAsia="Arial" w:hAnsi="Arial"/>
          <w:sz w:val="18"/>
          <w:szCs w:val="18"/>
          <w:color w:val="auto"/>
        </w:rPr>
        <w:t>age 58, has been our Senior Vice President — Chief Information Officer since the closing of the Aquila Transaction in 2008. Prior to</w:t>
      </w:r>
      <w:r>
        <w:rPr>
          <w:rFonts w:ascii="Arial" w:cs="Arial" w:eastAsia="Arial" w:hAnsi="Arial"/>
          <w:sz w:val="18"/>
          <w:szCs w:val="18"/>
          <w:b w:val="1"/>
          <w:bCs w:val="1"/>
          <w:color w:val="auto"/>
        </w:rPr>
        <w:t xml:space="preserve"> </w:t>
      </w:r>
      <w:r>
        <w:rPr>
          <w:rFonts w:ascii="Arial" w:cs="Arial" w:eastAsia="Arial" w:hAnsi="Arial"/>
          <w:sz w:val="18"/>
          <w:szCs w:val="18"/>
          <w:color w:val="auto"/>
        </w:rPr>
        <w:t>joining the Company, he was Aquila’s Vice President of Information Technology from 2005 until 2008, Six Sigma Deployment Leader/Black Belt from 2004 until 2005, and General Manager, Corporate Information Technology from 2002 until 2004. Mr. Buchholz has 39 years of experience with the Company, including 28 years with Aquila.</w:t>
      </w:r>
    </w:p>
    <w:p>
      <w:pPr>
        <w:spacing w:after="0" w:line="180" w:lineRule="exact"/>
        <w:rPr>
          <w:sz w:val="20"/>
          <w:szCs w:val="20"/>
          <w:color w:val="auto"/>
        </w:rPr>
      </w:pPr>
    </w:p>
    <w:p>
      <w:pPr>
        <w:ind w:right="140"/>
        <w:spacing w:after="0" w:line="277" w:lineRule="auto"/>
        <w:rPr>
          <w:sz w:val="20"/>
          <w:szCs w:val="20"/>
          <w:color w:val="auto"/>
        </w:rPr>
      </w:pPr>
      <w:r>
        <w:rPr>
          <w:rFonts w:ascii="Arial" w:cs="Arial" w:eastAsia="Arial" w:hAnsi="Arial"/>
          <w:sz w:val="17"/>
          <w:szCs w:val="17"/>
          <w:b w:val="1"/>
          <w:bCs w:val="1"/>
          <w:color w:val="auto"/>
        </w:rPr>
        <w:t xml:space="preserve">Brian G. Iverson, </w:t>
      </w:r>
      <w:r>
        <w:rPr>
          <w:rFonts w:ascii="Arial" w:cs="Arial" w:eastAsia="Arial" w:hAnsi="Arial"/>
          <w:sz w:val="17"/>
          <w:szCs w:val="17"/>
          <w:color w:val="auto"/>
        </w:rPr>
        <w:t>age 57, has been Senior Vice President, General Counsel and Chief Compliance Officer since August 26, 2019. He served as Senior Vice</w:t>
      </w:r>
      <w:r>
        <w:rPr>
          <w:rFonts w:ascii="Arial" w:cs="Arial" w:eastAsia="Arial" w:hAnsi="Arial"/>
          <w:sz w:val="17"/>
          <w:szCs w:val="17"/>
          <w:b w:val="1"/>
          <w:bCs w:val="1"/>
          <w:color w:val="auto"/>
        </w:rPr>
        <w:t xml:space="preserve"> </w:t>
      </w:r>
      <w:r>
        <w:rPr>
          <w:rFonts w:ascii="Arial" w:cs="Arial" w:eastAsia="Arial" w:hAnsi="Arial"/>
          <w:sz w:val="17"/>
          <w:szCs w:val="17"/>
          <w:color w:val="auto"/>
        </w:rPr>
        <w:t>President, General Counsel, Chief Compliance Officer and Corporate Secretary from February 1, 2019 to August 26, 2019, Senior Vice President, General Counsel and Chief Compliance Officer from 2016 to February 2019, Senior Vice President - Regulatory and Governmental Affairs and Assistant General Counsel from 2014 to 2016, Vice President and Treasurer from 2011 to 2014, Vice President - Electric Regulatory Services from 2008 to 2011 and as Corporate Counsel from 2004 to 2008. Mr. Iverson has 16 years of experience with the Company.</w:t>
      </w:r>
    </w:p>
    <w:p>
      <w:pPr>
        <w:spacing w:after="0" w:line="168" w:lineRule="exact"/>
        <w:rPr>
          <w:sz w:val="20"/>
          <w:szCs w:val="20"/>
          <w:color w:val="auto"/>
        </w:rPr>
      </w:pPr>
    </w:p>
    <w:p>
      <w:pPr>
        <w:spacing w:after="0" w:line="266" w:lineRule="auto"/>
        <w:rPr>
          <w:sz w:val="20"/>
          <w:szCs w:val="20"/>
          <w:color w:val="auto"/>
        </w:rPr>
      </w:pPr>
      <w:r>
        <w:rPr>
          <w:rFonts w:ascii="Arial" w:cs="Arial" w:eastAsia="Arial" w:hAnsi="Arial"/>
          <w:sz w:val="18"/>
          <w:szCs w:val="18"/>
          <w:b w:val="1"/>
          <w:bCs w:val="1"/>
          <w:color w:val="auto"/>
        </w:rPr>
        <w:t xml:space="preserve">Richard W. Kinzley, </w:t>
      </w:r>
      <w:r>
        <w:rPr>
          <w:rFonts w:ascii="Arial" w:cs="Arial" w:eastAsia="Arial" w:hAnsi="Arial"/>
          <w:sz w:val="18"/>
          <w:szCs w:val="18"/>
          <w:color w:val="auto"/>
        </w:rPr>
        <w:t>age 54, has been Senior Vice President and Chief Financial Officer since 2015. He served as Vice President - Corporate Controller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2013 to 2014, Vice President - Strategic Planning and Development from 2008 to 2013, and as Director of Corporate Development from 2000 to 2008. Mr. Kinzley has 20 years of experience with the Company.</w:t>
      </w:r>
    </w:p>
    <w:p>
      <w:pPr>
        <w:spacing w:after="0" w:line="176" w:lineRule="exact"/>
        <w:rPr>
          <w:sz w:val="20"/>
          <w:szCs w:val="20"/>
          <w:color w:val="auto"/>
        </w:rPr>
      </w:pPr>
    </w:p>
    <w:p>
      <w:pPr>
        <w:ind w:right="280"/>
        <w:spacing w:after="0" w:line="289" w:lineRule="auto"/>
        <w:rPr>
          <w:sz w:val="20"/>
          <w:szCs w:val="20"/>
          <w:color w:val="auto"/>
        </w:rPr>
      </w:pPr>
      <w:r>
        <w:rPr>
          <w:rFonts w:ascii="Arial" w:cs="Arial" w:eastAsia="Arial" w:hAnsi="Arial"/>
          <w:sz w:val="17"/>
          <w:szCs w:val="17"/>
          <w:b w:val="1"/>
          <w:bCs w:val="1"/>
          <w:color w:val="auto"/>
        </w:rPr>
        <w:t xml:space="preserve">Jennifer C. Landis, </w:t>
      </w:r>
      <w:r>
        <w:rPr>
          <w:rFonts w:ascii="Arial" w:cs="Arial" w:eastAsia="Arial" w:hAnsi="Arial"/>
          <w:sz w:val="17"/>
          <w:szCs w:val="17"/>
          <w:color w:val="auto"/>
        </w:rPr>
        <w:t>age 45, has been Senior Vice President - Chief Human Resources Officer since February 1, 2017. She served as Vice President of</w:t>
      </w:r>
      <w:r>
        <w:rPr>
          <w:rFonts w:ascii="Arial" w:cs="Arial" w:eastAsia="Arial" w:hAnsi="Arial"/>
          <w:sz w:val="17"/>
          <w:szCs w:val="17"/>
          <w:b w:val="1"/>
          <w:bCs w:val="1"/>
          <w:color w:val="auto"/>
        </w:rPr>
        <w:t xml:space="preserve"> </w:t>
      </w:r>
      <w:r>
        <w:rPr>
          <w:rFonts w:ascii="Arial" w:cs="Arial" w:eastAsia="Arial" w:hAnsi="Arial"/>
          <w:sz w:val="17"/>
          <w:szCs w:val="17"/>
          <w:color w:val="auto"/>
        </w:rPr>
        <w:t>Human Resources from April 2016 through January 2017, Director of Corporate Human Resources and Talent Management from 2013 to April 2016, and Director of Organization Development from 2008 to 2013. Ms. Landis has 18 years of experience with the Company.</w:t>
      </w:r>
    </w:p>
    <w:p>
      <w:pPr>
        <w:spacing w:after="0" w:line="158" w:lineRule="exact"/>
        <w:rPr>
          <w:sz w:val="20"/>
          <w:szCs w:val="20"/>
          <w:color w:val="auto"/>
        </w:rPr>
      </w:pPr>
    </w:p>
    <w:p>
      <w:pPr>
        <w:jc w:val="both"/>
        <w:ind w:right="220"/>
        <w:spacing w:after="0" w:line="266" w:lineRule="auto"/>
        <w:rPr>
          <w:sz w:val="20"/>
          <w:szCs w:val="20"/>
          <w:color w:val="auto"/>
        </w:rPr>
      </w:pPr>
      <w:r>
        <w:rPr>
          <w:rFonts w:ascii="Arial" w:cs="Arial" w:eastAsia="Arial" w:hAnsi="Arial"/>
          <w:sz w:val="18"/>
          <w:szCs w:val="18"/>
          <w:b w:val="1"/>
          <w:bCs w:val="1"/>
          <w:color w:val="auto"/>
        </w:rPr>
        <w:t xml:space="preserve">Karen Beachy, </w:t>
      </w:r>
      <w:r>
        <w:rPr>
          <w:rFonts w:ascii="Arial" w:cs="Arial" w:eastAsia="Arial" w:hAnsi="Arial"/>
          <w:sz w:val="18"/>
          <w:szCs w:val="18"/>
          <w:color w:val="auto"/>
        </w:rPr>
        <w:t>age 48, has been Senior Vice President - Growth and Strategy since August 26, 2019. She served as Vice President - Growth and Strategy</w:t>
      </w:r>
      <w:r>
        <w:rPr>
          <w:rFonts w:ascii="Arial" w:cs="Arial" w:eastAsia="Arial" w:hAnsi="Arial"/>
          <w:sz w:val="18"/>
          <w:szCs w:val="18"/>
          <w:b w:val="1"/>
          <w:bCs w:val="1"/>
          <w:color w:val="auto"/>
        </w:rPr>
        <w:t xml:space="preserve"> </w:t>
      </w:r>
      <w:r>
        <w:rPr>
          <w:rFonts w:ascii="Arial" w:cs="Arial" w:eastAsia="Arial" w:hAnsi="Arial"/>
          <w:sz w:val="18"/>
          <w:szCs w:val="18"/>
          <w:color w:val="auto"/>
        </w:rPr>
        <w:t>from 2018 to August 2019, Vice President - Supply Chain from 2016 to 2018, and Director of Supply Chain from 2014 to 2016. Ms. Beachy has 5 years of experience with the Company.</w:t>
      </w:r>
    </w:p>
    <w:p>
      <w:pPr>
        <w:spacing w:after="0" w:line="176"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Stuart Wevik, </w:t>
      </w:r>
      <w:r>
        <w:rPr>
          <w:rFonts w:ascii="Arial" w:cs="Arial" w:eastAsia="Arial" w:hAnsi="Arial"/>
          <w:sz w:val="18"/>
          <w:szCs w:val="18"/>
          <w:color w:val="auto"/>
        </w:rPr>
        <w:t>age 58, has been Senior Vice President - Utility Operations since August 26, 2019. He served as Group Vice President - Electric Utilities from</w:t>
      </w:r>
      <w:r>
        <w:rPr>
          <w:rFonts w:ascii="Arial" w:cs="Arial" w:eastAsia="Arial" w:hAnsi="Arial"/>
          <w:sz w:val="18"/>
          <w:szCs w:val="18"/>
          <w:b w:val="1"/>
          <w:bCs w:val="1"/>
          <w:color w:val="auto"/>
        </w:rPr>
        <w:t xml:space="preserve"> </w:t>
      </w:r>
      <w:r>
        <w:rPr>
          <w:rFonts w:ascii="Arial" w:cs="Arial" w:eastAsia="Arial" w:hAnsi="Arial"/>
          <w:sz w:val="18"/>
          <w:szCs w:val="18"/>
          <w:color w:val="auto"/>
        </w:rPr>
        <w:t>2016 to August 2019, Vice President - Utility Operations from 2008 to 2016, Vice President - Operations from 2004 to 2008 and Vice President and General Manager from 2003 to 2004. Mr. Wevik has 34 years of experience with the Company.</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26" w:right="259" w:bottom="1440" w:gutter="0" w:footer="0" w:header="0"/>
        </w:sectPr>
      </w:pPr>
    </w:p>
    <w:bookmarkStart w:id="38" w:name="page39"/>
    <w:bookmarkEnd w:id="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1300" w:right="20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16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common stock is traded on the New York Stock Exchange under the symbol BKH. As of December 31, 2019, we had 3,586 common shareholders of record and 32,285 beneficial owners, representing all 50 states, the District of Columbia and 6 foreign countries.</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have paid a regular quarterly cash dividend each year since the incorporation of our predecessor company in 1941 and expect to continue paying a regular quarterly dividend for the foreseeable future. At its January 29, 2020 meeting, our Board of Directors declared a quarterly dividend of $0.535 per share, equivalent to an annual dividend rate of $2.14 per share. This equivalent rate, if declared and paid in 2020, will represent 50 consecutive years of annual dividend increases.</w:t>
      </w:r>
    </w:p>
    <w:p>
      <w:pPr>
        <w:spacing w:after="0" w:line="187"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For additional discussion of our dividend policy and factors that may limit our ability to pay dividends, see “</w:t>
      </w:r>
      <w:hyperlink w:anchor="page57">
        <w:r>
          <w:rPr>
            <w:rFonts w:ascii="Arial" w:cs="Arial" w:eastAsia="Arial" w:hAnsi="Arial"/>
            <w:sz w:val="18"/>
            <w:szCs w:val="18"/>
            <w:u w:val="single" w:color="auto"/>
            <w:color w:val="0000EE"/>
          </w:rPr>
          <w:t>Liquidity and Capital Resources</w:t>
        </w:r>
      </w:hyperlink>
      <w:r>
        <w:rPr>
          <w:rFonts w:ascii="Arial" w:cs="Arial" w:eastAsia="Arial" w:hAnsi="Arial"/>
          <w:sz w:val="18"/>
          <w:szCs w:val="18"/>
          <w:color w:val="auto"/>
        </w:rPr>
        <w:t xml:space="preserve">” under </w:t>
      </w:r>
      <w:hyperlink w:anchor="page42">
        <w:r>
          <w:rPr>
            <w:rFonts w:ascii="Arial" w:cs="Arial" w:eastAsia="Arial" w:hAnsi="Arial"/>
            <w:sz w:val="18"/>
            <w:szCs w:val="18"/>
            <w:u w:val="single" w:color="auto"/>
            <w:color w:val="0000EE"/>
          </w:rPr>
          <w:t>Item 7</w:t>
        </w:r>
      </w:hyperlink>
      <w:r>
        <w:rPr>
          <w:rFonts w:ascii="Arial" w:cs="Arial" w:eastAsia="Arial" w:hAnsi="Arial"/>
          <w:sz w:val="18"/>
          <w:szCs w:val="18"/>
          <w:color w:val="auto"/>
        </w:rPr>
        <w:t>, Management’s Discussion and Analysis of Financial Condition and Results of Operations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SECURITIES ISSUED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There were no unregistered securities sold during 2019.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There were no equity securities acquired for the twelve months ended December 31, 2019.</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380"/>
          </w:cols>
          <w:pgMar w:left="240" w:top="126" w:right="279" w:bottom="1440" w:gutter="0" w:footer="0" w:header="0"/>
        </w:sectPr>
      </w:pPr>
    </w:p>
    <w:bookmarkStart w:id="39" w:name="page40"/>
    <w:bookmarkEnd w:id="39"/>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spacing w:after="0"/>
              <w:rPr>
                <w:rFonts w:ascii="Arial" w:cs="Arial" w:eastAsia="Arial" w:hAnsi="Arial"/>
                <w:sz w:val="16"/>
                <w:szCs w:val="16"/>
                <w:b w:val="1"/>
                <w:bCs w:val="1"/>
                <w:color w:val="0000EE"/>
                <w:w w:val="88"/>
              </w:rPr>
            </w:pPr>
            <w:hyperlink w:anchor="page2">
              <w:r>
                <w:rPr>
                  <w:rFonts w:ascii="Arial" w:cs="Arial" w:eastAsia="Arial" w:hAnsi="Arial"/>
                  <w:sz w:val="16"/>
                  <w:szCs w:val="16"/>
                  <w:b w:val="1"/>
                  <w:bCs w:val="1"/>
                  <w:color w:val="0000EE"/>
                  <w:w w:val="88"/>
                </w:rPr>
                <w:t>Table of Contents</w:t>
              </w:r>
            </w:hyperlink>
          </w:p>
        </w:tc>
        <w:tc>
          <w:tcPr>
            <w:tcW w:w="2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60" w:type="dxa"/>
            <w:vAlign w:val="bottom"/>
          </w:tcPr>
          <w:p>
            <w:pPr>
              <w:spacing w:after="0"/>
              <w:rPr>
                <w:sz w:val="16"/>
                <w:szCs w:val="16"/>
                <w:color w:val="auto"/>
              </w:rPr>
            </w:pPr>
          </w:p>
        </w:tc>
      </w:tr>
      <w:tr>
        <w:trPr>
          <w:trHeight w:val="439"/>
        </w:trPr>
        <w:tc>
          <w:tcPr>
            <w:tcW w:w="122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2660" w:type="dxa"/>
            <w:vAlign w:val="bottom"/>
            <w:gridSpan w:val="2"/>
          </w:tcPr>
          <w:p>
            <w:pPr>
              <w:jc w:val="right"/>
              <w:spacing w:after="0"/>
              <w:rPr>
                <w:sz w:val="20"/>
                <w:szCs w:val="20"/>
                <w:color w:val="auto"/>
              </w:rPr>
            </w:pPr>
            <w:r>
              <w:rPr>
                <w:rFonts w:ascii="Arial" w:cs="Arial" w:eastAsia="Arial" w:hAnsi="Arial"/>
                <w:sz w:val="18"/>
                <w:szCs w:val="18"/>
                <w:b w:val="1"/>
                <w:bCs w:val="1"/>
                <w:color w:val="auto"/>
              </w:rPr>
              <w:t>SELECTED FINANCIAL DATA</w:t>
            </w: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3440" w:type="dxa"/>
            <w:vAlign w:val="bottom"/>
            <w:gridSpan w:val="2"/>
          </w:tcPr>
          <w:p>
            <w:pPr>
              <w:spacing w:after="0"/>
              <w:rPr>
                <w:sz w:val="20"/>
                <w:szCs w:val="20"/>
                <w:color w:val="auto"/>
              </w:rPr>
            </w:pPr>
            <w:r>
              <w:rPr>
                <w:rFonts w:ascii="Arial" w:cs="Arial" w:eastAsia="Arial" w:hAnsi="Arial"/>
                <w:sz w:val="18"/>
                <w:szCs w:val="18"/>
                <w:i w:val="1"/>
                <w:iCs w:val="1"/>
                <w:color w:val="auto"/>
                <w:w w:val="92"/>
              </w:rPr>
              <w:t>(Minor differences may result due to rounding)</w:t>
            </w: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05"/>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Years Ended December 31,</w:t>
            </w:r>
          </w:p>
        </w:tc>
        <w:tc>
          <w:tcPr>
            <w:tcW w:w="4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w w:val="95"/>
              </w:rPr>
              <w:t>2019</w:t>
            </w: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color w:val="auto"/>
              </w:rPr>
              <w:t>2018</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2017</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 xml:space="preserve">2016 </w:t>
            </w:r>
            <w:r>
              <w:rPr>
                <w:rFonts w:ascii="Arial" w:cs="Arial" w:eastAsia="Arial" w:hAnsi="Arial"/>
                <w:sz w:val="21"/>
                <w:szCs w:val="21"/>
                <w:color w:val="auto"/>
                <w:vertAlign w:val="superscript"/>
              </w:rPr>
              <w:t>(a)</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2015</w:t>
            </w:r>
          </w:p>
        </w:tc>
        <w:tc>
          <w:tcPr>
            <w:tcW w:w="360" w:type="dxa"/>
            <w:vAlign w:val="bottom"/>
            <w:tcBorders>
              <w:bottom w:val="single" w:sz="8" w:color="auto"/>
            </w:tcBorders>
          </w:tcPr>
          <w:p>
            <w:pPr>
              <w:spacing w:after="0"/>
              <w:rPr>
                <w:sz w:val="24"/>
                <w:szCs w:val="24"/>
                <w:color w:val="auto"/>
              </w:rPr>
            </w:pPr>
          </w:p>
        </w:tc>
      </w:tr>
      <w:tr>
        <w:trPr>
          <w:trHeight w:val="231"/>
        </w:trPr>
        <w:tc>
          <w:tcPr>
            <w:tcW w:w="3440" w:type="dxa"/>
            <w:vAlign w:val="bottom"/>
            <w:gridSpan w:val="2"/>
          </w:tcPr>
          <w:p>
            <w:pPr>
              <w:ind w:left="40"/>
              <w:spacing w:after="0"/>
              <w:rPr>
                <w:sz w:val="20"/>
                <w:szCs w:val="20"/>
                <w:color w:val="auto"/>
              </w:rPr>
            </w:pPr>
            <w:r>
              <w:rPr>
                <w:rFonts w:ascii="Arial" w:cs="Arial" w:eastAsia="Arial" w:hAnsi="Arial"/>
                <w:sz w:val="16"/>
                <w:szCs w:val="16"/>
                <w:color w:val="auto"/>
                <w:w w:val="97"/>
              </w:rPr>
              <w:t>(dollars in thousands, except per share amounts)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17"/>
        </w:trPr>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64"/>
        </w:trPr>
        <w:tc>
          <w:tcPr>
            <w:tcW w:w="1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b w:val="1"/>
                <w:bCs w:val="1"/>
                <w:color w:val="auto"/>
              </w:rPr>
              <w:t>Total Assets</w:t>
            </w:r>
          </w:p>
        </w:tc>
        <w:tc>
          <w:tcPr>
            <w:tcW w:w="2220" w:type="dxa"/>
            <w:vAlign w:val="bottom"/>
            <w:tcBorders>
              <w:bottom w:val="single" w:sz="8" w:color="CEFFE7"/>
            </w:tcBorders>
            <w:shd w:val="clear" w:color="auto" w:fill="CEFFE7"/>
          </w:tcPr>
          <w:p>
            <w:pPr>
              <w:spacing w:after="0"/>
              <w:rPr>
                <w:sz w:val="22"/>
                <w:szCs w:val="22"/>
                <w:color w:val="auto"/>
              </w:rPr>
            </w:pPr>
          </w:p>
        </w:tc>
        <w:tc>
          <w:tcPr>
            <w:tcW w:w="4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7,558,457</w:t>
            </w:r>
          </w:p>
        </w:tc>
        <w:tc>
          <w:tcPr>
            <w:tcW w:w="360" w:type="dxa"/>
            <w:vAlign w:val="bottom"/>
            <w:tcBorders>
              <w:bottom w:val="single" w:sz="8" w:color="auto"/>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6,963,327</w:t>
            </w:r>
          </w:p>
        </w:tc>
        <w:tc>
          <w:tcPr>
            <w:tcW w:w="34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6,658,902</w:t>
            </w:r>
          </w:p>
        </w:tc>
        <w:tc>
          <w:tcPr>
            <w:tcW w:w="360" w:type="dxa"/>
            <w:vAlign w:val="bottom"/>
            <w:tcBorders>
              <w:bottom w:val="single" w:sz="8" w:color="auto"/>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6,541,773</w:t>
            </w:r>
          </w:p>
        </w:tc>
        <w:tc>
          <w:tcPr>
            <w:tcW w:w="36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4,626,643</w:t>
            </w:r>
          </w:p>
        </w:tc>
        <w:tc>
          <w:tcPr>
            <w:tcW w:w="360" w:type="dxa"/>
            <w:vAlign w:val="bottom"/>
            <w:tcBorders>
              <w:bottom w:val="single" w:sz="8" w:color="auto"/>
            </w:tcBorders>
            <w:shd w:val="clear" w:color="auto" w:fill="CEFFE7"/>
          </w:tcPr>
          <w:p>
            <w:pPr>
              <w:spacing w:after="0"/>
              <w:rPr>
                <w:sz w:val="22"/>
                <w:szCs w:val="22"/>
                <w:color w:val="auto"/>
              </w:rPr>
            </w:pPr>
          </w:p>
        </w:tc>
      </w:tr>
      <w:tr>
        <w:trPr>
          <w:trHeight w:val="20"/>
        </w:trPr>
        <w:tc>
          <w:tcPr>
            <w:tcW w:w="34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71"/>
        </w:trPr>
        <w:tc>
          <w:tcPr>
            <w:tcW w:w="12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50"/>
        </w:trPr>
        <w:tc>
          <w:tcPr>
            <w:tcW w:w="3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rPr>
              <w:t>Property, Plant and Equipment</w:t>
            </w:r>
          </w:p>
        </w:tc>
        <w:tc>
          <w:tcPr>
            <w:tcW w:w="4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r>
      <w:tr>
        <w:trPr>
          <w:trHeight w:val="237"/>
        </w:trPr>
        <w:tc>
          <w:tcPr>
            <w:tcW w:w="3440" w:type="dxa"/>
            <w:vAlign w:val="bottom"/>
            <w:gridSpan w:val="2"/>
          </w:tcPr>
          <w:p>
            <w:pPr>
              <w:ind w:left="180"/>
              <w:spacing w:after="0"/>
              <w:rPr>
                <w:sz w:val="20"/>
                <w:szCs w:val="20"/>
                <w:color w:val="auto"/>
              </w:rPr>
            </w:pPr>
            <w:r>
              <w:rPr>
                <w:rFonts w:ascii="Arial" w:cs="Arial" w:eastAsia="Arial" w:hAnsi="Arial"/>
                <w:sz w:val="16"/>
                <w:szCs w:val="16"/>
                <w:color w:val="auto"/>
              </w:rPr>
              <w:t>Property, plant and equipment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6,784,679</w:t>
            </w:r>
          </w:p>
        </w:tc>
        <w:tc>
          <w:tcPr>
            <w:tcW w:w="36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6,000,015</w:t>
            </w:r>
          </w:p>
        </w:tc>
        <w:tc>
          <w:tcPr>
            <w:tcW w:w="34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5,567,518</w:t>
            </w:r>
          </w:p>
        </w:tc>
        <w:tc>
          <w:tcPr>
            <w:tcW w:w="3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5,315,296</w:t>
            </w:r>
          </w:p>
        </w:tc>
        <w:tc>
          <w:tcPr>
            <w:tcW w:w="36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3,849,309</w:t>
            </w:r>
          </w:p>
        </w:tc>
        <w:tc>
          <w:tcPr>
            <w:tcW w:w="360" w:type="dxa"/>
            <w:vAlign w:val="bottom"/>
          </w:tcPr>
          <w:p>
            <w:pPr>
              <w:spacing w:after="0"/>
              <w:rPr>
                <w:sz w:val="20"/>
                <w:szCs w:val="20"/>
                <w:color w:val="auto"/>
              </w:rPr>
            </w:pPr>
          </w:p>
        </w:tc>
      </w:tr>
      <w:tr>
        <w:trPr>
          <w:trHeight w:val="33"/>
        </w:trPr>
        <w:tc>
          <w:tcPr>
            <w:tcW w:w="3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34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Accumulated depreciation and depletion</w:t>
            </w:r>
          </w:p>
        </w:tc>
        <w:tc>
          <w:tcPr>
            <w:tcW w:w="4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2"/>
              </w:rPr>
              <w:t>(1,281,493)</w:t>
            </w:r>
          </w:p>
        </w:tc>
        <w:tc>
          <w:tcPr>
            <w:tcW w:w="36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(1,145,136)</w:t>
            </w:r>
          </w:p>
        </w:tc>
        <w:tc>
          <w:tcPr>
            <w:tcW w:w="3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(1,026,088)</w:t>
            </w:r>
          </w:p>
        </w:tc>
        <w:tc>
          <w:tcPr>
            <w:tcW w:w="36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(929,119)</w:t>
            </w:r>
          </w:p>
        </w:tc>
        <w:tc>
          <w:tcPr>
            <w:tcW w:w="3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(794,695)</w:t>
            </w:r>
          </w:p>
        </w:tc>
        <w:tc>
          <w:tcPr>
            <w:tcW w:w="360" w:type="dxa"/>
            <w:vAlign w:val="bottom"/>
            <w:tcBorders>
              <w:bottom w:val="single" w:sz="8" w:color="CEFFE7"/>
            </w:tcBorders>
            <w:shd w:val="clear" w:color="auto" w:fill="CEFFE7"/>
          </w:tcPr>
          <w:p>
            <w:pPr>
              <w:spacing w:after="0"/>
              <w:rPr>
                <w:sz w:val="23"/>
                <w:szCs w:val="23"/>
                <w:color w:val="auto"/>
              </w:rPr>
            </w:pPr>
          </w:p>
        </w:tc>
      </w:tr>
      <w:tr>
        <w:trPr>
          <w:trHeight w:val="297"/>
        </w:trPr>
        <w:tc>
          <w:tcPr>
            <w:tcW w:w="344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5,503,186</w:t>
            </w:r>
          </w:p>
        </w:tc>
        <w:tc>
          <w:tcPr>
            <w:tcW w:w="3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4,854,879</w:t>
            </w:r>
          </w:p>
        </w:tc>
        <w:tc>
          <w:tcPr>
            <w:tcW w:w="3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4,541,430</w:t>
            </w:r>
          </w:p>
        </w:tc>
        <w:tc>
          <w:tcPr>
            <w:tcW w:w="3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4,386,177</w:t>
            </w:r>
          </w:p>
        </w:tc>
        <w:tc>
          <w:tcPr>
            <w:tcW w:w="3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3,054,614</w:t>
            </w:r>
          </w:p>
        </w:tc>
        <w:tc>
          <w:tcPr>
            <w:tcW w:w="360" w:type="dxa"/>
            <w:vAlign w:val="bottom"/>
            <w:tcBorders>
              <w:top w:val="single" w:sz="8" w:color="auto"/>
              <w:bottom w:val="single" w:sz="8" w:color="auto"/>
            </w:tcBorders>
          </w:tcPr>
          <w:p>
            <w:pPr>
              <w:spacing w:after="0"/>
              <w:rPr>
                <w:sz w:val="24"/>
                <w:szCs w:val="24"/>
                <w:color w:val="auto"/>
              </w:rPr>
            </w:pPr>
          </w:p>
        </w:tc>
      </w:tr>
      <w:tr>
        <w:trPr>
          <w:trHeight w:val="271"/>
        </w:trPr>
        <w:tc>
          <w:tcPr>
            <w:tcW w:w="1220" w:type="dxa"/>
            <w:vAlign w:val="bottom"/>
            <w:shd w:val="clear" w:color="auto" w:fill="CEFFE7"/>
          </w:tcPr>
          <w:p>
            <w:pPr>
              <w:spacing w:after="0"/>
              <w:rPr>
                <w:sz w:val="23"/>
                <w:szCs w:val="23"/>
                <w:color w:val="auto"/>
              </w:rPr>
            </w:pPr>
          </w:p>
        </w:tc>
        <w:tc>
          <w:tcPr>
            <w:tcW w:w="222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8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b w:val="1"/>
                <w:bCs w:val="1"/>
                <w:color w:val="auto"/>
              </w:rPr>
              <w:t>Capital Expenditures</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
        </w:trPr>
        <w:tc>
          <w:tcPr>
            <w:tcW w:w="3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4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Continuing Operations</w:t>
            </w:r>
          </w:p>
        </w:tc>
        <w:tc>
          <w:tcPr>
            <w:tcW w:w="440" w:type="dxa"/>
            <w:vAlign w:val="bottom"/>
            <w:tcBorders>
              <w:bottom w:val="single" w:sz="8" w:color="CEFFE7"/>
            </w:tcBorders>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849,755</w:t>
            </w:r>
          </w:p>
        </w:tc>
        <w:tc>
          <w:tcPr>
            <w:tcW w:w="3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502,424</w:t>
            </w: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337,689</w:t>
            </w:r>
          </w:p>
        </w:tc>
        <w:tc>
          <w:tcPr>
            <w:tcW w:w="3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460,450</w:t>
            </w: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289,896</w:t>
            </w:r>
          </w:p>
        </w:tc>
        <w:tc>
          <w:tcPr>
            <w:tcW w:w="360" w:type="dxa"/>
            <w:vAlign w:val="bottom"/>
            <w:tcBorders>
              <w:bottom w:val="single" w:sz="8" w:color="CEFFE7"/>
            </w:tcBorders>
            <w:shd w:val="clear" w:color="auto" w:fill="CEFFE7"/>
          </w:tcPr>
          <w:p>
            <w:pPr>
              <w:spacing w:after="0"/>
              <w:rPr>
                <w:sz w:val="21"/>
                <w:szCs w:val="21"/>
                <w:color w:val="auto"/>
              </w:rPr>
            </w:pPr>
          </w:p>
        </w:tc>
      </w:tr>
      <w:tr>
        <w:trPr>
          <w:trHeight w:val="270"/>
        </w:trPr>
        <w:tc>
          <w:tcPr>
            <w:tcW w:w="344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44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3"/>
                <w:szCs w:val="23"/>
                <w:color w:val="auto"/>
              </w:rPr>
            </w:pP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2,402</w:t>
            </w:r>
          </w:p>
        </w:tc>
        <w:tc>
          <w:tcPr>
            <w:tcW w:w="34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23,222</w:t>
            </w:r>
          </w:p>
        </w:tc>
        <w:tc>
          <w:tcPr>
            <w:tcW w:w="36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6,669</w:t>
            </w:r>
          </w:p>
        </w:tc>
        <w:tc>
          <w:tcPr>
            <w:tcW w:w="36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168,925</w:t>
            </w:r>
          </w:p>
        </w:tc>
        <w:tc>
          <w:tcPr>
            <w:tcW w:w="360" w:type="dxa"/>
            <w:vAlign w:val="bottom"/>
            <w:tcBorders>
              <w:bottom w:val="single" w:sz="8" w:color="auto"/>
            </w:tcBorders>
          </w:tcPr>
          <w:p>
            <w:pPr>
              <w:spacing w:after="0"/>
              <w:rPr>
                <w:sz w:val="23"/>
                <w:szCs w:val="23"/>
                <w:color w:val="auto"/>
              </w:rPr>
            </w:pPr>
          </w:p>
        </w:tc>
      </w:tr>
      <w:tr>
        <w:trPr>
          <w:trHeight w:val="257"/>
        </w:trPr>
        <w:tc>
          <w:tcPr>
            <w:tcW w:w="3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rPr>
              <w:t>Total Capital Expenditures</w:t>
            </w:r>
          </w:p>
        </w:tc>
        <w:tc>
          <w:tcPr>
            <w:tcW w:w="4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849,755</w:t>
            </w:r>
          </w:p>
        </w:tc>
        <w:tc>
          <w:tcPr>
            <w:tcW w:w="360" w:type="dxa"/>
            <w:vAlign w:val="bottom"/>
            <w:tcBorders>
              <w:bottom w:val="single" w:sz="8" w:color="auto"/>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504,826</w:t>
            </w:r>
          </w:p>
        </w:tc>
        <w:tc>
          <w:tcPr>
            <w:tcW w:w="34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360,911</w:t>
            </w:r>
          </w:p>
        </w:tc>
        <w:tc>
          <w:tcPr>
            <w:tcW w:w="360" w:type="dxa"/>
            <w:vAlign w:val="bottom"/>
            <w:tcBorders>
              <w:bottom w:val="single" w:sz="8" w:color="auto"/>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467,119</w:t>
            </w:r>
          </w:p>
        </w:tc>
        <w:tc>
          <w:tcPr>
            <w:tcW w:w="36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458,821</w:t>
            </w:r>
          </w:p>
        </w:tc>
        <w:tc>
          <w:tcPr>
            <w:tcW w:w="360" w:type="dxa"/>
            <w:vAlign w:val="bottom"/>
            <w:tcBorders>
              <w:bottom w:val="single" w:sz="8" w:color="auto"/>
            </w:tcBorders>
            <w:shd w:val="clear" w:color="auto" w:fill="CEFFE7"/>
          </w:tcPr>
          <w:p>
            <w:pPr>
              <w:spacing w:after="0"/>
              <w:rPr>
                <w:sz w:val="22"/>
                <w:szCs w:val="22"/>
                <w:color w:val="auto"/>
              </w:rPr>
            </w:pPr>
          </w:p>
        </w:tc>
      </w:tr>
      <w:tr>
        <w:trPr>
          <w:trHeight w:val="20"/>
        </w:trPr>
        <w:tc>
          <w:tcPr>
            <w:tcW w:w="34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71"/>
        </w:trPr>
        <w:tc>
          <w:tcPr>
            <w:tcW w:w="122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60" w:type="dxa"/>
            <w:vAlign w:val="bottom"/>
          </w:tcPr>
          <w:p>
            <w:pPr>
              <w:spacing w:after="0"/>
              <w:rPr>
                <w:sz w:val="23"/>
                <w:szCs w:val="23"/>
                <w:color w:val="auto"/>
              </w:rPr>
            </w:pPr>
          </w:p>
        </w:tc>
      </w:tr>
      <w:tr>
        <w:trPr>
          <w:trHeight w:val="250"/>
        </w:trPr>
        <w:tc>
          <w:tcPr>
            <w:tcW w:w="3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b w:val="1"/>
                <w:bCs w:val="1"/>
                <w:color w:val="auto"/>
                <w:w w:val="95"/>
              </w:rPr>
              <w:t xml:space="preserve">Capitalization </w:t>
            </w:r>
            <w:r>
              <w:rPr>
                <w:rFonts w:ascii="Arial" w:cs="Arial" w:eastAsia="Arial" w:hAnsi="Arial"/>
                <w:sz w:val="16"/>
                <w:szCs w:val="16"/>
                <w:color w:val="auto"/>
                <w:w w:val="95"/>
              </w:rPr>
              <w:t>(excluding noncontrolling interests)</w:t>
            </w:r>
          </w:p>
        </w:tc>
        <w:tc>
          <w:tcPr>
            <w:tcW w:w="4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r>
      <w:tr>
        <w:trPr>
          <w:trHeight w:val="237"/>
        </w:trPr>
        <w:tc>
          <w:tcPr>
            <w:tcW w:w="3440" w:type="dxa"/>
            <w:vAlign w:val="bottom"/>
            <w:gridSpan w:val="2"/>
          </w:tcPr>
          <w:p>
            <w:pPr>
              <w:ind w:left="180"/>
              <w:spacing w:after="0"/>
              <w:rPr>
                <w:sz w:val="20"/>
                <w:szCs w:val="20"/>
                <w:color w:val="auto"/>
              </w:rPr>
            </w:pPr>
            <w:r>
              <w:rPr>
                <w:rFonts w:ascii="Arial" w:cs="Arial" w:eastAsia="Arial" w:hAnsi="Arial"/>
                <w:sz w:val="16"/>
                <w:szCs w:val="16"/>
                <w:color w:val="auto"/>
              </w:rPr>
              <w:t>Current maturities of long-term debt</w:t>
            </w:r>
          </w:p>
        </w:tc>
        <w:tc>
          <w:tcPr>
            <w:tcW w:w="440" w:type="dxa"/>
            <w:vAlign w:val="bottom"/>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360" w:type="dxa"/>
            <w:vAlign w:val="bottom"/>
          </w:tcPr>
          <w:p>
            <w:pPr>
              <w:spacing w:after="0"/>
              <w:rPr>
                <w:sz w:val="20"/>
                <w:szCs w:val="20"/>
                <w:color w:val="auto"/>
              </w:rPr>
            </w:pPr>
          </w:p>
        </w:tc>
        <w:tc>
          <w:tcPr>
            <w:tcW w:w="30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5,743</w:t>
            </w:r>
          </w:p>
        </w:tc>
        <w:tc>
          <w:tcPr>
            <w:tcW w:w="340" w:type="dxa"/>
            <w:vAlign w:val="bottom"/>
          </w:tcPr>
          <w:p>
            <w:pPr>
              <w:spacing w:after="0"/>
              <w:rPr>
                <w:sz w:val="20"/>
                <w:szCs w:val="20"/>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5,743</w:t>
            </w:r>
          </w:p>
        </w:tc>
        <w:tc>
          <w:tcPr>
            <w:tcW w:w="360" w:type="dxa"/>
            <w:vAlign w:val="bottom"/>
          </w:tcPr>
          <w:p>
            <w:pPr>
              <w:spacing w:after="0"/>
              <w:rPr>
                <w:sz w:val="20"/>
                <w:szCs w:val="20"/>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5,743</w:t>
            </w:r>
          </w:p>
        </w:tc>
        <w:tc>
          <w:tcPr>
            <w:tcW w:w="360" w:type="dxa"/>
            <w:vAlign w:val="bottom"/>
          </w:tcPr>
          <w:p>
            <w:pPr>
              <w:spacing w:after="0"/>
              <w:rPr>
                <w:sz w:val="20"/>
                <w:szCs w:val="20"/>
                <w:color w:val="auto"/>
              </w:rPr>
            </w:pPr>
          </w:p>
        </w:tc>
        <w:tc>
          <w:tcPr>
            <w:tcW w:w="280" w:type="dxa"/>
            <w:vAlign w:val="bottom"/>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w:t>
            </w:r>
          </w:p>
        </w:tc>
        <w:tc>
          <w:tcPr>
            <w:tcW w:w="360" w:type="dxa"/>
            <w:vAlign w:val="bottom"/>
          </w:tcPr>
          <w:p>
            <w:pPr>
              <w:spacing w:after="0"/>
              <w:rPr>
                <w:sz w:val="20"/>
                <w:szCs w:val="20"/>
                <w:color w:val="auto"/>
              </w:rPr>
            </w:pPr>
          </w:p>
        </w:tc>
      </w:tr>
      <w:tr>
        <w:trPr>
          <w:trHeight w:val="33"/>
        </w:trPr>
        <w:tc>
          <w:tcPr>
            <w:tcW w:w="122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12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w w:val="99"/>
              </w:rPr>
              <w:t>Notes payable</w:t>
            </w:r>
          </w:p>
        </w:tc>
        <w:tc>
          <w:tcPr>
            <w:tcW w:w="2220" w:type="dxa"/>
            <w:vAlign w:val="bottom"/>
            <w:tcBorders>
              <w:bottom w:val="single" w:sz="8" w:color="CEFFE7"/>
            </w:tcBorders>
            <w:shd w:val="clear" w:color="auto" w:fill="CEFFE7"/>
          </w:tcPr>
          <w:p>
            <w:pPr>
              <w:spacing w:after="0"/>
              <w:rPr>
                <w:sz w:val="21"/>
                <w:szCs w:val="21"/>
                <w:color w:val="auto"/>
              </w:rPr>
            </w:pPr>
          </w:p>
        </w:tc>
        <w:tc>
          <w:tcPr>
            <w:tcW w:w="4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349,500</w:t>
            </w:r>
          </w:p>
        </w:tc>
        <w:tc>
          <w:tcPr>
            <w:tcW w:w="3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185,620</w:t>
            </w: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211,300</w:t>
            </w:r>
          </w:p>
        </w:tc>
        <w:tc>
          <w:tcPr>
            <w:tcW w:w="3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96,600</w:t>
            </w: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76,800</w:t>
            </w:r>
          </w:p>
        </w:tc>
        <w:tc>
          <w:tcPr>
            <w:tcW w:w="360" w:type="dxa"/>
            <w:vAlign w:val="bottom"/>
            <w:tcBorders>
              <w:bottom w:val="single" w:sz="8" w:color="CEFFE7"/>
            </w:tcBorders>
            <w:shd w:val="clear" w:color="auto" w:fill="CEFFE7"/>
          </w:tcPr>
          <w:p>
            <w:pPr>
              <w:spacing w:after="0"/>
              <w:rPr>
                <w:sz w:val="21"/>
                <w:szCs w:val="21"/>
                <w:color w:val="auto"/>
              </w:rPr>
            </w:pPr>
          </w:p>
        </w:tc>
      </w:tr>
      <w:tr>
        <w:trPr>
          <w:trHeight w:val="237"/>
        </w:trPr>
        <w:tc>
          <w:tcPr>
            <w:tcW w:w="3440" w:type="dxa"/>
            <w:vAlign w:val="bottom"/>
            <w:gridSpan w:val="2"/>
          </w:tcPr>
          <w:p>
            <w:pPr>
              <w:ind w:left="180"/>
              <w:spacing w:after="0"/>
              <w:rPr>
                <w:sz w:val="20"/>
                <w:szCs w:val="20"/>
                <w:color w:val="auto"/>
              </w:rPr>
            </w:pPr>
            <w:r>
              <w:rPr>
                <w:rFonts w:ascii="Arial" w:cs="Arial" w:eastAsia="Arial" w:hAnsi="Arial"/>
                <w:sz w:val="16"/>
                <w:szCs w:val="16"/>
                <w:color w:val="auto"/>
              </w:rPr>
              <w:t>Long-term debt, net of current maturities</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3,140,096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2,950,835</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3,109,400</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3,211,189</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1,853,682</w:t>
            </w:r>
          </w:p>
        </w:tc>
        <w:tc>
          <w:tcPr>
            <w:tcW w:w="360" w:type="dxa"/>
            <w:vAlign w:val="bottom"/>
          </w:tcPr>
          <w:p>
            <w:pPr>
              <w:spacing w:after="0"/>
              <w:rPr>
                <w:sz w:val="20"/>
                <w:szCs w:val="20"/>
                <w:color w:val="auto"/>
              </w:rPr>
            </w:pPr>
          </w:p>
        </w:tc>
      </w:tr>
      <w:tr>
        <w:trPr>
          <w:trHeight w:val="33"/>
        </w:trPr>
        <w:tc>
          <w:tcPr>
            <w:tcW w:w="3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34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Total stockholders’ equity</w:t>
            </w:r>
          </w:p>
        </w:tc>
        <w:tc>
          <w:tcPr>
            <w:tcW w:w="4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2,362,123</w:t>
            </w:r>
          </w:p>
        </w:tc>
        <w:tc>
          <w:tcPr>
            <w:tcW w:w="360" w:type="dxa"/>
            <w:vAlign w:val="bottom"/>
            <w:tcBorders>
              <w:bottom w:val="single" w:sz="8" w:color="CEFFE7"/>
            </w:tcBorders>
            <w:shd w:val="clear" w:color="auto" w:fill="CEFFE7"/>
          </w:tcPr>
          <w:p>
            <w:pPr>
              <w:spacing w:after="0"/>
              <w:rPr>
                <w:sz w:val="23"/>
                <w:szCs w:val="23"/>
                <w:color w:val="auto"/>
              </w:rPr>
            </w:pPr>
          </w:p>
        </w:tc>
        <w:tc>
          <w:tcPr>
            <w:tcW w:w="30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2,181,588</w:t>
            </w:r>
          </w:p>
        </w:tc>
        <w:tc>
          <w:tcPr>
            <w:tcW w:w="3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1,708,974</w:t>
            </w:r>
          </w:p>
        </w:tc>
        <w:tc>
          <w:tcPr>
            <w:tcW w:w="36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1,614,639</w:t>
            </w:r>
          </w:p>
        </w:tc>
        <w:tc>
          <w:tcPr>
            <w:tcW w:w="36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1,465,867</w:t>
            </w:r>
          </w:p>
        </w:tc>
        <w:tc>
          <w:tcPr>
            <w:tcW w:w="360" w:type="dxa"/>
            <w:vAlign w:val="bottom"/>
            <w:tcBorders>
              <w:bottom w:val="single" w:sz="8" w:color="CEFFE7"/>
            </w:tcBorders>
            <w:shd w:val="clear" w:color="auto" w:fill="CEFFE7"/>
          </w:tcPr>
          <w:p>
            <w:pPr>
              <w:spacing w:after="0"/>
              <w:rPr>
                <w:sz w:val="23"/>
                <w:szCs w:val="23"/>
                <w:color w:val="auto"/>
              </w:rPr>
            </w:pPr>
          </w:p>
        </w:tc>
      </w:tr>
      <w:tr>
        <w:trPr>
          <w:trHeight w:val="297"/>
        </w:trPr>
        <w:tc>
          <w:tcPr>
            <w:tcW w:w="3440" w:type="dxa"/>
            <w:vAlign w:val="bottom"/>
            <w:tcBorders>
              <w:bottom w:val="single" w:sz="8" w:color="CEFFE7"/>
            </w:tcBorders>
            <w:gridSpan w:val="2"/>
          </w:tcPr>
          <w:p>
            <w:pPr>
              <w:ind w:left="820"/>
              <w:spacing w:after="0"/>
              <w:rPr>
                <w:sz w:val="20"/>
                <w:szCs w:val="20"/>
                <w:color w:val="auto"/>
              </w:rPr>
            </w:pPr>
            <w:r>
              <w:rPr>
                <w:rFonts w:ascii="Arial" w:cs="Arial" w:eastAsia="Arial" w:hAnsi="Arial"/>
                <w:sz w:val="16"/>
                <w:szCs w:val="16"/>
                <w:color w:val="auto"/>
              </w:rPr>
              <w:t>Total capitalization</w:t>
            </w:r>
          </w:p>
        </w:tc>
        <w:tc>
          <w:tcPr>
            <w:tcW w:w="440" w:type="dxa"/>
            <w:vAlign w:val="bottom"/>
            <w:tcBorders>
              <w:top w:val="single" w:sz="8" w:color="auto"/>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5,857,462</w:t>
            </w:r>
          </w:p>
        </w:tc>
        <w:tc>
          <w:tcPr>
            <w:tcW w:w="36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5,323,786</w:t>
            </w:r>
          </w:p>
        </w:tc>
        <w:tc>
          <w:tcPr>
            <w:tcW w:w="34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5,035,417</w:t>
            </w:r>
          </w:p>
        </w:tc>
        <w:tc>
          <w:tcPr>
            <w:tcW w:w="360" w:type="dxa"/>
            <w:vAlign w:val="bottom"/>
            <w:tcBorders>
              <w:top w:val="single" w:sz="8" w:color="auto"/>
              <w:bottom w:val="single" w:sz="8" w:color="auto"/>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4,928,171</w:t>
            </w:r>
          </w:p>
        </w:tc>
        <w:tc>
          <w:tcPr>
            <w:tcW w:w="360" w:type="dxa"/>
            <w:vAlign w:val="bottom"/>
            <w:tcBorders>
              <w:top w:val="single" w:sz="8" w:color="auto"/>
              <w:bottom w:val="single" w:sz="8" w:color="auto"/>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3,396,349</w:t>
            </w:r>
          </w:p>
        </w:tc>
        <w:tc>
          <w:tcPr>
            <w:tcW w:w="360" w:type="dxa"/>
            <w:vAlign w:val="bottom"/>
            <w:tcBorders>
              <w:top w:val="single" w:sz="8" w:color="auto"/>
              <w:bottom w:val="single" w:sz="8" w:color="auto"/>
            </w:tcBorders>
          </w:tcPr>
          <w:p>
            <w:pPr>
              <w:spacing w:after="0"/>
              <w:rPr>
                <w:sz w:val="24"/>
                <w:szCs w:val="24"/>
                <w:color w:val="auto"/>
              </w:rPr>
            </w:pPr>
          </w:p>
        </w:tc>
      </w:tr>
      <w:tr>
        <w:trPr>
          <w:trHeight w:val="271"/>
        </w:trPr>
        <w:tc>
          <w:tcPr>
            <w:tcW w:w="1220" w:type="dxa"/>
            <w:vAlign w:val="bottom"/>
            <w:shd w:val="clear" w:color="auto" w:fill="CEFFE7"/>
          </w:tcPr>
          <w:p>
            <w:pPr>
              <w:spacing w:after="0"/>
              <w:rPr>
                <w:sz w:val="23"/>
                <w:szCs w:val="23"/>
                <w:color w:val="auto"/>
              </w:rPr>
            </w:pPr>
          </w:p>
        </w:tc>
        <w:tc>
          <w:tcPr>
            <w:tcW w:w="222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8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r>
      <w:tr>
        <w:trPr>
          <w:trHeight w:val="304"/>
        </w:trPr>
        <w:tc>
          <w:tcPr>
            <w:tcW w:w="3440" w:type="dxa"/>
            <w:vAlign w:val="bottom"/>
            <w:tcBorders>
              <w:bottom w:val="single" w:sz="8" w:color="CEFFE7"/>
            </w:tcBorders>
            <w:gridSpan w:val="2"/>
          </w:tcPr>
          <w:p>
            <w:pPr>
              <w:ind w:left="40"/>
              <w:spacing w:after="0"/>
              <w:rPr>
                <w:sz w:val="20"/>
                <w:szCs w:val="20"/>
                <w:color w:val="auto"/>
              </w:rPr>
            </w:pPr>
            <w:r>
              <w:rPr>
                <w:rFonts w:ascii="Arial" w:cs="Arial" w:eastAsia="Arial" w:hAnsi="Arial"/>
                <w:sz w:val="16"/>
                <w:szCs w:val="16"/>
                <w:b w:val="1"/>
                <w:bCs w:val="1"/>
                <w:color w:val="auto"/>
              </w:rPr>
              <w:t>Total Operating Revenues</w:t>
            </w:r>
          </w:p>
        </w:tc>
        <w:tc>
          <w:tcPr>
            <w:tcW w:w="4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98"/>
              </w:rPr>
              <w:t>1,734,900</w:t>
            </w:r>
          </w:p>
        </w:tc>
        <w:tc>
          <w:tcPr>
            <w:tcW w:w="36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1,754,268</w:t>
            </w:r>
          </w:p>
        </w:tc>
        <w:tc>
          <w:tcPr>
            <w:tcW w:w="3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1,680,266</w:t>
            </w:r>
          </w:p>
        </w:tc>
        <w:tc>
          <w:tcPr>
            <w:tcW w:w="3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1,538,916</w:t>
            </w:r>
          </w:p>
        </w:tc>
        <w:tc>
          <w:tcPr>
            <w:tcW w:w="3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1,261,322</w:t>
            </w:r>
          </w:p>
        </w:tc>
        <w:tc>
          <w:tcPr>
            <w:tcW w:w="360" w:type="dxa"/>
            <w:vAlign w:val="bottom"/>
            <w:tcBorders>
              <w:bottom w:val="single" w:sz="8" w:color="auto"/>
            </w:tcBorders>
          </w:tcPr>
          <w:p>
            <w:pPr>
              <w:spacing w:after="0"/>
              <w:rPr>
                <w:sz w:val="24"/>
                <w:szCs w:val="24"/>
                <w:color w:val="auto"/>
              </w:rPr>
            </w:pPr>
          </w:p>
        </w:tc>
      </w:tr>
      <w:tr>
        <w:trPr>
          <w:trHeight w:val="271"/>
        </w:trPr>
        <w:tc>
          <w:tcPr>
            <w:tcW w:w="1220" w:type="dxa"/>
            <w:vAlign w:val="bottom"/>
            <w:shd w:val="clear" w:color="auto" w:fill="CEFFE7"/>
          </w:tcPr>
          <w:p>
            <w:pPr>
              <w:spacing w:after="0"/>
              <w:rPr>
                <w:sz w:val="23"/>
                <w:szCs w:val="23"/>
                <w:color w:val="auto"/>
              </w:rPr>
            </w:pPr>
          </w:p>
        </w:tc>
        <w:tc>
          <w:tcPr>
            <w:tcW w:w="2220" w:type="dxa"/>
            <w:vAlign w:val="bottom"/>
            <w:shd w:val="clear" w:color="auto" w:fill="CEFFE7"/>
          </w:tcPr>
          <w:p>
            <w:pPr>
              <w:spacing w:after="0"/>
              <w:rPr>
                <w:sz w:val="23"/>
                <w:szCs w:val="23"/>
                <w:color w:val="auto"/>
              </w:rPr>
            </w:pPr>
          </w:p>
        </w:tc>
        <w:tc>
          <w:tcPr>
            <w:tcW w:w="440" w:type="dxa"/>
            <w:vAlign w:val="bottom"/>
            <w:shd w:val="clear" w:color="auto" w:fill="CEFFE7"/>
          </w:tcPr>
          <w:p>
            <w:pPr>
              <w:spacing w:after="0"/>
              <w:rPr>
                <w:sz w:val="23"/>
                <w:szCs w:val="23"/>
                <w:color w:val="auto"/>
              </w:rPr>
            </w:pPr>
          </w:p>
        </w:tc>
        <w:tc>
          <w:tcPr>
            <w:tcW w:w="8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b w:val="1"/>
                <w:bCs w:val="1"/>
                <w:color w:val="auto"/>
              </w:rPr>
              <w:t>Net Income Available for Common Stock</w:t>
            </w:r>
          </w:p>
        </w:tc>
        <w:tc>
          <w:tcPr>
            <w:tcW w:w="4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33"/>
        </w:trPr>
        <w:tc>
          <w:tcPr>
            <w:tcW w:w="3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20"/>
        </w:trPr>
        <w:tc>
          <w:tcPr>
            <w:tcW w:w="3440" w:type="dxa"/>
            <w:vAlign w:val="bottom"/>
            <w:gridSpan w:val="2"/>
            <w:shd w:val="clear" w:color="auto" w:fill="CEFFE7"/>
          </w:tcPr>
          <w:p>
            <w:pPr>
              <w:ind w:left="40"/>
              <w:spacing w:after="0"/>
              <w:rPr>
                <w:sz w:val="20"/>
                <w:szCs w:val="20"/>
                <w:color w:val="auto"/>
              </w:rPr>
            </w:pPr>
            <w:r>
              <w:rPr>
                <w:rFonts w:ascii="Arial" w:cs="Arial" w:eastAsia="Arial" w:hAnsi="Arial"/>
                <w:sz w:val="16"/>
                <w:szCs w:val="16"/>
                <w:color w:val="auto"/>
              </w:rPr>
              <w:t>Income from continuing operations available for</w:t>
            </w:r>
          </w:p>
        </w:tc>
        <w:tc>
          <w:tcPr>
            <w:tcW w:w="440" w:type="dxa"/>
            <w:vAlign w:val="bottom"/>
            <w:shd w:val="clear" w:color="auto" w:fill="CEFFE7"/>
          </w:tcPr>
          <w:p>
            <w:pPr>
              <w:spacing w:after="0"/>
              <w:rPr>
                <w:sz w:val="19"/>
                <w:szCs w:val="19"/>
                <w:color w:val="auto"/>
              </w:rPr>
            </w:pPr>
          </w:p>
        </w:tc>
        <w:tc>
          <w:tcPr>
            <w:tcW w:w="82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34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9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r>
      <w:tr>
        <w:trPr>
          <w:trHeight w:val="219"/>
        </w:trPr>
        <w:tc>
          <w:tcPr>
            <w:tcW w:w="12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stock</w:t>
            </w:r>
          </w:p>
        </w:tc>
        <w:tc>
          <w:tcPr>
            <w:tcW w:w="2220" w:type="dxa"/>
            <w:vAlign w:val="bottom"/>
            <w:tcBorders>
              <w:bottom w:val="single" w:sz="8" w:color="CEFFE7"/>
            </w:tcBorders>
            <w:shd w:val="clear" w:color="auto" w:fill="CEFFE7"/>
          </w:tcPr>
          <w:p>
            <w:pPr>
              <w:spacing w:after="0"/>
              <w:rPr>
                <w:sz w:val="19"/>
                <w:szCs w:val="19"/>
                <w:color w:val="auto"/>
              </w:rPr>
            </w:pPr>
          </w:p>
        </w:tc>
        <w:tc>
          <w:tcPr>
            <w:tcW w:w="440" w:type="dxa"/>
            <w:vAlign w:val="bottom"/>
            <w:tcBorders>
              <w:bottom w:val="single" w:sz="8" w:color="CEFFE7"/>
            </w:tcBorders>
            <w:shd w:val="clear" w:color="auto" w:fill="CEFFE7"/>
          </w:tcPr>
          <w:p>
            <w:pPr>
              <w:spacing w:after="0"/>
              <w:rPr>
                <w:sz w:val="19"/>
                <w:szCs w:val="19"/>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199,310</w:t>
            </w:r>
          </w:p>
        </w:tc>
        <w:tc>
          <w:tcPr>
            <w:tcW w:w="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(c) (g)</w:t>
            </w:r>
          </w:p>
        </w:tc>
        <w:tc>
          <w:tcPr>
            <w:tcW w:w="300" w:type="dxa"/>
            <w:vAlign w:val="bottom"/>
            <w:tcBorders>
              <w:bottom w:val="single" w:sz="8" w:color="CEFFE7"/>
            </w:tcBorders>
            <w:shd w:val="clear" w:color="auto" w:fill="CEFFE7"/>
          </w:tcPr>
          <w:p>
            <w:pPr>
              <w:spacing w:after="0"/>
              <w:rPr>
                <w:sz w:val="19"/>
                <w:szCs w:val="19"/>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265,329</w:t>
            </w:r>
          </w:p>
        </w:tc>
        <w:tc>
          <w:tcPr>
            <w:tcW w:w="3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(c)(f)</w:t>
            </w:r>
          </w:p>
        </w:tc>
        <w:tc>
          <w:tcPr>
            <w:tcW w:w="280" w:type="dxa"/>
            <w:vAlign w:val="bottom"/>
            <w:tcBorders>
              <w:bottom w:val="single" w:sz="8" w:color="CEFFE7"/>
            </w:tcBorders>
            <w:shd w:val="clear" w:color="auto" w:fill="CEFFE7"/>
          </w:tcPr>
          <w:p>
            <w:pPr>
              <w:spacing w:after="0"/>
              <w:rPr>
                <w:sz w:val="19"/>
                <w:szCs w:val="19"/>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194,133</w:t>
            </w:r>
          </w:p>
        </w:tc>
        <w:tc>
          <w:tcPr>
            <w:tcW w:w="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(c) (d)</w:t>
            </w:r>
          </w:p>
        </w:tc>
        <w:tc>
          <w:tcPr>
            <w:tcW w:w="240" w:type="dxa"/>
            <w:vAlign w:val="bottom"/>
            <w:tcBorders>
              <w:bottom w:val="single" w:sz="8" w:color="CEFFE7"/>
            </w:tcBorders>
            <w:shd w:val="clear" w:color="auto" w:fill="CEFFE7"/>
          </w:tcPr>
          <w:p>
            <w:pPr>
              <w:spacing w:after="0"/>
              <w:rPr>
                <w:sz w:val="19"/>
                <w:szCs w:val="19"/>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137,132</w:t>
            </w:r>
          </w:p>
        </w:tc>
        <w:tc>
          <w:tcPr>
            <w:tcW w:w="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(c) (d)</w:t>
            </w:r>
          </w:p>
        </w:tc>
        <w:tc>
          <w:tcPr>
            <w:tcW w:w="280" w:type="dxa"/>
            <w:vAlign w:val="bottom"/>
            <w:tcBorders>
              <w:bottom w:val="single" w:sz="8" w:color="CEFFE7"/>
            </w:tcBorders>
            <w:shd w:val="clear" w:color="auto" w:fill="CEFFE7"/>
          </w:tcPr>
          <w:p>
            <w:pPr>
              <w:spacing w:after="0"/>
              <w:rPr>
                <w:sz w:val="19"/>
                <w:szCs w:val="19"/>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141,548</w:t>
            </w:r>
          </w:p>
        </w:tc>
        <w:tc>
          <w:tcPr>
            <w:tcW w:w="3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1"/>
                <w:szCs w:val="11"/>
                <w:color w:val="auto"/>
              </w:rPr>
              <w:t>(d)</w:t>
            </w:r>
          </w:p>
        </w:tc>
      </w:tr>
      <w:tr>
        <w:trPr>
          <w:trHeight w:val="220"/>
        </w:trPr>
        <w:tc>
          <w:tcPr>
            <w:tcW w:w="3440" w:type="dxa"/>
            <w:vAlign w:val="bottom"/>
            <w:gridSpan w:val="2"/>
          </w:tcPr>
          <w:p>
            <w:pPr>
              <w:ind w:left="180"/>
              <w:spacing w:after="0"/>
              <w:rPr>
                <w:sz w:val="20"/>
                <w:szCs w:val="20"/>
                <w:color w:val="auto"/>
              </w:rPr>
            </w:pPr>
            <w:r>
              <w:rPr>
                <w:rFonts w:ascii="Arial" w:cs="Arial" w:eastAsia="Arial" w:hAnsi="Arial"/>
                <w:sz w:val="16"/>
                <w:szCs w:val="16"/>
                <w:color w:val="auto"/>
                <w:w w:val="96"/>
              </w:rPr>
              <w:t>Income (loss) from discontinued operations, net</w:t>
            </w:r>
          </w:p>
        </w:tc>
        <w:tc>
          <w:tcPr>
            <w:tcW w:w="4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r>
      <w:tr>
        <w:trPr>
          <w:trHeight w:val="239"/>
        </w:trPr>
        <w:tc>
          <w:tcPr>
            <w:tcW w:w="1220" w:type="dxa"/>
            <w:vAlign w:val="bottom"/>
            <w:tcBorders>
              <w:bottom w:val="single" w:sz="8" w:color="CEFFE7"/>
            </w:tcBorders>
          </w:tcPr>
          <w:p>
            <w:pPr>
              <w:ind w:left="180"/>
              <w:spacing w:after="0" w:line="239" w:lineRule="exact"/>
              <w:rPr>
                <w:sz w:val="20"/>
                <w:szCs w:val="20"/>
                <w:color w:val="auto"/>
              </w:rPr>
            </w:pPr>
            <w:r>
              <w:rPr>
                <w:rFonts w:ascii="Arial" w:cs="Arial" w:eastAsia="Arial" w:hAnsi="Arial"/>
                <w:sz w:val="16"/>
                <w:szCs w:val="16"/>
                <w:color w:val="auto"/>
              </w:rPr>
              <w:t xml:space="preserve">of tax </w:t>
            </w:r>
            <w:r>
              <w:rPr>
                <w:rFonts w:ascii="Arial" w:cs="Arial" w:eastAsia="Arial" w:hAnsi="Arial"/>
                <w:sz w:val="21"/>
                <w:szCs w:val="21"/>
                <w:color w:val="auto"/>
                <w:vertAlign w:val="superscript"/>
              </w:rPr>
              <w:t>(b)</w:t>
            </w:r>
          </w:p>
        </w:tc>
        <w:tc>
          <w:tcPr>
            <w:tcW w:w="2220" w:type="dxa"/>
            <w:vAlign w:val="bottom"/>
            <w:tcBorders>
              <w:bottom w:val="single" w:sz="8" w:color="CEFFE7"/>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(6,887)</w:t>
            </w:r>
          </w:p>
        </w:tc>
        <w:tc>
          <w:tcPr>
            <w:tcW w:w="3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(17,099)</w:t>
            </w:r>
          </w:p>
        </w:tc>
        <w:tc>
          <w:tcPr>
            <w:tcW w:w="36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(64,162)</w:t>
            </w:r>
          </w:p>
        </w:tc>
        <w:tc>
          <w:tcPr>
            <w:tcW w:w="3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(173,659)</w:t>
            </w:r>
          </w:p>
        </w:tc>
        <w:tc>
          <w:tcPr>
            <w:tcW w:w="360" w:type="dxa"/>
            <w:vAlign w:val="bottom"/>
            <w:tcBorders>
              <w:bottom w:val="single" w:sz="8" w:color="auto"/>
            </w:tcBorders>
          </w:tcPr>
          <w:p>
            <w:pPr>
              <w:spacing w:after="0"/>
              <w:rPr>
                <w:sz w:val="20"/>
                <w:szCs w:val="20"/>
                <w:color w:val="auto"/>
              </w:rPr>
            </w:pPr>
          </w:p>
        </w:tc>
      </w:tr>
      <w:tr>
        <w:trPr>
          <w:trHeight w:val="257"/>
        </w:trPr>
        <w:tc>
          <w:tcPr>
            <w:tcW w:w="3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Net income (loss) available for common stock</w:t>
            </w:r>
          </w:p>
        </w:tc>
        <w:tc>
          <w:tcPr>
            <w:tcW w:w="440" w:type="dxa"/>
            <w:vAlign w:val="bottom"/>
            <w:tcBorders>
              <w:bottom w:val="single" w:sz="8" w:color="auto"/>
            </w:tcBorders>
            <w:shd w:val="clear" w:color="auto" w:fill="CEFFE7"/>
          </w:tcPr>
          <w:p>
            <w:pPr>
              <w:jc w:val="right"/>
              <w:ind w:right="259"/>
              <w:spacing w:after="0"/>
              <w:rPr>
                <w:sz w:val="20"/>
                <w:szCs w:val="20"/>
                <w:color w:val="auto"/>
              </w:rPr>
            </w:pPr>
            <w:r>
              <w:rPr>
                <w:rFonts w:ascii="Arial" w:cs="Arial" w:eastAsia="Arial" w:hAnsi="Arial"/>
                <w:sz w:val="16"/>
                <w:szCs w:val="16"/>
                <w:color w:val="auto"/>
                <w:w w:val="89"/>
              </w:rPr>
              <w:t>$</w:t>
            </w:r>
          </w:p>
        </w:tc>
        <w:tc>
          <w:tcPr>
            <w:tcW w:w="8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199,310</w:t>
            </w:r>
          </w:p>
        </w:tc>
        <w:tc>
          <w:tcPr>
            <w:tcW w:w="360" w:type="dxa"/>
            <w:vAlign w:val="bottom"/>
            <w:tcBorders>
              <w:bottom w:val="single" w:sz="8" w:color="auto"/>
            </w:tcBorders>
            <w:shd w:val="clear" w:color="auto" w:fill="CEFFE7"/>
          </w:tcPr>
          <w:p>
            <w:pPr>
              <w:spacing w:after="0"/>
              <w:rPr>
                <w:sz w:val="22"/>
                <w:szCs w:val="22"/>
                <w:color w:val="auto"/>
              </w:rPr>
            </w:pPr>
          </w:p>
        </w:tc>
        <w:tc>
          <w:tcPr>
            <w:tcW w:w="30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258,442</w:t>
            </w:r>
          </w:p>
        </w:tc>
        <w:tc>
          <w:tcPr>
            <w:tcW w:w="34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7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177,034</w:t>
            </w:r>
          </w:p>
        </w:tc>
        <w:tc>
          <w:tcPr>
            <w:tcW w:w="360" w:type="dxa"/>
            <w:vAlign w:val="bottom"/>
            <w:tcBorders>
              <w:bottom w:val="single" w:sz="8" w:color="auto"/>
            </w:tcBorders>
            <w:shd w:val="clear" w:color="auto" w:fill="CEFFE7"/>
          </w:tcPr>
          <w:p>
            <w:pPr>
              <w:spacing w:after="0"/>
              <w:rPr>
                <w:sz w:val="22"/>
                <w:szCs w:val="22"/>
                <w:color w:val="auto"/>
              </w:rPr>
            </w:pPr>
          </w:p>
        </w:tc>
        <w:tc>
          <w:tcPr>
            <w:tcW w:w="2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72,970</w:t>
            </w:r>
          </w:p>
        </w:tc>
        <w:tc>
          <w:tcPr>
            <w:tcW w:w="360" w:type="dxa"/>
            <w:vAlign w:val="bottom"/>
            <w:tcBorders>
              <w:bottom w:val="single" w:sz="8" w:color="auto"/>
            </w:tcBorders>
            <w:shd w:val="clear" w:color="auto" w:fill="CEFFE7"/>
          </w:tcPr>
          <w:p>
            <w:pPr>
              <w:spacing w:after="0"/>
              <w:rPr>
                <w:sz w:val="22"/>
                <w:szCs w:val="22"/>
                <w:color w:val="auto"/>
              </w:rPr>
            </w:pPr>
          </w:p>
        </w:tc>
        <w:tc>
          <w:tcPr>
            <w:tcW w:w="280" w:type="dxa"/>
            <w:vAlign w:val="bottom"/>
            <w:tcBorders>
              <w:bottom w:val="single" w:sz="8" w:color="auto"/>
            </w:tcBorders>
            <w:shd w:val="clear" w:color="auto" w:fill="CEFFE7"/>
          </w:tcPr>
          <w:p>
            <w:pPr>
              <w:jc w:val="right"/>
              <w:ind w:right="99"/>
              <w:spacing w:after="0"/>
              <w:rPr>
                <w:sz w:val="20"/>
                <w:szCs w:val="20"/>
                <w:color w:val="auto"/>
              </w:rPr>
            </w:pPr>
            <w:r>
              <w:rPr>
                <w:rFonts w:ascii="Arial" w:cs="Arial" w:eastAsia="Arial" w:hAnsi="Arial"/>
                <w:sz w:val="16"/>
                <w:szCs w:val="16"/>
                <w:color w:val="auto"/>
                <w:w w:val="89"/>
              </w:rPr>
              <w:t>$</w:t>
            </w:r>
          </w:p>
        </w:tc>
        <w:tc>
          <w:tcPr>
            <w:tcW w:w="9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(32,111)</w:t>
            </w:r>
          </w:p>
        </w:tc>
        <w:tc>
          <w:tcPr>
            <w:tcW w:w="360" w:type="dxa"/>
            <w:vAlign w:val="bottom"/>
            <w:tcBorders>
              <w:bottom w:val="single" w:sz="8" w:color="auto"/>
            </w:tcBorders>
            <w:shd w:val="clear" w:color="auto" w:fill="CEFFE7"/>
          </w:tcPr>
          <w:p>
            <w:pPr>
              <w:spacing w:after="0"/>
              <w:rPr>
                <w:sz w:val="22"/>
                <w:szCs w:val="22"/>
                <w:color w:val="auto"/>
              </w:rPr>
            </w:pPr>
          </w:p>
        </w:tc>
      </w:tr>
      <w:tr>
        <w:trPr>
          <w:trHeight w:val="20"/>
        </w:trPr>
        <w:tc>
          <w:tcPr>
            <w:tcW w:w="3440" w:type="dxa"/>
            <w:vAlign w:val="bottom"/>
            <w:gridSpan w:val="2"/>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r>
        <w:trPr>
          <w:trHeight w:val="284"/>
        </w:trPr>
        <w:tc>
          <w:tcPr>
            <w:tcW w:w="122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70"/>
        </w:trPr>
        <w:tc>
          <w:tcPr>
            <w:tcW w:w="3440" w:type="dxa"/>
            <w:vAlign w:val="bottom"/>
            <w:gridSpan w:val="2"/>
            <w:shd w:val="clear" w:color="auto" w:fill="CEFFE7"/>
          </w:tcPr>
          <w:p>
            <w:pPr>
              <w:ind w:left="40"/>
              <w:spacing w:after="0"/>
              <w:rPr>
                <w:sz w:val="20"/>
                <w:szCs w:val="20"/>
                <w:color w:val="auto"/>
              </w:rPr>
            </w:pPr>
            <w:r>
              <w:rPr>
                <w:rFonts w:ascii="Arial" w:cs="Arial" w:eastAsia="Arial" w:hAnsi="Arial"/>
                <w:sz w:val="16"/>
                <w:szCs w:val="16"/>
                <w:b w:val="1"/>
                <w:bCs w:val="1"/>
                <w:color w:val="auto"/>
              </w:rPr>
              <w:t>Common Stock Data</w:t>
            </w:r>
            <w:r>
              <w:rPr>
                <w:rFonts w:ascii="Arial" w:cs="Arial" w:eastAsia="Arial" w:hAnsi="Arial"/>
                <w:sz w:val="21"/>
                <w:szCs w:val="21"/>
                <w:color w:val="auto"/>
                <w:vertAlign w:val="superscript"/>
              </w:rPr>
              <w:t>(e)</w:t>
            </w:r>
            <w:r>
              <w:rPr>
                <w:rFonts w:ascii="Arial" w:cs="Arial" w:eastAsia="Arial" w:hAnsi="Arial"/>
                <w:sz w:val="16"/>
                <w:szCs w:val="16"/>
                <w:b w:val="1"/>
                <w:bCs w:val="1"/>
                <w:color w:val="auto"/>
              </w:rPr>
              <w:t xml:space="preserve"> </w:t>
            </w:r>
            <w:r>
              <w:rPr>
                <w:rFonts w:ascii="Arial" w:cs="Arial" w:eastAsia="Arial" w:hAnsi="Arial"/>
                <w:sz w:val="16"/>
                <w:szCs w:val="16"/>
                <w:color w:val="auto"/>
              </w:rPr>
              <w:t>(in thousands)</w:t>
            </w:r>
          </w:p>
        </w:tc>
        <w:tc>
          <w:tcPr>
            <w:tcW w:w="440" w:type="dxa"/>
            <w:vAlign w:val="bottom"/>
            <w:shd w:val="clear" w:color="auto" w:fill="CEFFE7"/>
          </w:tcPr>
          <w:p>
            <w:pPr>
              <w:spacing w:after="0"/>
              <w:rPr>
                <w:sz w:val="23"/>
                <w:szCs w:val="23"/>
                <w:color w:val="auto"/>
              </w:rPr>
            </w:pPr>
          </w:p>
        </w:tc>
        <w:tc>
          <w:tcPr>
            <w:tcW w:w="82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30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6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28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Shares outstanding, average basic</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60,662</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54,420</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53,221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51,922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45,288</w:t>
            </w:r>
          </w:p>
        </w:tc>
        <w:tc>
          <w:tcPr>
            <w:tcW w:w="360" w:type="dxa"/>
            <w:vAlign w:val="bottom"/>
          </w:tcPr>
          <w:p>
            <w:pPr>
              <w:spacing w:after="0"/>
              <w:rPr>
                <w:sz w:val="20"/>
                <w:szCs w:val="20"/>
                <w:color w:val="auto"/>
              </w:rPr>
            </w:pPr>
          </w:p>
        </w:tc>
      </w:tr>
      <w:tr>
        <w:trPr>
          <w:trHeight w:val="33"/>
        </w:trPr>
        <w:tc>
          <w:tcPr>
            <w:tcW w:w="344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82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34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Shares outstanding, average diluted</w:t>
            </w:r>
          </w:p>
        </w:tc>
        <w:tc>
          <w:tcPr>
            <w:tcW w:w="4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60,798</w:t>
            </w:r>
          </w:p>
        </w:tc>
        <w:tc>
          <w:tcPr>
            <w:tcW w:w="36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55,486</w:t>
            </w:r>
          </w:p>
        </w:tc>
        <w:tc>
          <w:tcPr>
            <w:tcW w:w="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55,120</w:t>
            </w:r>
          </w:p>
        </w:tc>
        <w:tc>
          <w:tcPr>
            <w:tcW w:w="3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53,271</w:t>
            </w:r>
          </w:p>
        </w:tc>
        <w:tc>
          <w:tcPr>
            <w:tcW w:w="36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45,288</w:t>
            </w:r>
          </w:p>
        </w:tc>
        <w:tc>
          <w:tcPr>
            <w:tcW w:w="360" w:type="dxa"/>
            <w:vAlign w:val="bottom"/>
            <w:tcBorders>
              <w:bottom w:val="single" w:sz="8" w:color="CEFFE7"/>
            </w:tcBorders>
            <w:shd w:val="clear" w:color="auto" w:fill="CEFFE7"/>
          </w:tcPr>
          <w:p>
            <w:pPr>
              <w:spacing w:after="0"/>
              <w:rPr>
                <w:sz w:val="21"/>
                <w:szCs w:val="21"/>
                <w:color w:val="auto"/>
              </w:rPr>
            </w:pPr>
          </w:p>
        </w:tc>
      </w:tr>
      <w:tr>
        <w:trPr>
          <w:trHeight w:val="237"/>
        </w:trPr>
        <w:tc>
          <w:tcPr>
            <w:tcW w:w="3440" w:type="dxa"/>
            <w:vAlign w:val="bottom"/>
            <w:gridSpan w:val="2"/>
          </w:tcPr>
          <w:p>
            <w:pPr>
              <w:ind w:left="40"/>
              <w:spacing w:after="0"/>
              <w:rPr>
                <w:sz w:val="20"/>
                <w:szCs w:val="20"/>
                <w:color w:val="auto"/>
              </w:rPr>
            </w:pPr>
            <w:r>
              <w:rPr>
                <w:rFonts w:ascii="Arial" w:cs="Arial" w:eastAsia="Arial" w:hAnsi="Arial"/>
                <w:sz w:val="16"/>
                <w:szCs w:val="16"/>
                <w:color w:val="auto"/>
              </w:rPr>
              <w:t>Shares outstanding, end of year</w:t>
            </w:r>
          </w:p>
        </w:tc>
        <w:tc>
          <w:tcPr>
            <w:tcW w:w="440" w:type="dxa"/>
            <w:vAlign w:val="bottom"/>
          </w:tcPr>
          <w:p>
            <w:pPr>
              <w:spacing w:after="0"/>
              <w:rPr>
                <w:sz w:val="20"/>
                <w:szCs w:val="20"/>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61,477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60,004</w:t>
            </w: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53,541</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53,382</w:t>
            </w:r>
          </w:p>
        </w:tc>
        <w:tc>
          <w:tcPr>
            <w:tcW w:w="3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51,192</w:t>
            </w:r>
          </w:p>
        </w:tc>
        <w:tc>
          <w:tcPr>
            <w:tcW w:w="360" w:type="dxa"/>
            <w:vAlign w:val="bottom"/>
          </w:tcPr>
          <w:p>
            <w:pPr>
              <w:spacing w:after="0"/>
              <w:rPr>
                <w:sz w:val="20"/>
                <w:szCs w:val="20"/>
                <w:color w:val="auto"/>
              </w:rPr>
            </w:pPr>
          </w:p>
        </w:tc>
      </w:tr>
    </w:tbl>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SELECTED FINANCIAL DATA continued</w:t>
      </w:r>
    </w:p>
    <w:p>
      <w:pPr>
        <w:spacing w:after="0" w:line="200" w:lineRule="exact"/>
        <w:rPr>
          <w:sz w:val="20"/>
          <w:szCs w:val="20"/>
          <w:color w:val="auto"/>
        </w:rPr>
      </w:pPr>
    </w:p>
    <w:p>
      <w:pPr>
        <w:spacing w:after="0" w:line="209" w:lineRule="exact"/>
        <w:rPr>
          <w:sz w:val="20"/>
          <w:szCs w:val="20"/>
          <w:color w:val="auto"/>
        </w:rPr>
      </w:pPr>
    </w:p>
    <w:tbl>
      <w:tblPr>
        <w:tblLayout w:type="fixed"/>
        <w:tblInd w:w="40" w:type="dxa"/>
        <w:tblCellMar>
          <w:top w:w="0" w:type="dxa"/>
          <w:left w:w="0" w:type="dxa"/>
          <w:bottom w:w="0" w:type="dxa"/>
          <w:right w:w="0" w:type="dxa"/>
        </w:tblCellMar>
      </w:tblPr>
      <w:tr>
        <w:trPr>
          <w:trHeight w:val="206"/>
        </w:trPr>
        <w:tc>
          <w:tcPr>
            <w:tcW w:w="3400" w:type="dxa"/>
            <w:vAlign w:val="bottom"/>
          </w:tcPr>
          <w:p>
            <w:pPr>
              <w:spacing w:after="0"/>
              <w:rPr>
                <w:sz w:val="20"/>
                <w:szCs w:val="20"/>
                <w:color w:val="auto"/>
              </w:rPr>
            </w:pPr>
            <w:r>
              <w:rPr>
                <w:rFonts w:ascii="Arial" w:cs="Arial" w:eastAsia="Arial" w:hAnsi="Arial"/>
                <w:sz w:val="16"/>
                <w:szCs w:val="16"/>
                <w:color w:val="auto"/>
              </w:rPr>
              <w:t>Years Ended December 31,</w:t>
            </w:r>
          </w:p>
        </w:tc>
        <w:tc>
          <w:tcPr>
            <w:tcW w:w="1460" w:type="dxa"/>
            <w:vAlign w:val="bottom"/>
          </w:tcPr>
          <w:p>
            <w:pPr>
              <w:jc w:val="right"/>
              <w:ind w:right="579"/>
              <w:spacing w:after="0"/>
              <w:rPr>
                <w:sz w:val="20"/>
                <w:szCs w:val="20"/>
                <w:color w:val="auto"/>
              </w:rPr>
            </w:pPr>
            <w:r>
              <w:rPr>
                <w:rFonts w:ascii="Arial" w:cs="Arial" w:eastAsia="Arial" w:hAnsi="Arial"/>
                <w:sz w:val="16"/>
                <w:szCs w:val="16"/>
                <w:color w:val="auto"/>
              </w:rPr>
              <w:t>2019</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2018</w:t>
            </w:r>
          </w:p>
        </w:tc>
        <w:tc>
          <w:tcPr>
            <w:tcW w:w="1600" w:type="dxa"/>
            <w:vAlign w:val="bottom"/>
          </w:tcPr>
          <w:p>
            <w:pPr>
              <w:jc w:val="right"/>
              <w:ind w:right="559"/>
              <w:spacing w:after="0"/>
              <w:rPr>
                <w:sz w:val="20"/>
                <w:szCs w:val="20"/>
                <w:color w:val="auto"/>
              </w:rPr>
            </w:pPr>
            <w:r>
              <w:rPr>
                <w:rFonts w:ascii="Arial" w:cs="Arial" w:eastAsia="Arial" w:hAnsi="Arial"/>
                <w:sz w:val="16"/>
                <w:szCs w:val="16"/>
                <w:color w:val="auto"/>
              </w:rPr>
              <w:t>2017</w:t>
            </w:r>
          </w:p>
        </w:tc>
        <w:tc>
          <w:tcPr>
            <w:tcW w:w="1580" w:type="dxa"/>
            <w:vAlign w:val="bottom"/>
          </w:tcPr>
          <w:p>
            <w:pPr>
              <w:jc w:val="right"/>
              <w:ind w:right="559"/>
              <w:spacing w:after="0"/>
              <w:rPr>
                <w:sz w:val="20"/>
                <w:szCs w:val="20"/>
                <w:color w:val="auto"/>
              </w:rPr>
            </w:pPr>
            <w:r>
              <w:rPr>
                <w:rFonts w:ascii="Arial" w:cs="Arial" w:eastAsia="Arial" w:hAnsi="Arial"/>
                <w:sz w:val="16"/>
                <w:szCs w:val="16"/>
                <w:color w:val="auto"/>
              </w:rPr>
              <w:t>2016</w:t>
            </w:r>
          </w:p>
        </w:tc>
        <w:tc>
          <w:tcPr>
            <w:tcW w:w="1740" w:type="dxa"/>
            <w:vAlign w:val="bottom"/>
          </w:tcPr>
          <w:p>
            <w:pPr>
              <w:jc w:val="right"/>
              <w:ind w:right="719"/>
              <w:spacing w:after="0"/>
              <w:rPr>
                <w:sz w:val="20"/>
                <w:szCs w:val="20"/>
                <w:color w:val="auto"/>
              </w:rPr>
            </w:pPr>
            <w:r>
              <w:rPr>
                <w:rFonts w:ascii="Arial" w:cs="Arial" w:eastAsia="Arial" w:hAnsi="Arial"/>
                <w:sz w:val="16"/>
                <w:szCs w:val="16"/>
                <w:color w:val="auto"/>
              </w:rPr>
              <w:t>2015</w:t>
            </w:r>
          </w:p>
        </w:tc>
        <w:tc>
          <w:tcPr>
            <w:tcW w:w="0" w:type="dxa"/>
            <w:vAlign w:val="bottom"/>
          </w:tcPr>
          <w:p>
            <w:pPr>
              <w:spacing w:after="0"/>
              <w:rPr>
                <w:sz w:val="1"/>
                <w:szCs w:val="1"/>
                <w:color w:val="auto"/>
              </w:rPr>
            </w:pPr>
          </w:p>
        </w:tc>
      </w:tr>
      <w:tr>
        <w:trPr>
          <w:trHeight w:val="33"/>
        </w:trPr>
        <w:tc>
          <w:tcPr>
            <w:tcW w:w="3400" w:type="dxa"/>
            <w:vAlign w:val="bottom"/>
            <w:vMerge w:val="restart"/>
          </w:tcPr>
          <w:p>
            <w:pPr>
              <w:spacing w:after="0"/>
              <w:rPr>
                <w:sz w:val="20"/>
                <w:szCs w:val="20"/>
                <w:color w:val="auto"/>
              </w:rPr>
            </w:pPr>
            <w:r>
              <w:rPr>
                <w:rFonts w:ascii="Arial" w:cs="Arial" w:eastAsia="Arial" w:hAnsi="Arial"/>
                <w:sz w:val="16"/>
                <w:szCs w:val="16"/>
                <w:color w:val="auto"/>
                <w:w w:val="97"/>
              </w:rPr>
              <w:t>(dollars in thousands, except per share amounts)</w:t>
            </w:r>
          </w:p>
        </w:tc>
        <w:tc>
          <w:tcPr>
            <w:tcW w:w="14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3400" w:type="dxa"/>
            <w:vAlign w:val="bottom"/>
            <w:vMerge w:val="continue"/>
          </w:tcPr>
          <w:p>
            <w:pPr>
              <w:spacing w:after="0"/>
              <w:rPr>
                <w:sz w:val="20"/>
                <w:szCs w:val="20"/>
                <w:color w:val="auto"/>
              </w:rPr>
            </w:pPr>
          </w:p>
        </w:tc>
        <w:tc>
          <w:tcPr>
            <w:tcW w:w="146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132715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1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 xml:space="preserve">Earnings (Loss) Per Share of Common Stock </w:t>
      </w:r>
      <w:r>
        <w:rPr>
          <w:rFonts w:ascii="Arial" w:cs="Arial" w:eastAsia="Arial" w:hAnsi="Arial"/>
          <w:sz w:val="16"/>
          <w:szCs w:val="16"/>
          <w:color w:val="auto"/>
        </w:rPr>
        <w:t>(in dollars)</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Basic earnings (loss) per average share -</w:t>
      </w:r>
    </w:p>
    <w:p>
      <w:pPr>
        <w:spacing w:after="0" w:line="5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344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6"/>
                <w:szCs w:val="16"/>
                <w:color w:val="auto"/>
              </w:rPr>
              <w:t>Continuing operations</w:t>
            </w:r>
          </w:p>
        </w:tc>
        <w:tc>
          <w:tcPr>
            <w:tcW w:w="3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3.52</w:t>
            </w:r>
          </w:p>
        </w:tc>
        <w:tc>
          <w:tcPr>
            <w:tcW w:w="5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5.14</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3.92</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2.83</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3.12</w:t>
            </w:r>
          </w:p>
        </w:tc>
      </w:tr>
      <w:tr>
        <w:trPr>
          <w:trHeight w:val="270"/>
        </w:trPr>
        <w:tc>
          <w:tcPr>
            <w:tcW w:w="3440" w:type="dxa"/>
            <w:vAlign w:val="bottom"/>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360" w:type="dxa"/>
            <w:vAlign w:val="bottom"/>
          </w:tcPr>
          <w:p>
            <w:pPr>
              <w:spacing w:after="0"/>
              <w:rPr>
                <w:sz w:val="23"/>
                <w:szCs w:val="23"/>
                <w:color w:val="auto"/>
              </w:rPr>
            </w:pP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tcPr>
          <w:p>
            <w:pPr>
              <w:spacing w:after="0"/>
              <w:rPr>
                <w:sz w:val="23"/>
                <w:szCs w:val="23"/>
                <w:color w:val="auto"/>
              </w:rPr>
            </w:pPr>
          </w:p>
        </w:tc>
        <w:tc>
          <w:tcPr>
            <w:tcW w:w="1060" w:type="dxa"/>
            <w:vAlign w:val="bottom"/>
          </w:tcPr>
          <w:p>
            <w:pPr>
              <w:jc w:val="right"/>
              <w:ind w:right="139"/>
              <w:spacing w:after="0"/>
              <w:rPr>
                <w:sz w:val="20"/>
                <w:szCs w:val="20"/>
                <w:color w:val="auto"/>
              </w:rPr>
            </w:pPr>
            <w:r>
              <w:rPr>
                <w:rFonts w:ascii="Arial" w:cs="Arial" w:eastAsia="Arial" w:hAnsi="Arial"/>
                <w:sz w:val="16"/>
                <w:szCs w:val="16"/>
                <w:color w:val="auto"/>
              </w:rPr>
              <w:t>(0.13)</w:t>
            </w:r>
          </w:p>
        </w:tc>
        <w:tc>
          <w:tcPr>
            <w:tcW w:w="58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(0.32)</w:t>
            </w:r>
          </w:p>
        </w:tc>
        <w:tc>
          <w:tcPr>
            <w:tcW w:w="580" w:type="dxa"/>
            <w:vAlign w:val="bottom"/>
          </w:tcPr>
          <w:p>
            <w:pPr>
              <w:spacing w:after="0"/>
              <w:rPr>
                <w:sz w:val="23"/>
                <w:szCs w:val="23"/>
                <w:color w:val="auto"/>
              </w:rPr>
            </w:pPr>
          </w:p>
        </w:tc>
        <w:tc>
          <w:tcPr>
            <w:tcW w:w="1000" w:type="dxa"/>
            <w:vAlign w:val="bottom"/>
          </w:tcPr>
          <w:p>
            <w:pPr>
              <w:jc w:val="right"/>
              <w:ind w:right="139"/>
              <w:spacing w:after="0"/>
              <w:rPr>
                <w:sz w:val="20"/>
                <w:szCs w:val="20"/>
                <w:color w:val="auto"/>
              </w:rPr>
            </w:pPr>
            <w:r>
              <w:rPr>
                <w:rFonts w:ascii="Arial" w:cs="Arial" w:eastAsia="Arial" w:hAnsi="Arial"/>
                <w:sz w:val="16"/>
                <w:szCs w:val="16"/>
                <w:color w:val="auto"/>
              </w:rPr>
              <w:t>(1.23)</w:t>
            </w:r>
          </w:p>
        </w:tc>
        <w:tc>
          <w:tcPr>
            <w:tcW w:w="580" w:type="dxa"/>
            <w:vAlign w:val="bottom"/>
          </w:tcPr>
          <w:p>
            <w:pPr>
              <w:spacing w:after="0"/>
              <w:rPr>
                <w:sz w:val="23"/>
                <w:szCs w:val="23"/>
                <w:color w:val="auto"/>
              </w:rPr>
            </w:pPr>
          </w:p>
        </w:tc>
        <w:tc>
          <w:tcPr>
            <w:tcW w:w="1180" w:type="dxa"/>
            <w:vAlign w:val="bottom"/>
          </w:tcPr>
          <w:p>
            <w:pPr>
              <w:jc w:val="right"/>
              <w:ind w:right="319"/>
              <w:spacing w:after="0"/>
              <w:rPr>
                <w:sz w:val="20"/>
                <w:szCs w:val="20"/>
                <w:color w:val="auto"/>
              </w:rPr>
            </w:pPr>
            <w:r>
              <w:rPr>
                <w:rFonts w:ascii="Arial" w:cs="Arial" w:eastAsia="Arial" w:hAnsi="Arial"/>
                <w:sz w:val="16"/>
                <w:szCs w:val="16"/>
                <w:color w:val="auto"/>
              </w:rPr>
              <w:t>(3.83)</w:t>
            </w:r>
          </w:p>
        </w:tc>
      </w:tr>
      <w:tr>
        <w:trPr>
          <w:trHeight w:val="270"/>
        </w:trPr>
        <w:tc>
          <w:tcPr>
            <w:tcW w:w="34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(c)</w:t>
            </w:r>
          </w:p>
        </w:tc>
        <w:tc>
          <w:tcPr>
            <w:tcW w:w="360" w:type="dxa"/>
            <w:vAlign w:val="bottom"/>
            <w:tcBorders>
              <w:bottom w:val="single" w:sz="8" w:color="auto"/>
            </w:tcBorders>
            <w:shd w:val="clear" w:color="auto" w:fill="CEFFE7"/>
          </w:tcPr>
          <w:p>
            <w:pPr>
              <w:spacing w:after="0"/>
              <w:rPr>
                <w:sz w:val="23"/>
                <w:szCs w:val="23"/>
                <w:color w:val="auto"/>
              </w:rPr>
            </w:pPr>
          </w:p>
        </w:tc>
        <w:tc>
          <w:tcPr>
            <w:tcW w:w="108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(0.23)</w:t>
            </w:r>
          </w:p>
        </w:tc>
        <w:tc>
          <w:tcPr>
            <w:tcW w:w="560" w:type="dxa"/>
            <w:vAlign w:val="bottom"/>
            <w:tcBorders>
              <w:bottom w:val="single" w:sz="8" w:color="auto"/>
            </w:tcBorders>
            <w:shd w:val="clear" w:color="auto" w:fill="CEFFE7"/>
          </w:tcPr>
          <w:p>
            <w:pPr>
              <w:spacing w:after="0"/>
              <w:rPr>
                <w:sz w:val="23"/>
                <w:szCs w:val="23"/>
                <w:color w:val="auto"/>
              </w:rPr>
            </w:pPr>
          </w:p>
        </w:tc>
        <w:tc>
          <w:tcPr>
            <w:tcW w:w="106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(0.26)</w:t>
            </w:r>
          </w:p>
        </w:tc>
        <w:tc>
          <w:tcPr>
            <w:tcW w:w="58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(0.27)</w:t>
            </w:r>
          </w:p>
        </w:tc>
        <w:tc>
          <w:tcPr>
            <w:tcW w:w="580" w:type="dxa"/>
            <w:vAlign w:val="bottom"/>
            <w:tcBorders>
              <w:bottom w:val="single" w:sz="8" w:color="auto"/>
            </w:tcBorders>
            <w:shd w:val="clear" w:color="auto" w:fill="CEFFE7"/>
          </w:tcPr>
          <w:p>
            <w:pPr>
              <w:spacing w:after="0"/>
              <w:rPr>
                <w:sz w:val="23"/>
                <w:szCs w:val="23"/>
                <w:color w:val="auto"/>
              </w:rPr>
            </w:pPr>
          </w:p>
        </w:tc>
        <w:tc>
          <w:tcPr>
            <w:tcW w:w="1000" w:type="dxa"/>
            <w:vAlign w:val="bottom"/>
            <w:tcBorders>
              <w:bottom w:val="single" w:sz="8" w:color="auto"/>
            </w:tcBorders>
            <w:shd w:val="clear" w:color="auto" w:fill="CEFFE7"/>
          </w:tcPr>
          <w:p>
            <w:pPr>
              <w:jc w:val="right"/>
              <w:ind w:right="139"/>
              <w:spacing w:after="0"/>
              <w:rPr>
                <w:sz w:val="20"/>
                <w:szCs w:val="20"/>
                <w:color w:val="auto"/>
              </w:rPr>
            </w:pPr>
            <w:r>
              <w:rPr>
                <w:rFonts w:ascii="Arial" w:cs="Arial" w:eastAsia="Arial" w:hAnsi="Arial"/>
                <w:sz w:val="16"/>
                <w:szCs w:val="16"/>
                <w:color w:val="auto"/>
              </w:rPr>
              <w:t>(0.19)</w:t>
            </w:r>
          </w:p>
        </w:tc>
        <w:tc>
          <w:tcPr>
            <w:tcW w:w="580" w:type="dxa"/>
            <w:vAlign w:val="bottom"/>
            <w:tcBorders>
              <w:bottom w:val="single" w:sz="8" w:color="auto"/>
            </w:tcBorders>
            <w:shd w:val="clear" w:color="auto" w:fill="CEFFE7"/>
          </w:tcPr>
          <w:p>
            <w:pPr>
              <w:spacing w:after="0"/>
              <w:rPr>
                <w:sz w:val="23"/>
                <w:szCs w:val="23"/>
                <w:color w:val="auto"/>
              </w:rPr>
            </w:pPr>
          </w:p>
        </w:tc>
        <w:tc>
          <w:tcPr>
            <w:tcW w:w="1180" w:type="dxa"/>
            <w:vAlign w:val="bottom"/>
            <w:tcBorders>
              <w:bottom w:val="single" w:sz="8" w:color="auto"/>
            </w:tcBorders>
            <w:shd w:val="clear" w:color="auto" w:fill="CEFFE7"/>
          </w:tcPr>
          <w:p>
            <w:pPr>
              <w:jc w:val="right"/>
              <w:ind w:right="359"/>
              <w:spacing w:after="0"/>
              <w:rPr>
                <w:sz w:val="20"/>
                <w:szCs w:val="20"/>
                <w:color w:val="auto"/>
              </w:rPr>
            </w:pPr>
            <w:r>
              <w:rPr>
                <w:rFonts w:ascii="Arial" w:cs="Arial" w:eastAsia="Arial" w:hAnsi="Arial"/>
                <w:sz w:val="16"/>
                <w:szCs w:val="16"/>
                <w:color w:val="auto"/>
              </w:rPr>
              <w:t>—</w:t>
            </w:r>
          </w:p>
        </w:tc>
      </w:tr>
      <w:tr>
        <w:trPr>
          <w:trHeight w:val="297"/>
        </w:trPr>
        <w:tc>
          <w:tcPr>
            <w:tcW w:w="3440" w:type="dxa"/>
            <w:vAlign w:val="bottom"/>
            <w:tcBorders>
              <w:bottom w:val="single" w:sz="8" w:color="CEFFE7"/>
            </w:tcBorders>
          </w:tcPr>
          <w:p>
            <w:pPr>
              <w:ind w:left="8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3.29</w:t>
            </w:r>
          </w:p>
        </w:tc>
        <w:tc>
          <w:tcPr>
            <w:tcW w:w="5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4.75</w:t>
            </w: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3.33</w:t>
            </w: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1.41</w:t>
            </w:r>
          </w:p>
        </w:tc>
        <w:tc>
          <w:tcPr>
            <w:tcW w:w="58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(0.71)</w:t>
            </w:r>
          </w:p>
        </w:tc>
      </w:tr>
      <w:tr>
        <w:trPr>
          <w:trHeight w:val="237"/>
        </w:trPr>
        <w:tc>
          <w:tcPr>
            <w:tcW w:w="34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Diluted earnings (loss) per average share -</w:t>
            </w:r>
          </w:p>
        </w:tc>
        <w:tc>
          <w:tcPr>
            <w:tcW w:w="360" w:type="dxa"/>
            <w:vAlign w:val="bottom"/>
            <w:tcBorders>
              <w:bottom w:val="single" w:sz="8" w:color="CEFFE7"/>
            </w:tcBorders>
            <w:shd w:val="clear" w:color="auto" w:fill="CEFFE7"/>
          </w:tcPr>
          <w:p>
            <w:pPr>
              <w:spacing w:after="0"/>
              <w:rPr>
                <w:sz w:val="20"/>
                <w:szCs w:val="20"/>
                <w:color w:val="auto"/>
              </w:rPr>
            </w:pPr>
          </w:p>
        </w:tc>
        <w:tc>
          <w:tcPr>
            <w:tcW w:w="1080" w:type="dxa"/>
            <w:vAlign w:val="bottom"/>
            <w:tcBorders>
              <w:bottom w:val="single" w:sz="8" w:color="CEFFE7"/>
            </w:tcBorders>
            <w:shd w:val="clear" w:color="auto" w:fill="CEFFE7"/>
          </w:tcPr>
          <w:p>
            <w:pPr>
              <w:spacing w:after="0"/>
              <w:rPr>
                <w:sz w:val="20"/>
                <w:szCs w:val="20"/>
                <w:color w:val="auto"/>
              </w:rPr>
            </w:pPr>
          </w:p>
        </w:tc>
        <w:tc>
          <w:tcPr>
            <w:tcW w:w="560" w:type="dxa"/>
            <w:vAlign w:val="bottom"/>
            <w:tcBorders>
              <w:bottom w:val="single" w:sz="8" w:color="CEFFE7"/>
            </w:tcBorders>
            <w:shd w:val="clear" w:color="auto" w:fill="CEFFE7"/>
          </w:tcPr>
          <w:p>
            <w:pPr>
              <w:spacing w:after="0"/>
              <w:rPr>
                <w:sz w:val="20"/>
                <w:szCs w:val="20"/>
                <w:color w:val="auto"/>
              </w:rPr>
            </w:pPr>
          </w:p>
        </w:tc>
        <w:tc>
          <w:tcPr>
            <w:tcW w:w="1060" w:type="dxa"/>
            <w:vAlign w:val="bottom"/>
            <w:tcBorders>
              <w:bottom w:val="single" w:sz="8" w:color="CEFFE7"/>
            </w:tcBorders>
            <w:shd w:val="clear" w:color="auto" w:fill="CEFFE7"/>
          </w:tcPr>
          <w:p>
            <w:pPr>
              <w:spacing w:after="0"/>
              <w:rPr>
                <w:sz w:val="20"/>
                <w:szCs w:val="20"/>
                <w:color w:val="auto"/>
              </w:rPr>
            </w:pPr>
          </w:p>
        </w:tc>
        <w:tc>
          <w:tcPr>
            <w:tcW w:w="58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580" w:type="dxa"/>
            <w:vAlign w:val="bottom"/>
            <w:tcBorders>
              <w:bottom w:val="single" w:sz="8" w:color="CEFFE7"/>
            </w:tcBorders>
            <w:shd w:val="clear" w:color="auto" w:fill="CEFFE7"/>
          </w:tcPr>
          <w:p>
            <w:pPr>
              <w:spacing w:after="0"/>
              <w:rPr>
                <w:sz w:val="20"/>
                <w:szCs w:val="20"/>
                <w:color w:val="auto"/>
              </w:rPr>
            </w:pPr>
          </w:p>
        </w:tc>
        <w:tc>
          <w:tcPr>
            <w:tcW w:w="1000" w:type="dxa"/>
            <w:vAlign w:val="bottom"/>
            <w:tcBorders>
              <w:bottom w:val="single" w:sz="8" w:color="CEFFE7"/>
            </w:tcBorders>
            <w:shd w:val="clear" w:color="auto" w:fill="CEFFE7"/>
          </w:tcPr>
          <w:p>
            <w:pPr>
              <w:spacing w:after="0"/>
              <w:rPr>
                <w:sz w:val="20"/>
                <w:szCs w:val="20"/>
                <w:color w:val="auto"/>
              </w:rPr>
            </w:pPr>
          </w:p>
        </w:tc>
        <w:tc>
          <w:tcPr>
            <w:tcW w:w="580" w:type="dxa"/>
            <w:vAlign w:val="bottom"/>
            <w:tcBorders>
              <w:bottom w:val="single" w:sz="8" w:color="CEFFE7"/>
            </w:tcBorders>
            <w:shd w:val="clear" w:color="auto" w:fill="CEFFE7"/>
          </w:tcPr>
          <w:p>
            <w:pPr>
              <w:spacing w:after="0"/>
              <w:rPr>
                <w:sz w:val="20"/>
                <w:szCs w:val="20"/>
                <w:color w:val="auto"/>
              </w:rPr>
            </w:pPr>
          </w:p>
        </w:tc>
        <w:tc>
          <w:tcPr>
            <w:tcW w:w="1180" w:type="dxa"/>
            <w:vAlign w:val="bottom"/>
            <w:tcBorders>
              <w:bottom w:val="single" w:sz="8" w:color="CEFFE7"/>
            </w:tcBorders>
            <w:shd w:val="clear" w:color="auto" w:fill="CEFFE7"/>
          </w:tcPr>
          <w:p>
            <w:pPr>
              <w:spacing w:after="0"/>
              <w:rPr>
                <w:sz w:val="20"/>
                <w:szCs w:val="20"/>
                <w:color w:val="auto"/>
              </w:rPr>
            </w:pPr>
          </w:p>
        </w:tc>
      </w:tr>
      <w:tr>
        <w:trPr>
          <w:trHeight w:val="237"/>
        </w:trPr>
        <w:tc>
          <w:tcPr>
            <w:tcW w:w="3440" w:type="dxa"/>
            <w:vAlign w:val="bottom"/>
          </w:tcPr>
          <w:p>
            <w:pPr>
              <w:ind w:left="380"/>
              <w:spacing w:after="0"/>
              <w:rPr>
                <w:sz w:val="20"/>
                <w:szCs w:val="20"/>
                <w:color w:val="auto"/>
              </w:rPr>
            </w:pPr>
            <w:r>
              <w:rPr>
                <w:rFonts w:ascii="Arial" w:cs="Arial" w:eastAsia="Arial" w:hAnsi="Arial"/>
                <w:sz w:val="16"/>
                <w:szCs w:val="16"/>
                <w:color w:val="auto"/>
              </w:rPr>
              <w:t>Continuing operations</w:t>
            </w:r>
          </w:p>
        </w:tc>
        <w:tc>
          <w:tcPr>
            <w:tcW w:w="360" w:type="dxa"/>
            <w:vAlign w:val="bottom"/>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Pr>
          <w:p>
            <w:pPr>
              <w:jc w:val="right"/>
              <w:ind w:right="199"/>
              <w:spacing w:after="0"/>
              <w:rPr>
                <w:sz w:val="20"/>
                <w:szCs w:val="20"/>
                <w:color w:val="auto"/>
              </w:rPr>
            </w:pPr>
            <w:r>
              <w:rPr>
                <w:rFonts w:ascii="Arial" w:cs="Arial" w:eastAsia="Arial" w:hAnsi="Arial"/>
                <w:sz w:val="16"/>
                <w:szCs w:val="16"/>
                <w:color w:val="auto"/>
              </w:rPr>
              <w:t>3.51</w:t>
            </w:r>
          </w:p>
        </w:tc>
        <w:tc>
          <w:tcPr>
            <w:tcW w:w="5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179"/>
              <w:spacing w:after="0"/>
              <w:rPr>
                <w:sz w:val="20"/>
                <w:szCs w:val="20"/>
                <w:color w:val="auto"/>
              </w:rPr>
            </w:pPr>
            <w:r>
              <w:rPr>
                <w:rFonts w:ascii="Arial" w:cs="Arial" w:eastAsia="Arial" w:hAnsi="Arial"/>
                <w:sz w:val="16"/>
                <w:szCs w:val="16"/>
                <w:color w:val="auto"/>
              </w:rPr>
              <w:t>5.04</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3.78</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Pr>
          <w:p>
            <w:pPr>
              <w:jc w:val="right"/>
              <w:ind w:right="179"/>
              <w:spacing w:after="0"/>
              <w:rPr>
                <w:sz w:val="20"/>
                <w:szCs w:val="20"/>
                <w:color w:val="auto"/>
              </w:rPr>
            </w:pPr>
            <w:r>
              <w:rPr>
                <w:rFonts w:ascii="Arial" w:cs="Arial" w:eastAsia="Arial" w:hAnsi="Arial"/>
                <w:sz w:val="16"/>
                <w:szCs w:val="16"/>
                <w:color w:val="auto"/>
              </w:rPr>
              <w:t>2.75</w:t>
            </w:r>
          </w:p>
        </w:tc>
        <w:tc>
          <w:tcPr>
            <w:tcW w:w="580" w:type="dxa"/>
            <w:vAlign w:val="bottom"/>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Pr>
          <w:p>
            <w:pPr>
              <w:jc w:val="right"/>
              <w:ind w:right="359"/>
              <w:spacing w:after="0"/>
              <w:rPr>
                <w:sz w:val="20"/>
                <w:szCs w:val="20"/>
                <w:color w:val="auto"/>
              </w:rPr>
            </w:pPr>
            <w:r>
              <w:rPr>
                <w:rFonts w:ascii="Arial" w:cs="Arial" w:eastAsia="Arial" w:hAnsi="Arial"/>
                <w:sz w:val="16"/>
                <w:szCs w:val="16"/>
                <w:color w:val="auto"/>
              </w:rPr>
              <w:t>3.12</w:t>
            </w:r>
          </w:p>
        </w:tc>
      </w:tr>
      <w:tr>
        <w:trPr>
          <w:trHeight w:val="33"/>
        </w:trPr>
        <w:tc>
          <w:tcPr>
            <w:tcW w:w="3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3440" w:type="dxa"/>
            <w:vAlign w:val="bottom"/>
            <w:shd w:val="clear" w:color="auto" w:fill="CEFFE7"/>
          </w:tcPr>
          <w:p>
            <w:pPr>
              <w:ind w:left="380"/>
              <w:spacing w:after="0"/>
              <w:rPr>
                <w:sz w:val="20"/>
                <w:szCs w:val="20"/>
                <w:color w:val="auto"/>
              </w:rPr>
            </w:pPr>
            <w:r>
              <w:rPr>
                <w:rFonts w:ascii="Arial" w:cs="Arial" w:eastAsia="Arial" w:hAnsi="Arial"/>
                <w:sz w:val="16"/>
                <w:szCs w:val="16"/>
                <w:color w:val="auto"/>
              </w:rPr>
              <w:t xml:space="preserve">Discontinued operations </w:t>
            </w:r>
            <w:r>
              <w:rPr>
                <w:rFonts w:ascii="Arial" w:cs="Arial" w:eastAsia="Arial" w:hAnsi="Arial"/>
                <w:sz w:val="21"/>
                <w:szCs w:val="21"/>
                <w:color w:val="auto"/>
                <w:vertAlign w:val="superscript"/>
              </w:rPr>
              <w:t>(b)</w:t>
            </w:r>
          </w:p>
        </w:tc>
        <w:tc>
          <w:tcPr>
            <w:tcW w:w="360" w:type="dxa"/>
            <w:vAlign w:val="bottom"/>
            <w:shd w:val="clear" w:color="auto" w:fill="CEFFE7"/>
          </w:tcPr>
          <w:p>
            <w:pPr>
              <w:spacing w:after="0"/>
              <w:rPr>
                <w:sz w:val="23"/>
                <w:szCs w:val="23"/>
                <w:color w:val="auto"/>
              </w:rPr>
            </w:pPr>
          </w:p>
        </w:tc>
        <w:tc>
          <w:tcPr>
            <w:tcW w:w="1080" w:type="dxa"/>
            <w:vAlign w:val="bottom"/>
            <w:shd w:val="clear" w:color="auto" w:fill="CEFFE7"/>
          </w:tcPr>
          <w:p>
            <w:pPr>
              <w:jc w:val="right"/>
              <w:ind w:right="199"/>
              <w:spacing w:after="0"/>
              <w:rPr>
                <w:sz w:val="20"/>
                <w:szCs w:val="20"/>
                <w:color w:val="auto"/>
              </w:rPr>
            </w:pPr>
            <w:r>
              <w:rPr>
                <w:rFonts w:ascii="Arial" w:cs="Arial" w:eastAsia="Arial" w:hAnsi="Arial"/>
                <w:sz w:val="16"/>
                <w:szCs w:val="16"/>
                <w:color w:val="auto"/>
              </w:rPr>
              <w:t>—</w:t>
            </w:r>
          </w:p>
        </w:tc>
        <w:tc>
          <w:tcPr>
            <w:tcW w:w="560" w:type="dxa"/>
            <w:vAlign w:val="bottom"/>
            <w:shd w:val="clear" w:color="auto" w:fill="CEFFE7"/>
          </w:tcPr>
          <w:p>
            <w:pPr>
              <w:spacing w:after="0"/>
              <w:rPr>
                <w:sz w:val="23"/>
                <w:szCs w:val="23"/>
                <w:color w:val="auto"/>
              </w:rPr>
            </w:pPr>
          </w:p>
        </w:tc>
        <w:tc>
          <w:tcPr>
            <w:tcW w:w="106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(0.12)</w:t>
            </w:r>
          </w:p>
        </w:tc>
        <w:tc>
          <w:tcPr>
            <w:tcW w:w="5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(0.31)</w:t>
            </w:r>
          </w:p>
        </w:tc>
        <w:tc>
          <w:tcPr>
            <w:tcW w:w="58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(1.20)</w:t>
            </w:r>
          </w:p>
        </w:tc>
        <w:tc>
          <w:tcPr>
            <w:tcW w:w="58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319"/>
              <w:spacing w:after="0"/>
              <w:rPr>
                <w:sz w:val="20"/>
                <w:szCs w:val="20"/>
                <w:color w:val="auto"/>
              </w:rPr>
            </w:pPr>
            <w:r>
              <w:rPr>
                <w:rFonts w:ascii="Arial" w:cs="Arial" w:eastAsia="Arial" w:hAnsi="Arial"/>
                <w:sz w:val="16"/>
                <w:szCs w:val="16"/>
                <w:color w:val="auto"/>
              </w:rPr>
              <w:t>(3.83)</w:t>
            </w:r>
          </w:p>
        </w:tc>
      </w:tr>
      <w:tr>
        <w:trPr>
          <w:trHeight w:val="270"/>
        </w:trPr>
        <w:tc>
          <w:tcPr>
            <w:tcW w:w="3440" w:type="dxa"/>
            <w:vAlign w:val="bottom"/>
            <w:tcBorders>
              <w:bottom w:val="single" w:sz="8" w:color="CEFFE7"/>
            </w:tcBorders>
          </w:tcPr>
          <w:p>
            <w:pPr>
              <w:ind w:left="380"/>
              <w:spacing w:after="0"/>
              <w:rPr>
                <w:sz w:val="20"/>
                <w:szCs w:val="20"/>
                <w:color w:val="auto"/>
              </w:rPr>
            </w:pPr>
            <w:r>
              <w:rPr>
                <w:rFonts w:ascii="Arial" w:cs="Arial" w:eastAsia="Arial" w:hAnsi="Arial"/>
                <w:sz w:val="16"/>
                <w:szCs w:val="16"/>
                <w:color w:val="auto"/>
              </w:rPr>
              <w:t xml:space="preserve">Non-controlling interest </w:t>
            </w:r>
            <w:r>
              <w:rPr>
                <w:rFonts w:ascii="Arial" w:cs="Arial" w:eastAsia="Arial" w:hAnsi="Arial"/>
                <w:sz w:val="21"/>
                <w:szCs w:val="21"/>
                <w:color w:val="auto"/>
                <w:vertAlign w:val="superscript"/>
              </w:rPr>
              <w:t>(c)</w:t>
            </w:r>
          </w:p>
        </w:tc>
        <w:tc>
          <w:tcPr>
            <w:tcW w:w="36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(0.23)</w:t>
            </w:r>
          </w:p>
        </w:tc>
        <w:tc>
          <w:tcPr>
            <w:tcW w:w="560" w:type="dxa"/>
            <w:vAlign w:val="bottom"/>
            <w:tcBorders>
              <w:bottom w:val="single" w:sz="8" w:color="auto"/>
            </w:tcBorders>
          </w:tcPr>
          <w:p>
            <w:pPr>
              <w:spacing w:after="0"/>
              <w:rPr>
                <w:sz w:val="23"/>
                <w:szCs w:val="23"/>
                <w:color w:val="auto"/>
              </w:rPr>
            </w:pPr>
          </w:p>
        </w:tc>
        <w:tc>
          <w:tcPr>
            <w:tcW w:w="10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(0.26)</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(0.26)</w:t>
            </w:r>
          </w:p>
        </w:tc>
        <w:tc>
          <w:tcPr>
            <w:tcW w:w="58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(0.18)</w:t>
            </w:r>
          </w:p>
        </w:tc>
        <w:tc>
          <w:tcPr>
            <w:tcW w:w="58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w:t>
            </w:r>
          </w:p>
        </w:tc>
      </w:tr>
      <w:tr>
        <w:trPr>
          <w:trHeight w:val="257"/>
        </w:trPr>
        <w:tc>
          <w:tcPr>
            <w:tcW w:w="3440" w:type="dxa"/>
            <w:vAlign w:val="bottom"/>
            <w:tcBorders>
              <w:bottom w:val="single" w:sz="8" w:color="CEFFE7"/>
            </w:tcBorders>
            <w:shd w:val="clear" w:color="auto" w:fill="CEFFE7"/>
          </w:tcPr>
          <w:p>
            <w:pPr>
              <w:ind w:left="820"/>
              <w:spacing w:after="0"/>
              <w:rPr>
                <w:sz w:val="20"/>
                <w:szCs w:val="20"/>
                <w:color w:val="auto"/>
              </w:rPr>
            </w:pPr>
            <w:r>
              <w:rPr>
                <w:rFonts w:ascii="Arial" w:cs="Arial" w:eastAsia="Arial" w:hAnsi="Arial"/>
                <w:sz w:val="16"/>
                <w:szCs w:val="16"/>
                <w:color w:val="auto"/>
              </w:rPr>
              <w:t>Total</w:t>
            </w:r>
          </w:p>
        </w:tc>
        <w:tc>
          <w:tcPr>
            <w:tcW w:w="36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auto"/>
            </w:tcBorders>
            <w:shd w:val="clear" w:color="auto" w:fill="CEFFE7"/>
          </w:tcPr>
          <w:p>
            <w:pPr>
              <w:jc w:val="right"/>
              <w:ind w:right="199"/>
              <w:spacing w:after="0"/>
              <w:rPr>
                <w:sz w:val="20"/>
                <w:szCs w:val="20"/>
                <w:color w:val="auto"/>
              </w:rPr>
            </w:pPr>
            <w:r>
              <w:rPr>
                <w:rFonts w:ascii="Arial" w:cs="Arial" w:eastAsia="Arial" w:hAnsi="Arial"/>
                <w:sz w:val="16"/>
                <w:szCs w:val="16"/>
                <w:color w:val="auto"/>
              </w:rPr>
              <w:t>3.28</w:t>
            </w:r>
          </w:p>
        </w:tc>
        <w:tc>
          <w:tcPr>
            <w:tcW w:w="56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4.66</w:t>
            </w:r>
          </w:p>
        </w:tc>
        <w:tc>
          <w:tcPr>
            <w:tcW w:w="58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3.21</w:t>
            </w:r>
          </w:p>
        </w:tc>
        <w:tc>
          <w:tcPr>
            <w:tcW w:w="58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179"/>
              <w:spacing w:after="0"/>
              <w:rPr>
                <w:sz w:val="20"/>
                <w:szCs w:val="20"/>
                <w:color w:val="auto"/>
              </w:rPr>
            </w:pPr>
            <w:r>
              <w:rPr>
                <w:rFonts w:ascii="Arial" w:cs="Arial" w:eastAsia="Arial" w:hAnsi="Arial"/>
                <w:sz w:val="16"/>
                <w:szCs w:val="16"/>
                <w:color w:val="auto"/>
              </w:rPr>
              <w:t>1.37</w:t>
            </w:r>
          </w:p>
        </w:tc>
        <w:tc>
          <w:tcPr>
            <w:tcW w:w="580" w:type="dxa"/>
            <w:vAlign w:val="bottom"/>
            <w:tcBorders>
              <w:bottom w:val="single" w:sz="8" w:color="auto"/>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EFFE7"/>
          </w:tcPr>
          <w:p>
            <w:pPr>
              <w:jc w:val="right"/>
              <w:ind w:right="319"/>
              <w:spacing w:after="0"/>
              <w:rPr>
                <w:sz w:val="20"/>
                <w:szCs w:val="20"/>
                <w:color w:val="auto"/>
              </w:rPr>
            </w:pPr>
            <w:r>
              <w:rPr>
                <w:rFonts w:ascii="Arial" w:cs="Arial" w:eastAsia="Arial" w:hAnsi="Arial"/>
                <w:sz w:val="16"/>
                <w:szCs w:val="16"/>
                <w:color w:val="auto"/>
              </w:rPr>
              <w:t>(0.71)</w:t>
            </w:r>
          </w:p>
        </w:tc>
      </w:tr>
      <w:tr>
        <w:trPr>
          <w:trHeight w:val="20"/>
        </w:trPr>
        <w:tc>
          <w:tcPr>
            <w:tcW w:w="3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71"/>
        </w:trPr>
        <w:tc>
          <w:tcPr>
            <w:tcW w:w="3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50"/>
        </w:trPr>
        <w:tc>
          <w:tcPr>
            <w:tcW w:w="3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b w:val="1"/>
                <w:bCs w:val="1"/>
                <w:color w:val="auto"/>
              </w:rPr>
              <w:t>Cash Dividends Paid on Common Stock</w:t>
            </w:r>
          </w:p>
        </w:tc>
        <w:tc>
          <w:tcPr>
            <w:tcW w:w="3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124,647</w:t>
            </w:r>
          </w:p>
        </w:tc>
        <w:tc>
          <w:tcPr>
            <w:tcW w:w="5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106,591</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96,744</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87,570</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72,604</w:t>
            </w:r>
          </w:p>
        </w:tc>
      </w:tr>
      <w:tr>
        <w:trPr>
          <w:trHeight w:val="284"/>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b w:val="1"/>
                <w:bCs w:val="1"/>
                <w:color w:val="auto"/>
              </w:rPr>
              <w:t>Dividends Declared per Share</w:t>
            </w:r>
          </w:p>
        </w:tc>
        <w:tc>
          <w:tcPr>
            <w:tcW w:w="3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2.05</w:t>
            </w:r>
          </w:p>
        </w:tc>
        <w:tc>
          <w:tcPr>
            <w:tcW w:w="5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1.93</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1.81</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1.68</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1.62</w:t>
            </w:r>
          </w:p>
        </w:tc>
      </w:tr>
      <w:tr>
        <w:trPr>
          <w:trHeight w:val="284"/>
        </w:trPr>
        <w:tc>
          <w:tcPr>
            <w:tcW w:w="3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50"/>
        </w:trPr>
        <w:tc>
          <w:tcPr>
            <w:tcW w:w="3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b w:val="1"/>
                <w:bCs w:val="1"/>
                <w:color w:val="auto"/>
              </w:rPr>
              <w:t>Book Value Per Share, End of Year</w:t>
            </w:r>
          </w:p>
        </w:tc>
        <w:tc>
          <w:tcPr>
            <w:tcW w:w="3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w w:val="89"/>
              </w:rPr>
              <w:t>$</w:t>
            </w:r>
          </w:p>
        </w:tc>
        <w:tc>
          <w:tcPr>
            <w:tcW w:w="1080" w:type="dxa"/>
            <w:vAlign w:val="bottom"/>
            <w:tcBorders>
              <w:bottom w:val="single" w:sz="8" w:color="CEFFE7"/>
            </w:tcBorders>
            <w:shd w:val="clear" w:color="auto" w:fill="CEFFE7"/>
          </w:tcPr>
          <w:p>
            <w:pPr>
              <w:jc w:val="right"/>
              <w:ind w:right="199"/>
              <w:spacing w:after="0"/>
              <w:rPr>
                <w:sz w:val="20"/>
                <w:szCs w:val="20"/>
                <w:color w:val="auto"/>
              </w:rPr>
            </w:pPr>
            <w:r>
              <w:rPr>
                <w:rFonts w:ascii="Arial" w:cs="Arial" w:eastAsia="Arial" w:hAnsi="Arial"/>
                <w:sz w:val="16"/>
                <w:szCs w:val="16"/>
                <w:color w:val="auto"/>
              </w:rPr>
              <w:t>38.42</w:t>
            </w:r>
          </w:p>
        </w:tc>
        <w:tc>
          <w:tcPr>
            <w:tcW w:w="5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36.36</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31.92</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179"/>
              <w:spacing w:after="0"/>
              <w:rPr>
                <w:sz w:val="20"/>
                <w:szCs w:val="20"/>
                <w:color w:val="auto"/>
              </w:rPr>
            </w:pPr>
            <w:r>
              <w:rPr>
                <w:rFonts w:ascii="Arial" w:cs="Arial" w:eastAsia="Arial" w:hAnsi="Arial"/>
                <w:sz w:val="16"/>
                <w:szCs w:val="16"/>
                <w:color w:val="auto"/>
              </w:rPr>
              <w:t>30.25</w:t>
            </w:r>
          </w:p>
        </w:tc>
        <w:tc>
          <w:tcPr>
            <w:tcW w:w="580" w:type="dxa"/>
            <w:vAlign w:val="bottom"/>
            <w:tcBorders>
              <w:bottom w:val="single" w:sz="8" w:color="CEFFE7"/>
            </w:tcBorders>
            <w:shd w:val="clear" w:color="auto" w:fill="CEFFE7"/>
          </w:tcPr>
          <w:p>
            <w:pPr>
              <w:jc w:val="right"/>
              <w:ind w:right="21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CEFFE7"/>
            </w:tcBorders>
            <w:shd w:val="clear" w:color="auto" w:fill="CEFFE7"/>
          </w:tcPr>
          <w:p>
            <w:pPr>
              <w:jc w:val="right"/>
              <w:ind w:right="359"/>
              <w:spacing w:after="0"/>
              <w:rPr>
                <w:sz w:val="20"/>
                <w:szCs w:val="20"/>
                <w:color w:val="auto"/>
              </w:rPr>
            </w:pPr>
            <w:r>
              <w:rPr>
                <w:rFonts w:ascii="Arial" w:cs="Arial" w:eastAsia="Arial" w:hAnsi="Arial"/>
                <w:sz w:val="16"/>
                <w:szCs w:val="16"/>
                <w:color w:val="auto"/>
              </w:rPr>
              <w:t>28.63</w:t>
            </w:r>
          </w:p>
        </w:tc>
      </w:tr>
      <w:tr>
        <w:trPr>
          <w:trHeight w:val="412"/>
        </w:trPr>
        <w:tc>
          <w:tcPr>
            <w:tcW w:w="3440" w:type="dxa"/>
            <w:vAlign w:val="bottom"/>
          </w:tcPr>
          <w:p>
            <w:pPr>
              <w:spacing w:after="0"/>
              <w:rPr>
                <w:sz w:val="20"/>
                <w:szCs w:val="20"/>
                <w:color w:val="auto"/>
              </w:rPr>
            </w:pPr>
            <w:r>
              <w:rPr>
                <w:rFonts w:ascii="Arial" w:cs="Arial" w:eastAsia="Arial" w:hAnsi="Arial"/>
                <w:sz w:val="14"/>
                <w:szCs w:val="14"/>
                <w:color w:val="auto"/>
              </w:rPr>
              <w:t>____________________________________</w:t>
            </w:r>
          </w:p>
        </w:tc>
        <w:tc>
          <w:tcPr>
            <w:tcW w:w="3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ind w:left="500" w:right="22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Effective February 12, 2016, we completed the SourceGas Transaction. Total cash consideration paid, net of debt assumed and working capital adjustment received, was $1.124 billion, funded with a combination of the issuance of 6.3 million shares of our common stock on November 23, 2015, 5.98 million equity units issued on November 23, 2015, $546 million of net proceeds from the issuance of senior unsecured notes on January 13, 2016, cash on hand and draws under our revolving credit facility.</w:t>
      </w:r>
    </w:p>
    <w:p>
      <w:pPr>
        <w:spacing w:after="0" w:line="1" w:lineRule="exact"/>
        <w:rPr>
          <w:rFonts w:ascii="Arial" w:cs="Arial" w:eastAsia="Arial" w:hAnsi="Arial"/>
          <w:sz w:val="14"/>
          <w:szCs w:val="14"/>
          <w:color w:val="auto"/>
        </w:rPr>
      </w:pPr>
    </w:p>
    <w:p>
      <w:pPr>
        <w:jc w:val="both"/>
        <w:ind w:left="500" w:right="10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November 1, 2017, we made the decision to divest our Oil and Gas assets which was completed in 2018. Oil and Gas results are shown in discontinued operations. 2017 includes a non-cash after-tax fair value impairment on held-for-sale assets of $13 million. 2016 includes non-cash after-tax impairment charges to crude oil and natural gas properties of $67 million. 2015 includes non-cash after-tax impairment charges to crude oil and natural gas properties of $158 million.</w:t>
      </w:r>
    </w:p>
    <w:p>
      <w:pPr>
        <w:spacing w:after="0" w:line="1" w:lineRule="exact"/>
        <w:rPr>
          <w:rFonts w:ascii="Arial" w:cs="Arial" w:eastAsia="Arial" w:hAnsi="Arial"/>
          <w:sz w:val="14"/>
          <w:szCs w:val="14"/>
          <w:color w:val="auto"/>
        </w:rPr>
      </w:pPr>
    </w:p>
    <w:p>
      <w:pPr>
        <w:ind w:left="500" w:right="16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On April 14, 2016, Black Hills Electric Generation sold a 49.9% interest in Black Hills Colorado IPP. Net income available for common stock for 2019, 2018, 2017 and 2016 was reduced by $14 million, $14 million, $14 million and $9.6 million, respectively, attributable to this noncontrolling interest.</w:t>
      </w:r>
    </w:p>
    <w:p>
      <w:pPr>
        <w:ind w:left="500" w:hanging="492"/>
        <w:spacing w:after="0"/>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2017, 2016 and 2015 include incremental SourceGas Transaction costs, after-tax of $2.8 million, $30 million and $6.7 million, respectively.</w:t>
      </w:r>
    </w:p>
    <w:p>
      <w:pPr>
        <w:spacing w:after="0" w:line="1" w:lineRule="exact"/>
        <w:rPr>
          <w:rFonts w:ascii="Arial" w:cs="Arial" w:eastAsia="Arial" w:hAnsi="Arial"/>
          <w:sz w:val="14"/>
          <w:szCs w:val="14"/>
          <w:color w:val="auto"/>
        </w:rPr>
      </w:pPr>
    </w:p>
    <w:p>
      <w:pPr>
        <w:ind w:left="500" w:right="22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In 2019, we issued 1.33 million shares at an average share price of $75.28 under our ATM equity offering program. On November 1, 2018, we issued 6.3 million shares of common stock upon conversion of our Equity Units. In 2016, we issued 1.97 million shares at an average share price of $60.95 under our ATM equity offering program.</w:t>
      </w:r>
    </w:p>
    <w:p>
      <w:pPr>
        <w:ind w:left="500" w:right="60" w:hanging="492"/>
        <w:spacing w:after="0" w:line="241"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The increase in 2018 included a $73 million tax benefit resulting from legal entity restructuring. See </w:t>
      </w:r>
      <w:hyperlink w:anchor="page124">
        <w:r>
          <w:rPr>
            <w:rFonts w:ascii="Arial" w:cs="Arial" w:eastAsia="Arial" w:hAnsi="Arial"/>
            <w:sz w:val="14"/>
            <w:szCs w:val="14"/>
            <w:u w:val="single" w:color="auto"/>
            <w:color w:val="0000EE"/>
          </w:rPr>
          <w:t>Note 15</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the Consolidated Financial Statements in this Annual Report on Form 10-K for more information.</w:t>
      </w:r>
    </w:p>
    <w:p>
      <w:pPr>
        <w:ind w:left="500" w:right="320" w:hanging="492"/>
        <w:spacing w:after="0" w:line="255" w:lineRule="auto"/>
        <w:tabs>
          <w:tab w:leader="none" w:pos="500" w:val="left"/>
        </w:tabs>
        <w:numPr>
          <w:ilvl w:val="0"/>
          <w:numId w:val="28"/>
        </w:numPr>
        <w:rPr>
          <w:rFonts w:ascii="Arial" w:cs="Arial" w:eastAsia="Arial" w:hAnsi="Arial"/>
          <w:sz w:val="14"/>
          <w:szCs w:val="14"/>
          <w:color w:val="auto"/>
        </w:rPr>
      </w:pPr>
      <w:r>
        <w:rPr>
          <w:rFonts w:ascii="Arial" w:cs="Arial" w:eastAsia="Arial" w:hAnsi="Arial"/>
          <w:sz w:val="14"/>
          <w:szCs w:val="14"/>
          <w:color w:val="auto"/>
        </w:rPr>
        <w:t xml:space="preserve">2019 includes a non-cash after-tax impairment of $15 million in our investment in equity securities of a privately held oil and gas company. See </w:t>
      </w:r>
      <w:hyperlink w:anchor="page83">
        <w:r>
          <w:rPr>
            <w:rFonts w:ascii="Arial" w:cs="Arial" w:eastAsia="Arial" w:hAnsi="Arial"/>
            <w:sz w:val="14"/>
            <w:szCs w:val="14"/>
            <w:u w:val="single" w:color="auto"/>
            <w:color w:val="0000EE"/>
          </w:rPr>
          <w:t>Note 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the Consolidated Financial Statements in this Annual Report on Form 10-K for more information.</w:t>
      </w:r>
    </w:p>
    <w:p>
      <w:pPr>
        <w:spacing w:after="0" w:line="299" w:lineRule="exact"/>
        <w:rPr>
          <w:rFonts w:ascii="Arial" w:cs="Arial" w:eastAsia="Arial" w:hAnsi="Arial"/>
          <w:sz w:val="14"/>
          <w:szCs w:val="14"/>
          <w:color w:val="auto"/>
        </w:rPr>
      </w:pPr>
    </w:p>
    <w:p>
      <w:pPr>
        <w:ind w:right="6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For additional information on our business segments see </w:t>
      </w:r>
      <w:hyperlink w:anchor="page42">
        <w:r>
          <w:rPr>
            <w:rFonts w:ascii="Arial" w:cs="Arial" w:eastAsia="Arial" w:hAnsi="Arial"/>
            <w:sz w:val="18"/>
            <w:szCs w:val="18"/>
            <w:u w:val="single" w:color="auto"/>
            <w:color w:val="0000EE"/>
          </w:rPr>
          <w:t>Item 7</w:t>
        </w:r>
      </w:hyperlink>
      <w:r>
        <w:rPr>
          <w:rFonts w:ascii="Arial" w:cs="Arial" w:eastAsia="Arial" w:hAnsi="Arial"/>
          <w:sz w:val="18"/>
          <w:szCs w:val="18"/>
          <w:color w:val="auto"/>
        </w:rPr>
        <w:t xml:space="preserve">. Management’s Discussion and Analysis of Financial Condition and Results of Operations, </w:t>
      </w:r>
      <w:hyperlink w:anchor="page70">
        <w:r>
          <w:rPr>
            <w:rFonts w:ascii="Arial" w:cs="Arial" w:eastAsia="Arial" w:hAnsi="Arial"/>
            <w:sz w:val="18"/>
            <w:szCs w:val="18"/>
            <w:u w:val="single" w:color="auto"/>
            <w:color w:val="0000EE"/>
          </w:rPr>
          <w:t>Item 7A</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Quantitative and Qualitative Disclosures about Market Risk and</w:t>
      </w:r>
      <w:r>
        <w:rPr>
          <w:rFonts w:ascii="Arial" w:cs="Arial" w:eastAsia="Arial" w:hAnsi="Arial"/>
          <w:sz w:val="18"/>
          <w:szCs w:val="18"/>
          <w:color w:val="0000EE"/>
        </w:rPr>
        <w:t xml:space="preserve"> </w:t>
      </w:r>
      <w:hyperlink w:anchor="page98">
        <w:r>
          <w:rPr>
            <w:rFonts w:ascii="Arial" w:cs="Arial" w:eastAsia="Arial" w:hAnsi="Arial"/>
            <w:sz w:val="18"/>
            <w:szCs w:val="18"/>
            <w:u w:val="single" w:color="auto"/>
            <w:color w:val="0000EE"/>
          </w:rPr>
          <w:t xml:space="preserve">Note 5 </w:t>
        </w:r>
      </w:hyperlink>
      <w:r>
        <w:rPr>
          <w:rFonts w:ascii="Arial" w:cs="Arial" w:eastAsia="Arial" w:hAnsi="Arial"/>
          <w:sz w:val="18"/>
          <w:szCs w:val="18"/>
          <w:color w:val="000000"/>
        </w:rPr>
        <w:t>of</w:t>
      </w:r>
      <w:r>
        <w:rPr>
          <w:rFonts w:ascii="Arial" w:cs="Arial" w:eastAsia="Arial" w:hAnsi="Arial"/>
          <w:sz w:val="18"/>
          <w:szCs w:val="18"/>
          <w:color w:val="0000EE"/>
        </w:rPr>
        <w:t xml:space="preserve"> </w:t>
      </w:r>
      <w:r>
        <w:rPr>
          <w:rFonts w:ascii="Arial" w:cs="Arial" w:eastAsia="Arial" w:hAnsi="Arial"/>
          <w:sz w:val="18"/>
          <w:szCs w:val="18"/>
          <w:color w:val="000000"/>
        </w:rPr>
        <w:t>the Notes to the Consolidated Financial Statements in this Annual Report</w:t>
      </w:r>
      <w:r>
        <w:rPr>
          <w:rFonts w:ascii="Arial" w:cs="Arial" w:eastAsia="Arial" w:hAnsi="Arial"/>
          <w:sz w:val="18"/>
          <w:szCs w:val="18"/>
          <w:color w:val="0000EE"/>
        </w:rPr>
        <w:t xml:space="preserve"> </w:t>
      </w:r>
      <w:r>
        <w:rPr>
          <w:rFonts w:ascii="Arial" w:cs="Arial" w:eastAsia="Arial" w:hAnsi="Arial"/>
          <w:sz w:val="18"/>
          <w:szCs w:val="18"/>
          <w:color w:val="000000"/>
        </w:rPr>
        <w:t>on Form 10-K.</w:t>
      </w:r>
    </w:p>
    <w:p>
      <w:pPr>
        <w:spacing w:after="0" w:line="18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6" w:right="239" w:bottom="1440" w:gutter="0" w:footer="0" w:header="0"/>
        </w:sectPr>
      </w:pPr>
    </w:p>
    <w:bookmarkStart w:id="41" w:name="page42"/>
    <w:bookmarkEnd w:id="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ind w:right="340"/>
        <w:spacing w:after="0" w:line="282" w:lineRule="auto"/>
        <w:rPr>
          <w:sz w:val="20"/>
          <w:szCs w:val="20"/>
          <w:color w:val="auto"/>
        </w:rPr>
      </w:pPr>
      <w:r>
        <w:rPr>
          <w:rFonts w:ascii="Arial" w:cs="Arial" w:eastAsia="Arial" w:hAnsi="Arial"/>
          <w:sz w:val="18"/>
          <w:szCs w:val="18"/>
          <w:b w:val="1"/>
          <w:bCs w:val="1"/>
          <w:color w:val="auto"/>
        </w:rPr>
        <w:t>ITEMS 7 &amp; and 7A. MANAGEMENT’S DISCUSSION AND ANALYSIS OF FINANCIAL CONDITION AND RESULTS OF OPERATIONS AND QUANTITATIVE AND QUALITATIVE DISCLOSURES ABOUT MARKET RISK</w:t>
      </w:r>
    </w:p>
    <w:p>
      <w:pPr>
        <w:spacing w:after="0" w:line="324"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240" w:type="dxa"/>
            <w:vAlign w:val="bottom"/>
            <w:gridSpan w:val="3"/>
          </w:tcPr>
          <w:p>
            <w:pPr>
              <w:ind w:left="580"/>
              <w:spacing w:after="0"/>
              <w:rPr>
                <w:sz w:val="20"/>
                <w:szCs w:val="20"/>
                <w:color w:val="auto"/>
              </w:rPr>
            </w:pPr>
            <w:r>
              <w:rPr>
                <w:rFonts w:ascii="Arial" w:cs="Arial" w:eastAsia="Arial" w:hAnsi="Arial"/>
                <w:sz w:val="18"/>
                <w:szCs w:val="18"/>
                <w:b w:val="1"/>
                <w:bCs w:val="1"/>
                <w:color w:val="auto"/>
              </w:rPr>
              <w:t>Items 7 and 7A Index</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30"/>
        </w:trPr>
        <w:tc>
          <w:tcPr>
            <w:tcW w:w="1460" w:type="dxa"/>
            <w:vAlign w:val="bottom"/>
            <w:tcBorders>
              <w:bottom w:val="single" w:sz="8" w:color="0000EE"/>
            </w:tcBorders>
            <w:gridSpan w:val="6"/>
          </w:tcPr>
          <w:p>
            <w:pPr>
              <w:spacing w:after="0"/>
              <w:rPr>
                <w:rFonts w:ascii="Arial" w:cs="Arial" w:eastAsia="Arial" w:hAnsi="Arial"/>
                <w:sz w:val="18"/>
                <w:szCs w:val="18"/>
                <w:color w:val="0000EE"/>
                <w:w w:val="89"/>
              </w:rPr>
            </w:pPr>
            <w:hyperlink w:anchor="page42">
              <w:r>
                <w:rPr>
                  <w:rFonts w:ascii="Arial" w:cs="Arial" w:eastAsia="Arial" w:hAnsi="Arial"/>
                  <w:sz w:val="18"/>
                  <w:szCs w:val="18"/>
                  <w:color w:val="0000EE"/>
                  <w:w w:val="89"/>
                </w:rPr>
                <w:t>Executive Summary</w:t>
              </w:r>
            </w:hyperlink>
          </w:p>
        </w:tc>
        <w:tc>
          <w:tcPr>
            <w:tcW w:w="8080" w:type="dxa"/>
            <w:vAlign w:val="bottom"/>
            <w:gridSpan w:val="15"/>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2">
              <w:r>
                <w:rPr>
                  <w:rFonts w:ascii="Arial" w:cs="Arial" w:eastAsia="Arial" w:hAnsi="Arial"/>
                  <w:sz w:val="18"/>
                  <w:szCs w:val="18"/>
                  <w:color w:val="0000EE"/>
                  <w:w w:val="79"/>
                </w:rPr>
                <w:t>42</w:t>
              </w:r>
            </w:hyperlink>
          </w:p>
        </w:tc>
      </w:tr>
      <w:tr>
        <w:trPr>
          <w:trHeight w:val="250"/>
        </w:trPr>
        <w:tc>
          <w:tcPr>
            <w:tcW w:w="1740" w:type="dxa"/>
            <w:vAlign w:val="bottom"/>
            <w:tcBorders>
              <w:bottom w:val="single" w:sz="8" w:color="0000EE"/>
            </w:tcBorders>
            <w:gridSpan w:val="9"/>
          </w:tcPr>
          <w:p>
            <w:pPr>
              <w:spacing w:after="0"/>
              <w:rPr>
                <w:rFonts w:ascii="Arial" w:cs="Arial" w:eastAsia="Arial" w:hAnsi="Arial"/>
                <w:sz w:val="18"/>
                <w:szCs w:val="18"/>
                <w:color w:val="0000EE"/>
                <w:w w:val="90"/>
              </w:rPr>
            </w:pPr>
            <w:hyperlink w:anchor="page46">
              <w:r>
                <w:rPr>
                  <w:rFonts w:ascii="Arial" w:cs="Arial" w:eastAsia="Arial" w:hAnsi="Arial"/>
                  <w:sz w:val="18"/>
                  <w:szCs w:val="18"/>
                  <w:color w:val="0000EE"/>
                  <w:w w:val="90"/>
                </w:rPr>
                <w:t>Prospective Information</w:t>
              </w:r>
            </w:hyperlink>
          </w:p>
        </w:tc>
        <w:tc>
          <w:tcPr>
            <w:tcW w:w="7800" w:type="dxa"/>
            <w:vAlign w:val="bottom"/>
            <w:gridSpan w:val="1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46">
              <w:r>
                <w:rPr>
                  <w:rFonts w:ascii="Arial" w:cs="Arial" w:eastAsia="Arial" w:hAnsi="Arial"/>
                  <w:sz w:val="18"/>
                  <w:szCs w:val="18"/>
                  <w:color w:val="0000EE"/>
                  <w:w w:val="79"/>
                </w:rPr>
                <w:t>46</w:t>
              </w:r>
            </w:hyperlink>
          </w:p>
        </w:tc>
      </w:tr>
      <w:tr>
        <w:trPr>
          <w:trHeight w:val="250"/>
        </w:trPr>
        <w:tc>
          <w:tcPr>
            <w:tcW w:w="9540" w:type="dxa"/>
            <w:vAlign w:val="bottom"/>
            <w:gridSpan w:val="21"/>
          </w:tcPr>
          <w:p>
            <w:pPr>
              <w:spacing w:after="0"/>
              <w:rPr>
                <w:rFonts w:ascii="Arial" w:cs="Arial" w:eastAsia="Arial" w:hAnsi="Arial"/>
                <w:sz w:val="18"/>
                <w:szCs w:val="18"/>
                <w:color w:val="0000EE"/>
              </w:rPr>
            </w:pPr>
            <w:hyperlink w:anchor="page47">
              <w:r>
                <w:rPr>
                  <w:rFonts w:ascii="Arial" w:cs="Arial" w:eastAsia="Arial" w:hAnsi="Arial"/>
                  <w:sz w:val="18"/>
                  <w:szCs w:val="18"/>
                  <w:color w:val="0000EE"/>
                </w:rPr>
                <w:t>Results of Operations - Consolidated Summary and Overview of Business Segments</w:t>
              </w:r>
            </w:hyperlink>
          </w:p>
        </w:tc>
        <w:tc>
          <w:tcPr>
            <w:tcW w:w="780" w:type="dxa"/>
            <w:vAlign w:val="bottom"/>
            <w:gridSpan w:val="2"/>
          </w:tcPr>
          <w:p>
            <w:pPr>
              <w:jc w:val="right"/>
              <w:spacing w:after="0"/>
              <w:rPr>
                <w:rFonts w:ascii="Arial" w:cs="Arial" w:eastAsia="Arial" w:hAnsi="Arial"/>
                <w:sz w:val="18"/>
                <w:szCs w:val="18"/>
                <w:color w:val="0000EE"/>
              </w:rPr>
            </w:pPr>
            <w:hyperlink w:anchor="page47">
              <w:r>
                <w:rPr>
                  <w:rFonts w:ascii="Arial" w:cs="Arial" w:eastAsia="Arial" w:hAnsi="Arial"/>
                  <w:sz w:val="18"/>
                  <w:szCs w:val="18"/>
                  <w:color w:val="0000EE"/>
                </w:rPr>
                <w:t>47</w:t>
              </w:r>
            </w:hyperlink>
          </w:p>
        </w:tc>
      </w:tr>
      <w:tr>
        <w:trPr>
          <w:trHeight w:val="250"/>
        </w:trPr>
        <w:tc>
          <w:tcPr>
            <w:tcW w:w="340" w:type="dxa"/>
            <w:vAlign w:val="bottom"/>
            <w:tcBorders>
              <w:top w:val="single" w:sz="8" w:color="0000EE"/>
            </w:tcBorders>
          </w:tcPr>
          <w:p>
            <w:pPr>
              <w:spacing w:after="0"/>
              <w:rPr>
                <w:sz w:val="21"/>
                <w:szCs w:val="21"/>
                <w:color w:val="auto"/>
              </w:rPr>
            </w:pPr>
          </w:p>
        </w:tc>
        <w:tc>
          <w:tcPr>
            <w:tcW w:w="120" w:type="dxa"/>
            <w:vAlign w:val="bottom"/>
            <w:tcBorders>
              <w:top w:val="single" w:sz="8" w:color="0000EE"/>
            </w:tcBorders>
          </w:tcPr>
          <w:p>
            <w:pPr>
              <w:spacing w:after="0"/>
              <w:rPr>
                <w:sz w:val="21"/>
                <w:szCs w:val="21"/>
                <w:color w:val="auto"/>
              </w:rPr>
            </w:pPr>
          </w:p>
        </w:tc>
        <w:tc>
          <w:tcPr>
            <w:tcW w:w="1540" w:type="dxa"/>
            <w:vAlign w:val="bottom"/>
            <w:tcBorders>
              <w:top w:val="single" w:sz="8" w:color="0000EE"/>
              <w:bottom w:val="single" w:sz="8" w:color="0000EE"/>
            </w:tcBorders>
            <w:gridSpan w:val="12"/>
          </w:tcPr>
          <w:p>
            <w:pPr>
              <w:spacing w:after="0"/>
              <w:rPr>
                <w:rFonts w:ascii="Arial" w:cs="Arial" w:eastAsia="Arial" w:hAnsi="Arial"/>
                <w:sz w:val="18"/>
                <w:szCs w:val="18"/>
                <w:color w:val="0000EE"/>
                <w:w w:val="92"/>
              </w:rPr>
            </w:pPr>
            <w:hyperlink w:anchor="page50">
              <w:r>
                <w:rPr>
                  <w:rFonts w:ascii="Arial" w:cs="Arial" w:eastAsia="Arial" w:hAnsi="Arial"/>
                  <w:sz w:val="18"/>
                  <w:szCs w:val="18"/>
                  <w:color w:val="0000EE"/>
                  <w:w w:val="92"/>
                </w:rPr>
                <w:t>Non-GAAP Measure</w:t>
              </w:r>
            </w:hyperlink>
          </w:p>
        </w:tc>
        <w:tc>
          <w:tcPr>
            <w:tcW w:w="4080" w:type="dxa"/>
            <w:vAlign w:val="bottom"/>
            <w:tcBorders>
              <w:top w:val="single" w:sz="8" w:color="0000EE"/>
            </w:tcBorders>
            <w:gridSpan w:val="5"/>
          </w:tcPr>
          <w:p>
            <w:pPr>
              <w:spacing w:after="0"/>
              <w:rPr>
                <w:sz w:val="21"/>
                <w:szCs w:val="21"/>
                <w:color w:val="auto"/>
              </w:rPr>
            </w:pPr>
          </w:p>
        </w:tc>
        <w:tc>
          <w:tcPr>
            <w:tcW w:w="3460" w:type="dxa"/>
            <w:vAlign w:val="bottom"/>
            <w:gridSpan w:val="2"/>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50">
              <w:r>
                <w:rPr>
                  <w:rFonts w:ascii="Arial" w:cs="Arial" w:eastAsia="Arial" w:hAnsi="Arial"/>
                  <w:sz w:val="18"/>
                  <w:szCs w:val="18"/>
                  <w:color w:val="0000EE"/>
                  <w:w w:val="79"/>
                </w:rPr>
                <w:t>50</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tcBorders>
              <w:bottom w:val="single" w:sz="8" w:color="0000EE"/>
            </w:tcBorders>
            <w:gridSpan w:val="6"/>
          </w:tcPr>
          <w:p>
            <w:pPr>
              <w:spacing w:after="0"/>
              <w:rPr>
                <w:rFonts w:ascii="Arial" w:cs="Arial" w:eastAsia="Arial" w:hAnsi="Arial"/>
                <w:sz w:val="18"/>
                <w:szCs w:val="18"/>
                <w:color w:val="0000EE"/>
                <w:w w:val="95"/>
              </w:rPr>
            </w:pPr>
            <w:hyperlink w:anchor="page51">
              <w:r>
                <w:rPr>
                  <w:rFonts w:ascii="Arial" w:cs="Arial" w:eastAsia="Arial" w:hAnsi="Arial"/>
                  <w:sz w:val="18"/>
                  <w:szCs w:val="18"/>
                  <w:color w:val="0000EE"/>
                  <w:w w:val="95"/>
                </w:rPr>
                <w:t>Electric Utilities</w:t>
              </w:r>
            </w:hyperlink>
          </w:p>
        </w:tc>
        <w:tc>
          <w:tcPr>
            <w:tcW w:w="7900" w:type="dxa"/>
            <w:vAlign w:val="bottom"/>
            <w:gridSpan w:val="13"/>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1">
              <w:r>
                <w:rPr>
                  <w:rFonts w:ascii="Arial" w:cs="Arial" w:eastAsia="Arial" w:hAnsi="Arial"/>
                  <w:sz w:val="18"/>
                  <w:szCs w:val="18"/>
                  <w:color w:val="0000EE"/>
                  <w:w w:val="79"/>
                </w:rPr>
                <w:t>51</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Borders>
              <w:bottom w:val="single" w:sz="8" w:color="0000EE"/>
            </w:tcBorders>
            <w:gridSpan w:val="3"/>
          </w:tcPr>
          <w:p>
            <w:pPr>
              <w:spacing w:after="0"/>
              <w:rPr>
                <w:rFonts w:ascii="Arial" w:cs="Arial" w:eastAsia="Arial" w:hAnsi="Arial"/>
                <w:sz w:val="18"/>
                <w:szCs w:val="18"/>
                <w:color w:val="0000EE"/>
                <w:w w:val="91"/>
              </w:rPr>
            </w:pPr>
            <w:hyperlink w:anchor="page52">
              <w:r>
                <w:rPr>
                  <w:rFonts w:ascii="Arial" w:cs="Arial" w:eastAsia="Arial" w:hAnsi="Arial"/>
                  <w:sz w:val="18"/>
                  <w:szCs w:val="18"/>
                  <w:color w:val="0000EE"/>
                  <w:w w:val="91"/>
                </w:rPr>
                <w:t>Gas Utilities</w:t>
              </w:r>
            </w:hyperlink>
          </w:p>
        </w:tc>
        <w:tc>
          <w:tcPr>
            <w:tcW w:w="8180" w:type="dxa"/>
            <w:vAlign w:val="bottom"/>
            <w:gridSpan w:val="16"/>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2">
              <w:r>
                <w:rPr>
                  <w:rFonts w:ascii="Arial" w:cs="Arial" w:eastAsia="Arial" w:hAnsi="Arial"/>
                  <w:sz w:val="18"/>
                  <w:szCs w:val="18"/>
                  <w:color w:val="0000EE"/>
                  <w:w w:val="79"/>
                </w:rPr>
                <w:t>52</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00" w:type="dxa"/>
            <w:vAlign w:val="bottom"/>
            <w:tcBorders>
              <w:bottom w:val="single" w:sz="8" w:color="0000EE"/>
            </w:tcBorders>
            <w:gridSpan w:val="8"/>
          </w:tcPr>
          <w:p>
            <w:pPr>
              <w:spacing w:after="0"/>
              <w:rPr>
                <w:rFonts w:ascii="Arial" w:cs="Arial" w:eastAsia="Arial" w:hAnsi="Arial"/>
                <w:sz w:val="18"/>
                <w:szCs w:val="18"/>
                <w:color w:val="0000EE"/>
                <w:w w:val="88"/>
              </w:rPr>
            </w:pPr>
            <w:hyperlink w:anchor="page54">
              <w:r>
                <w:rPr>
                  <w:rFonts w:ascii="Arial" w:cs="Arial" w:eastAsia="Arial" w:hAnsi="Arial"/>
                  <w:sz w:val="18"/>
                  <w:szCs w:val="18"/>
                  <w:color w:val="0000EE"/>
                  <w:w w:val="88"/>
                </w:rPr>
                <w:t>Power Generation</w:t>
              </w:r>
            </w:hyperlink>
          </w:p>
        </w:tc>
        <w:tc>
          <w:tcPr>
            <w:tcW w:w="7780" w:type="dxa"/>
            <w:vAlign w:val="bottom"/>
            <w:gridSpan w:val="11"/>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4">
              <w:r>
                <w:rPr>
                  <w:rFonts w:ascii="Arial" w:cs="Arial" w:eastAsia="Arial" w:hAnsi="Arial"/>
                  <w:sz w:val="18"/>
                  <w:szCs w:val="18"/>
                  <w:color w:val="0000EE"/>
                  <w:w w:val="79"/>
                </w:rPr>
                <w:t>54</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80" w:type="dxa"/>
            <w:vAlign w:val="bottom"/>
            <w:gridSpan w:val="19"/>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Mining</w:t>
              </w:r>
            </w:hyperlink>
          </w:p>
        </w:tc>
        <w:tc>
          <w:tcPr>
            <w:tcW w:w="780" w:type="dxa"/>
            <w:vAlign w:val="bottom"/>
            <w:gridSpan w:val="2"/>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55</w:t>
              </w:r>
            </w:hyperlink>
          </w:p>
        </w:tc>
      </w:tr>
      <w:tr>
        <w:trPr>
          <w:trHeight w:val="20"/>
        </w:trPr>
        <w:tc>
          <w:tcPr>
            <w:tcW w:w="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8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462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56">
              <w:r>
                <w:rPr>
                  <w:rFonts w:ascii="Arial" w:cs="Arial" w:eastAsia="Arial" w:hAnsi="Arial"/>
                  <w:sz w:val="18"/>
                  <w:szCs w:val="18"/>
                  <w:color w:val="0000EE"/>
                  <w:w w:val="87"/>
                </w:rPr>
                <w:t>Corporate</w:t>
              </w:r>
            </w:hyperlink>
          </w:p>
        </w:tc>
        <w:tc>
          <w:tcPr>
            <w:tcW w:w="8360" w:type="dxa"/>
            <w:vAlign w:val="bottom"/>
            <w:gridSpan w:val="17"/>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50"/>
        </w:trPr>
        <w:tc>
          <w:tcPr>
            <w:tcW w:w="340" w:type="dxa"/>
            <w:vAlign w:val="bottom"/>
          </w:tcPr>
          <w:p>
            <w:pPr>
              <w:spacing w:after="0"/>
              <w:rPr>
                <w:sz w:val="21"/>
                <w:szCs w:val="21"/>
                <w:color w:val="auto"/>
              </w:rPr>
            </w:pPr>
          </w:p>
        </w:tc>
        <w:tc>
          <w:tcPr>
            <w:tcW w:w="8580" w:type="dxa"/>
            <w:vAlign w:val="bottom"/>
            <w:tcBorders>
              <w:bottom w:val="single" w:sz="8" w:color="0000EE"/>
            </w:tcBorders>
            <w:gridSpan w:val="19"/>
          </w:tcPr>
          <w:p>
            <w:pPr>
              <w:spacing w:after="0"/>
              <w:rPr>
                <w:rFonts w:ascii="Arial" w:cs="Arial" w:eastAsia="Arial" w:hAnsi="Arial"/>
                <w:sz w:val="18"/>
                <w:szCs w:val="18"/>
                <w:color w:val="0000EE"/>
                <w:w w:val="90"/>
              </w:rPr>
            </w:pPr>
            <w:hyperlink w:anchor="page56">
              <w:r>
                <w:rPr>
                  <w:rFonts w:ascii="Arial" w:cs="Arial" w:eastAsia="Arial" w:hAnsi="Arial"/>
                  <w:sz w:val="18"/>
                  <w:szCs w:val="18"/>
                  <w:color w:val="0000EE"/>
                  <w:w w:val="90"/>
                </w:rPr>
                <w:t>Consolidated Interest Expense, Impairment of Investment, Other Income (Expense) and Income Tax Benefit (Expense)</w:t>
              </w:r>
            </w:hyperlink>
          </w:p>
        </w:tc>
        <w:tc>
          <w:tcPr>
            <w:tcW w:w="6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6">
              <w:r>
                <w:rPr>
                  <w:rFonts w:ascii="Arial" w:cs="Arial" w:eastAsia="Arial" w:hAnsi="Arial"/>
                  <w:sz w:val="18"/>
                  <w:szCs w:val="18"/>
                  <w:color w:val="0000EE"/>
                  <w:w w:val="79"/>
                </w:rPr>
                <w:t>56</w:t>
              </w:r>
            </w:hyperlink>
          </w:p>
        </w:tc>
      </w:tr>
      <w:tr>
        <w:trPr>
          <w:trHeight w:val="250"/>
        </w:trPr>
        <w:tc>
          <w:tcPr>
            <w:tcW w:w="2320" w:type="dxa"/>
            <w:vAlign w:val="bottom"/>
            <w:tcBorders>
              <w:bottom w:val="single" w:sz="8" w:color="0000EE"/>
            </w:tcBorders>
            <w:gridSpan w:val="16"/>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Liquidity and Capital Resources</w:t>
              </w:r>
            </w:hyperlink>
          </w:p>
        </w:tc>
        <w:tc>
          <w:tcPr>
            <w:tcW w:w="7220" w:type="dxa"/>
            <w:vAlign w:val="bottom"/>
            <w:gridSpan w:val="5"/>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7">
              <w:r>
                <w:rPr>
                  <w:rFonts w:ascii="Arial" w:cs="Arial" w:eastAsia="Arial" w:hAnsi="Arial"/>
                  <w:sz w:val="18"/>
                  <w:szCs w:val="18"/>
                  <w:color w:val="0000EE"/>
                  <w:w w:val="79"/>
                </w:rPr>
                <w:t>57</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0" w:type="dxa"/>
            <w:vAlign w:val="bottom"/>
            <w:tcBorders>
              <w:bottom w:val="single" w:sz="8" w:color="0000EE"/>
            </w:tcBorders>
            <w:gridSpan w:val="15"/>
          </w:tcPr>
          <w:p>
            <w:pPr>
              <w:spacing w:after="0"/>
              <w:rPr>
                <w:rFonts w:ascii="Arial" w:cs="Arial" w:eastAsia="Arial" w:hAnsi="Arial"/>
                <w:sz w:val="18"/>
                <w:szCs w:val="18"/>
                <w:color w:val="0000EE"/>
                <w:w w:val="96"/>
              </w:rPr>
            </w:pPr>
            <w:hyperlink w:anchor="page59">
              <w:r>
                <w:rPr>
                  <w:rFonts w:ascii="Arial" w:cs="Arial" w:eastAsia="Arial" w:hAnsi="Arial"/>
                  <w:sz w:val="18"/>
                  <w:szCs w:val="18"/>
                  <w:color w:val="0000EE"/>
                  <w:w w:val="96"/>
                </w:rPr>
                <w:t>Debt, Equity and Liquidity</w:t>
              </w:r>
            </w:hyperlink>
          </w:p>
        </w:tc>
        <w:tc>
          <w:tcPr>
            <w:tcW w:w="7080" w:type="dxa"/>
            <w:vAlign w:val="bottom"/>
            <w:gridSpan w:val="4"/>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59">
              <w:r>
                <w:rPr>
                  <w:rFonts w:ascii="Arial" w:cs="Arial" w:eastAsia="Arial" w:hAnsi="Arial"/>
                  <w:sz w:val="18"/>
                  <w:szCs w:val="18"/>
                  <w:color w:val="0000EE"/>
                  <w:w w:val="79"/>
                </w:rPr>
                <w:t>59</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520" w:type="dxa"/>
            <w:vAlign w:val="bottom"/>
            <w:tcBorders>
              <w:bottom w:val="single" w:sz="8" w:color="0000EE"/>
            </w:tcBorders>
            <w:gridSpan w:val="11"/>
          </w:tcPr>
          <w:p>
            <w:pPr>
              <w:spacing w:after="0"/>
              <w:rPr>
                <w:rFonts w:ascii="Arial" w:cs="Arial" w:eastAsia="Arial" w:hAnsi="Arial"/>
                <w:sz w:val="18"/>
                <w:szCs w:val="18"/>
                <w:color w:val="0000EE"/>
                <w:w w:val="93"/>
              </w:rPr>
            </w:pPr>
            <w:hyperlink w:anchor="page62">
              <w:r>
                <w:rPr>
                  <w:rFonts w:ascii="Arial" w:cs="Arial" w:eastAsia="Arial" w:hAnsi="Arial"/>
                  <w:sz w:val="18"/>
                  <w:szCs w:val="18"/>
                  <w:color w:val="0000EE"/>
                  <w:w w:val="93"/>
                </w:rPr>
                <w:t>Cash Flow Activities</w:t>
              </w:r>
            </w:hyperlink>
          </w:p>
        </w:tc>
        <w:tc>
          <w:tcPr>
            <w:tcW w:w="7560" w:type="dxa"/>
            <w:vAlign w:val="bottom"/>
            <w:gridSpan w:val="8"/>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bottom w:val="single" w:sz="8" w:color="0000EE"/>
            </w:tcBorders>
          </w:tcPr>
          <w:p>
            <w:pPr>
              <w:jc w:val="right"/>
              <w:spacing w:after="0"/>
              <w:rPr>
                <w:rFonts w:ascii="Arial" w:cs="Arial" w:eastAsia="Arial" w:hAnsi="Arial"/>
                <w:sz w:val="18"/>
                <w:szCs w:val="18"/>
                <w:color w:val="0000EE"/>
                <w:w w:val="79"/>
              </w:rPr>
            </w:pPr>
            <w:hyperlink w:anchor="page62">
              <w:r>
                <w:rPr>
                  <w:rFonts w:ascii="Arial" w:cs="Arial" w:eastAsia="Arial" w:hAnsi="Arial"/>
                  <w:sz w:val="18"/>
                  <w:szCs w:val="18"/>
                  <w:color w:val="0000EE"/>
                  <w:w w:val="79"/>
                </w:rPr>
                <w:t>62</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80" w:type="dxa"/>
            <w:vAlign w:val="bottom"/>
            <w:gridSpan w:val="19"/>
          </w:tcPr>
          <w:p>
            <w:pPr>
              <w:spacing w:after="0"/>
              <w:rPr>
                <w:rFonts w:ascii="Arial" w:cs="Arial" w:eastAsia="Arial" w:hAnsi="Arial"/>
                <w:sz w:val="18"/>
                <w:szCs w:val="18"/>
                <w:color w:val="0000EE"/>
              </w:rPr>
            </w:pPr>
            <w:hyperlink w:anchor="page64">
              <w:r>
                <w:rPr>
                  <w:rFonts w:ascii="Arial" w:cs="Arial" w:eastAsia="Arial" w:hAnsi="Arial"/>
                  <w:sz w:val="18"/>
                  <w:szCs w:val="18"/>
                  <w:color w:val="0000EE"/>
                </w:rPr>
                <w:t>Capital Expenditures</w:t>
              </w:r>
            </w:hyperlink>
          </w:p>
        </w:tc>
        <w:tc>
          <w:tcPr>
            <w:tcW w:w="780" w:type="dxa"/>
            <w:vAlign w:val="bottom"/>
            <w:gridSpan w:val="2"/>
          </w:tcPr>
          <w:p>
            <w:pPr>
              <w:jc w:val="right"/>
              <w:spacing w:after="0"/>
              <w:rPr>
                <w:rFonts w:ascii="Arial" w:cs="Arial" w:eastAsia="Arial" w:hAnsi="Arial"/>
                <w:sz w:val="18"/>
                <w:szCs w:val="18"/>
                <w:color w:val="0000EE"/>
              </w:rPr>
            </w:pPr>
            <w:hyperlink w:anchor="page64">
              <w:r>
                <w:rPr>
                  <w:rFonts w:ascii="Arial" w:cs="Arial" w:eastAsia="Arial" w:hAnsi="Arial"/>
                  <w:sz w:val="18"/>
                  <w:szCs w:val="18"/>
                  <w:color w:val="0000EE"/>
                </w:rPr>
                <w:t>64</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40" w:type="dxa"/>
            <w:vAlign w:val="bottom"/>
            <w:tcBorders>
              <w:top w:val="single" w:sz="8" w:color="0000EE"/>
              <w:bottom w:val="single" w:sz="8" w:color="0000EE"/>
            </w:tcBorders>
            <w:gridSpan w:val="5"/>
          </w:tcPr>
          <w:p>
            <w:pPr>
              <w:spacing w:after="0"/>
              <w:rPr>
                <w:rFonts w:ascii="Arial" w:cs="Arial" w:eastAsia="Arial" w:hAnsi="Arial"/>
                <w:sz w:val="18"/>
                <w:szCs w:val="18"/>
                <w:color w:val="0000EE"/>
                <w:w w:val="89"/>
              </w:rPr>
            </w:pPr>
            <w:hyperlink w:anchor="page64">
              <w:r>
                <w:rPr>
                  <w:rFonts w:ascii="Arial" w:cs="Arial" w:eastAsia="Arial" w:hAnsi="Arial"/>
                  <w:sz w:val="18"/>
                  <w:szCs w:val="18"/>
                  <w:color w:val="0000EE"/>
                  <w:w w:val="89"/>
                </w:rPr>
                <w:t>Credit Ratings</w:t>
              </w:r>
            </w:hyperlink>
          </w:p>
        </w:tc>
        <w:tc>
          <w:tcPr>
            <w:tcW w:w="460" w:type="dxa"/>
            <w:vAlign w:val="bottom"/>
            <w:tcBorders>
              <w:top w:val="single" w:sz="8" w:color="0000EE"/>
            </w:tcBorders>
            <w:gridSpan w:val="5"/>
          </w:tcPr>
          <w:p>
            <w:pPr>
              <w:spacing w:after="0"/>
              <w:rPr>
                <w:sz w:val="21"/>
                <w:szCs w:val="21"/>
                <w:color w:val="auto"/>
              </w:rPr>
            </w:pPr>
          </w:p>
        </w:tc>
        <w:tc>
          <w:tcPr>
            <w:tcW w:w="7580" w:type="dxa"/>
            <w:vAlign w:val="bottom"/>
            <w:gridSpan w:val="9"/>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64">
              <w:r>
                <w:rPr>
                  <w:rFonts w:ascii="Arial" w:cs="Arial" w:eastAsia="Arial" w:hAnsi="Arial"/>
                  <w:sz w:val="18"/>
                  <w:szCs w:val="18"/>
                  <w:color w:val="0000EE"/>
                  <w:w w:val="79"/>
                </w:rPr>
                <w:t>64</w:t>
              </w:r>
            </w:hyperlink>
          </w:p>
        </w:tc>
      </w:tr>
      <w:tr>
        <w:trPr>
          <w:trHeight w:val="250"/>
        </w:trPr>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80" w:type="dxa"/>
            <w:vAlign w:val="bottom"/>
            <w:gridSpan w:val="19"/>
          </w:tcPr>
          <w:p>
            <w:pPr>
              <w:spacing w:after="0"/>
              <w:rPr>
                <w:rFonts w:ascii="Arial" w:cs="Arial" w:eastAsia="Arial" w:hAnsi="Arial"/>
                <w:sz w:val="18"/>
                <w:szCs w:val="18"/>
                <w:color w:val="0000EE"/>
              </w:rPr>
            </w:pPr>
            <w:hyperlink w:anchor="page66">
              <w:r>
                <w:rPr>
                  <w:rFonts w:ascii="Arial" w:cs="Arial" w:eastAsia="Arial" w:hAnsi="Arial"/>
                  <w:sz w:val="18"/>
                  <w:szCs w:val="18"/>
                  <w:color w:val="0000EE"/>
                </w:rPr>
                <w:t>Contractual Obligations and Off-Balance Sheet Items</w:t>
              </w:r>
            </w:hyperlink>
          </w:p>
        </w:tc>
        <w:tc>
          <w:tcPr>
            <w:tcW w:w="780" w:type="dxa"/>
            <w:vAlign w:val="bottom"/>
            <w:gridSpan w:val="2"/>
          </w:tcPr>
          <w:p>
            <w:pPr>
              <w:jc w:val="right"/>
              <w:spacing w:after="0"/>
              <w:rPr>
                <w:rFonts w:ascii="Arial" w:cs="Arial" w:eastAsia="Arial" w:hAnsi="Arial"/>
                <w:sz w:val="18"/>
                <w:szCs w:val="18"/>
                <w:color w:val="0000EE"/>
              </w:rPr>
            </w:pPr>
            <w:hyperlink w:anchor="page66">
              <w:r>
                <w:rPr>
                  <w:rFonts w:ascii="Arial" w:cs="Arial" w:eastAsia="Arial" w:hAnsi="Arial"/>
                  <w:sz w:val="18"/>
                  <w:szCs w:val="18"/>
                  <w:color w:val="0000EE"/>
                </w:rPr>
                <w:t>66</w:t>
              </w:r>
            </w:hyperlink>
          </w:p>
        </w:tc>
      </w:tr>
      <w:tr>
        <w:trPr>
          <w:trHeight w:val="20"/>
        </w:trPr>
        <w:tc>
          <w:tcPr>
            <w:tcW w:w="460" w:type="dxa"/>
            <w:vAlign w:val="bottom"/>
            <w:gridSpan w:val="2"/>
          </w:tcPr>
          <w:p>
            <w:pPr>
              <w:spacing w:after="0" w:line="20" w:lineRule="exact"/>
              <w:rPr>
                <w:sz w:val="1"/>
                <w:szCs w:val="1"/>
                <w:color w:val="auto"/>
              </w:rPr>
            </w:pPr>
          </w:p>
        </w:tc>
        <w:tc>
          <w:tcPr>
            <w:tcW w:w="1320" w:type="dxa"/>
            <w:vAlign w:val="bottom"/>
            <w:gridSpan w:val="9"/>
            <w:shd w:val="clear" w:color="auto" w:fill="0000EE"/>
          </w:tcPr>
          <w:p>
            <w:pPr>
              <w:spacing w:after="0" w:line="20" w:lineRule="exact"/>
              <w:rPr>
                <w:sz w:val="1"/>
                <w:szCs w:val="1"/>
                <w:color w:val="auto"/>
              </w:rPr>
            </w:pPr>
          </w:p>
        </w:tc>
        <w:tc>
          <w:tcPr>
            <w:tcW w:w="380" w:type="dxa"/>
            <w:vAlign w:val="bottom"/>
            <w:gridSpan w:val="4"/>
            <w:shd w:val="clear" w:color="auto" w:fill="0000EE"/>
          </w:tcPr>
          <w:p>
            <w:pPr>
              <w:spacing w:after="0" w:line="20" w:lineRule="exact"/>
              <w:rPr>
                <w:sz w:val="1"/>
                <w:szCs w:val="1"/>
                <w:color w:val="auto"/>
              </w:rPr>
            </w:pPr>
          </w:p>
        </w:tc>
        <w:tc>
          <w:tcPr>
            <w:tcW w:w="300" w:type="dxa"/>
            <w:vAlign w:val="bottom"/>
            <w:tcBorders>
              <w:right w:val="single" w:sz="8" w:color="0000EE"/>
            </w:tcBorders>
            <w:gridSpan w:val="2"/>
            <w:shd w:val="clear" w:color="auto" w:fill="0000EE"/>
          </w:tcPr>
          <w:p>
            <w:pPr>
              <w:spacing w:after="0" w:line="20" w:lineRule="exact"/>
              <w:rPr>
                <w:sz w:val="1"/>
                <w:szCs w:val="1"/>
                <w:color w:val="auto"/>
              </w:rPr>
            </w:pPr>
          </w:p>
        </w:tc>
        <w:tc>
          <w:tcPr>
            <w:tcW w:w="1840" w:type="dxa"/>
            <w:vAlign w:val="bottom"/>
            <w:shd w:val="clear" w:color="auto" w:fill="0000EE"/>
          </w:tcPr>
          <w:p>
            <w:pPr>
              <w:spacing w:after="0" w:line="20" w:lineRule="exact"/>
              <w:rPr>
                <w:sz w:val="1"/>
                <w:szCs w:val="1"/>
                <w:color w:val="auto"/>
              </w:rPr>
            </w:pPr>
          </w:p>
        </w:tc>
        <w:tc>
          <w:tcPr>
            <w:tcW w:w="5240" w:type="dxa"/>
            <w:vAlign w:val="bottom"/>
            <w:gridSpan w:val="3"/>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50"/>
        </w:trPr>
        <w:tc>
          <w:tcPr>
            <w:tcW w:w="9540" w:type="dxa"/>
            <w:vAlign w:val="bottom"/>
            <w:gridSpan w:val="21"/>
          </w:tcPr>
          <w:p>
            <w:pPr>
              <w:spacing w:after="0"/>
              <w:rPr>
                <w:rFonts w:ascii="Arial" w:cs="Arial" w:eastAsia="Arial" w:hAnsi="Arial"/>
                <w:sz w:val="18"/>
                <w:szCs w:val="18"/>
                <w:color w:val="0000EE"/>
              </w:rPr>
            </w:pPr>
            <w:hyperlink w:anchor="page67">
              <w:r>
                <w:rPr>
                  <w:rFonts w:ascii="Arial" w:cs="Arial" w:eastAsia="Arial" w:hAnsi="Arial"/>
                  <w:sz w:val="18"/>
                  <w:szCs w:val="18"/>
                  <w:color w:val="0000EE"/>
                </w:rPr>
                <w:t>Critical Accounting Estimates</w:t>
              </w:r>
            </w:hyperlink>
          </w:p>
        </w:tc>
        <w:tc>
          <w:tcPr>
            <w:tcW w:w="780" w:type="dxa"/>
            <w:vAlign w:val="bottom"/>
            <w:gridSpan w:val="2"/>
          </w:tcPr>
          <w:p>
            <w:pPr>
              <w:jc w:val="right"/>
              <w:spacing w:after="0"/>
              <w:rPr>
                <w:rFonts w:ascii="Arial" w:cs="Arial" w:eastAsia="Arial" w:hAnsi="Arial"/>
                <w:sz w:val="18"/>
                <w:szCs w:val="18"/>
                <w:color w:val="0000EE"/>
              </w:rPr>
            </w:pPr>
            <w:hyperlink w:anchor="page67">
              <w:r>
                <w:rPr>
                  <w:rFonts w:ascii="Arial" w:cs="Arial" w:eastAsia="Arial" w:hAnsi="Arial"/>
                  <w:sz w:val="18"/>
                  <w:szCs w:val="18"/>
                  <w:color w:val="0000EE"/>
                </w:rPr>
                <w:t>67</w:t>
              </w:r>
            </w:hyperlink>
          </w:p>
        </w:tc>
      </w:tr>
      <w:tr>
        <w:trPr>
          <w:trHeight w:val="250"/>
        </w:trPr>
        <w:tc>
          <w:tcPr>
            <w:tcW w:w="178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1"/>
              </w:rPr>
            </w:pPr>
            <w:hyperlink w:anchor="page70">
              <w:r>
                <w:rPr>
                  <w:rFonts w:ascii="Arial" w:cs="Arial" w:eastAsia="Arial" w:hAnsi="Arial"/>
                  <w:sz w:val="18"/>
                  <w:szCs w:val="18"/>
                  <w:color w:val="0000EE"/>
                  <w:w w:val="91"/>
                </w:rPr>
                <w:t>Market Risk Disclosures</w:t>
              </w:r>
            </w:hyperlink>
          </w:p>
        </w:tc>
        <w:tc>
          <w:tcPr>
            <w:tcW w:w="380" w:type="dxa"/>
            <w:vAlign w:val="bottom"/>
            <w:tcBorders>
              <w:top w:val="single" w:sz="8" w:color="0000EE"/>
            </w:tcBorders>
            <w:gridSpan w:val="4"/>
          </w:tcPr>
          <w:p>
            <w:pPr>
              <w:spacing w:after="0"/>
              <w:rPr>
                <w:sz w:val="21"/>
                <w:szCs w:val="21"/>
                <w:color w:val="auto"/>
              </w:rPr>
            </w:pPr>
          </w:p>
        </w:tc>
        <w:tc>
          <w:tcPr>
            <w:tcW w:w="7380" w:type="dxa"/>
            <w:vAlign w:val="bottom"/>
            <w:gridSpan w:val="6"/>
          </w:tcPr>
          <w:p>
            <w:pPr>
              <w:spacing w:after="0"/>
              <w:rPr>
                <w:sz w:val="21"/>
                <w:szCs w:val="21"/>
                <w:color w:val="auto"/>
              </w:rPr>
            </w:pPr>
          </w:p>
        </w:tc>
        <w:tc>
          <w:tcPr>
            <w:tcW w:w="600" w:type="dxa"/>
            <w:vAlign w:val="bottom"/>
          </w:tcPr>
          <w:p>
            <w:pPr>
              <w:spacing w:after="0"/>
              <w:rPr>
                <w:sz w:val="21"/>
                <w:szCs w:val="21"/>
                <w:color w:val="auto"/>
              </w:rPr>
            </w:pPr>
          </w:p>
        </w:tc>
        <w:tc>
          <w:tcPr>
            <w:tcW w:w="180" w:type="dxa"/>
            <w:vAlign w:val="bottom"/>
            <w:tcBorders>
              <w:top w:val="single" w:sz="8" w:color="0000EE"/>
              <w:bottom w:val="single" w:sz="8" w:color="0000EE"/>
            </w:tcBorders>
          </w:tcPr>
          <w:p>
            <w:pPr>
              <w:jc w:val="right"/>
              <w:spacing w:after="0"/>
              <w:rPr>
                <w:rFonts w:ascii="Arial" w:cs="Arial" w:eastAsia="Arial" w:hAnsi="Arial"/>
                <w:sz w:val="18"/>
                <w:szCs w:val="18"/>
                <w:color w:val="0000EE"/>
                <w:w w:val="79"/>
              </w:rPr>
            </w:pPr>
            <w:hyperlink w:anchor="page70">
              <w:r>
                <w:rPr>
                  <w:rFonts w:ascii="Arial" w:cs="Arial" w:eastAsia="Arial" w:hAnsi="Arial"/>
                  <w:sz w:val="18"/>
                  <w:szCs w:val="18"/>
                  <w:color w:val="0000EE"/>
                  <w:w w:val="79"/>
                </w:rPr>
                <w:t>70</w:t>
              </w:r>
            </w:hyperlink>
          </w:p>
        </w:tc>
      </w:tr>
      <w:tr>
        <w:trPr>
          <w:trHeight w:val="250"/>
        </w:trPr>
        <w:tc>
          <w:tcPr>
            <w:tcW w:w="9540" w:type="dxa"/>
            <w:vAlign w:val="bottom"/>
            <w:gridSpan w:val="21"/>
          </w:tcPr>
          <w:p>
            <w:pPr>
              <w:spacing w:after="0"/>
              <w:rPr>
                <w:rFonts w:ascii="Arial" w:cs="Arial" w:eastAsia="Arial" w:hAnsi="Arial"/>
                <w:sz w:val="18"/>
                <w:szCs w:val="18"/>
                <w:color w:val="0000EE"/>
              </w:rPr>
            </w:pPr>
            <w:hyperlink w:anchor="page71">
              <w:r>
                <w:rPr>
                  <w:rFonts w:ascii="Arial" w:cs="Arial" w:eastAsia="Arial" w:hAnsi="Arial"/>
                  <w:sz w:val="18"/>
                  <w:szCs w:val="18"/>
                  <w:color w:val="0000EE"/>
                </w:rPr>
                <w:t>New Accounting Pronouncements</w:t>
              </w:r>
            </w:hyperlink>
          </w:p>
        </w:tc>
        <w:tc>
          <w:tcPr>
            <w:tcW w:w="780" w:type="dxa"/>
            <w:vAlign w:val="bottom"/>
            <w:gridSpan w:val="2"/>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71</w:t>
              </w:r>
            </w:hyperlink>
          </w:p>
        </w:tc>
      </w:tr>
      <w:tr>
        <w:trPr>
          <w:trHeight w:val="20"/>
        </w:trPr>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bl>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Summary</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are a customer-focused, growth-oriented electric and natural gas utility company with a mission of improving life with energy and a vision to be the energy partner of choice. The Company provides electricity and natural gas through its Electric and Gas Utilities to 1.3 million customers in 824 communities in eight states, including Arkansas, Colorado, Iowa, Kansas, Montana, Nebraska, South Dakota and Wyoming. The Company conducts its utility operations under the name Black Hills Energy predominantly in rural areas of the Rocky Mountains and Midwestern states. The Company’s Electric Utilities are supported by our Power Generation and Mining segments. The Power Generation segment produces electric power from its five generating facilities and sells most of the electric capacity and energy to our Electric Utilities under long-term contracts. Our Mining segment produces coal at our only location near Gillette, Wyoming, and sells nearly all production to fuel the on-site, mine-mouth power generation facilities.</w:t>
      </w:r>
    </w:p>
    <w:p>
      <w:pPr>
        <w:spacing w:after="0" w:line="178"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 xml:space="preserve">The Company has provided energy and served customers for 136 years, since the 1883 gold rush days in Deadwood, South Dakota. Throughout our history, the common thread that unites the past to the present is our commitment to serve our customers and communities. Our strategic focus has not changed in over a century - serving customers with affordable, reliable and safe energy. Our strategy today continues that emphasis on serving customers, but with a renewed focus on better engaging with the people and communities we serve. Customer expectations are rapidly changing with the advancement of technology and customers are demanding simpler, faster and more convenient solutions to their energy needs. We are </w:t>
      </w:r>
      <w:r>
        <w:rPr>
          <w:rFonts w:ascii="Arial" w:cs="Arial" w:eastAsia="Arial" w:hAnsi="Arial"/>
          <w:sz w:val="16"/>
          <w:szCs w:val="16"/>
          <w:i w:val="1"/>
          <w:iCs w:val="1"/>
          <w:color w:val="auto"/>
        </w:rPr>
        <w:t>Ready</w:t>
      </w:r>
      <w:r>
        <w:rPr>
          <w:rFonts w:ascii="Arial" w:cs="Arial" w:eastAsia="Arial" w:hAnsi="Arial"/>
          <w:sz w:val="16"/>
          <w:szCs w:val="16"/>
          <w:color w:val="auto"/>
        </w:rPr>
        <w:t xml:space="preserve"> to serve as we have done for the past 136 years.</w:t>
      </w:r>
    </w:p>
    <w:p>
      <w:pPr>
        <w:spacing w:after="0" w:line="158"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Our strategy consists of five primary areas that focus on improving the way we serve customers with safe, reliable and affordable energy while improving the lives of the customers and communities we serve. The strategy is to 1) become the safest energy company in the utility industry; 2) transform the customer experience; 3) grow our electric and natural gas customer load; 4) pursue operating efficiencies; and 5) modernize utility infrastructure. This strategic focus will present the company with significant investment needs as we modernize our infrastructure systems and meet customer growth. It will also allow us to better understand our customer and community needs while providing more intuitive and cost-effective interactions.</w:t>
      </w:r>
    </w:p>
    <w:p>
      <w:pPr>
        <w:spacing w:after="0" w:line="3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380"/>
          </w:cols>
          <w:pgMar w:left="240" w:top="126" w:right="279" w:bottom="1440" w:gutter="0" w:footer="0" w:header="0"/>
        </w:sectPr>
      </w:pPr>
    </w:p>
    <w:bookmarkStart w:id="42" w:name="page43"/>
    <w:bookmarkEnd w:id="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Key Elements of our Business Strategy</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b w:val="1"/>
          <w:bCs w:val="1"/>
          <w:i w:val="1"/>
          <w:iCs w:val="1"/>
          <w:color w:val="auto"/>
        </w:rPr>
        <w:t xml:space="preserve">Modernize, replace and operate utility infrastructure to meet our customers’ energy needs while providing safe, reliable and affordable energy.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utilities own and operate large electric and natural gas infrastructure systems that span nearly 1,600 miles. Our Electric Utilities own and operate 939 MW of generation capacity and 8,900 miles of transmission and distribution lines and our Gas Utilities own and operate 46,000 miles of natural gas transmission and distribution pipelines. A key strategic focus is to modernize this utility infrastructure to meet customers’ and communities’ varied energy needs and to ensure the continued delivery of safe, reliable and affordable energy. In addition, we need to invest in the accessibility, capacity and integrity of our systems to meet customer growth.</w:t>
      </w:r>
    </w:p>
    <w:p>
      <w:pPr>
        <w:spacing w:after="0" w:line="193"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We rigorously comply with all applicable federal, state and local regulations and strive to consistently meet industry best practice standards. A key component of our modernization effort is the development of programs by our Electric and Gas utilities to systematically and proactively replace aging infrastructure on a system-wide basis. To meet our electric customers’ continued expectations of high levels of reliability, our Electric Utilities utilize a distribution integrity program to ensure the timely repair and replacement of aging infrastructure. Our Gas Utilities utilize a programmatic approach to system-wide pipeline system replacement, particularly in high consequence areas. Under the programmatic approach, obsolete, at-risk and vintage materials are replaced in a proactive and systematic time frame. We have removed all cast- and wrought-iron from our natural gas transmission and distribution systems and continue to replace aging infrastructure through programs that prioritize safety and reliability for our customers. Many of our Gas Utilities are authorized to use system safety, integrity and replacement cost recovery mechanisms that provide for customer rate adjustments which reflect the cost incurred in repairing and replacing the gas delivery systems.</w:t>
      </w:r>
    </w:p>
    <w:p>
      <w:pPr>
        <w:spacing w:after="0" w:line="182"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We estimate our five-year capital investment to be approximately $2.7 billion, with most of that investment targeted toward upgrading existing utility infrastructure and to support customer and community growth needs. Our actual 2019 and forecasted capital expenditures and depreciation for next five years from 2020 through 2024 are as follows (in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-12065</wp:posOffset>
            </wp:positionV>
            <wp:extent cx="5848985" cy="343027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848985" cy="343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84"/>
        </w:trPr>
        <w:tc>
          <w:tcPr>
            <w:tcW w:w="390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601"/>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Actual</w:t>
            </w:r>
          </w:p>
        </w:tc>
        <w:tc>
          <w:tcPr>
            <w:tcW w:w="260" w:type="dxa"/>
            <w:vAlign w:val="bottom"/>
          </w:tcPr>
          <w:p>
            <w:pPr>
              <w:spacing w:after="0"/>
              <w:rPr>
                <w:sz w:val="24"/>
                <w:szCs w:val="24"/>
                <w:color w:val="auto"/>
              </w:rPr>
            </w:pPr>
          </w:p>
        </w:tc>
        <w:tc>
          <w:tcPr>
            <w:tcW w:w="1000" w:type="dxa"/>
            <w:vAlign w:val="bottom"/>
          </w:tcPr>
          <w:p>
            <w:pPr>
              <w:jc w:val="right"/>
              <w:ind w:right="190"/>
              <w:spacing w:after="0"/>
              <w:rPr>
                <w:sz w:val="20"/>
                <w:szCs w:val="20"/>
                <w:color w:val="auto"/>
              </w:rPr>
            </w:pPr>
            <w:r>
              <w:rPr>
                <w:rFonts w:ascii="Arial" w:cs="Arial" w:eastAsia="Arial" w:hAnsi="Arial"/>
                <w:sz w:val="18"/>
                <w:szCs w:val="18"/>
                <w:b w:val="1"/>
                <w:bCs w:val="1"/>
                <w:color w:val="auto"/>
                <w:w w:val="99"/>
              </w:rPr>
              <w:t>Planned</w:t>
            </w:r>
          </w:p>
        </w:tc>
        <w:tc>
          <w:tcPr>
            <w:tcW w:w="240" w:type="dxa"/>
            <w:vAlign w:val="bottom"/>
          </w:tcPr>
          <w:p>
            <w:pPr>
              <w:spacing w:after="0"/>
              <w:rPr>
                <w:sz w:val="24"/>
                <w:szCs w:val="24"/>
                <w:color w:val="auto"/>
              </w:rPr>
            </w:pPr>
          </w:p>
        </w:tc>
        <w:tc>
          <w:tcPr>
            <w:tcW w:w="1000" w:type="dxa"/>
            <w:vAlign w:val="bottom"/>
          </w:tcPr>
          <w:p>
            <w:pPr>
              <w:jc w:val="right"/>
              <w:ind w:right="170"/>
              <w:spacing w:after="0"/>
              <w:rPr>
                <w:sz w:val="20"/>
                <w:szCs w:val="20"/>
                <w:color w:val="auto"/>
              </w:rPr>
            </w:pPr>
            <w:r>
              <w:rPr>
                <w:rFonts w:ascii="Arial" w:cs="Arial" w:eastAsia="Arial" w:hAnsi="Arial"/>
                <w:sz w:val="18"/>
                <w:szCs w:val="18"/>
                <w:b w:val="1"/>
                <w:bCs w:val="1"/>
                <w:color w:val="auto"/>
              </w:rPr>
              <w:t>Planned</w:t>
            </w:r>
          </w:p>
        </w:tc>
        <w:tc>
          <w:tcPr>
            <w:tcW w:w="2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Planned</w:t>
            </w:r>
          </w:p>
        </w:tc>
        <w:tc>
          <w:tcPr>
            <w:tcW w:w="260" w:type="dxa"/>
            <w:vAlign w:val="bottom"/>
          </w:tcPr>
          <w:p>
            <w:pPr>
              <w:spacing w:after="0"/>
              <w:rPr>
                <w:sz w:val="24"/>
                <w:szCs w:val="24"/>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b w:val="1"/>
                <w:bCs w:val="1"/>
                <w:color w:val="auto"/>
                <w:w w:val="99"/>
              </w:rPr>
              <w:t>Planned</w:t>
            </w:r>
          </w:p>
        </w:tc>
        <w:tc>
          <w:tcPr>
            <w:tcW w:w="260" w:type="dxa"/>
            <w:vAlign w:val="bottom"/>
          </w:tcPr>
          <w:p>
            <w:pPr>
              <w:spacing w:after="0"/>
              <w:rPr>
                <w:sz w:val="24"/>
                <w:szCs w:val="24"/>
                <w:color w:val="auto"/>
              </w:rPr>
            </w:pPr>
          </w:p>
        </w:tc>
        <w:tc>
          <w:tcPr>
            <w:tcW w:w="1020" w:type="dxa"/>
            <w:vAlign w:val="bottom"/>
          </w:tcPr>
          <w:p>
            <w:pPr>
              <w:jc w:val="right"/>
              <w:ind w:right="210"/>
              <w:spacing w:after="0"/>
              <w:rPr>
                <w:sz w:val="20"/>
                <w:szCs w:val="20"/>
                <w:color w:val="auto"/>
              </w:rPr>
            </w:pPr>
            <w:r>
              <w:rPr>
                <w:rFonts w:ascii="Arial" w:cs="Arial" w:eastAsia="Arial" w:hAnsi="Arial"/>
                <w:sz w:val="18"/>
                <w:szCs w:val="18"/>
                <w:b w:val="1"/>
                <w:bCs w:val="1"/>
                <w:color w:val="auto"/>
                <w:w w:val="99"/>
              </w:rPr>
              <w:t>Planned</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Capital Expenditures By Segment</w:t>
            </w:r>
          </w:p>
        </w:tc>
        <w:tc>
          <w:tcPr>
            <w:tcW w:w="24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1000" w:type="dxa"/>
            <w:vAlign w:val="bottom"/>
          </w:tcPr>
          <w:p>
            <w:pPr>
              <w:jc w:val="right"/>
              <w:ind w:right="330"/>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20"/>
                <w:szCs w:val="20"/>
                <w:color w:val="auto"/>
              </w:rPr>
            </w:pPr>
          </w:p>
        </w:tc>
        <w:tc>
          <w:tcPr>
            <w:tcW w:w="1000" w:type="dxa"/>
            <w:vAlign w:val="bottom"/>
          </w:tcPr>
          <w:p>
            <w:pPr>
              <w:jc w:val="right"/>
              <w:ind w:right="310"/>
              <w:spacing w:after="0"/>
              <w:rPr>
                <w:sz w:val="20"/>
                <w:szCs w:val="20"/>
                <w:color w:val="auto"/>
              </w:rPr>
            </w:pPr>
            <w:r>
              <w:rPr>
                <w:rFonts w:ascii="Arial" w:cs="Arial" w:eastAsia="Arial" w:hAnsi="Arial"/>
                <w:sz w:val="18"/>
                <w:szCs w:val="18"/>
                <w:color w:val="auto"/>
              </w:rPr>
              <w:t>2021</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2022</w:t>
            </w:r>
          </w:p>
        </w:tc>
        <w:tc>
          <w:tcPr>
            <w:tcW w:w="260" w:type="dxa"/>
            <w:vAlign w:val="bottom"/>
          </w:tcPr>
          <w:p>
            <w:pPr>
              <w:spacing w:after="0"/>
              <w:rPr>
                <w:sz w:val="20"/>
                <w:szCs w:val="20"/>
                <w:color w:val="auto"/>
              </w:rPr>
            </w:pPr>
          </w:p>
        </w:tc>
        <w:tc>
          <w:tcPr>
            <w:tcW w:w="980" w:type="dxa"/>
            <w:vAlign w:val="bottom"/>
          </w:tcPr>
          <w:p>
            <w:pPr>
              <w:jc w:val="right"/>
              <w:ind w:right="310"/>
              <w:spacing w:after="0"/>
              <w:rPr>
                <w:sz w:val="20"/>
                <w:szCs w:val="20"/>
                <w:color w:val="auto"/>
              </w:rPr>
            </w:pPr>
            <w:r>
              <w:rPr>
                <w:rFonts w:ascii="Arial" w:cs="Arial" w:eastAsia="Arial" w:hAnsi="Arial"/>
                <w:sz w:val="18"/>
                <w:szCs w:val="18"/>
                <w:color w:val="auto"/>
              </w:rPr>
              <w:t>2023</w:t>
            </w:r>
          </w:p>
        </w:tc>
        <w:tc>
          <w:tcPr>
            <w:tcW w:w="260" w:type="dxa"/>
            <w:vAlign w:val="bottom"/>
          </w:tcPr>
          <w:p>
            <w:pPr>
              <w:spacing w:after="0"/>
              <w:rPr>
                <w:sz w:val="20"/>
                <w:szCs w:val="20"/>
                <w:color w:val="auto"/>
              </w:rPr>
            </w:pPr>
          </w:p>
        </w:tc>
        <w:tc>
          <w:tcPr>
            <w:tcW w:w="1020" w:type="dxa"/>
            <w:vAlign w:val="bottom"/>
          </w:tcPr>
          <w:p>
            <w:pPr>
              <w:jc w:val="right"/>
              <w:ind w:right="350"/>
              <w:spacing w:after="0"/>
              <w:rPr>
                <w:sz w:val="20"/>
                <w:szCs w:val="20"/>
                <w:color w:val="auto"/>
              </w:rPr>
            </w:pPr>
            <w:r>
              <w:rPr>
                <w:rFonts w:ascii="Arial" w:cs="Arial" w:eastAsia="Arial" w:hAnsi="Arial"/>
                <w:sz w:val="18"/>
                <w:szCs w:val="18"/>
                <w:color w:val="auto"/>
              </w:rPr>
              <w:t>2024</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6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i w:val="1"/>
                <w:iCs w:val="1"/>
                <w:color w:val="auto"/>
              </w:rPr>
              <w:t>(in millions)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Electric Utilities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223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170</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137</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Gas Utilities</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512</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293</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Power Generation</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85</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8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Mining</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3880" w:type="dxa"/>
            <w:vAlign w:val="bottom"/>
            <w:gridSpan w:val="2"/>
          </w:tcPr>
          <w:p>
            <w:pPr>
              <w:ind w:left="20"/>
              <w:spacing w:after="0"/>
              <w:rPr>
                <w:sz w:val="20"/>
                <w:szCs w:val="20"/>
                <w:color w:val="auto"/>
              </w:rPr>
            </w:pPr>
            <w:r>
              <w:rPr>
                <w:rFonts w:ascii="Arial" w:cs="Arial" w:eastAsia="Arial" w:hAnsi="Arial"/>
                <w:sz w:val="18"/>
                <w:szCs w:val="18"/>
                <w:color w:val="auto"/>
              </w:rPr>
              <w:t>Corporate and Other</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2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w:t>
            </w:r>
          </w:p>
        </w:tc>
        <w:tc>
          <w:tcPr>
            <w:tcW w:w="2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10</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6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38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850</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669</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555</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486</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480</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 xml:space="preserve">Efficiently plan, construct and operate rate base power generation facilities to serve our Electric Utilities. </w:t>
      </w:r>
      <w:r>
        <w:rPr>
          <w:rFonts w:ascii="Arial" w:cs="Arial" w:eastAsia="Arial" w:hAnsi="Arial"/>
          <w:sz w:val="18"/>
          <w:szCs w:val="18"/>
          <w:color w:val="auto"/>
        </w:rPr>
        <w:t>We believe that we best serve customers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communities with a vertically integrated business model for our Electric Utilities. This business model remains a core strength and strategy today as we invest in and operate efficient power generation resources to cost-effectively supply electricity to our customers. We strive to provide power at reasonable rates to our customers and earn competitive returns for our investors.</w:t>
      </w:r>
    </w:p>
    <w:p>
      <w:pPr>
        <w:spacing w:after="0" w:line="18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Our power production strategy focuses on low-cost construction and efficient operation of our generating facilities. Our low power production costs result from a variety of factors including low fuel costs, efficiency in converting fuel into energy, low per unit operating and maintenance costs and high levels of power plant availability. For our coal-fired power plants, we leverage our mine-mouth location advantage to eliminate coal transportation costs that often represent the largest component of the delivered cost of coal for many other utilities. Additionally, we operate our plants with high levels of availability as compared to industry benchmarks.</w:t>
      </w:r>
    </w:p>
    <w:p>
      <w:pPr>
        <w:spacing w:after="0" w:line="18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We continue to believe that ownership of power generation facilities by our Electric Utilities best serves customers. Rate-based generation assets offer several advantages for customers and shareholders, including:</w:t>
      </w:r>
    </w:p>
    <w:p>
      <w:pPr>
        <w:spacing w:after="0" w:line="170" w:lineRule="exact"/>
        <w:rPr>
          <w:sz w:val="20"/>
          <w:szCs w:val="20"/>
          <w:color w:val="auto"/>
        </w:rPr>
      </w:pPr>
    </w:p>
    <w:p>
      <w:pPr>
        <w:ind w:left="660" w:right="20" w:hanging="328"/>
        <w:spacing w:after="0" w:line="264"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When generating assets are included in the utility rate base and reviewed and approved by government authorities, customer rates are more stable and predictable, and typically less expensive in the long run; especially when compared to power otherwise purchased from the open market through wholesale contracts that are periodically re-priced to reflect current and varying market conditions;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Regulators participate in a planning process where long-term investments are designed to match long-term energy demand;</w:t>
      </w:r>
    </w:p>
    <w:p>
      <w:pPr>
        <w:spacing w:after="0" w:line="225"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lower-risk profile of rate-based generation assets contributes to stronger credit ratings which, in turn, can benefit both customers and investors by lowering the cost of capital;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Investors are provided a long-term, reasonable, stable return on their investment.</w:t>
      </w:r>
    </w:p>
    <w:p>
      <w:pPr>
        <w:spacing w:after="0" w:line="22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b w:val="1"/>
          <w:bCs w:val="1"/>
          <w:i w:val="1"/>
          <w:iCs w:val="1"/>
          <w:color w:val="auto"/>
        </w:rPr>
        <w:t xml:space="preserve">Proactively integrate alternative and renewable energy into our utility energy supply while mitigating customer rate impacts. </w:t>
      </w:r>
      <w:r>
        <w:rPr>
          <w:rFonts w:ascii="Arial" w:cs="Arial" w:eastAsia="Arial" w:hAnsi="Arial"/>
          <w:sz w:val="16"/>
          <w:szCs w:val="16"/>
          <w:color w:val="auto"/>
        </w:rPr>
        <w:t>Some of our customers,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particularly our larger customers, are demanding more renewable and cleaner sources of energy to meet their sustainability goals. In addition, there is more interest from voters, regulators and legislators to increase the use of renewable and other alternative energy sources. To support this interest, we have created and received approvals for new, voluntary renewable energy tariffs to serve certain commercial, industrial and governmental agency customer requests for renewable energy resources in South Dakota and Wyoming. To meet the renewable energy commitments under the new tariffs, we also received approval from the Wyoming Public Service Commission to build the Corriedale wind project, a 52.5 MW wind farm to be constructed near Cheyenne, Wyoming. The $79 million project is expected to be in service by year-end 2020. Supporting our renewable energy efforts in Colorado, in November 2019, we successfully commissioned Busch Ranch II, a 60 MW wind farm near Pueblo, Colorado, to provide renewable energy to our Colorado Electric utility.</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118" w:right="259" w:bottom="1440" w:gutter="0" w:footer="0" w:header="0"/>
        </w:sectPr>
      </w:pPr>
    </w:p>
    <w:bookmarkStart w:id="44" w:name="page45"/>
    <w:bookmarkEnd w:id="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To date, many states have enacted, and others are considering, mandatory renewable energy standards, requiring utilities to meet certain thresholds of renewable energy generation. In addition, some states have either enacted or are considering legislation setting GHG emissions reduction targets. Federal legislation for both renewable energy standards and GHG emission reductions has been considered and may be implemented in the future. Mandates for the use of renewable energy or the reduction of GHG emissions will likely drive the need for significant investment in our Electric Utilities and Gas Utilities segments. These mandates will also likely increase prices for electricity and/or natural gas for our utility customers. As a regulated utility we are responsible for providing safe, reliable and affordable sources of energy to our customers. Accordingly, we employ a customer-focused strategy for complying with standards and regulations that balances our customers’ rate concerns with environmental considerations and administrative and legislative mandates. We attempt to strike this balance by prudently and proactively incorporating renewable energy into our resource supply, while seeking to minimize the magnitude and frequency of rate increases for our utility customers.</w:t>
      </w:r>
    </w:p>
    <w:p>
      <w:pPr>
        <w:spacing w:after="0" w:line="182"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b w:val="1"/>
          <w:bCs w:val="1"/>
          <w:i w:val="1"/>
          <w:iCs w:val="1"/>
          <w:color w:val="auto"/>
        </w:rPr>
        <w:t>Build and maintain strong relationships with wholesale power customers of our utilities and our power generation business</w:t>
      </w:r>
      <w:r>
        <w:rPr>
          <w:rFonts w:ascii="Arial" w:cs="Arial" w:eastAsia="Arial" w:hAnsi="Arial"/>
          <w:sz w:val="16"/>
          <w:szCs w:val="16"/>
          <w:color w:val="auto"/>
        </w:rPr>
        <w:t>. We strive to build strong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other utilities, municipalities and wholesale customers. We believe we will continue to be an important provider of electricity to wholesale utility customers, who will continue to need products such as capacity and energy to reliably serve their customers. By providing these products under long-term contracts, we help our customers meet their energy needs. We also earn more stable revenues and greater returns for shareholders over the long-term than we would by selling energy into more volatile energy spot markets. In addition, relationships that we have established with wholesale power customers have developed into other opportunities. MEAN, MDU and the City of Gillette, Wyoming were wholesale power customers that are now joint minority owners in two of our power plants, Wygen I and Wygen III, reducing risk and providing steady revenues.</w:t>
      </w:r>
    </w:p>
    <w:p>
      <w:pPr>
        <w:spacing w:after="0" w:line="167"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b w:val="1"/>
          <w:bCs w:val="1"/>
          <w:i w:val="1"/>
          <w:iCs w:val="1"/>
          <w:color w:val="auto"/>
        </w:rPr>
        <w:t xml:space="preserve">Vertically integrate businesses that are supportive of our Electric and Gas utility businesses. </w:t>
      </w:r>
      <w:r>
        <w:rPr>
          <w:rFonts w:ascii="Arial" w:cs="Arial" w:eastAsia="Arial" w:hAnsi="Arial"/>
          <w:sz w:val="18"/>
          <w:szCs w:val="18"/>
          <w:color w:val="auto"/>
        </w:rPr>
        <w:t>While our primary focus is on growing our core utilities, we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selectively invest in vertically integrated businesses that provide cost effective and efficient fuel and energy to our utilities. We currently own and operate power generation and mining assets that are vertically integrated into and supportive of our Electric Utilities. These operations are located at our utility-generating complexes and are physically integrated into our Electric Utility operations.</w:t>
      </w:r>
    </w:p>
    <w:p>
      <w:pPr>
        <w:spacing w:after="0" w:line="18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The Power Generation segment currently owns five power facilities, four of which are contracted with our affiliate Electric Utilities under long-term power purchase agreements. Our Power Generation segment has an experienced staff with significant expertise in planning, building and operating power plants. The power generation team has constructed 20 coal-fired, gas-fired and renewable generation projects since 1995 with aggregate project costs in excess of $2.1 billion. This team also provides shared services to our Electric Utilities’ generation facilities, resulting in efficient management of all of the company’s generation assets. In certain states, our Electric Utilities are required to competitively bid for generation resources needed to serve customers. Generally, our Power Generation segment submits bids in response to those competitive solicitations. Our Power Generation segment can often realize competitive advantages provided by prior construction expertise, fuel supply advantages and by co-locating new plants at existing sites, reducing infrastructure and operating costs.</w:t>
      </w:r>
    </w:p>
    <w:p>
      <w:pPr>
        <w:spacing w:after="0" w:line="192"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Our surface coal mine is located immediately adjacent to our Gillette energy complex in northeastern Wyoming, where all five of our coal-fired power plants are located. We operate and own majority interests in four of our five power plants. We own 20% of the fifth power plant which is operated by a majority owner. The mine provides low-sulfur coal directly to these power plants via a conveyor belt system, minimizing transportation costs. On average, the fuel can be delivered to the adjacent power plants at less than $1.00 per MMBtu, providing very cost competitive fuel to our power plants when compared to other coal-fired and gas-fired power plants. Nearly all of the mine’s production is sold to the five on-site, mine-mouth generation facilities under long-term supply contracts. Approximately one-half of our production is sold under cost-plus contracts with affiliates. A small portion of the mine’s production is sold to off-site industrial customers and delivered by truck.</w:t>
      </w:r>
    </w:p>
    <w:p>
      <w:pPr>
        <w:spacing w:after="0" w:line="189"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b w:val="1"/>
          <w:bCs w:val="1"/>
          <w:i w:val="1"/>
          <w:iCs w:val="1"/>
          <w:color w:val="auto"/>
        </w:rPr>
        <w:t xml:space="preserve">Expand utility operations through selective acquisitions of electric and gas utilities. </w:t>
      </w:r>
      <w:r>
        <w:rPr>
          <w:rFonts w:ascii="Arial" w:cs="Arial" w:eastAsia="Arial" w:hAnsi="Arial"/>
          <w:sz w:val="16"/>
          <w:szCs w:val="16"/>
          <w:color w:val="auto"/>
        </w:rPr>
        <w:t>The electric and natural gas utility industries have consolidated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significantly over the past two decades and continue to consolidate. We have successfully acquired and integrated numerous utility systems since 2005, including two large, transformational acquisitions - the Aquila Transaction in 2008 and SourceGas Transaction in 2016. Through these acquisitions, we developed a scalable platform that simplifies the rapid integration of acquired utilities, providing significant benefits to both customers and shareholders. The company targets small to large utilities, including municipal and private utility systems, located primarily in geographies that are near to or contiguous with our existing utility service territories and can provide long-term value for both customers and shareholders. In the near-term, we do not expect to pursue large utility acquisitions, particularly given the high valuation multiples realized in recent utility transactions. As pipeline regulations continue to increase, we believe there will be more opportunities to purchase these smaller and more rural utility systems.</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126" w:right="299" w:bottom="1440" w:gutter="0" w:footer="0" w:header="0"/>
        </w:sectPr>
      </w:pPr>
    </w:p>
    <w:bookmarkStart w:id="45" w:name="page46"/>
    <w:bookmarkEnd w:id="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Grow our dividend. </w:t>
      </w:r>
      <w:r>
        <w:rPr>
          <w:rFonts w:ascii="Arial" w:cs="Arial" w:eastAsia="Arial" w:hAnsi="Arial"/>
          <w:sz w:val="18"/>
          <w:szCs w:val="18"/>
          <w:color w:val="auto"/>
        </w:rPr>
        <w:t>We are extremely proud of our track record of annual dividend increases for shareholders. In January 2020, our Board of Directors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declared a quarterly dividend of $0.535 per share, equivalent to an annual dividend of $2.14 per share. This current annual equivalent rate of $2.14 per share, if declared and paid in 2020, will represent 50 consecutive years of annual dividend increases. We intend to continue our record of annual dividend increases with a targeted dividend payout ratio of 50% to 60%.</w:t>
      </w:r>
    </w:p>
    <w:p>
      <w:pPr>
        <w:spacing w:after="0" w:line="187" w:lineRule="exact"/>
        <w:rPr>
          <w:sz w:val="20"/>
          <w:szCs w:val="20"/>
          <w:color w:val="auto"/>
        </w:rPr>
      </w:pPr>
    </w:p>
    <w:p>
      <w:pPr>
        <w:spacing w:after="0" w:line="286" w:lineRule="auto"/>
        <w:rPr>
          <w:sz w:val="20"/>
          <w:szCs w:val="20"/>
          <w:color w:val="auto"/>
        </w:rPr>
      </w:pPr>
      <w:r>
        <w:rPr>
          <w:rFonts w:ascii="Arial" w:cs="Arial" w:eastAsia="Arial" w:hAnsi="Arial"/>
          <w:sz w:val="17"/>
          <w:szCs w:val="17"/>
          <w:b w:val="1"/>
          <w:bCs w:val="1"/>
          <w:i w:val="1"/>
          <w:iCs w:val="1"/>
          <w:color w:val="auto"/>
        </w:rPr>
        <w:t xml:space="preserve">Maintain an investment grade credit rating and ready access to debt and equity capital markets. </w:t>
      </w:r>
      <w:r>
        <w:rPr>
          <w:rFonts w:ascii="Arial" w:cs="Arial" w:eastAsia="Arial" w:hAnsi="Arial"/>
          <w:sz w:val="17"/>
          <w:szCs w:val="17"/>
          <w:color w:val="auto"/>
        </w:rPr>
        <w:t>We require access to the capital markets to fund our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planned capital investments or acquire strategic assets that support prudent and earnings accretive business growth. We have demonstrated our ability to cost-effectively access the debt and equity markets, while maintaining our investment-grade issuer credit rating.</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Prospective Information</w:t>
      </w:r>
    </w:p>
    <w:p>
      <w:pPr>
        <w:spacing w:after="0" w:line="229"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We expect to generate long-term growth through the expansion of integrated utilities and supporting operations. Sustained growth requires continued capital deployment. Our integrated energy portfolio, focused predominately on regulated utilities, provides growth opportunities, yet avoids concentrating business risk. We expect much of our growth in the next few years will come from the need for capital deployment at our utilities and continued focus on improving efficiencies and controlling costs. Although dependent on market conditions, we are confident in our ability to obtain additional financing, as necessary, to continue our growth plans. We remain focused on prudently managing our operations and maintaining our overall liquidity to meet our operating, capital and financing needs, as well as executing our long-term strategic plan. Prospective information for our operating segments should be read in conjunction with our business strategy discussed above, and our 2019 company highlights discussed below.</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360"/>
          </w:cols>
          <w:pgMar w:left="240" w:top="126" w:right="299" w:bottom="1440" w:gutter="0" w:footer="0" w:header="0"/>
        </w:sectPr>
      </w:pPr>
    </w:p>
    <w:bookmarkStart w:id="46" w:name="page47"/>
    <w:bookmarkEnd w:id="4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Our discussion and analysis for the year ended December 31, 2019 compared to 2018, as well as discussion and analysis of the results of operations for the year ended December 31, 2018 compared to 2017 given segment reporting changes adopted by the Company in 2019, is included herein. For further discussion and analysis that remains unchanged for the year ended December 31, 2018 compared to 2017, please refer to Item 7 of Part II, “Management’s Discussion and Analysis of Financial Condition and Results of Operations” in our Annual Report on Form 10-K for the year ended December 31, 2018, which was filed with the SEC on February 19, 2019.</w:t>
      </w:r>
    </w:p>
    <w:p>
      <w:pPr>
        <w:spacing w:after="0" w:line="18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i w:val="1"/>
          <w:iCs w:val="1"/>
          <w:color w:val="auto"/>
        </w:rPr>
        <w:t>Segment information does not include intercompany eliminations and all amounts are presented on a pre-tax basis unless otherwise indicated. Per share information references diluted shares unless otherwise noted.</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720" w:type="dxa"/>
            <w:vAlign w:val="bottom"/>
            <w:gridSpan w:val="3"/>
          </w:tcPr>
          <w:p>
            <w:pPr>
              <w:ind w:left="4860"/>
              <w:spacing w:after="0"/>
              <w:rPr>
                <w:sz w:val="20"/>
                <w:szCs w:val="20"/>
                <w:color w:val="auto"/>
              </w:rPr>
            </w:pPr>
            <w:r>
              <w:rPr>
                <w:rFonts w:ascii="Arial" w:cs="Arial" w:eastAsia="Arial" w:hAnsi="Arial"/>
                <w:sz w:val="18"/>
                <w:szCs w:val="18"/>
                <w:b w:val="1"/>
                <w:bCs w:val="1"/>
                <w:color w:val="auto"/>
                <w:w w:val="98"/>
              </w:rPr>
              <w:t>Results of Operations</w:t>
            </w:r>
          </w:p>
        </w:tc>
        <w:tc>
          <w:tcPr>
            <w:tcW w:w="2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20" w:type="dxa"/>
            <w:vAlign w:val="bottom"/>
          </w:tcPr>
          <w:p>
            <w:pPr>
              <w:spacing w:after="0"/>
              <w:rPr>
                <w:sz w:val="20"/>
                <w:szCs w:val="20"/>
                <w:color w:val="auto"/>
              </w:rPr>
            </w:pPr>
          </w:p>
        </w:tc>
      </w:tr>
      <w:tr>
        <w:trPr>
          <w:trHeight w:val="432"/>
        </w:trPr>
        <w:tc>
          <w:tcPr>
            <w:tcW w:w="5840" w:type="dxa"/>
            <w:vAlign w:val="bottom"/>
            <w:gridSpan w:val="2"/>
          </w:tcPr>
          <w:p>
            <w:pPr>
              <w:spacing w:after="0"/>
              <w:rPr>
                <w:sz w:val="20"/>
                <w:szCs w:val="20"/>
                <w:color w:val="auto"/>
              </w:rPr>
            </w:pPr>
            <w:r>
              <w:rPr>
                <w:rFonts w:ascii="Arial" w:cs="Arial" w:eastAsia="Arial" w:hAnsi="Arial"/>
                <w:sz w:val="18"/>
                <w:szCs w:val="18"/>
                <w:b w:val="1"/>
                <w:bCs w:val="1"/>
                <w:color w:val="auto"/>
              </w:rPr>
              <w:t>Consolidated Summary and Overview</w:t>
            </w: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5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40" w:type="dxa"/>
            <w:vAlign w:val="bottom"/>
            <w:gridSpan w:val="9"/>
          </w:tcPr>
          <w:p>
            <w:pPr>
              <w:jc w:val="right"/>
              <w:ind w:right="610"/>
              <w:spacing w:after="0"/>
              <w:rPr>
                <w:sz w:val="20"/>
                <w:szCs w:val="20"/>
                <w:color w:val="auto"/>
              </w:rPr>
            </w:pPr>
            <w:r>
              <w:rPr>
                <w:rFonts w:ascii="Arial" w:cs="Arial" w:eastAsia="Arial" w:hAnsi="Arial"/>
                <w:sz w:val="18"/>
                <w:szCs w:val="18"/>
                <w:color w:val="auto"/>
              </w:rPr>
              <w:t>For the Years Ended December 31,</w:t>
            </w:r>
          </w:p>
        </w:tc>
        <w:tc>
          <w:tcPr>
            <w:tcW w:w="20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58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2018</w:t>
            </w:r>
          </w:p>
        </w:tc>
        <w:tc>
          <w:tcPr>
            <w:tcW w:w="6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2017</w:t>
            </w:r>
          </w:p>
        </w:tc>
        <w:tc>
          <w:tcPr>
            <w:tcW w:w="62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58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5820" w:type="dxa"/>
            <w:vAlign w:val="bottom"/>
          </w:tcPr>
          <w:p>
            <w:pPr>
              <w:ind w:left="20"/>
              <w:spacing w:after="0"/>
              <w:rPr>
                <w:sz w:val="20"/>
                <w:szCs w:val="20"/>
                <w:color w:val="auto"/>
              </w:rPr>
            </w:pPr>
            <w:r>
              <w:rPr>
                <w:rFonts w:ascii="Arial" w:cs="Arial" w:eastAsia="Arial" w:hAnsi="Arial"/>
                <w:sz w:val="18"/>
                <w:szCs w:val="18"/>
                <w:i w:val="1"/>
                <w:iCs w:val="1"/>
                <w:color w:val="auto"/>
              </w:rPr>
              <w:t>(in millions, except per diluted share amounts)</w:t>
            </w:r>
          </w:p>
        </w:tc>
        <w:tc>
          <w:tcPr>
            <w:tcW w:w="16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840" w:type="dxa"/>
            <w:vAlign w:val="bottom"/>
            <w:gridSpan w:val="2"/>
          </w:tcPr>
          <w:p>
            <w:pPr>
              <w:ind w:left="6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4"/>
              </w:rPr>
              <w:t>Income</w:t>
            </w:r>
          </w:p>
        </w:tc>
        <w:tc>
          <w:tcPr>
            <w:tcW w:w="220" w:type="dxa"/>
            <w:vAlign w:val="bottom"/>
          </w:tcPr>
          <w:p>
            <w:pPr>
              <w:spacing w:after="0"/>
              <w:rPr>
                <w:sz w:val="20"/>
                <w:szCs w:val="20"/>
                <w:color w:val="auto"/>
              </w:rPr>
            </w:pPr>
          </w:p>
        </w:tc>
        <w:tc>
          <w:tcPr>
            <w:tcW w:w="820" w:type="dxa"/>
            <w:vAlign w:val="bottom"/>
            <w:gridSpan w:val="2"/>
          </w:tcPr>
          <w:p>
            <w:pPr>
              <w:ind w:left="40"/>
              <w:spacing w:after="0"/>
              <w:rPr>
                <w:sz w:val="20"/>
                <w:szCs w:val="20"/>
                <w:color w:val="auto"/>
              </w:rPr>
            </w:pPr>
            <w:r>
              <w:rPr>
                <w:rFonts w:ascii="Arial" w:cs="Arial" w:eastAsia="Arial" w:hAnsi="Arial"/>
                <w:sz w:val="18"/>
                <w:szCs w:val="18"/>
                <w:color w:val="auto"/>
              </w:rPr>
              <w:t>EPS</w:t>
            </w:r>
          </w:p>
        </w:tc>
        <w:tc>
          <w:tcPr>
            <w:tcW w:w="140" w:type="dxa"/>
            <w:vAlign w:val="bottom"/>
          </w:tcPr>
          <w:p>
            <w:pPr>
              <w:spacing w:after="0"/>
              <w:rPr>
                <w:sz w:val="20"/>
                <w:szCs w:val="20"/>
                <w:color w:val="auto"/>
              </w:rPr>
            </w:pPr>
          </w:p>
        </w:tc>
        <w:tc>
          <w:tcPr>
            <w:tcW w:w="740" w:type="dxa"/>
            <w:vAlign w:val="bottom"/>
          </w:tcPr>
          <w:p>
            <w:pPr>
              <w:jc w:val="right"/>
              <w:ind w:right="70"/>
              <w:spacing w:after="0"/>
              <w:rPr>
                <w:sz w:val="20"/>
                <w:szCs w:val="20"/>
                <w:color w:val="auto"/>
              </w:rPr>
            </w:pPr>
            <w:r>
              <w:rPr>
                <w:rFonts w:ascii="Arial" w:cs="Arial" w:eastAsia="Arial" w:hAnsi="Arial"/>
                <w:sz w:val="18"/>
                <w:szCs w:val="18"/>
                <w:color w:val="auto"/>
                <w:w w:val="94"/>
              </w:rPr>
              <w:t>Income</w:t>
            </w:r>
          </w:p>
        </w:tc>
        <w:tc>
          <w:tcPr>
            <w:tcW w:w="200" w:type="dxa"/>
            <w:vAlign w:val="bottom"/>
          </w:tcPr>
          <w:p>
            <w:pPr>
              <w:spacing w:after="0"/>
              <w:rPr>
                <w:sz w:val="20"/>
                <w:szCs w:val="20"/>
                <w:color w:val="auto"/>
              </w:rPr>
            </w:pPr>
          </w:p>
        </w:tc>
        <w:tc>
          <w:tcPr>
            <w:tcW w:w="620" w:type="dxa"/>
            <w:vAlign w:val="bottom"/>
          </w:tcPr>
          <w:p>
            <w:pPr>
              <w:jc w:val="right"/>
              <w:ind w:right="170"/>
              <w:spacing w:after="0"/>
              <w:rPr>
                <w:sz w:val="20"/>
                <w:szCs w:val="20"/>
                <w:color w:val="auto"/>
              </w:rPr>
            </w:pPr>
            <w:r>
              <w:rPr>
                <w:rFonts w:ascii="Arial" w:cs="Arial" w:eastAsia="Arial" w:hAnsi="Arial"/>
                <w:sz w:val="18"/>
                <w:szCs w:val="18"/>
                <w:color w:val="auto"/>
                <w:w w:val="94"/>
              </w:rPr>
              <w:t>EPS</w:t>
            </w:r>
          </w:p>
        </w:tc>
      </w:tr>
      <w:tr>
        <w:trPr>
          <w:trHeight w:val="216"/>
        </w:trPr>
        <w:tc>
          <w:tcPr>
            <w:tcW w:w="20" w:type="dxa"/>
            <w:vAlign w:val="bottom"/>
          </w:tcPr>
          <w:p>
            <w:pPr>
              <w:spacing w:after="0"/>
              <w:rPr>
                <w:sz w:val="18"/>
                <w:szCs w:val="18"/>
                <w:color w:val="auto"/>
              </w:rPr>
            </w:pPr>
          </w:p>
        </w:tc>
        <w:tc>
          <w:tcPr>
            <w:tcW w:w="5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from continuing operations available for common stock</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265.3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4.78</w:t>
            </w:r>
          </w:p>
        </w:tc>
        <w:tc>
          <w:tcPr>
            <w:tcW w:w="22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3.52</w:t>
            </w:r>
          </w:p>
        </w:tc>
      </w:tr>
      <w:tr>
        <w:trPr>
          <w:trHeight w:val="243"/>
        </w:trPr>
        <w:tc>
          <w:tcPr>
            <w:tcW w:w="20" w:type="dxa"/>
            <w:vAlign w:val="bottom"/>
          </w:tcPr>
          <w:p>
            <w:pPr>
              <w:spacing w:after="0"/>
              <w:rPr>
                <w:sz w:val="21"/>
                <w:szCs w:val="21"/>
                <w:color w:val="auto"/>
              </w:rPr>
            </w:pPr>
          </w:p>
        </w:tc>
        <w:tc>
          <w:tcPr>
            <w:tcW w:w="582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1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(6.9)</w:t>
            </w:r>
          </w:p>
        </w:tc>
        <w:tc>
          <w:tcPr>
            <w:tcW w:w="22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(0.12)</w:t>
            </w:r>
          </w:p>
        </w:tc>
        <w:tc>
          <w:tcPr>
            <w:tcW w:w="2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(17.1)</w:t>
            </w:r>
          </w:p>
        </w:tc>
        <w:tc>
          <w:tcPr>
            <w:tcW w:w="2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(0.31)</w:t>
            </w:r>
          </w:p>
        </w:tc>
      </w:tr>
      <w:tr>
        <w:trPr>
          <w:trHeight w:val="27"/>
        </w:trPr>
        <w:tc>
          <w:tcPr>
            <w:tcW w:w="20" w:type="dxa"/>
            <w:vAlign w:val="bottom"/>
          </w:tcPr>
          <w:p>
            <w:pPr>
              <w:spacing w:after="0"/>
              <w:rPr>
                <w:sz w:val="2"/>
                <w:szCs w:val="2"/>
                <w:color w:val="auto"/>
              </w:rPr>
            </w:pPr>
          </w:p>
        </w:tc>
        <w:tc>
          <w:tcPr>
            <w:tcW w:w="582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58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199.3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3.28</w:t>
            </w:r>
          </w:p>
        </w:tc>
        <w:tc>
          <w:tcPr>
            <w:tcW w:w="2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258.4</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4.66</w:t>
            </w:r>
          </w:p>
        </w:tc>
        <w:tc>
          <w:tcPr>
            <w:tcW w:w="220" w:type="dxa"/>
            <w:vAlign w:val="bottom"/>
            <w:tcBorders>
              <w:bottom w:val="single" w:sz="8" w:color="CEFFE7"/>
            </w:tcBorders>
            <w:shd w:val="clear" w:color="auto" w:fill="CEFFE7"/>
          </w:tcPr>
          <w:p>
            <w:pPr>
              <w:spacing w:after="0"/>
              <w:rPr>
                <w:sz w:val="22"/>
                <w:szCs w:val="22"/>
                <w:color w:val="auto"/>
              </w:rPr>
            </w:pP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177.0</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3.21</w:t>
            </w:r>
          </w:p>
        </w:tc>
      </w:tr>
      <w:tr>
        <w:trPr>
          <w:trHeight w:val="20"/>
        </w:trPr>
        <w:tc>
          <w:tcPr>
            <w:tcW w:w="20" w:type="dxa"/>
            <w:vAlign w:val="bottom"/>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2019 Compared to 2018</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to the prior year included the following:</w:t>
      </w:r>
    </w:p>
    <w:p>
      <w:pPr>
        <w:spacing w:after="0" w:line="225" w:lineRule="exact"/>
        <w:rPr>
          <w:sz w:val="20"/>
          <w:szCs w:val="20"/>
          <w:color w:val="auto"/>
        </w:rPr>
      </w:pPr>
    </w:p>
    <w:p>
      <w:pPr>
        <w:ind w:left="660" w:right="100" w:hanging="328"/>
        <w:spacing w:after="0" w:line="291"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Electric Utilities’ adjusted operating income increased $4.4 million due to reduced purchased power capacity costs, increased rider revenues and the prior year Wyoming Electric PCA settlement partially offset by higher operating expenses driven by outside services and employee costs;</w:t>
      </w:r>
    </w:p>
    <w:p>
      <w:pPr>
        <w:ind w:left="660" w:right="3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Gas Utilities’ adjusted operating income increased $4.7 million primarily due to new customer rates and rider revenues, customer growth and increased transport and transmission driven by increased volumes from new and existing customers partially offset by higher operating expenses driven by outside services and employee costs;</w:t>
      </w:r>
    </w:p>
    <w:p>
      <w:pPr>
        <w:spacing w:after="0" w:line="1" w:lineRule="exact"/>
        <w:rPr>
          <w:rFonts w:ascii="Arial" w:cs="Arial" w:eastAsia="Arial" w:hAnsi="Arial"/>
          <w:sz w:val="18"/>
          <w:szCs w:val="18"/>
          <w:color w:val="auto"/>
        </w:rPr>
      </w:pPr>
    </w:p>
    <w:p>
      <w:pPr>
        <w:ind w:left="660" w:right="28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Power Generation’s adjusted operating income increased $2.2 million primarily due to higher revenue from increased wind MWh sold and higher PPA pricing partially offset by higher depreciation and property taxes from new wind assets;</w:t>
      </w:r>
    </w:p>
    <w:p>
      <w:pPr>
        <w:ind w:left="660" w:right="34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Mining’s adjusted operating income decreased $3.7 million primarily due to lower tons sold driven by planned and unplanned generating facility outages partially offset by lower operating expenses;</w:t>
      </w:r>
    </w:p>
    <w:p>
      <w:pPr>
        <w:ind w:left="660" w:right="820" w:hanging="328"/>
        <w:spacing w:after="0" w:line="250"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Corporate and Other expenses decreased $1.4 million primarily due to prior year expenses related to the oil and gas segment that were not reclassified to discontinued operations;</w:t>
      </w: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 $20 million pre-tax non-cash impairment in 2019 of our investment in equity securities of a privately held oil and gas company;</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We expensed $5.4 million of development costs related to projects we no longer intend to construct; and</w:t>
      </w:r>
    </w:p>
    <w:p>
      <w:pPr>
        <w:spacing w:after="0" w:line="9" w:lineRule="exact"/>
        <w:rPr>
          <w:rFonts w:ascii="Arial" w:cs="Arial" w:eastAsia="Arial" w:hAnsi="Arial"/>
          <w:sz w:val="18"/>
          <w:szCs w:val="18"/>
          <w:color w:val="auto"/>
        </w:rPr>
      </w:pPr>
    </w:p>
    <w:p>
      <w:pPr>
        <w:ind w:left="660" w:right="20" w:hanging="328"/>
        <w:spacing w:after="0" w:line="255" w:lineRule="auto"/>
        <w:tabs>
          <w:tab w:leader="none" w:pos="6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Increased tax expense of $53 million primarily due to a prior year $73 million tax benefit resulting from legal entity restructuring partially offset by a prior year $4.0 million income tax expense associated with changes in the previously estimated impact of tax reform on deferred income taxes and current year $5.9 million federal PTCs and related state ITCs associated with new wind assets.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126" w:right="239" w:bottom="1440" w:gutter="0" w:footer="0" w:header="0"/>
        </w:sectPr>
      </w:pPr>
    </w:p>
    <w:bookmarkStart w:id="47" w:name="page48"/>
    <w:bookmarkEnd w:id="4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2018 Compared to 2017</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variance when comparing 2018 to 2017 included the following:</w:t>
      </w:r>
    </w:p>
    <w:p>
      <w:pPr>
        <w:spacing w:after="0" w:line="225" w:lineRule="exact"/>
        <w:rPr>
          <w:sz w:val="20"/>
          <w:szCs w:val="20"/>
          <w:color w:val="auto"/>
        </w:rPr>
      </w:pPr>
    </w:p>
    <w:p>
      <w:pPr>
        <w:ind w:left="660" w:right="460" w:hanging="328"/>
        <w:spacing w:after="0" w:line="258"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Electric Utilities’ adjusted operating income decreased $21.9 million due to TCJA benefits delivered to customers, the Wyoming Electric PCA settlement and higher operating expenses partially offset by increased rider revenues and favorable weather;</w:t>
      </w:r>
    </w:p>
    <w:p>
      <w:pPr>
        <w:spacing w:after="0" w:line="1" w:lineRule="exact"/>
        <w:rPr>
          <w:rFonts w:ascii="Arial" w:cs="Arial" w:eastAsia="Arial" w:hAnsi="Arial"/>
          <w:sz w:val="18"/>
          <w:szCs w:val="18"/>
          <w:color w:val="auto"/>
        </w:rPr>
      </w:pPr>
    </w:p>
    <w:p>
      <w:pPr>
        <w:ind w:left="660" w:right="280" w:hanging="328"/>
        <w:spacing w:after="0" w:line="265" w:lineRule="auto"/>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Gas Utilities’ adjusted operating income increased $0.1 million primarily due to colder winter weather, new customer rates, customer growth and increased transport and transmission offset by TCJA benefits delivered to customers and higher operating expenses;</w:t>
      </w:r>
    </w:p>
    <w:p>
      <w:pPr>
        <w:ind w:left="660" w:hanging="328"/>
        <w:spacing w:after="0"/>
        <w:tabs>
          <w:tab w:leader="none" w:pos="6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Power Generation’s adjusted operating income decreased $4.1 million primarily due to a decrease in MWh sold and higher operating expenses;</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Mining’s adjusted operating income increased $2.8 million primarily due to increase in price per ton sold and lower operating expenses;</w:t>
      </w:r>
    </w:p>
    <w:p>
      <w:pPr>
        <w:spacing w:after="0" w:line="20" w:lineRule="exact"/>
        <w:rPr>
          <w:rFonts w:ascii="Arial" w:cs="Arial" w:eastAsia="Arial" w:hAnsi="Arial"/>
          <w:sz w:val="17"/>
          <w:szCs w:val="17"/>
          <w:color w:val="auto"/>
        </w:rPr>
      </w:pPr>
    </w:p>
    <w:p>
      <w:pPr>
        <w:ind w:left="660" w:hanging="328"/>
        <w:spacing w:after="0"/>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Corporate and Other expenses decreased $3.3 million primarily due to prior year acquisition costs; and</w:t>
      </w:r>
    </w:p>
    <w:p>
      <w:pPr>
        <w:spacing w:after="0" w:line="9" w:lineRule="exact"/>
        <w:rPr>
          <w:rFonts w:ascii="Arial" w:cs="Arial" w:eastAsia="Arial" w:hAnsi="Arial"/>
          <w:sz w:val="18"/>
          <w:szCs w:val="18"/>
          <w:color w:val="auto"/>
        </w:rPr>
      </w:pPr>
    </w:p>
    <w:p>
      <w:pPr>
        <w:ind w:left="660" w:right="120" w:hanging="328"/>
        <w:spacing w:after="0" w:line="261" w:lineRule="auto"/>
        <w:tabs>
          <w:tab w:leader="none" w:pos="6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tax benefit of $97 million primarily due to a $73 million tax benefit resulting from legal entity restructuring and a reduction in the federal corporate income tax rate from 35% to 21% from the TCJA, effective January 1,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select financial results by operating segment and details significant items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620" w:type="dxa"/>
            <w:vAlign w:val="bottom"/>
            <w:gridSpan w:val="5"/>
          </w:tcPr>
          <w:p>
            <w:pPr>
              <w:jc w:val="right"/>
              <w:ind w:right="570"/>
              <w:spacing w:after="0"/>
              <w:rPr>
                <w:sz w:val="20"/>
                <w:szCs w:val="20"/>
                <w:color w:val="auto"/>
              </w:rPr>
            </w:pPr>
            <w:r>
              <w:rPr>
                <w:rFonts w:ascii="Arial" w:cs="Arial" w:eastAsia="Arial" w:hAnsi="Arial"/>
                <w:sz w:val="18"/>
                <w:szCs w:val="18"/>
                <w:color w:val="auto"/>
              </w:rPr>
              <w:t>For the Years Ended December 31,</w:t>
            </w: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76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40" w:type="dxa"/>
            <w:vAlign w:val="bottom"/>
          </w:tcPr>
          <w:p>
            <w:pPr>
              <w:jc w:val="right"/>
              <w:ind w:right="39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3"/>
                <w:szCs w:val="23"/>
                <w:color w:val="auto"/>
              </w:rPr>
            </w:pPr>
          </w:p>
        </w:tc>
        <w:tc>
          <w:tcPr>
            <w:tcW w:w="1120" w:type="dxa"/>
            <w:vAlign w:val="bottom"/>
          </w:tcPr>
          <w:p>
            <w:pPr>
              <w:jc w:val="right"/>
              <w:ind w:right="270"/>
              <w:spacing w:after="0"/>
              <w:rPr>
                <w:sz w:val="20"/>
                <w:szCs w:val="20"/>
                <w:color w:val="auto"/>
              </w:rPr>
            </w:pPr>
            <w:r>
              <w:rPr>
                <w:rFonts w:ascii="Arial" w:cs="Arial" w:eastAsia="Arial" w:hAnsi="Arial"/>
                <w:sz w:val="18"/>
                <w:szCs w:val="18"/>
                <w:color w:val="auto"/>
              </w:rPr>
              <w:t>Variance</w:t>
            </w:r>
          </w:p>
        </w:tc>
        <w:tc>
          <w:tcPr>
            <w:tcW w:w="320" w:type="dxa"/>
            <w:vAlign w:val="bottom"/>
          </w:tcPr>
          <w:p>
            <w:pPr>
              <w:spacing w:after="0"/>
              <w:rPr>
                <w:sz w:val="23"/>
                <w:szCs w:val="23"/>
                <w:color w:val="auto"/>
              </w:rPr>
            </w:pPr>
          </w:p>
        </w:tc>
        <w:tc>
          <w:tcPr>
            <w:tcW w:w="104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200" w:type="dxa"/>
            <w:vAlign w:val="bottom"/>
          </w:tcPr>
          <w:p>
            <w:pPr>
              <w:spacing w:after="0"/>
              <w:rPr>
                <w:sz w:val="23"/>
                <w:szCs w:val="23"/>
                <w:color w:val="auto"/>
              </w:rPr>
            </w:pPr>
          </w:p>
        </w:tc>
        <w:tc>
          <w:tcPr>
            <w:tcW w:w="940" w:type="dxa"/>
            <w:vAlign w:val="bottom"/>
          </w:tcPr>
          <w:p>
            <w:pPr>
              <w:jc w:val="right"/>
              <w:ind w:right="170"/>
              <w:spacing w:after="0"/>
              <w:rPr>
                <w:sz w:val="20"/>
                <w:szCs w:val="20"/>
                <w:color w:val="auto"/>
              </w:rPr>
            </w:pPr>
            <w:r>
              <w:rPr>
                <w:rFonts w:ascii="Arial" w:cs="Arial" w:eastAsia="Arial" w:hAnsi="Arial"/>
                <w:sz w:val="18"/>
                <w:szCs w:val="18"/>
                <w:color w:val="auto"/>
                <w:w w:val="92"/>
              </w:rPr>
              <w:t>Variance</w:t>
            </w:r>
          </w:p>
        </w:tc>
        <w:tc>
          <w:tcPr>
            <w:tcW w:w="320" w:type="dxa"/>
            <w:vAlign w:val="bottom"/>
          </w:tcPr>
          <w:p>
            <w:pPr>
              <w:spacing w:after="0"/>
              <w:rPr>
                <w:sz w:val="23"/>
                <w:szCs w:val="23"/>
                <w:color w:val="auto"/>
              </w:rPr>
            </w:pPr>
          </w:p>
        </w:tc>
        <w:tc>
          <w:tcPr>
            <w:tcW w:w="1060" w:type="dxa"/>
            <w:vAlign w:val="bottom"/>
          </w:tcPr>
          <w:p>
            <w:pPr>
              <w:jc w:val="right"/>
              <w:ind w:right="430"/>
              <w:spacing w:after="0"/>
              <w:rPr>
                <w:sz w:val="20"/>
                <w:szCs w:val="20"/>
                <w:color w:val="auto"/>
              </w:rPr>
            </w:pPr>
            <w:r>
              <w:rPr>
                <w:rFonts w:ascii="Arial" w:cs="Arial" w:eastAsia="Arial" w:hAnsi="Arial"/>
                <w:sz w:val="18"/>
                <w:szCs w:val="18"/>
                <w:color w:val="auto"/>
              </w:rPr>
              <w:t>2017</w:t>
            </w:r>
          </w:p>
        </w:tc>
      </w:tr>
      <w:tr>
        <w:trPr>
          <w:trHeight w:val="27"/>
        </w:trPr>
        <w:tc>
          <w:tcPr>
            <w:tcW w:w="476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47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360" w:type="dxa"/>
            <w:vAlign w:val="bottom"/>
            <w:gridSpan w:val="2"/>
          </w:tcPr>
          <w:p>
            <w:pPr>
              <w:jc w:val="right"/>
              <w:ind w:right="170"/>
              <w:spacing w:after="0"/>
              <w:rPr>
                <w:sz w:val="20"/>
                <w:szCs w:val="20"/>
                <w:color w:val="auto"/>
              </w:rPr>
            </w:pPr>
            <w:r>
              <w:rPr>
                <w:rFonts w:ascii="Arial" w:cs="Arial" w:eastAsia="Arial" w:hAnsi="Arial"/>
                <w:sz w:val="18"/>
                <w:szCs w:val="18"/>
                <w:color w:val="auto"/>
                <w:w w:val="94"/>
              </w:rPr>
              <w:t>(in thousands)</w:t>
            </w:r>
          </w:p>
        </w:tc>
        <w:tc>
          <w:tcPr>
            <w:tcW w:w="2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i w:val="1"/>
                <w:iCs w:val="1"/>
                <w:color w:val="auto"/>
              </w:rPr>
              <w:t>Revenue</w:t>
            </w:r>
          </w:p>
        </w:tc>
        <w:tc>
          <w:tcPr>
            <w:tcW w:w="3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Revenue</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1,885,669</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(11,573)</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1,897,242</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83,721</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1,813,521</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Intercompany eliminations</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(150,769)</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(7,795)</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(142,974)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(9,719)</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(133,255)</w:t>
            </w:r>
          </w:p>
        </w:tc>
      </w:tr>
      <w:tr>
        <w:trPr>
          <w:trHeight w:val="27"/>
        </w:trPr>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9"/>
        </w:trPr>
        <w:tc>
          <w:tcPr>
            <w:tcW w:w="476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1,734,900</w:t>
            </w:r>
          </w:p>
        </w:tc>
        <w:tc>
          <w:tcPr>
            <w:tcW w:w="2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(19,368)</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1,754,268</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74,002</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1,680,266</w:t>
            </w:r>
          </w:p>
        </w:tc>
      </w:tr>
      <w:tr>
        <w:trPr>
          <w:trHeight w:val="20"/>
        </w:trPr>
        <w:tc>
          <w:tcPr>
            <w:tcW w:w="476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64"/>
        </w:trPr>
        <w:tc>
          <w:tcPr>
            <w:tcW w:w="47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270"/>
        </w:trPr>
        <w:tc>
          <w:tcPr>
            <w:tcW w:w="47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i w:val="1"/>
                <w:iCs w:val="1"/>
                <w:color w:val="auto"/>
              </w:rPr>
              <w:t xml:space="preserve">Adjusted operating income </w:t>
            </w:r>
            <w:r>
              <w:rPr>
                <w:rFonts w:ascii="Arial" w:cs="Arial" w:eastAsia="Arial" w:hAnsi="Arial"/>
                <w:sz w:val="25"/>
                <w:szCs w:val="25"/>
                <w:i w:val="1"/>
                <w:iCs w:val="1"/>
                <w:color w:val="auto"/>
                <w:vertAlign w:val="superscript"/>
              </w:rPr>
              <w:t>(a)</w:t>
            </w:r>
          </w:p>
        </w:tc>
        <w:tc>
          <w:tcPr>
            <w:tcW w:w="30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260" w:type="dxa"/>
            <w:vAlign w:val="bottom"/>
            <w:shd w:val="clear" w:color="auto" w:fill="CEFFE7"/>
          </w:tcPr>
          <w:p>
            <w:pPr>
              <w:spacing w:after="0"/>
              <w:rPr>
                <w:sz w:val="23"/>
                <w:szCs w:val="23"/>
                <w:color w:val="auto"/>
              </w:rPr>
            </w:pPr>
          </w:p>
        </w:tc>
        <w:tc>
          <w:tcPr>
            <w:tcW w:w="112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040" w:type="dxa"/>
            <w:vAlign w:val="bottom"/>
            <w:shd w:val="clear" w:color="auto" w:fill="CEFFE7"/>
          </w:tcPr>
          <w:p>
            <w:pPr>
              <w:spacing w:after="0"/>
              <w:rPr>
                <w:sz w:val="23"/>
                <w:szCs w:val="23"/>
                <w:color w:val="auto"/>
              </w:rPr>
            </w:pPr>
          </w:p>
        </w:tc>
        <w:tc>
          <w:tcPr>
            <w:tcW w:w="200" w:type="dxa"/>
            <w:vAlign w:val="bottom"/>
            <w:shd w:val="clear" w:color="auto" w:fill="CEFFE7"/>
          </w:tcPr>
          <w:p>
            <w:pPr>
              <w:spacing w:after="0"/>
              <w:rPr>
                <w:sz w:val="23"/>
                <w:szCs w:val="23"/>
                <w:color w:val="auto"/>
              </w:rPr>
            </w:pPr>
          </w:p>
        </w:tc>
        <w:tc>
          <w:tcPr>
            <w:tcW w:w="94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1060" w:type="dxa"/>
            <w:vAlign w:val="bottom"/>
            <w:shd w:val="clear" w:color="auto" w:fill="CEFFE7"/>
          </w:tcPr>
          <w:p>
            <w:pPr>
              <w:spacing w:after="0"/>
              <w:rPr>
                <w:sz w:val="23"/>
                <w:szCs w:val="23"/>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Electric Utilities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160,297</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4,428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155,869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(21,868)</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177,737</w:t>
            </w: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Gas Utilities</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189,971</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4,732</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185,239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134</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185,105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Power Generation</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44,779</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2,165</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42,614</w:t>
            </w: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(4,076)</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46,690</w:t>
            </w: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Mining</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12,627</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(3,713)</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16,340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2,840</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13,500</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Corporate and Other</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(1,632)</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1,393</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(3,025)</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3,271</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(6,296)</w:t>
            </w:r>
          </w:p>
        </w:tc>
      </w:tr>
      <w:tr>
        <w:trPr>
          <w:trHeight w:val="27"/>
        </w:trPr>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4760" w:type="dxa"/>
            <w:vAlign w:val="bottom"/>
            <w:tcBorders>
              <w:bottom w:val="single" w:sz="8" w:color="CEFFE7"/>
            </w:tcBorders>
            <w:shd w:val="clear" w:color="auto" w:fill="CEFFE7"/>
          </w:tcPr>
          <w:p>
            <w:pPr>
              <w:spacing w:after="0"/>
              <w:rPr>
                <w:sz w:val="22"/>
                <w:szCs w:val="22"/>
                <w:color w:val="auto"/>
              </w:rPr>
            </w:pPr>
          </w:p>
        </w:tc>
        <w:tc>
          <w:tcPr>
            <w:tcW w:w="30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406,042</w:t>
            </w:r>
          </w:p>
        </w:tc>
        <w:tc>
          <w:tcPr>
            <w:tcW w:w="2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9,005</w:t>
            </w:r>
          </w:p>
        </w:tc>
        <w:tc>
          <w:tcPr>
            <w:tcW w:w="320" w:type="dxa"/>
            <w:vAlign w:val="bottom"/>
            <w:tcBorders>
              <w:bottom w:val="single" w:sz="8" w:color="CEFFE7"/>
            </w:tcBorders>
            <w:shd w:val="clear" w:color="auto" w:fill="CEFFE7"/>
          </w:tcPr>
          <w:p>
            <w:pPr>
              <w:spacing w:after="0"/>
              <w:rPr>
                <w:sz w:val="22"/>
                <w:szCs w:val="22"/>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397,037</w:t>
            </w:r>
          </w:p>
        </w:tc>
        <w:tc>
          <w:tcPr>
            <w:tcW w:w="200" w:type="dxa"/>
            <w:vAlign w:val="bottom"/>
            <w:tcBorders>
              <w:bottom w:val="single" w:sz="8" w:color="CEFFE7"/>
            </w:tcBorders>
            <w:shd w:val="clear" w:color="auto" w:fill="CEFFE7"/>
          </w:tcPr>
          <w:p>
            <w:pPr>
              <w:spacing w:after="0"/>
              <w:rPr>
                <w:sz w:val="22"/>
                <w:szCs w:val="22"/>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(19,699)</w:t>
            </w:r>
          </w:p>
        </w:tc>
        <w:tc>
          <w:tcPr>
            <w:tcW w:w="320" w:type="dxa"/>
            <w:vAlign w:val="bottom"/>
            <w:tcBorders>
              <w:bottom w:val="single" w:sz="8" w:color="CEFFE7"/>
            </w:tcBorders>
            <w:shd w:val="clear" w:color="auto" w:fill="CEFFE7"/>
          </w:tcPr>
          <w:p>
            <w:pPr>
              <w:spacing w:after="0"/>
              <w:rPr>
                <w:sz w:val="22"/>
                <w:szCs w:val="22"/>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416,736</w:t>
            </w:r>
          </w:p>
        </w:tc>
      </w:tr>
      <w:tr>
        <w:trPr>
          <w:trHeight w:val="277"/>
        </w:trPr>
        <w:tc>
          <w:tcPr>
            <w:tcW w:w="476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r>
      <w:tr>
        <w:trPr>
          <w:trHeight w:val="250"/>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(137,659)</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2,316</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(139,975)</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(2,873)</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(137,102)</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(19,741)</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(19,741)</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47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(5,740)</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(4,560)</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(1,180)</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(3,288)</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2,108</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(29,580)</w:t>
            </w: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(53,247)</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23,667</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97,034</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(73,367)</w:t>
            </w:r>
          </w:p>
        </w:tc>
      </w:tr>
      <w:tr>
        <w:trPr>
          <w:trHeight w:val="27"/>
        </w:trPr>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Income from continuing operations</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213,322</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(66,227)</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279,549</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71,174</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208,375</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(Loss) from discontinued operations, net of tax</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6,887</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(6,887)</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10,212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(17,099)</w:t>
            </w:r>
          </w:p>
        </w:tc>
      </w:tr>
      <w:tr>
        <w:trPr>
          <w:trHeight w:val="27"/>
        </w:trPr>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4"/>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213,322</w:t>
            </w:r>
          </w:p>
        </w:tc>
        <w:tc>
          <w:tcPr>
            <w:tcW w:w="2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(59,340)</w:t>
            </w:r>
          </w:p>
        </w:tc>
        <w:tc>
          <w:tcPr>
            <w:tcW w:w="32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272,662</w:t>
            </w:r>
          </w:p>
        </w:tc>
        <w:tc>
          <w:tcPr>
            <w:tcW w:w="20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81,386</w:t>
            </w:r>
          </w:p>
        </w:tc>
        <w:tc>
          <w:tcPr>
            <w:tcW w:w="3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191,276</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Net income attributable to noncontrolling interest</w:t>
            </w:r>
          </w:p>
        </w:tc>
        <w:tc>
          <w:tcPr>
            <w:tcW w:w="3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(14,012)</w:t>
            </w:r>
          </w:p>
        </w:tc>
        <w:tc>
          <w:tcPr>
            <w:tcW w:w="2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208</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(14,220)</w:t>
            </w:r>
          </w:p>
        </w:tc>
        <w:tc>
          <w:tcPr>
            <w:tcW w:w="200" w:type="dxa"/>
            <w:vAlign w:val="bottom"/>
          </w:tcPr>
          <w:p>
            <w:pPr>
              <w:spacing w:after="0"/>
              <w:rPr>
                <w:sz w:val="21"/>
                <w:szCs w:val="21"/>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(14,242)</w:t>
            </w:r>
          </w:p>
        </w:tc>
      </w:tr>
      <w:tr>
        <w:trPr>
          <w:trHeight w:val="27"/>
        </w:trPr>
        <w:tc>
          <w:tcPr>
            <w:tcW w:w="4760" w:type="dxa"/>
            <w:vAlign w:val="bottom"/>
            <w:tcBorders>
              <w:bottom w:val="single" w:sz="8" w:color="CEFFE7"/>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57"/>
        </w:trPr>
        <w:tc>
          <w:tcPr>
            <w:tcW w:w="47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199,310</w:t>
            </w:r>
          </w:p>
        </w:tc>
        <w:tc>
          <w:tcPr>
            <w:tcW w:w="2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(59,132)</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258,442</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81,408</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177,034</w:t>
            </w:r>
          </w:p>
        </w:tc>
      </w:tr>
      <w:tr>
        <w:trPr>
          <w:trHeight w:val="20"/>
        </w:trPr>
        <w:tc>
          <w:tcPr>
            <w:tcW w:w="4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3" w:lineRule="exact"/>
        <w:rPr>
          <w:sz w:val="20"/>
          <w:szCs w:val="20"/>
          <w:color w:val="auto"/>
        </w:rPr>
      </w:pPr>
    </w:p>
    <w:p>
      <w:pPr>
        <w:ind w:left="340" w:right="60" w:hanging="332"/>
        <w:spacing w:after="0" w:line="263" w:lineRule="auto"/>
        <w:tabs>
          <w:tab w:leader="none" w:pos="3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 xml:space="preserve">In 2019, we changed our measure of segment performance to adjusted operating income, which impacted our segment disclosures for all periods presented. See </w:t>
      </w:r>
      <w:hyperlink w:anchor="page98">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for more information.</w:t>
      </w:r>
    </w:p>
    <w:p>
      <w:pPr>
        <w:spacing w:after="0" w:line="200" w:lineRule="exact"/>
        <w:rPr>
          <w:sz w:val="20"/>
          <w:szCs w:val="20"/>
          <w:color w:val="auto"/>
        </w:rPr>
      </w:pP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126" w:right="259" w:bottom="1440" w:gutter="0" w:footer="0" w:header="0"/>
        </w:sectPr>
      </w:pPr>
    </w:p>
    <w:bookmarkStart w:id="48" w:name="page49"/>
    <w:bookmarkEnd w:id="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2019 Overview of Business Segments and Corporate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Electric Utilities</w:t>
      </w:r>
    </w:p>
    <w:p>
      <w:pPr>
        <w:spacing w:after="0" w:line="225" w:lineRule="exact"/>
        <w:rPr>
          <w:sz w:val="20"/>
          <w:szCs w:val="20"/>
          <w:color w:val="auto"/>
        </w:rPr>
      </w:pPr>
    </w:p>
    <w:p>
      <w:pPr>
        <w:ind w:left="660" w:right="80" w:hanging="328"/>
        <w:spacing w:after="0" w:line="276" w:lineRule="auto"/>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On December 13, 2019, Colorado Electric issued a request for proposals for its Renewable Advantage program, to potentially add up to 200 MW of renewable energy to its southern Colorado system. A competitive solicitation process for the addition of cost-effective, utility-scale renewable energy projects includes wind, solar and battery storage to supplement existing natural gas and wind generation power supplies Bidders have until February 15, 2020, to submit proposals, which will be reviewed by an independent evaluator overseen by the CPUC. Based on the outcome of the bidding process, projects would be placed in service no later than 2023.</w:t>
      </w:r>
    </w:p>
    <w:p>
      <w:pPr>
        <w:spacing w:after="0" w:line="172" w:lineRule="exact"/>
        <w:rPr>
          <w:rFonts w:ascii="Arial" w:cs="Arial" w:eastAsia="Arial" w:hAnsi="Arial"/>
          <w:sz w:val="17"/>
          <w:szCs w:val="17"/>
          <w:color w:val="auto"/>
        </w:rPr>
      </w:pPr>
    </w:p>
    <w:p>
      <w:pPr>
        <w:ind w:left="660" w:right="40" w:hanging="328"/>
        <w:spacing w:after="0" w:line="257"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July 2019, South Dakota Electric and Wyoming Electric received approvals for the Renewable Ready program and related jointly-filed CPCN to construct Corriedale. The wind project will be jointly owned by the two electric utilities to deliver renewable energy for large commercial, industrial and governmental agency customers. In November 2019, South Dakota Electric received approval from the SDPUC to increase the offering under the program by 12.5 MW. The two electric utilities also received a determination from the WPSC to increase the project to 52.5 MW. The $79 million project is expected to be in service by year-end 2020.</w:t>
      </w:r>
    </w:p>
    <w:p>
      <w:pPr>
        <w:spacing w:after="0" w:line="188" w:lineRule="exact"/>
        <w:rPr>
          <w:rFonts w:ascii="Arial" w:cs="Arial" w:eastAsia="Arial" w:hAnsi="Arial"/>
          <w:sz w:val="18"/>
          <w:szCs w:val="18"/>
          <w:color w:val="auto"/>
        </w:rPr>
      </w:pPr>
    </w:p>
    <w:p>
      <w:pPr>
        <w:ind w:left="660" w:right="160" w:hanging="328"/>
        <w:spacing w:after="0" w:line="264" w:lineRule="auto"/>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On September 17, 2019, South Dakota Electric completed construction on the final 94-mile segment of a 175-mile electric transmission line from Rapid City, South Dakota, to Stegall, Nebraska. The first 48-mile segment was placed in service on July 25, 2018, and the second 33-mile segment was placed in service on November 20, 2018.</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Colorado Electric set a new all-time and summer peak load:</w:t>
      </w:r>
    </w:p>
    <w:p>
      <w:pPr>
        <w:spacing w:after="0" w:line="225" w:lineRule="exact"/>
        <w:rPr>
          <w:rFonts w:ascii="Arial" w:cs="Arial" w:eastAsia="Arial" w:hAnsi="Arial"/>
          <w:sz w:val="18"/>
          <w:szCs w:val="18"/>
          <w:color w:val="auto"/>
        </w:rPr>
      </w:pPr>
    </w:p>
    <w:p>
      <w:pPr>
        <w:ind w:left="1300" w:right="18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July 19, 2019, Colorado Electric set a new all-time and summer peak load of 422 MW, exceeding the previous peak of 413 MW set in June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Wyoming Electric set a new all-time and summer peak load, and also set a new winter peak load:</w:t>
      </w:r>
    </w:p>
    <w:p>
      <w:pPr>
        <w:spacing w:after="0" w:line="225" w:lineRule="exact"/>
        <w:rPr>
          <w:rFonts w:ascii="Arial" w:cs="Arial" w:eastAsia="Arial" w:hAnsi="Arial"/>
          <w:sz w:val="18"/>
          <w:szCs w:val="18"/>
          <w:color w:val="auto"/>
        </w:rPr>
      </w:pPr>
    </w:p>
    <w:p>
      <w:pPr>
        <w:ind w:left="1300" w:right="14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July 19, 2019, Wyoming Electric set a new all-time and summer peak load of 265 MW, exceeding the previous peak of 254 MW set in July 2018.</w:t>
      </w:r>
    </w:p>
    <w:p>
      <w:pPr>
        <w:spacing w:after="0" w:line="170" w:lineRule="exact"/>
        <w:rPr>
          <w:rFonts w:ascii="Arial" w:cs="Arial" w:eastAsia="Arial" w:hAnsi="Arial"/>
          <w:sz w:val="18"/>
          <w:szCs w:val="18"/>
          <w:color w:val="auto"/>
        </w:rPr>
      </w:pPr>
    </w:p>
    <w:p>
      <w:pPr>
        <w:ind w:left="1300" w:right="740" w:hanging="320"/>
        <w:spacing w:after="0" w:line="277" w:lineRule="auto"/>
        <w:tabs>
          <w:tab w:leader="none" w:pos="1300" w:val="left"/>
        </w:tabs>
        <w:numPr>
          <w:ilvl w:val="1"/>
          <w:numId w:val="33"/>
        </w:numPr>
        <w:rPr>
          <w:rFonts w:ascii="Arial" w:cs="Arial" w:eastAsia="Arial" w:hAnsi="Arial"/>
          <w:sz w:val="18"/>
          <w:szCs w:val="18"/>
          <w:color w:val="auto"/>
        </w:rPr>
      </w:pPr>
      <w:r>
        <w:rPr>
          <w:rFonts w:ascii="Arial" w:cs="Arial" w:eastAsia="Arial" w:hAnsi="Arial"/>
          <w:sz w:val="18"/>
          <w:szCs w:val="18"/>
          <w:color w:val="auto"/>
        </w:rPr>
        <w:t>On December 16, 2019, Wyoming Electric set a new winter peak load of 247 MW, exceeding the previous peak of 238 MW set in December 2018.</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Cooling degree days for the year ended December 31, 2019 were 14% higher than the normal compared to 29% higher than normal in 2018.</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33"/>
        </w:numPr>
        <w:rPr>
          <w:rFonts w:ascii="Arial" w:cs="Arial" w:eastAsia="Arial" w:hAnsi="Arial"/>
          <w:sz w:val="18"/>
          <w:szCs w:val="18"/>
          <w:color w:val="auto"/>
        </w:rPr>
      </w:pPr>
      <w:r>
        <w:rPr>
          <w:rFonts w:ascii="Arial" w:cs="Arial" w:eastAsia="Arial" w:hAnsi="Arial"/>
          <w:sz w:val="18"/>
          <w:szCs w:val="18"/>
          <w:color w:val="auto"/>
        </w:rPr>
        <w:t>Heating degree days for the year ended December 31, 2019 were 5% higher than normal compared to 3% higher than normal in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Gas Utilities</w:t>
      </w:r>
    </w:p>
    <w:p>
      <w:pPr>
        <w:spacing w:after="0" w:line="225" w:lineRule="exact"/>
        <w:rPr>
          <w:sz w:val="20"/>
          <w:szCs w:val="20"/>
          <w:color w:val="auto"/>
        </w:rPr>
      </w:pPr>
    </w:p>
    <w:p>
      <w:pPr>
        <w:ind w:left="660" w:hanging="328"/>
        <w:spacing w:after="0"/>
        <w:tabs>
          <w:tab w:leader="none" w:pos="6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Gas Utilities continued to consolidate utility jurisdictions within the States of Colorado, Nebraska, and Wyoming:</w:t>
      </w:r>
    </w:p>
    <w:p>
      <w:pPr>
        <w:spacing w:after="0" w:line="225" w:lineRule="exact"/>
        <w:rPr>
          <w:rFonts w:ascii="Arial" w:cs="Arial" w:eastAsia="Arial" w:hAnsi="Arial"/>
          <w:sz w:val="18"/>
          <w:szCs w:val="18"/>
          <w:color w:val="auto"/>
        </w:rPr>
      </w:pPr>
    </w:p>
    <w:p>
      <w:pPr>
        <w:jc w:val="both"/>
        <w:ind w:left="1300" w:right="160" w:hanging="320"/>
        <w:spacing w:after="0" w:line="259" w:lineRule="auto"/>
        <w:tabs>
          <w:tab w:leader="none" w:pos="1300" w:val="left"/>
        </w:tabs>
        <w:numPr>
          <w:ilvl w:val="1"/>
          <w:numId w:val="34"/>
        </w:numPr>
        <w:rPr>
          <w:rFonts w:ascii="Arial" w:cs="Arial" w:eastAsia="Arial" w:hAnsi="Arial"/>
          <w:sz w:val="18"/>
          <w:szCs w:val="18"/>
          <w:color w:val="auto"/>
        </w:rPr>
      </w:pPr>
      <w:r>
        <w:rPr>
          <w:rFonts w:ascii="Arial" w:cs="Arial" w:eastAsia="Arial" w:hAnsi="Arial"/>
          <w:sz w:val="18"/>
          <w:szCs w:val="18"/>
          <w:color w:val="auto"/>
        </w:rPr>
        <w:t>On December 11, 2019, Wyoming Gas received approval from the WPSC to consolidate the rates, tariffs and services of its four existing gas distribution territories. A new, single statewide rate structure will be effective March 1, 2020. New rates are expected to generate $13 million in new revenue based on a return on equity of 9.40% and a capital structure of 50.23% equity and 49.77% debt. The approval also allows for a rider to recover integrity investments for system safety and reliability.</w:t>
      </w:r>
    </w:p>
    <w:p>
      <w:pPr>
        <w:spacing w:after="0" w:line="186" w:lineRule="exact"/>
        <w:rPr>
          <w:rFonts w:ascii="Arial" w:cs="Arial" w:eastAsia="Arial" w:hAnsi="Arial"/>
          <w:sz w:val="18"/>
          <w:szCs w:val="18"/>
          <w:color w:val="auto"/>
        </w:rPr>
      </w:pPr>
    </w:p>
    <w:p>
      <w:pPr>
        <w:ind w:left="1300" w:hanging="320"/>
        <w:spacing w:after="0" w:line="293" w:lineRule="auto"/>
        <w:tabs>
          <w:tab w:leader="none" w:pos="1300" w:val="left"/>
        </w:tabs>
        <w:numPr>
          <w:ilvl w:val="1"/>
          <w:numId w:val="34"/>
        </w:numPr>
        <w:rPr>
          <w:rFonts w:ascii="Arial" w:cs="Arial" w:eastAsia="Arial" w:hAnsi="Arial"/>
          <w:sz w:val="16"/>
          <w:szCs w:val="16"/>
          <w:color w:val="auto"/>
        </w:rPr>
      </w:pPr>
      <w:r>
        <w:rPr>
          <w:rFonts w:ascii="Arial" w:cs="Arial" w:eastAsia="Arial" w:hAnsi="Arial"/>
          <w:sz w:val="16"/>
          <w:szCs w:val="16"/>
          <w:color w:val="auto"/>
        </w:rPr>
        <w:t>On February 1, 2019, Colorado Gas submitted a rate review with the CPUC to consolidate rates, tariffs and services of its two existing gas distribution territories. The rate review requested $2.5 million in new revenue to recover investments in safety, reliability and system integrity. Colorado Gas also requested a new rider mechanism to recover future safety and integrity investments in its system. On December 27, 2019, the ALJ issued a recommended decision denying the company’s plan to consolidate rate territories and recommending a rate decrease. Colorado Gas has filed exceptions to the ALJ’s recommended decision. A decision by the CPUC is expected by the end of March 2020. Legal consolidation was previously approved by the CPUC in late 2018 and completed in early 2019.</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00"/>
          </w:cols>
          <w:pgMar w:left="240" w:top="126" w:right="259" w:bottom="1440" w:gutter="0" w:footer="0" w:header="0"/>
        </w:sectPr>
      </w:pPr>
    </w:p>
    <w:bookmarkStart w:id="49" w:name="page50"/>
    <w:bookmarkEnd w:id="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1300" w:right="140" w:hanging="320"/>
        <w:spacing w:after="0" w:line="264" w:lineRule="auto"/>
        <w:tabs>
          <w:tab w:leader="none" w:pos="1300" w:val="left"/>
        </w:tabs>
        <w:numPr>
          <w:ilvl w:val="1"/>
          <w:numId w:val="35"/>
        </w:numPr>
        <w:rPr>
          <w:rFonts w:ascii="Arial" w:cs="Arial" w:eastAsia="Arial" w:hAnsi="Arial"/>
          <w:sz w:val="18"/>
          <w:szCs w:val="18"/>
          <w:color w:val="auto"/>
        </w:rPr>
      </w:pPr>
      <w:r>
        <w:rPr>
          <w:rFonts w:ascii="Arial" w:cs="Arial" w:eastAsia="Arial" w:hAnsi="Arial"/>
          <w:sz w:val="18"/>
          <w:szCs w:val="18"/>
          <w:color w:val="auto"/>
        </w:rPr>
        <w:t>On October 29, 2019, Nebraska Gas received approval from the NPSC to merge its two natural gas distribution companies. Legal consolidation was effective January 1, 2020, and a rate review is expected to be filed by mid-year 2020 to consolidate the rates, tariffs and services.</w:t>
      </w:r>
    </w:p>
    <w:p>
      <w:pPr>
        <w:spacing w:after="0" w:line="181" w:lineRule="exact"/>
        <w:rPr>
          <w:rFonts w:ascii="Arial" w:cs="Arial" w:eastAsia="Arial" w:hAnsi="Arial"/>
          <w:sz w:val="18"/>
          <w:szCs w:val="18"/>
          <w:color w:val="auto"/>
        </w:rPr>
      </w:pPr>
    </w:p>
    <w:p>
      <w:pPr>
        <w:ind w:left="660" w:right="200" w:hanging="328"/>
        <w:spacing w:after="0" w:line="312" w:lineRule="auto"/>
        <w:tabs>
          <w:tab w:leader="none" w:pos="660" w:val="left"/>
        </w:tabs>
        <w:numPr>
          <w:ilvl w:val="0"/>
          <w:numId w:val="35"/>
        </w:numPr>
        <w:rPr>
          <w:rFonts w:ascii="Arial" w:cs="Arial" w:eastAsia="Arial" w:hAnsi="Arial"/>
          <w:sz w:val="16"/>
          <w:szCs w:val="16"/>
          <w:color w:val="auto"/>
        </w:rPr>
      </w:pPr>
      <w:r>
        <w:rPr>
          <w:rFonts w:ascii="Arial" w:cs="Arial" w:eastAsia="Arial" w:hAnsi="Arial"/>
          <w:sz w:val="16"/>
          <w:szCs w:val="16"/>
          <w:color w:val="auto"/>
        </w:rPr>
        <w:t>On December 1, 2019, Wyoming Gas placed in service the $54 million, 35-mile Natural Bridge pipeline project to enhance supply reliability and delivery capacity for customers in central Wyoming. The new 12-inch steel pipeline interconnects from a supply point near Douglas, Wyoming, to facilities near Casper, Wyoming. The associated investment was included in the Wyoming Gas rate review completed in December 2019.</w:t>
      </w:r>
    </w:p>
    <w:p>
      <w:pPr>
        <w:spacing w:after="0" w:line="146" w:lineRule="exact"/>
        <w:rPr>
          <w:rFonts w:ascii="Arial" w:cs="Arial" w:eastAsia="Arial" w:hAnsi="Arial"/>
          <w:sz w:val="16"/>
          <w:szCs w:val="16"/>
          <w:color w:val="auto"/>
        </w:rPr>
      </w:pPr>
    </w:p>
    <w:p>
      <w:pPr>
        <w:ind w:left="660" w:right="160" w:hanging="328"/>
        <w:spacing w:after="0" w:line="277" w:lineRule="auto"/>
        <w:tabs>
          <w:tab w:leader="none" w:pos="6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Heating degree days at the Gas Utilities for the year ended December 31, 2019 were 5% higher than normal compared to 2% higher than normal in 2018.</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Power Generation</w:t>
      </w:r>
    </w:p>
    <w:p>
      <w:pPr>
        <w:spacing w:after="0" w:line="225" w:lineRule="exact"/>
        <w:rPr>
          <w:sz w:val="20"/>
          <w:szCs w:val="20"/>
          <w:color w:val="auto"/>
        </w:rPr>
      </w:pPr>
    </w:p>
    <w:p>
      <w:pPr>
        <w:ind w:left="660" w:right="460" w:hanging="328"/>
        <w:spacing w:after="0" w:line="277" w:lineRule="auto"/>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On November 26, 2019, Black Hills Electric Generation placed in service Busch Ranch II. Through a competitive bidding process, Black Hills Electric Generation was selected to deliver renewable energy under a 25-year PPA to Colorado Electric.</w:t>
      </w:r>
    </w:p>
    <w:p>
      <w:pPr>
        <w:spacing w:after="0" w:line="170" w:lineRule="exact"/>
        <w:rPr>
          <w:rFonts w:ascii="Arial" w:cs="Arial" w:eastAsia="Arial" w:hAnsi="Arial"/>
          <w:sz w:val="18"/>
          <w:szCs w:val="18"/>
          <w:color w:val="auto"/>
        </w:rPr>
      </w:pPr>
    </w:p>
    <w:p>
      <w:pPr>
        <w:ind w:left="660" w:hanging="328"/>
        <w:spacing w:after="0" w:line="279" w:lineRule="auto"/>
        <w:tabs>
          <w:tab w:leader="none" w:pos="6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On August 2, 2019, Black Hills Wyoming and Wyoming Electric jointly filed a request with FERC for approval of a new 60 MW PPA. The agreement would fulfill the capacity need for Wyoming Electric at the expiration of the current agreement on December 31, 2022. If approved, Black Hills Wyoming will continue to deliver 60 MW of energy to Wyoming Electric from its Wygen I power plant starting January 1, 2023, and for 20 additional years. On December 23, 2019, the Company filed a response to questions from the FERC and awaits a decision from FERC.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Mining</w:t>
      </w:r>
    </w:p>
    <w:p>
      <w:pPr>
        <w:spacing w:after="0" w:line="225" w:lineRule="exact"/>
        <w:rPr>
          <w:sz w:val="20"/>
          <w:szCs w:val="20"/>
          <w:color w:val="auto"/>
        </w:rPr>
      </w:pPr>
    </w:p>
    <w:p>
      <w:pPr>
        <w:ind w:left="660" w:right="220" w:hanging="328"/>
        <w:spacing w:after="0" w:line="264" w:lineRule="auto"/>
        <w:tabs>
          <w:tab w:leader="none" w:pos="6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 October 2019, negotiations were completed for the price reopener in the contract with the Wyodak power plant. Effective July 1, 2019, the new price was reset at $17.94 per ton with customary escalators, compared to the prior contract price of $18.25 per ton. The contract expires on December 31, 2022 and negotiations are underway to extend the contract.</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Corporate and Other</w:t>
      </w:r>
    </w:p>
    <w:p>
      <w:pPr>
        <w:spacing w:after="0" w:line="225" w:lineRule="exact"/>
        <w:rPr>
          <w:sz w:val="20"/>
          <w:szCs w:val="20"/>
          <w:color w:val="auto"/>
        </w:rPr>
      </w:pPr>
    </w:p>
    <w:p>
      <w:pPr>
        <w:ind w:left="660" w:right="220" w:hanging="328"/>
        <w:spacing w:after="0" w:line="342" w:lineRule="auto"/>
        <w:tabs>
          <w:tab w:leader="none" w:pos="6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On October 3, 2019, we completed a public debt offering of $700 million in senior unsecured notes. Proceeds were used to repay the $400 million Corporate term loan due June 17, 2021, retire the $200 million 5.875% senior notes due July 15, 2020 and repay a portion of short-term debt.</w:t>
      </w:r>
    </w:p>
    <w:p>
      <w:pPr>
        <w:spacing w:after="0" w:line="123" w:lineRule="exact"/>
        <w:rPr>
          <w:rFonts w:ascii="Arial" w:cs="Arial" w:eastAsia="Arial" w:hAnsi="Arial"/>
          <w:sz w:val="16"/>
          <w:szCs w:val="16"/>
          <w:color w:val="auto"/>
        </w:rPr>
      </w:pPr>
    </w:p>
    <w:p>
      <w:pPr>
        <w:ind w:left="660" w:right="140" w:hanging="328"/>
        <w:spacing w:after="0" w:line="277"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During the year ended December 31, 2019, we issued a total of 1.3 million shares of common stock for net proceeds of $99 million under our ATM equity offering program.</w:t>
      </w:r>
    </w:p>
    <w:p>
      <w:pPr>
        <w:spacing w:after="0" w:line="170" w:lineRule="exact"/>
        <w:rPr>
          <w:rFonts w:ascii="Arial" w:cs="Arial" w:eastAsia="Arial" w:hAnsi="Arial"/>
          <w:sz w:val="18"/>
          <w:szCs w:val="18"/>
          <w:color w:val="auto"/>
        </w:rPr>
      </w:pPr>
    </w:p>
    <w:p>
      <w:pPr>
        <w:ind w:left="660" w:right="20" w:hanging="328"/>
        <w:spacing w:after="0" w:line="264" w:lineRule="auto"/>
        <w:tabs>
          <w:tab w:leader="none" w:pos="6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and extended the term through June 17, 2021 on substantially similar terms and covenants. The net proceeds were used to pay down short-term debt. Proceeds from the October 3, 2019 debt transaction were used to repay this term loan.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operating results from our business segments follows.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Non-GAAP Financial Measure</w:t>
      </w:r>
    </w:p>
    <w:p>
      <w:pPr>
        <w:spacing w:after="0" w:line="225"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The following discussion includes financial information prepared in accordance with GAAP, as well as another financial measure, gross margin, that is considered a “non-GAAP financial measure.” Generally, a non-GAAP financial measure is a numerical measure of a company’s financial performance, financial position or cash flows that excludes (or includes) amounts that are included in (or excluded from) the most directly comparable measure calculated and presented in accordance with GAAP. Gross margin (revenue less cost of sales) is a non-GAAP financial measure due to the exclusion of depreciation and amortization from the measure. The presentation of gross margin is intended to supplement investors’ understanding of our operating performance.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00"/>
          </w:cols>
          <w:pgMar w:left="240" w:top="126" w:right="259" w:bottom="1440" w:gutter="0" w:footer="0" w:header="0"/>
        </w:sectPr>
      </w:pPr>
    </w:p>
    <w:bookmarkStart w:id="50" w:name="page51"/>
    <w:bookmarkEnd w:id="5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Gross margin for our Electric Utilities is calculated as operating revenue less cost of fuel and purchased power. Gross margin for our Gas Utilities is calculated as operating revenues less cost of gas sold. Our gross margin is impacted by the fluctuations in power and natural gas purchases and other fuel supply costs. However, while these fluctuating costs impact gross margin as a percentage of revenue, they only impact total gross margin if the costs cannot be passed through to our customers.</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gross margin measure may not be comparable to other companies’ gross margin measure. Furthermore, this measure is not intended to replace operating income as determined in accordance with GAAP as an indicator of operating performance.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Utilities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the years ended December 31 for the Electric Utilities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712,752</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711,451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6,801</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704,650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 and purchased power</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268,297</w:t>
            </w:r>
          </w:p>
        </w:tc>
        <w:tc>
          <w:tcPr>
            <w:tcW w:w="32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(15,543)</w:t>
            </w:r>
          </w:p>
        </w:tc>
        <w:tc>
          <w:tcPr>
            <w:tcW w:w="34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283,840</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9,477</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274,363</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Gross margin (non-GAAP)</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444,455</w:t>
            </w:r>
          </w:p>
        </w:tc>
        <w:tc>
          <w:tcPr>
            <w:tcW w:w="32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16,844</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427,611</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(2,676)</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430,287</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195,581</w:t>
            </w: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9,406</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186,175</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13,868</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172,307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88,577</w:t>
            </w: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3,010</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85,567</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5,324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80,243</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284,158</w:t>
            </w:r>
          </w:p>
        </w:tc>
        <w:tc>
          <w:tcPr>
            <w:tcW w:w="32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12,416</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271,742</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19,192</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252,550</w:t>
            </w:r>
          </w:p>
        </w:tc>
        <w:tc>
          <w:tcPr>
            <w:tcW w:w="0" w:type="dxa"/>
            <w:vAlign w:val="bottom"/>
          </w:tcPr>
          <w:p>
            <w:pPr>
              <w:spacing w:after="0"/>
              <w:rPr>
                <w:sz w:val="1"/>
                <w:szCs w:val="1"/>
                <w:color w:val="auto"/>
              </w:rPr>
            </w:pP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160,297</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4,428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155,869</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(21,868)</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177,737</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260" w:hanging="332"/>
        <w:spacing w:after="0" w:line="252" w:lineRule="auto"/>
        <w:tabs>
          <w:tab w:leader="none" w:pos="340"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Electric Utilities Adjusted operating income was revised for the years ended December 31, 2018 and December 31, 2017 which resulted in an increase of $6.4 million and $7.1 million, respectively.</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6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w w:val="89"/>
              </w:rPr>
              <w:t>2019 Compared to 2018</w:t>
            </w:r>
          </w:p>
        </w:tc>
        <w:tc>
          <w:tcPr>
            <w:tcW w:w="7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80" w:type="dxa"/>
            <w:vAlign w:val="bottom"/>
          </w:tcPr>
          <w:p>
            <w:pPr>
              <w:spacing w:after="0"/>
              <w:rPr>
                <w:sz w:val="18"/>
                <w:szCs w:val="18"/>
                <w:color w:val="auto"/>
              </w:rPr>
            </w:pPr>
          </w:p>
        </w:tc>
      </w:tr>
      <w:tr>
        <w:trPr>
          <w:trHeight w:val="412"/>
        </w:trPr>
        <w:tc>
          <w:tcPr>
            <w:tcW w:w="9140" w:type="dxa"/>
            <w:vAlign w:val="bottom"/>
            <w:gridSpan w:val="3"/>
          </w:tcPr>
          <w:p>
            <w:pPr>
              <w:spacing w:after="0"/>
              <w:rPr>
                <w:sz w:val="20"/>
                <w:szCs w:val="20"/>
                <w:color w:val="auto"/>
              </w:rPr>
            </w:pPr>
            <w:r>
              <w:rPr>
                <w:rFonts w:ascii="Arial" w:cs="Arial" w:eastAsia="Arial" w:hAnsi="Arial"/>
                <w:sz w:val="18"/>
                <w:szCs w:val="18"/>
                <w:color w:val="auto"/>
              </w:rPr>
              <w:t>Gross margin increased over the prior year as a result of:</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Reduction in purchased power capacity costs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Prior year Wyoming Electric PCA Stipulation settlement</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Rider recovery</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3.1</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Increased commercial and industrial demand</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r>
      <w:tr>
        <w:trPr>
          <w:trHeight w:val="250"/>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Weather</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0.2</w:t>
            </w:r>
          </w:p>
        </w:tc>
      </w:tr>
      <w:tr>
        <w:trPr>
          <w:trHeight w:val="243"/>
        </w:trPr>
        <w:tc>
          <w:tcPr>
            <w:tcW w:w="914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1.4</w:t>
            </w: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Total increase in Gross margin (non-GAAP)</w:t>
            </w: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16.8</w:t>
            </w:r>
          </w:p>
        </w:tc>
      </w:tr>
      <w:tr>
        <w:trPr>
          <w:trHeight w:val="20"/>
        </w:trPr>
        <w:tc>
          <w:tcPr>
            <w:tcW w:w="9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Operations and maintenance expense</w:t>
      </w:r>
      <w:r>
        <w:rPr>
          <w:rFonts w:ascii="Arial" w:cs="Arial" w:eastAsia="Arial" w:hAnsi="Arial"/>
          <w:sz w:val="16"/>
          <w:szCs w:val="16"/>
          <w:color w:val="auto"/>
        </w:rPr>
        <w:t xml:space="preserve"> increased primarily due to $4.7 million of higher employee costs and $2.9 million of higher outside services expenses.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Various other expenses comprise the remainder of the increase compared to the prior year.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higher asset base driven by prior and current year capital expenditures.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126" w:right="239" w:bottom="1440" w:gutter="0" w:footer="0" w:header="0"/>
        </w:sectPr>
      </w:pPr>
    </w:p>
    <w:bookmarkStart w:id="51" w:name="page52"/>
    <w:bookmarkEnd w:id="5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Gross margin</w:t>
      </w:r>
      <w:r>
        <w:rPr>
          <w:rFonts w:ascii="Arial" w:cs="Arial" w:eastAsia="Arial" w:hAnsi="Arial"/>
          <w:sz w:val="18"/>
          <w:szCs w:val="18"/>
          <w:color w:val="auto"/>
        </w:rPr>
        <w:t xml:space="preserve"> decreased over the prior year as a result of:</w:t>
      </w:r>
    </w:p>
    <w:p>
      <w:pPr>
        <w:spacing w:after="0" w:line="171" w:lineRule="exact"/>
        <w:rPr>
          <w:sz w:val="20"/>
          <w:szCs w:val="20"/>
          <w:color w:val="auto"/>
        </w:rPr>
      </w:pPr>
    </w:p>
    <w:p>
      <w:pPr>
        <w:jc w:val="right"/>
        <w:ind w:right="700"/>
        <w:spacing w:after="0"/>
        <w:rPr>
          <w:sz w:val="20"/>
          <w:szCs w:val="20"/>
          <w:color w:val="auto"/>
        </w:rPr>
      </w:pPr>
      <w:r>
        <w:rPr>
          <w:rFonts w:ascii="Arial" w:cs="Arial" w:eastAsia="Arial" w:hAnsi="Arial"/>
          <w:sz w:val="18"/>
          <w:szCs w:val="18"/>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03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TCJA revenue reserve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Wyoming Electric PCA Stipulation settlement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Other</w:t>
      </w:r>
    </w:p>
    <w:p>
      <w:pPr>
        <w:spacing w:after="0" w:line="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 xml:space="preserve">Horizon Point shared facility revenue </w:t>
      </w:r>
      <w:r>
        <w:rPr>
          <w:rFonts w:ascii="Arial" w:cs="Arial" w:eastAsia="Arial" w:hAnsi="Arial"/>
          <w:sz w:val="25"/>
          <w:szCs w:val="25"/>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-17780</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ind w:left="40"/>
        <w:spacing w:after="0"/>
        <w:rPr>
          <w:sz w:val="20"/>
          <w:szCs w:val="20"/>
          <w:color w:val="auto"/>
        </w:rPr>
      </w:pPr>
      <w:r>
        <w:rPr>
          <w:rFonts w:ascii="Arial" w:cs="Arial" w:eastAsia="Arial" w:hAnsi="Arial"/>
          <w:sz w:val="18"/>
          <w:szCs w:val="18"/>
          <w:color w:val="auto"/>
        </w:rPr>
        <w:t>Rider recovery</w:t>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Weather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7145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3" w:lineRule="exact"/>
        <w:rPr>
          <w:sz w:val="20"/>
          <w:szCs w:val="20"/>
          <w:color w:val="auto"/>
        </w:rPr>
      </w:pPr>
    </w:p>
    <w:p>
      <w:pPr>
        <w:ind w:left="40"/>
        <w:spacing w:after="0"/>
        <w:rPr>
          <w:sz w:val="20"/>
          <w:szCs w:val="20"/>
          <w:color w:val="auto"/>
        </w:rPr>
      </w:pPr>
      <w:r>
        <w:rPr>
          <w:rFonts w:ascii="Arial" w:cs="Arial" w:eastAsia="Arial" w:hAnsi="Arial"/>
          <w:sz w:val="17"/>
          <w:szCs w:val="17"/>
          <w:color w:val="auto"/>
        </w:rPr>
        <w:t>Power Marketing, transmission and Tech Services</w:t>
      </w:r>
    </w:p>
    <w:p>
      <w:pPr>
        <w:spacing w:after="0" w:line="75"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Residential customer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70" w:lineRule="exact"/>
        <w:rPr>
          <w:sz w:val="20"/>
          <w:szCs w:val="20"/>
          <w:color w:val="auto"/>
        </w:rPr>
      </w:pPr>
    </w:p>
    <w:p>
      <w:pPr>
        <w:ind w:left="40"/>
        <w:spacing w:after="0"/>
        <w:rPr>
          <w:sz w:val="20"/>
          <w:szCs w:val="20"/>
          <w:color w:val="auto"/>
        </w:rPr>
      </w:pPr>
      <w:r>
        <w:rPr>
          <w:rFonts w:ascii="Arial" w:cs="Arial" w:eastAsia="Arial" w:hAnsi="Arial"/>
          <w:sz w:val="16"/>
          <w:szCs w:val="16"/>
          <w:color w:val="auto"/>
        </w:rPr>
        <w:t>Total increase (decrease) in Gross margin (non-GAAP)</w:t>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(22.3)</w:t>
            </w:r>
          </w:p>
        </w:tc>
      </w:tr>
      <w:tr>
        <w:trPr>
          <w:trHeight w:val="270"/>
        </w:trPr>
        <w:tc>
          <w:tcPr>
            <w:tcW w:w="9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70"/>
        </w:trPr>
        <w:tc>
          <w:tcPr>
            <w:tcW w:w="960" w:type="dxa"/>
            <w:vAlign w:val="bottom"/>
          </w:tcPr>
          <w:p>
            <w:pPr>
              <w:spacing w:after="0"/>
              <w:rPr>
                <w:sz w:val="23"/>
                <w:szCs w:val="23"/>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5.1</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3.6</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w:t>
            </w:r>
          </w:p>
        </w:tc>
      </w:tr>
      <w:tr>
        <w:trPr>
          <w:trHeight w:val="270"/>
        </w:trPr>
        <w:tc>
          <w:tcPr>
            <w:tcW w:w="960" w:type="dxa"/>
            <w:vAlign w:val="bottom"/>
          </w:tcPr>
          <w:p>
            <w:pPr>
              <w:spacing w:after="0"/>
              <w:rPr>
                <w:sz w:val="23"/>
                <w:szCs w:val="23"/>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
        </w:trPr>
        <w:tc>
          <w:tcPr>
            <w:tcW w:w="9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37"/>
        </w:trPr>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(2.7)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34290</wp:posOffset>
            </wp:positionV>
            <wp:extent cx="14490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58" w:lineRule="exact"/>
        <w:rPr>
          <w:sz w:val="20"/>
          <w:szCs w:val="20"/>
          <w:color w:val="auto"/>
        </w:rPr>
      </w:pPr>
    </w:p>
    <w:p>
      <w:pPr>
        <w:sectPr>
          <w:pgSz w:w="11900" w:h="16838" w:orient="portrait"/>
          <w:cols w:equalWidth="0" w:num="2">
            <w:col w:w="8420" w:space="720"/>
            <w:col w:w="2280"/>
          </w:cols>
          <w:pgMar w:left="240" w:top="126" w:right="239" w:bottom="1440" w:gutter="0" w:footer="0" w:header="0"/>
          <w:type w:val="continuous"/>
        </w:sectPr>
      </w:pPr>
    </w:p>
    <w:p>
      <w:pPr>
        <w:spacing w:after="0"/>
        <w:rPr>
          <w:sz w:val="20"/>
          <w:szCs w:val="20"/>
          <w:color w:val="auto"/>
        </w:rPr>
      </w:pPr>
      <w:r>
        <w:rPr>
          <w:rFonts w:ascii="Arial" w:cs="Arial" w:eastAsia="Arial" w:hAnsi="Arial"/>
          <w:sz w:val="16"/>
          <w:szCs w:val="16"/>
          <w:color w:val="auto"/>
        </w:rPr>
        <w:t>____________________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Horizon Point shared facility revenue was offset by facility expenses at our operating segments and had no impact on consolidated results.</w:t>
      </w:r>
    </w:p>
    <w:p>
      <w:pPr>
        <w:spacing w:after="0" w:line="203"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$4.5 million of higher facility costs, $4.1 million of higher outside services expenses, $3.6 million of higher employee costs, and $1.0 million of higher property taxes due to a higher asset base.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higher asset base driven by current and prior year capital expenditures.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40" w:type="dxa"/>
            <w:vAlign w:val="bottom"/>
          </w:tcPr>
          <w:p>
            <w:pPr>
              <w:ind w:left="20"/>
              <w:spacing w:after="0"/>
              <w:rPr>
                <w:sz w:val="20"/>
                <w:szCs w:val="20"/>
                <w:color w:val="auto"/>
              </w:rPr>
            </w:pPr>
            <w:r>
              <w:rPr>
                <w:rFonts w:ascii="Arial" w:cs="Arial" w:eastAsia="Arial" w:hAnsi="Arial"/>
                <w:sz w:val="18"/>
                <w:szCs w:val="18"/>
                <w:color w:val="auto"/>
                <w:w w:val="88"/>
              </w:rPr>
              <w:t>For the year ended December 31,</w:t>
            </w:r>
          </w:p>
        </w:tc>
        <w:tc>
          <w:tcPr>
            <w:tcW w:w="1000" w:type="dxa"/>
            <w:vAlign w:val="bottom"/>
          </w:tcPr>
          <w:p>
            <w:pPr>
              <w:spacing w:after="0"/>
              <w:rPr>
                <w:sz w:val="20"/>
                <w:szCs w:val="20"/>
                <w:color w:val="auto"/>
              </w:rPr>
            </w:pP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6960" w:type="dxa"/>
            <w:vAlign w:val="bottom"/>
            <w:tcBorders>
              <w:bottom w:val="single" w:sz="8" w:color="auto"/>
            </w:tcBorders>
          </w:tcPr>
          <w:p>
            <w:pPr>
              <w:ind w:left="20"/>
              <w:spacing w:after="0" w:line="264" w:lineRule="exact"/>
              <w:rPr>
                <w:sz w:val="20"/>
                <w:szCs w:val="20"/>
                <w:color w:val="auto"/>
              </w:rPr>
            </w:pPr>
            <w:r>
              <w:rPr>
                <w:rFonts w:ascii="Arial" w:cs="Arial" w:eastAsia="Arial" w:hAnsi="Arial"/>
                <w:sz w:val="18"/>
                <w:szCs w:val="18"/>
                <w:color w:val="auto"/>
              </w:rPr>
              <w:t xml:space="preserve">Contracted power plant fleet availability </w:t>
            </w:r>
            <w:r>
              <w:rPr>
                <w:rFonts w:ascii="Arial" w:cs="Arial" w:eastAsia="Arial" w:hAnsi="Arial"/>
                <w:sz w:val="25"/>
                <w:szCs w:val="25"/>
                <w:color w:val="auto"/>
                <w:vertAlign w:val="superscript"/>
              </w:rPr>
              <w:t>(a)</w:t>
            </w:r>
          </w:p>
        </w:tc>
        <w:tc>
          <w:tcPr>
            <w:tcW w:w="1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2019</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9"/>
              </w:rPr>
              <w:t>2017</w:t>
            </w:r>
          </w:p>
        </w:tc>
      </w:tr>
      <w:tr>
        <w:trPr>
          <w:trHeight w:val="318"/>
        </w:trPr>
        <w:tc>
          <w:tcPr>
            <w:tcW w:w="20" w:type="dxa"/>
            <w:vAlign w:val="bottom"/>
          </w:tcPr>
          <w:p>
            <w:pPr>
              <w:spacing w:after="0"/>
              <w:rPr>
                <w:sz w:val="24"/>
                <w:szCs w:val="24"/>
                <w:color w:val="auto"/>
              </w:rPr>
            </w:pPr>
          </w:p>
        </w:tc>
        <w:tc>
          <w:tcPr>
            <w:tcW w:w="696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44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696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Coal-fired plants </w:t>
            </w:r>
            <w:r>
              <w:rPr>
                <w:rFonts w:ascii="Arial" w:cs="Arial" w:eastAsia="Arial" w:hAnsi="Arial"/>
                <w:sz w:val="25"/>
                <w:szCs w:val="25"/>
                <w:color w:val="auto"/>
                <w:vertAlign w:val="superscript"/>
              </w:rPr>
              <w:t>(b)</w:t>
            </w:r>
          </w:p>
        </w:tc>
        <w:tc>
          <w:tcPr>
            <w:tcW w:w="1000" w:type="dxa"/>
            <w:vAlign w:val="bottom"/>
          </w:tcPr>
          <w:p>
            <w:pPr>
              <w:jc w:val="center"/>
              <w:ind w:left="390"/>
              <w:spacing w:after="0"/>
              <w:rPr>
                <w:sz w:val="20"/>
                <w:szCs w:val="20"/>
                <w:color w:val="auto"/>
              </w:rPr>
            </w:pPr>
            <w:r>
              <w:rPr>
                <w:rFonts w:ascii="Arial" w:cs="Arial" w:eastAsia="Arial" w:hAnsi="Arial"/>
                <w:sz w:val="18"/>
                <w:szCs w:val="18"/>
                <w:color w:val="auto"/>
                <w:w w:val="93"/>
              </w:rPr>
              <w:t>92.1%</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93.9%</w:t>
            </w:r>
          </w:p>
        </w:tc>
        <w:tc>
          <w:tcPr>
            <w:tcW w:w="1000" w:type="dxa"/>
            <w:vAlign w:val="bottom"/>
          </w:tcPr>
          <w:p>
            <w:pPr>
              <w:jc w:val="center"/>
              <w:ind w:right="370"/>
              <w:spacing w:after="0"/>
              <w:rPr>
                <w:sz w:val="20"/>
                <w:szCs w:val="20"/>
                <w:color w:val="auto"/>
              </w:rPr>
            </w:pPr>
            <w:r>
              <w:rPr>
                <w:rFonts w:ascii="Arial" w:cs="Arial" w:eastAsia="Arial" w:hAnsi="Arial"/>
                <w:sz w:val="18"/>
                <w:szCs w:val="18"/>
                <w:color w:val="auto"/>
                <w:w w:val="90"/>
              </w:rPr>
              <w:t>88.9%</w:t>
            </w:r>
          </w:p>
        </w:tc>
      </w:tr>
      <w:tr>
        <w:trPr>
          <w:trHeight w:val="270"/>
        </w:trPr>
        <w:tc>
          <w:tcPr>
            <w:tcW w:w="20" w:type="dxa"/>
            <w:vAlign w:val="bottom"/>
          </w:tcPr>
          <w:p>
            <w:pPr>
              <w:spacing w:after="0"/>
              <w:rPr>
                <w:sz w:val="23"/>
                <w:szCs w:val="23"/>
                <w:color w:val="auto"/>
              </w:rPr>
            </w:pPr>
          </w:p>
        </w:tc>
        <w:tc>
          <w:tcPr>
            <w:tcW w:w="696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Natural gas fired plants and Other plants </w:t>
            </w:r>
            <w:r>
              <w:rPr>
                <w:rFonts w:ascii="Arial" w:cs="Arial" w:eastAsia="Arial" w:hAnsi="Arial"/>
                <w:sz w:val="25"/>
                <w:szCs w:val="25"/>
                <w:color w:val="auto"/>
                <w:vertAlign w:val="superscript"/>
              </w:rPr>
              <w:t>(c)</w:t>
            </w:r>
          </w:p>
        </w:tc>
        <w:tc>
          <w:tcPr>
            <w:tcW w:w="1000" w:type="dxa"/>
            <w:vAlign w:val="bottom"/>
            <w:shd w:val="clear" w:color="auto" w:fill="CEFFE7"/>
          </w:tcPr>
          <w:p>
            <w:pPr>
              <w:jc w:val="center"/>
              <w:ind w:left="390"/>
              <w:spacing w:after="0"/>
              <w:rPr>
                <w:sz w:val="20"/>
                <w:szCs w:val="20"/>
                <w:color w:val="auto"/>
              </w:rPr>
            </w:pPr>
            <w:r>
              <w:rPr>
                <w:rFonts w:ascii="Arial" w:cs="Arial" w:eastAsia="Arial" w:hAnsi="Arial"/>
                <w:sz w:val="18"/>
                <w:szCs w:val="18"/>
                <w:color w:val="auto"/>
                <w:w w:val="93"/>
              </w:rPr>
              <w:t>87.9%</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0"/>
              </w:rPr>
              <w:t>96.4%</w:t>
            </w:r>
          </w:p>
        </w:tc>
        <w:tc>
          <w:tcPr>
            <w:tcW w:w="1000" w:type="dxa"/>
            <w:vAlign w:val="bottom"/>
            <w:shd w:val="clear" w:color="auto" w:fill="CEFFE7"/>
          </w:tcPr>
          <w:p>
            <w:pPr>
              <w:jc w:val="center"/>
              <w:ind w:right="370"/>
              <w:spacing w:after="0"/>
              <w:rPr>
                <w:sz w:val="20"/>
                <w:szCs w:val="20"/>
                <w:color w:val="auto"/>
              </w:rPr>
            </w:pPr>
            <w:r>
              <w:rPr>
                <w:rFonts w:ascii="Arial" w:cs="Arial" w:eastAsia="Arial" w:hAnsi="Arial"/>
                <w:sz w:val="18"/>
                <w:szCs w:val="18"/>
                <w:color w:val="auto"/>
                <w:w w:val="90"/>
              </w:rPr>
              <w:t>96.1%</w:t>
            </w:r>
          </w:p>
        </w:tc>
      </w:tr>
      <w:tr>
        <w:trPr>
          <w:trHeight w:val="243"/>
        </w:trPr>
        <w:tc>
          <w:tcPr>
            <w:tcW w:w="20" w:type="dxa"/>
            <w:vAlign w:val="bottom"/>
          </w:tcPr>
          <w:p>
            <w:pPr>
              <w:spacing w:after="0"/>
              <w:rPr>
                <w:sz w:val="21"/>
                <w:szCs w:val="21"/>
                <w:color w:val="auto"/>
              </w:rPr>
            </w:pPr>
          </w:p>
        </w:tc>
        <w:tc>
          <w:tcPr>
            <w:tcW w:w="6960" w:type="dxa"/>
            <w:vAlign w:val="bottom"/>
          </w:tcPr>
          <w:p>
            <w:pPr>
              <w:ind w:left="20"/>
              <w:spacing w:after="0"/>
              <w:rPr>
                <w:sz w:val="20"/>
                <w:szCs w:val="20"/>
                <w:color w:val="auto"/>
              </w:rPr>
            </w:pPr>
            <w:r>
              <w:rPr>
                <w:rFonts w:ascii="Arial" w:cs="Arial" w:eastAsia="Arial" w:hAnsi="Arial"/>
                <w:sz w:val="18"/>
                <w:szCs w:val="18"/>
                <w:color w:val="auto"/>
              </w:rPr>
              <w:t>Wind</w:t>
            </w:r>
          </w:p>
        </w:tc>
        <w:tc>
          <w:tcPr>
            <w:tcW w:w="1000" w:type="dxa"/>
            <w:vAlign w:val="bottom"/>
          </w:tcPr>
          <w:p>
            <w:pPr>
              <w:jc w:val="center"/>
              <w:ind w:left="390"/>
              <w:spacing w:after="0"/>
              <w:rPr>
                <w:sz w:val="20"/>
                <w:szCs w:val="20"/>
                <w:color w:val="auto"/>
              </w:rPr>
            </w:pPr>
            <w:r>
              <w:rPr>
                <w:rFonts w:ascii="Arial" w:cs="Arial" w:eastAsia="Arial" w:hAnsi="Arial"/>
                <w:sz w:val="18"/>
                <w:szCs w:val="18"/>
                <w:color w:val="auto"/>
                <w:w w:val="93"/>
              </w:rPr>
              <w:t>95.6%</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96.9%</w:t>
            </w:r>
          </w:p>
        </w:tc>
        <w:tc>
          <w:tcPr>
            <w:tcW w:w="1000" w:type="dxa"/>
            <w:vAlign w:val="bottom"/>
          </w:tcPr>
          <w:p>
            <w:pPr>
              <w:jc w:val="center"/>
              <w:ind w:right="370"/>
              <w:spacing w:after="0"/>
              <w:rPr>
                <w:sz w:val="20"/>
                <w:szCs w:val="20"/>
                <w:color w:val="auto"/>
              </w:rPr>
            </w:pPr>
            <w:r>
              <w:rPr>
                <w:rFonts w:ascii="Arial" w:cs="Arial" w:eastAsia="Arial" w:hAnsi="Arial"/>
                <w:sz w:val="18"/>
                <w:szCs w:val="18"/>
                <w:color w:val="auto"/>
                <w:w w:val="90"/>
              </w:rPr>
              <w:t>93.3%</w:t>
            </w:r>
          </w:p>
        </w:tc>
      </w:tr>
      <w:tr>
        <w:trPr>
          <w:trHeight w:val="27"/>
        </w:trPr>
        <w:tc>
          <w:tcPr>
            <w:tcW w:w="20" w:type="dxa"/>
            <w:vAlign w:val="bottom"/>
          </w:tcPr>
          <w:p>
            <w:pPr>
              <w:spacing w:after="0"/>
              <w:rPr>
                <w:sz w:val="2"/>
                <w:szCs w:val="2"/>
                <w:color w:val="auto"/>
              </w:rPr>
            </w:pPr>
          </w:p>
        </w:tc>
        <w:tc>
          <w:tcPr>
            <w:tcW w:w="69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availability</w:t>
            </w:r>
          </w:p>
        </w:tc>
        <w:tc>
          <w:tcPr>
            <w:tcW w:w="1000" w:type="dxa"/>
            <w:vAlign w:val="bottom"/>
            <w:tcBorders>
              <w:bottom w:val="single" w:sz="8" w:color="CEFFE7"/>
            </w:tcBorders>
            <w:shd w:val="clear" w:color="auto" w:fill="CEFFE7"/>
          </w:tcPr>
          <w:p>
            <w:pPr>
              <w:jc w:val="center"/>
              <w:ind w:left="390"/>
              <w:spacing w:after="0"/>
              <w:rPr>
                <w:sz w:val="20"/>
                <w:szCs w:val="20"/>
                <w:color w:val="auto"/>
              </w:rPr>
            </w:pPr>
            <w:r>
              <w:rPr>
                <w:rFonts w:ascii="Arial" w:cs="Arial" w:eastAsia="Arial" w:hAnsi="Arial"/>
                <w:sz w:val="18"/>
                <w:szCs w:val="18"/>
                <w:color w:val="auto"/>
                <w:w w:val="93"/>
              </w:rPr>
              <w:t>89.9%</w:t>
            </w:r>
          </w:p>
        </w:tc>
        <w:tc>
          <w:tcPr>
            <w:tcW w:w="24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95.6%</w:t>
            </w:r>
          </w:p>
        </w:tc>
        <w:tc>
          <w:tcPr>
            <w:tcW w:w="100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93.6%</w:t>
            </w:r>
          </w:p>
        </w:tc>
      </w:tr>
      <w:tr>
        <w:trPr>
          <w:trHeight w:val="324"/>
        </w:trPr>
        <w:tc>
          <w:tcPr>
            <w:tcW w:w="20" w:type="dxa"/>
            <w:vAlign w:val="bottom"/>
          </w:tcPr>
          <w:p>
            <w:pPr>
              <w:spacing w:after="0"/>
              <w:rPr>
                <w:sz w:val="24"/>
                <w:szCs w:val="24"/>
                <w:color w:val="auto"/>
              </w:rPr>
            </w:pPr>
          </w:p>
        </w:tc>
        <w:tc>
          <w:tcPr>
            <w:tcW w:w="6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69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Wind capacity factor</w:t>
            </w:r>
          </w:p>
        </w:tc>
        <w:tc>
          <w:tcPr>
            <w:tcW w:w="1000" w:type="dxa"/>
            <w:vAlign w:val="bottom"/>
            <w:tcBorders>
              <w:bottom w:val="single" w:sz="8" w:color="CEFFE7"/>
            </w:tcBorders>
            <w:shd w:val="clear" w:color="auto" w:fill="CEFFE7"/>
          </w:tcPr>
          <w:p>
            <w:pPr>
              <w:jc w:val="center"/>
              <w:ind w:left="390"/>
              <w:spacing w:after="0"/>
              <w:rPr>
                <w:sz w:val="20"/>
                <w:szCs w:val="20"/>
                <w:color w:val="auto"/>
              </w:rPr>
            </w:pPr>
            <w:r>
              <w:rPr>
                <w:rFonts w:ascii="Arial" w:cs="Arial" w:eastAsia="Arial" w:hAnsi="Arial"/>
                <w:sz w:val="18"/>
                <w:szCs w:val="18"/>
                <w:color w:val="auto"/>
                <w:w w:val="93"/>
              </w:rPr>
              <w:t>38.7%</w:t>
            </w:r>
          </w:p>
        </w:tc>
        <w:tc>
          <w:tcPr>
            <w:tcW w:w="24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39.2%</w:t>
            </w:r>
          </w:p>
        </w:tc>
        <w:tc>
          <w:tcPr>
            <w:tcW w:w="100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36.7%</w:t>
            </w:r>
          </w:p>
        </w:tc>
      </w:tr>
      <w:tr>
        <w:trPr>
          <w:trHeight w:val="193"/>
        </w:trPr>
        <w:tc>
          <w:tcPr>
            <w:tcW w:w="20" w:type="dxa"/>
            <w:vAlign w:val="bottom"/>
          </w:tcPr>
          <w:p>
            <w:pPr>
              <w:spacing w:after="0"/>
              <w:rPr>
                <w:sz w:val="16"/>
                <w:szCs w:val="16"/>
                <w:color w:val="auto"/>
              </w:rPr>
            </w:pPr>
          </w:p>
        </w:tc>
        <w:tc>
          <w:tcPr>
            <w:tcW w:w="6960" w:type="dxa"/>
            <w:vAlign w:val="bottom"/>
          </w:tcPr>
          <w:p>
            <w:pPr>
              <w:spacing w:after="0"/>
              <w:rPr>
                <w:sz w:val="20"/>
                <w:szCs w:val="20"/>
                <w:color w:val="auto"/>
              </w:rPr>
            </w:pPr>
            <w:r>
              <w:rPr>
                <w:rFonts w:ascii="Arial" w:cs="Arial" w:eastAsia="Arial" w:hAnsi="Arial"/>
                <w:sz w:val="16"/>
                <w:szCs w:val="16"/>
                <w:color w:val="auto"/>
              </w:rPr>
              <w:t>____________________</w:t>
            </w:r>
          </w:p>
        </w:tc>
        <w:tc>
          <w:tcPr>
            <w:tcW w:w="1000" w:type="dxa"/>
            <w:vAlign w:val="bottom"/>
          </w:tcPr>
          <w:p>
            <w:pPr>
              <w:spacing w:after="0"/>
              <w:rPr>
                <w:sz w:val="16"/>
                <w:szCs w:val="16"/>
                <w:color w:val="auto"/>
              </w:rPr>
            </w:pPr>
          </w:p>
        </w:tc>
        <w:tc>
          <w:tcPr>
            <w:tcW w:w="2440" w:type="dxa"/>
            <w:vAlign w:val="bottom"/>
          </w:tcPr>
          <w:p>
            <w:pPr>
              <w:spacing w:after="0"/>
              <w:rPr>
                <w:sz w:val="16"/>
                <w:szCs w:val="16"/>
                <w:color w:val="auto"/>
              </w:rPr>
            </w:pPr>
          </w:p>
        </w:tc>
        <w:tc>
          <w:tcPr>
            <w:tcW w:w="1000" w:type="dxa"/>
            <w:vAlign w:val="bottom"/>
          </w:tcPr>
          <w:p>
            <w:pPr>
              <w:spacing w:after="0"/>
              <w:rPr>
                <w:sz w:val="16"/>
                <w:szCs w:val="16"/>
                <w:color w:val="auto"/>
              </w:rPr>
            </w:pPr>
          </w:p>
        </w:tc>
      </w:tr>
    </w:tbl>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2019 included planned outages at Neil Simpson II and Wygen III and unplanned outages at Wyodak Plant and Wygen III.</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0"/>
        </w:numPr>
        <w:rPr>
          <w:rFonts w:ascii="Arial" w:cs="Arial" w:eastAsia="Arial" w:hAnsi="Arial"/>
          <w:sz w:val="16"/>
          <w:szCs w:val="16"/>
          <w:color w:val="auto"/>
        </w:rPr>
      </w:pPr>
      <w:r>
        <w:rPr>
          <w:rFonts w:ascii="Arial" w:cs="Arial" w:eastAsia="Arial" w:hAnsi="Arial"/>
          <w:sz w:val="16"/>
          <w:szCs w:val="16"/>
          <w:color w:val="auto"/>
        </w:rPr>
        <w:t>2019 included planned outages at Neil Simpson CT and Lange CT.</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126" w:right="239" w:bottom="1440" w:gutter="0" w:footer="0" w:header="0"/>
          <w:type w:val="continuous"/>
        </w:sectPr>
      </w:pPr>
    </w:p>
    <w:bookmarkStart w:id="52" w:name="page53"/>
    <w:bookmarkEnd w:id="5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Utilities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Operating results for the years ended December 31 for the Gas Utilities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0" w:type="dxa"/>
            <w:vAlign w:val="bottom"/>
            <w:gridSpan w:val="2"/>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Natural gas - regulated</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932,111</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(10,813)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942,924</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77,093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865,831</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Other - non-regulated services</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77,919</w:t>
            </w:r>
          </w:p>
        </w:tc>
        <w:tc>
          <w:tcPr>
            <w:tcW w:w="32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(4,464)</w:t>
            </w:r>
          </w:p>
        </w:tc>
        <w:tc>
          <w:tcPr>
            <w:tcW w:w="34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82,383</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584</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81,799</w:t>
            </w:r>
          </w:p>
        </w:tc>
        <w:tc>
          <w:tcPr>
            <w:tcW w:w="0" w:type="dxa"/>
            <w:vAlign w:val="bottom"/>
          </w:tcPr>
          <w:p>
            <w:pPr>
              <w:spacing w:after="0"/>
              <w:rPr>
                <w:sz w:val="1"/>
                <w:szCs w:val="1"/>
                <w:color w:val="auto"/>
              </w:rPr>
            </w:pPr>
          </w:p>
        </w:tc>
      </w:tr>
      <w:tr>
        <w:trPr>
          <w:trHeight w:val="237"/>
        </w:trPr>
        <w:tc>
          <w:tcPr>
            <w:tcW w:w="4000" w:type="dxa"/>
            <w:vAlign w:val="bottom"/>
            <w:gridSpan w:val="3"/>
          </w:tcPr>
          <w:p>
            <w:pPr>
              <w:ind w:left="500"/>
              <w:spacing w:after="0"/>
              <w:rPr>
                <w:sz w:val="20"/>
                <w:szCs w:val="20"/>
                <w:color w:val="auto"/>
              </w:rPr>
            </w:pPr>
            <w:r>
              <w:rPr>
                <w:rFonts w:ascii="Arial" w:cs="Arial" w:eastAsia="Arial" w:hAnsi="Arial"/>
                <w:sz w:val="18"/>
                <w:szCs w:val="18"/>
                <w:color w:val="auto"/>
              </w:rPr>
              <w:t>Total revenue</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1,010,030</w:t>
            </w:r>
          </w:p>
        </w:tc>
        <w:tc>
          <w:tcPr>
            <w:tcW w:w="3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(15,277)</w:t>
            </w:r>
          </w:p>
        </w:tc>
        <w:tc>
          <w:tcPr>
            <w:tcW w:w="3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1,025,307</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gridSpan w:val="2"/>
          </w:tcPr>
          <w:p>
            <w:pPr>
              <w:jc w:val="right"/>
              <w:ind w:right="10"/>
              <w:spacing w:after="0"/>
              <w:rPr>
                <w:sz w:val="20"/>
                <w:szCs w:val="20"/>
                <w:color w:val="auto"/>
              </w:rPr>
            </w:pPr>
            <w:r>
              <w:rPr>
                <w:rFonts w:ascii="Arial" w:cs="Arial" w:eastAsia="Arial" w:hAnsi="Arial"/>
                <w:sz w:val="18"/>
                <w:szCs w:val="18"/>
                <w:color w:val="auto"/>
              </w:rPr>
              <w:t>77,677</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947,630</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980" w:type="dxa"/>
            <w:vAlign w:val="bottom"/>
            <w:shd w:val="clear" w:color="auto" w:fill="CEFFE7"/>
          </w:tcPr>
          <w:p>
            <w:pPr>
              <w:spacing w:after="0"/>
              <w:rPr>
                <w:sz w:val="24"/>
                <w:szCs w:val="24"/>
                <w:color w:val="auto"/>
              </w:rPr>
            </w:pPr>
          </w:p>
        </w:tc>
        <w:tc>
          <w:tcPr>
            <w:tcW w:w="780" w:type="dxa"/>
            <w:vAlign w:val="bottom"/>
            <w:shd w:val="clear" w:color="auto" w:fill="CEFFE7"/>
          </w:tcPr>
          <w:p>
            <w:pPr>
              <w:spacing w:after="0"/>
              <w:rPr>
                <w:sz w:val="24"/>
                <w:szCs w:val="24"/>
                <w:color w:val="auto"/>
              </w:rPr>
            </w:pPr>
          </w:p>
        </w:tc>
        <w:tc>
          <w:tcPr>
            <w:tcW w:w="224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00" w:type="dxa"/>
            <w:vAlign w:val="bottom"/>
            <w:shd w:val="clear" w:color="auto" w:fill="CEFFE7"/>
          </w:tcPr>
          <w:p>
            <w:pPr>
              <w:spacing w:after="0"/>
              <w:rPr>
                <w:sz w:val="24"/>
                <w:szCs w:val="24"/>
                <w:color w:val="auto"/>
              </w:rPr>
            </w:pPr>
          </w:p>
        </w:tc>
        <w:tc>
          <w:tcPr>
            <w:tcW w:w="300" w:type="dxa"/>
            <w:vAlign w:val="bottom"/>
            <w:shd w:val="clear" w:color="auto" w:fill="CEFFE7"/>
          </w:tcPr>
          <w:p>
            <w:pPr>
              <w:spacing w:after="0"/>
              <w:rPr>
                <w:sz w:val="24"/>
                <w:szCs w:val="24"/>
                <w:color w:val="auto"/>
              </w:rPr>
            </w:pPr>
          </w:p>
        </w:tc>
        <w:tc>
          <w:tcPr>
            <w:tcW w:w="400" w:type="dxa"/>
            <w:vAlign w:val="bottom"/>
            <w:shd w:val="clear" w:color="auto" w:fill="CEFFE7"/>
          </w:tcPr>
          <w:p>
            <w:pPr>
              <w:spacing w:after="0"/>
              <w:rPr>
                <w:sz w:val="24"/>
                <w:szCs w:val="24"/>
                <w:color w:val="auto"/>
              </w:rPr>
            </w:pPr>
          </w:p>
        </w:tc>
        <w:tc>
          <w:tcPr>
            <w:tcW w:w="8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Cost of natural gas sold: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Natural gas - regulated</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406,643</w:t>
            </w: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(35,887)</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442,530</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61,271</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381,259</w:t>
            </w:r>
          </w:p>
        </w:tc>
        <w:tc>
          <w:tcPr>
            <w:tcW w:w="0" w:type="dxa"/>
            <w:vAlign w:val="bottom"/>
          </w:tcPr>
          <w:p>
            <w:pPr>
              <w:spacing w:after="0"/>
              <w:rPr>
                <w:sz w:val="1"/>
                <w:szCs w:val="1"/>
                <w:color w:val="auto"/>
              </w:rPr>
            </w:pPr>
          </w:p>
        </w:tc>
      </w:tr>
      <w:tr>
        <w:trPr>
          <w:trHeight w:val="243"/>
        </w:trPr>
        <w:tc>
          <w:tcPr>
            <w:tcW w:w="4000" w:type="dxa"/>
            <w:vAlign w:val="bottom"/>
            <w:gridSpan w:val="3"/>
          </w:tcPr>
          <w:p>
            <w:pPr>
              <w:ind w:left="180"/>
              <w:spacing w:after="0"/>
              <w:rPr>
                <w:sz w:val="20"/>
                <w:szCs w:val="20"/>
                <w:color w:val="auto"/>
              </w:rPr>
            </w:pPr>
            <w:r>
              <w:rPr>
                <w:rFonts w:ascii="Arial" w:cs="Arial" w:eastAsia="Arial" w:hAnsi="Arial"/>
                <w:sz w:val="18"/>
                <w:szCs w:val="18"/>
                <w:color w:val="auto"/>
              </w:rPr>
              <w:t>Other - non-regulated services</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19,255</w:t>
            </w:r>
          </w:p>
        </w:tc>
        <w:tc>
          <w:tcPr>
            <w:tcW w:w="3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(368)</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19,623</w:t>
            </w:r>
          </w:p>
        </w:tc>
        <w:tc>
          <w:tcPr>
            <w:tcW w:w="30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(8,721)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28,344</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gridSpan w:val="3"/>
            <w:shd w:val="clear" w:color="auto" w:fill="CEFFE7"/>
          </w:tcPr>
          <w:p>
            <w:pPr>
              <w:ind w:left="500"/>
              <w:spacing w:after="0"/>
              <w:rPr>
                <w:sz w:val="20"/>
                <w:szCs w:val="20"/>
                <w:color w:val="auto"/>
              </w:rPr>
            </w:pPr>
            <w:r>
              <w:rPr>
                <w:rFonts w:ascii="Arial" w:cs="Arial" w:eastAsia="Arial" w:hAnsi="Arial"/>
                <w:sz w:val="18"/>
                <w:szCs w:val="18"/>
                <w:color w:val="auto"/>
              </w:rPr>
              <w:t>Total cost of sales</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425,898</w:t>
            </w:r>
          </w:p>
        </w:tc>
        <w:tc>
          <w:tcPr>
            <w:tcW w:w="32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(36,255)</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462,153</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52,550</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409,603</w:t>
            </w:r>
          </w:p>
        </w:tc>
        <w:tc>
          <w:tcPr>
            <w:tcW w:w="0" w:type="dxa"/>
            <w:vAlign w:val="bottom"/>
          </w:tcPr>
          <w:p>
            <w:pPr>
              <w:spacing w:after="0"/>
              <w:rPr>
                <w:sz w:val="1"/>
                <w:szCs w:val="1"/>
                <w:color w:val="auto"/>
              </w:rPr>
            </w:pPr>
          </w:p>
        </w:tc>
      </w:tr>
      <w:tr>
        <w:trPr>
          <w:trHeight w:val="318"/>
        </w:trPr>
        <w:tc>
          <w:tcPr>
            <w:tcW w:w="980" w:type="dxa"/>
            <w:vAlign w:val="bottom"/>
            <w:tcBorders>
              <w:bottom w:val="single" w:sz="8" w:color="CEFFE7"/>
            </w:tcBorders>
          </w:tcPr>
          <w:p>
            <w:pPr>
              <w:spacing w:after="0"/>
              <w:rPr>
                <w:sz w:val="24"/>
                <w:szCs w:val="24"/>
                <w:color w:val="auto"/>
              </w:rPr>
            </w:pPr>
          </w:p>
        </w:tc>
        <w:tc>
          <w:tcPr>
            <w:tcW w:w="780" w:type="dxa"/>
            <w:vAlign w:val="bottom"/>
            <w:tcBorders>
              <w:bottom w:val="single" w:sz="8" w:color="CEFFE7"/>
            </w:tcBorders>
          </w:tcPr>
          <w:p>
            <w:pPr>
              <w:spacing w:after="0"/>
              <w:rPr>
                <w:sz w:val="24"/>
                <w:szCs w:val="24"/>
                <w:color w:val="auto"/>
              </w:rPr>
            </w:pPr>
          </w:p>
        </w:tc>
        <w:tc>
          <w:tcPr>
            <w:tcW w:w="224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Gross margin (non-GAAP)</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584,132</w:t>
            </w:r>
          </w:p>
        </w:tc>
        <w:tc>
          <w:tcPr>
            <w:tcW w:w="32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20,978</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563,154</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25,127</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538,027</w:t>
            </w:r>
          </w:p>
        </w:tc>
        <w:tc>
          <w:tcPr>
            <w:tcW w:w="0" w:type="dxa"/>
            <w:vAlign w:val="bottom"/>
          </w:tcPr>
          <w:p>
            <w:pPr>
              <w:spacing w:after="0"/>
              <w:rPr>
                <w:sz w:val="1"/>
                <w:szCs w:val="1"/>
                <w:color w:val="auto"/>
              </w:rPr>
            </w:pPr>
          </w:p>
        </w:tc>
      </w:tr>
      <w:tr>
        <w:trPr>
          <w:trHeight w:val="318"/>
        </w:trPr>
        <w:tc>
          <w:tcPr>
            <w:tcW w:w="9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301,844</w:t>
            </w: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10,363</w:t>
            </w: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291,481</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22,291</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269,190</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92,317</w:t>
            </w:r>
          </w:p>
        </w:tc>
        <w:tc>
          <w:tcPr>
            <w:tcW w:w="32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5,883</w:t>
            </w:r>
          </w:p>
        </w:tc>
        <w:tc>
          <w:tcPr>
            <w:tcW w:w="34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86,434</w:t>
            </w:r>
          </w:p>
        </w:tc>
        <w:tc>
          <w:tcPr>
            <w:tcW w:w="300" w:type="dxa"/>
            <w:vAlign w:val="bottom"/>
          </w:tcPr>
          <w:p>
            <w:pPr>
              <w:spacing w:after="0"/>
              <w:rPr>
                <w:sz w:val="21"/>
                <w:szCs w:val="21"/>
                <w:color w:val="auto"/>
              </w:rPr>
            </w:pP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rPr>
              <w:t>2,702</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83,732</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2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EFFE7"/>
            </w:tcBorders>
            <w:gridSpan w:val="3"/>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394,161</w:t>
            </w:r>
          </w:p>
        </w:tc>
        <w:tc>
          <w:tcPr>
            <w:tcW w:w="32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16,246</w:t>
            </w:r>
          </w:p>
        </w:tc>
        <w:tc>
          <w:tcPr>
            <w:tcW w:w="34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377,915</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24,993</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352,922</w:t>
            </w:r>
          </w:p>
        </w:tc>
        <w:tc>
          <w:tcPr>
            <w:tcW w:w="0" w:type="dxa"/>
            <w:vAlign w:val="bottom"/>
          </w:tcPr>
          <w:p>
            <w:pPr>
              <w:spacing w:after="0"/>
              <w:rPr>
                <w:sz w:val="1"/>
                <w:szCs w:val="1"/>
                <w:color w:val="auto"/>
              </w:rPr>
            </w:pPr>
          </w:p>
        </w:tc>
      </w:tr>
      <w:tr>
        <w:trPr>
          <w:trHeight w:val="318"/>
        </w:trPr>
        <w:tc>
          <w:tcPr>
            <w:tcW w:w="980" w:type="dxa"/>
            <w:vAlign w:val="bottom"/>
            <w:tcBorders>
              <w:bottom w:val="single" w:sz="8" w:color="CEFFE7"/>
            </w:tcBorders>
          </w:tcPr>
          <w:p>
            <w:pPr>
              <w:spacing w:after="0"/>
              <w:rPr>
                <w:sz w:val="24"/>
                <w:szCs w:val="24"/>
                <w:color w:val="auto"/>
              </w:rPr>
            </w:pPr>
          </w:p>
        </w:tc>
        <w:tc>
          <w:tcPr>
            <w:tcW w:w="780" w:type="dxa"/>
            <w:vAlign w:val="bottom"/>
            <w:tcBorders>
              <w:bottom w:val="single" w:sz="8" w:color="CEFFE7"/>
            </w:tcBorders>
          </w:tcPr>
          <w:p>
            <w:pPr>
              <w:spacing w:after="0"/>
              <w:rPr>
                <w:sz w:val="24"/>
                <w:szCs w:val="24"/>
                <w:color w:val="auto"/>
              </w:rPr>
            </w:pPr>
          </w:p>
        </w:tc>
        <w:tc>
          <w:tcPr>
            <w:tcW w:w="224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400" w:type="dxa"/>
            <w:vAlign w:val="bottom"/>
            <w:tcBorders>
              <w:top w:val="single" w:sz="8" w:color="auto"/>
              <w:bottom w:val="single" w:sz="8" w:color="auto"/>
            </w:tcBorders>
          </w:tcPr>
          <w:p>
            <w:pPr>
              <w:spacing w:after="0"/>
              <w:rPr>
                <w:sz w:val="24"/>
                <w:szCs w:val="24"/>
                <w:color w:val="auto"/>
              </w:rPr>
            </w:pPr>
          </w:p>
        </w:tc>
        <w:tc>
          <w:tcPr>
            <w:tcW w:w="8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189,971</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4,732</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185,239</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134</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185,105</w:t>
            </w:r>
          </w:p>
        </w:tc>
        <w:tc>
          <w:tcPr>
            <w:tcW w:w="0" w:type="dxa"/>
            <w:vAlign w:val="bottom"/>
          </w:tcPr>
          <w:p>
            <w:pPr>
              <w:spacing w:after="0"/>
              <w:rPr>
                <w:sz w:val="1"/>
                <w:szCs w:val="1"/>
                <w:color w:val="auto"/>
              </w:rPr>
            </w:pPr>
          </w:p>
        </w:tc>
      </w:tr>
      <w:tr>
        <w:trPr>
          <w:trHeight w:val="20"/>
        </w:trPr>
        <w:tc>
          <w:tcPr>
            <w:tcW w:w="1760" w:type="dxa"/>
            <w:vAlign w:val="bottom"/>
            <w:gridSpan w:val="2"/>
            <w:vMerge w:val="restart"/>
          </w:tcPr>
          <w:p>
            <w:pPr>
              <w:spacing w:after="0"/>
              <w:rPr>
                <w:sz w:val="20"/>
                <w:szCs w:val="20"/>
                <w:color w:val="auto"/>
              </w:rPr>
            </w:pPr>
            <w:r>
              <w:rPr>
                <w:rFonts w:ascii="Arial" w:cs="Arial" w:eastAsia="Arial" w:hAnsi="Arial"/>
                <w:sz w:val="18"/>
                <w:szCs w:val="18"/>
                <w:color w:val="auto"/>
                <w:w w:val="89"/>
              </w:rPr>
              <w:t>2019 Compared to 2018</w:t>
            </w:r>
          </w:p>
        </w:tc>
        <w:tc>
          <w:tcPr>
            <w:tcW w:w="2240" w:type="dxa"/>
            <w:vAlign w:val="bottom"/>
            <w:vMerge w:val="restart"/>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4"/>
        </w:trPr>
        <w:tc>
          <w:tcPr>
            <w:tcW w:w="1760" w:type="dxa"/>
            <w:vAlign w:val="bottom"/>
            <w:tcBorders>
              <w:bottom w:val="single" w:sz="8" w:color="auto"/>
            </w:tcBorders>
            <w:gridSpan w:val="2"/>
            <w:vMerge w:val="continue"/>
          </w:tcPr>
          <w:p>
            <w:pPr>
              <w:spacing w:after="0"/>
              <w:rPr>
                <w:sz w:val="24"/>
                <w:szCs w:val="24"/>
                <w:color w:val="auto"/>
              </w:rPr>
            </w:pPr>
          </w:p>
        </w:tc>
        <w:tc>
          <w:tcPr>
            <w:tcW w:w="22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4360" w:type="dxa"/>
            <w:vAlign w:val="bottom"/>
            <w:gridSpan w:val="4"/>
          </w:tcPr>
          <w:p>
            <w:pPr>
              <w:spacing w:after="0"/>
              <w:rPr>
                <w:sz w:val="20"/>
                <w:szCs w:val="20"/>
                <w:color w:val="auto"/>
              </w:rPr>
            </w:pPr>
            <w:r>
              <w:rPr>
                <w:rFonts w:ascii="Arial" w:cs="Arial" w:eastAsia="Arial" w:hAnsi="Arial"/>
                <w:sz w:val="18"/>
                <w:szCs w:val="18"/>
                <w:color w:val="auto"/>
                <w:w w:val="95"/>
              </w:rPr>
              <w:t>Gross margin increased over the prior year as a result of:</w:t>
            </w: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80" w:type="dxa"/>
            <w:vAlign w:val="bottom"/>
            <w:gridSpan w:val="3"/>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24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1120" w:type="dxa"/>
            <w:vAlign w:val="bottom"/>
            <w:tcBorders>
              <w:bottom w:val="single" w:sz="8" w:color="CEFFE7"/>
            </w:tcBorders>
          </w:tcPr>
          <w:p>
            <w:pPr>
              <w:spacing w:after="0"/>
              <w:rPr>
                <w:sz w:val="2"/>
                <w:szCs w:val="2"/>
                <w:color w:val="auto"/>
              </w:rPr>
            </w:pPr>
          </w:p>
        </w:tc>
        <w:tc>
          <w:tcPr>
            <w:tcW w:w="32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110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400" w:type="dxa"/>
            <w:vAlign w:val="bottom"/>
            <w:tcBorders>
              <w:bottom w:val="single" w:sz="8" w:color="CEFFE7"/>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New rates</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gridSpan w:val="2"/>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Customer growth - distribution</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Increased transport and transmission</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Weather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780" w:type="dxa"/>
            <w:vAlign w:val="bottom"/>
          </w:tcPr>
          <w:p>
            <w:pPr>
              <w:spacing w:after="0"/>
              <w:rPr>
                <w:sz w:val="2"/>
                <w:szCs w:val="2"/>
                <w:color w:val="auto"/>
              </w:rPr>
            </w:pPr>
          </w:p>
        </w:tc>
        <w:tc>
          <w:tcPr>
            <w:tcW w:w="3720" w:type="dxa"/>
            <w:vAlign w:val="bottom"/>
            <w:gridSpan w:val="3"/>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8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w w:val="92"/>
              </w:rPr>
              <w:t>Decreased mark-to-market on non-utility natural gas commodity contracts</w:t>
            </w:r>
          </w:p>
        </w:tc>
        <w:tc>
          <w:tcPr>
            <w:tcW w:w="32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43"/>
        </w:trPr>
        <w:tc>
          <w:tcPr>
            <w:tcW w:w="4000" w:type="dxa"/>
            <w:vAlign w:val="bottom"/>
            <w:gridSpan w:val="3"/>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EE7"/>
            </w:tcBorders>
          </w:tcPr>
          <w:p>
            <w:pPr>
              <w:spacing w:after="0"/>
              <w:rPr>
                <w:sz w:val="2"/>
                <w:szCs w:val="2"/>
                <w:color w:val="auto"/>
              </w:rPr>
            </w:pPr>
          </w:p>
        </w:tc>
        <w:tc>
          <w:tcPr>
            <w:tcW w:w="780" w:type="dxa"/>
            <w:vAlign w:val="bottom"/>
            <w:tcBorders>
              <w:bottom w:val="single" w:sz="8" w:color="CEFEE7"/>
            </w:tcBorders>
          </w:tcPr>
          <w:p>
            <w:pPr>
              <w:spacing w:after="0"/>
              <w:rPr>
                <w:sz w:val="2"/>
                <w:szCs w:val="2"/>
                <w:color w:val="auto"/>
              </w:rPr>
            </w:pPr>
          </w:p>
        </w:tc>
        <w:tc>
          <w:tcPr>
            <w:tcW w:w="2240" w:type="dxa"/>
            <w:vAlign w:val="bottom"/>
            <w:tcBorders>
              <w:bottom w:val="single" w:sz="8" w:color="CEFEE7"/>
            </w:tcBorders>
          </w:tcPr>
          <w:p>
            <w:pPr>
              <w:spacing w:after="0"/>
              <w:rPr>
                <w:sz w:val="2"/>
                <w:szCs w:val="2"/>
                <w:color w:val="auto"/>
              </w:rPr>
            </w:pPr>
          </w:p>
        </w:tc>
        <w:tc>
          <w:tcPr>
            <w:tcW w:w="360" w:type="dxa"/>
            <w:vAlign w:val="bottom"/>
            <w:tcBorders>
              <w:bottom w:val="single" w:sz="8" w:color="CEFEE7"/>
            </w:tcBorders>
          </w:tcPr>
          <w:p>
            <w:pPr>
              <w:spacing w:after="0"/>
              <w:rPr>
                <w:sz w:val="2"/>
                <w:szCs w:val="2"/>
                <w:color w:val="auto"/>
              </w:rPr>
            </w:pPr>
          </w:p>
        </w:tc>
        <w:tc>
          <w:tcPr>
            <w:tcW w:w="1120" w:type="dxa"/>
            <w:vAlign w:val="bottom"/>
            <w:tcBorders>
              <w:bottom w:val="single" w:sz="8" w:color="CEFEE7"/>
            </w:tcBorders>
          </w:tcPr>
          <w:p>
            <w:pPr>
              <w:spacing w:after="0"/>
              <w:rPr>
                <w:sz w:val="2"/>
                <w:szCs w:val="2"/>
                <w:color w:val="auto"/>
              </w:rPr>
            </w:pPr>
          </w:p>
        </w:tc>
        <w:tc>
          <w:tcPr>
            <w:tcW w:w="320" w:type="dxa"/>
            <w:vAlign w:val="bottom"/>
            <w:tcBorders>
              <w:bottom w:val="single" w:sz="8" w:color="CEFEE7"/>
            </w:tcBorders>
          </w:tcPr>
          <w:p>
            <w:pPr>
              <w:spacing w:after="0"/>
              <w:rPr>
                <w:sz w:val="2"/>
                <w:szCs w:val="2"/>
                <w:color w:val="auto"/>
              </w:rPr>
            </w:pPr>
          </w:p>
        </w:tc>
        <w:tc>
          <w:tcPr>
            <w:tcW w:w="1200" w:type="dxa"/>
            <w:vAlign w:val="bottom"/>
            <w:tcBorders>
              <w:bottom w:val="single" w:sz="8" w:color="CEFEE7"/>
            </w:tcBorders>
          </w:tcPr>
          <w:p>
            <w:pPr>
              <w:spacing w:after="0"/>
              <w:rPr>
                <w:sz w:val="2"/>
                <w:szCs w:val="2"/>
                <w:color w:val="auto"/>
              </w:rPr>
            </w:pPr>
          </w:p>
        </w:tc>
        <w:tc>
          <w:tcPr>
            <w:tcW w:w="340" w:type="dxa"/>
            <w:vAlign w:val="bottom"/>
            <w:tcBorders>
              <w:bottom w:val="single" w:sz="8" w:color="CEFEE7"/>
            </w:tcBorders>
          </w:tcPr>
          <w:p>
            <w:pPr>
              <w:spacing w:after="0"/>
              <w:rPr>
                <w:sz w:val="2"/>
                <w:szCs w:val="2"/>
                <w:color w:val="auto"/>
              </w:rPr>
            </w:pPr>
          </w:p>
        </w:tc>
        <w:tc>
          <w:tcPr>
            <w:tcW w:w="1100" w:type="dxa"/>
            <w:vAlign w:val="bottom"/>
            <w:tcBorders>
              <w:bottom w:val="single" w:sz="8" w:color="CEFEE7"/>
            </w:tcBorders>
          </w:tcPr>
          <w:p>
            <w:pPr>
              <w:spacing w:after="0"/>
              <w:rPr>
                <w:sz w:val="2"/>
                <w:szCs w:val="2"/>
                <w:color w:val="auto"/>
              </w:rPr>
            </w:pPr>
          </w:p>
        </w:tc>
        <w:tc>
          <w:tcPr>
            <w:tcW w:w="300" w:type="dxa"/>
            <w:vAlign w:val="bottom"/>
            <w:tcBorders>
              <w:bottom w:val="single" w:sz="8" w:color="CEFEE7"/>
            </w:tcBorders>
          </w:tcPr>
          <w:p>
            <w:pPr>
              <w:spacing w:after="0"/>
              <w:rPr>
                <w:sz w:val="2"/>
                <w:szCs w:val="2"/>
                <w:color w:val="auto"/>
              </w:rPr>
            </w:pPr>
          </w:p>
        </w:tc>
        <w:tc>
          <w:tcPr>
            <w:tcW w:w="400" w:type="dxa"/>
            <w:vAlign w:val="bottom"/>
            <w:tcBorders>
              <w:bottom w:val="single" w:sz="8" w:color="CEFEE7"/>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000" w:type="dxa"/>
            <w:vAlign w:val="bottom"/>
            <w:gridSpan w:val="3"/>
            <w:shd w:val="clear" w:color="auto" w:fill="CEFEE7"/>
          </w:tcPr>
          <w:p>
            <w:pPr>
              <w:ind w:left="40"/>
              <w:spacing w:after="0"/>
              <w:rPr>
                <w:sz w:val="20"/>
                <w:szCs w:val="20"/>
                <w:color w:val="auto"/>
              </w:rPr>
            </w:pPr>
            <w:r>
              <w:rPr>
                <w:rFonts w:ascii="Arial" w:cs="Arial" w:eastAsia="Arial" w:hAnsi="Arial"/>
                <w:sz w:val="18"/>
                <w:szCs w:val="18"/>
                <w:color w:val="auto"/>
              </w:rPr>
              <w:t>Total increase in Gross margin (non-GAAP)</w:t>
            </w:r>
          </w:p>
        </w:tc>
        <w:tc>
          <w:tcPr>
            <w:tcW w:w="360" w:type="dxa"/>
            <w:vAlign w:val="bottom"/>
            <w:shd w:val="clear" w:color="auto" w:fill="CEFEE7"/>
          </w:tcPr>
          <w:p>
            <w:pPr>
              <w:spacing w:after="0"/>
              <w:rPr>
                <w:sz w:val="22"/>
                <w:szCs w:val="22"/>
                <w:color w:val="auto"/>
              </w:rPr>
            </w:pPr>
          </w:p>
        </w:tc>
        <w:tc>
          <w:tcPr>
            <w:tcW w:w="1120" w:type="dxa"/>
            <w:vAlign w:val="bottom"/>
            <w:shd w:val="clear" w:color="auto" w:fill="CEFEE7"/>
          </w:tcPr>
          <w:p>
            <w:pPr>
              <w:spacing w:after="0"/>
              <w:rPr>
                <w:sz w:val="22"/>
                <w:szCs w:val="22"/>
                <w:color w:val="auto"/>
              </w:rPr>
            </w:pPr>
          </w:p>
        </w:tc>
        <w:tc>
          <w:tcPr>
            <w:tcW w:w="320" w:type="dxa"/>
            <w:vAlign w:val="bottom"/>
            <w:shd w:val="clear" w:color="auto" w:fill="CEFEE7"/>
          </w:tcPr>
          <w:p>
            <w:pPr>
              <w:spacing w:after="0"/>
              <w:rPr>
                <w:sz w:val="22"/>
                <w:szCs w:val="22"/>
                <w:color w:val="auto"/>
              </w:rPr>
            </w:pPr>
          </w:p>
        </w:tc>
        <w:tc>
          <w:tcPr>
            <w:tcW w:w="1200" w:type="dxa"/>
            <w:vAlign w:val="bottom"/>
            <w:shd w:val="clear" w:color="auto" w:fill="CEFEE7"/>
          </w:tcPr>
          <w:p>
            <w:pPr>
              <w:spacing w:after="0"/>
              <w:rPr>
                <w:sz w:val="22"/>
                <w:szCs w:val="22"/>
                <w:color w:val="auto"/>
              </w:rPr>
            </w:pPr>
          </w:p>
        </w:tc>
        <w:tc>
          <w:tcPr>
            <w:tcW w:w="340" w:type="dxa"/>
            <w:vAlign w:val="bottom"/>
            <w:shd w:val="clear" w:color="auto" w:fill="CEFEE7"/>
          </w:tcPr>
          <w:p>
            <w:pPr>
              <w:spacing w:after="0"/>
              <w:rPr>
                <w:sz w:val="22"/>
                <w:szCs w:val="22"/>
                <w:color w:val="auto"/>
              </w:rPr>
            </w:pPr>
          </w:p>
        </w:tc>
        <w:tc>
          <w:tcPr>
            <w:tcW w:w="1100" w:type="dxa"/>
            <w:vAlign w:val="bottom"/>
            <w:shd w:val="clear" w:color="auto" w:fill="CEFEE7"/>
          </w:tcPr>
          <w:p>
            <w:pPr>
              <w:spacing w:after="0"/>
              <w:rPr>
                <w:sz w:val="22"/>
                <w:szCs w:val="22"/>
                <w:color w:val="auto"/>
              </w:rPr>
            </w:pPr>
          </w:p>
        </w:tc>
        <w:tc>
          <w:tcPr>
            <w:tcW w:w="300" w:type="dxa"/>
            <w:vAlign w:val="bottom"/>
            <w:shd w:val="clear" w:color="auto" w:fill="CEFEE7"/>
          </w:tcPr>
          <w:p>
            <w:pPr>
              <w:spacing w:after="0"/>
              <w:rPr>
                <w:sz w:val="22"/>
                <w:szCs w:val="22"/>
                <w:color w:val="auto"/>
              </w:rPr>
            </w:pPr>
          </w:p>
        </w:tc>
        <w:tc>
          <w:tcPr>
            <w:tcW w:w="1200" w:type="dxa"/>
            <w:vAlign w:val="bottom"/>
            <w:gridSpan w:val="2"/>
            <w:shd w:val="clear" w:color="auto" w:fill="CEFEE7"/>
          </w:tcPr>
          <w:p>
            <w:pPr>
              <w:jc w:val="right"/>
              <w:ind w:right="59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EE7"/>
          </w:tcPr>
          <w:p>
            <w:pPr>
              <w:spacing w:after="0"/>
              <w:rPr>
                <w:sz w:val="22"/>
                <w:szCs w:val="22"/>
                <w:color w:val="auto"/>
              </w:rPr>
            </w:pPr>
          </w:p>
        </w:tc>
        <w:tc>
          <w:tcPr>
            <w:tcW w:w="1140" w:type="dxa"/>
            <w:vAlign w:val="bottom"/>
            <w:shd w:val="clear" w:color="auto" w:fill="CEFEE7"/>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0"/>
        </w:trPr>
        <w:tc>
          <w:tcPr>
            <w:tcW w:w="980" w:type="dxa"/>
            <w:vAlign w:val="bottom"/>
            <w:tcBorders>
              <w:top w:val="single" w:sz="8" w:color="CEFEE7"/>
            </w:tcBorders>
          </w:tcPr>
          <w:p>
            <w:pPr>
              <w:spacing w:after="0" w:line="20" w:lineRule="exact"/>
              <w:rPr>
                <w:sz w:val="1"/>
                <w:szCs w:val="1"/>
                <w:color w:val="auto"/>
              </w:rPr>
            </w:pPr>
          </w:p>
        </w:tc>
        <w:tc>
          <w:tcPr>
            <w:tcW w:w="780" w:type="dxa"/>
            <w:vAlign w:val="bottom"/>
            <w:tcBorders>
              <w:top w:val="single" w:sz="8" w:color="CEFEE7"/>
            </w:tcBorders>
          </w:tcPr>
          <w:p>
            <w:pPr>
              <w:spacing w:after="0" w:line="20" w:lineRule="exact"/>
              <w:rPr>
                <w:sz w:val="1"/>
                <w:szCs w:val="1"/>
                <w:color w:val="auto"/>
              </w:rPr>
            </w:pPr>
          </w:p>
        </w:tc>
        <w:tc>
          <w:tcPr>
            <w:tcW w:w="2240" w:type="dxa"/>
            <w:vAlign w:val="bottom"/>
            <w:tcBorders>
              <w:top w:val="single" w:sz="8" w:color="CEFEE7"/>
            </w:tcBorders>
          </w:tcPr>
          <w:p>
            <w:pPr>
              <w:spacing w:after="0" w:line="20" w:lineRule="exact"/>
              <w:rPr>
                <w:sz w:val="1"/>
                <w:szCs w:val="1"/>
                <w:color w:val="auto"/>
              </w:rPr>
            </w:pPr>
          </w:p>
        </w:tc>
        <w:tc>
          <w:tcPr>
            <w:tcW w:w="360" w:type="dxa"/>
            <w:vAlign w:val="bottom"/>
            <w:tcBorders>
              <w:top w:val="single" w:sz="8" w:color="CEFEE7"/>
            </w:tcBorders>
          </w:tcPr>
          <w:p>
            <w:pPr>
              <w:spacing w:after="0" w:line="20" w:lineRule="exact"/>
              <w:rPr>
                <w:sz w:val="1"/>
                <w:szCs w:val="1"/>
                <w:color w:val="auto"/>
              </w:rPr>
            </w:pPr>
          </w:p>
        </w:tc>
        <w:tc>
          <w:tcPr>
            <w:tcW w:w="1120" w:type="dxa"/>
            <w:vAlign w:val="bottom"/>
            <w:tcBorders>
              <w:top w:val="single" w:sz="8" w:color="CEFEE7"/>
            </w:tcBorders>
          </w:tcPr>
          <w:p>
            <w:pPr>
              <w:spacing w:after="0" w:line="20" w:lineRule="exact"/>
              <w:rPr>
                <w:sz w:val="1"/>
                <w:szCs w:val="1"/>
                <w:color w:val="auto"/>
              </w:rPr>
            </w:pPr>
          </w:p>
        </w:tc>
        <w:tc>
          <w:tcPr>
            <w:tcW w:w="320" w:type="dxa"/>
            <w:vAlign w:val="bottom"/>
            <w:tcBorders>
              <w:top w:val="single" w:sz="8" w:color="CEFEE7"/>
            </w:tcBorders>
          </w:tcPr>
          <w:p>
            <w:pPr>
              <w:spacing w:after="0" w:line="20" w:lineRule="exact"/>
              <w:rPr>
                <w:sz w:val="1"/>
                <w:szCs w:val="1"/>
                <w:color w:val="auto"/>
              </w:rPr>
            </w:pPr>
          </w:p>
        </w:tc>
        <w:tc>
          <w:tcPr>
            <w:tcW w:w="1200" w:type="dxa"/>
            <w:vAlign w:val="bottom"/>
            <w:tcBorders>
              <w:top w:val="single" w:sz="8" w:color="CEFEE7"/>
            </w:tcBorders>
          </w:tcPr>
          <w:p>
            <w:pPr>
              <w:spacing w:after="0" w:line="20" w:lineRule="exact"/>
              <w:rPr>
                <w:sz w:val="1"/>
                <w:szCs w:val="1"/>
                <w:color w:val="auto"/>
              </w:rPr>
            </w:pPr>
          </w:p>
        </w:tc>
        <w:tc>
          <w:tcPr>
            <w:tcW w:w="340" w:type="dxa"/>
            <w:vAlign w:val="bottom"/>
            <w:tcBorders>
              <w:top w:val="single" w:sz="8" w:color="CEFEE7"/>
            </w:tcBorders>
          </w:tcPr>
          <w:p>
            <w:pPr>
              <w:spacing w:after="0" w:line="20" w:lineRule="exact"/>
              <w:rPr>
                <w:sz w:val="1"/>
                <w:szCs w:val="1"/>
                <w:color w:val="auto"/>
              </w:rPr>
            </w:pPr>
          </w:p>
        </w:tc>
        <w:tc>
          <w:tcPr>
            <w:tcW w:w="1100" w:type="dxa"/>
            <w:vAlign w:val="bottom"/>
            <w:tcBorders>
              <w:top w:val="single" w:sz="8" w:color="CEFEE7"/>
            </w:tcBorders>
          </w:tcPr>
          <w:p>
            <w:pPr>
              <w:spacing w:after="0" w:line="20" w:lineRule="exact"/>
              <w:rPr>
                <w:sz w:val="1"/>
                <w:szCs w:val="1"/>
                <w:color w:val="auto"/>
              </w:rPr>
            </w:pPr>
          </w:p>
        </w:tc>
        <w:tc>
          <w:tcPr>
            <w:tcW w:w="300" w:type="dxa"/>
            <w:vAlign w:val="bottom"/>
            <w:tcBorders>
              <w:top w:val="single" w:sz="8" w:color="CEFEE7"/>
            </w:tcBorders>
          </w:tcPr>
          <w:p>
            <w:pPr>
              <w:spacing w:after="0" w:line="20" w:lineRule="exact"/>
              <w:rPr>
                <w:sz w:val="1"/>
                <w:szCs w:val="1"/>
                <w:color w:val="auto"/>
              </w:rPr>
            </w:pPr>
          </w:p>
        </w:tc>
        <w:tc>
          <w:tcPr>
            <w:tcW w:w="400" w:type="dxa"/>
            <w:vAlign w:val="bottom"/>
            <w:tcBorders>
              <w:top w:val="single" w:sz="8" w:color="CEFEE7"/>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5"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$5.5 million of higher outside services expenses, $1.2 million higher employee costs and $2.0 million of higher property taxes due to a higher asset base driven by prior and current year capital expenditures. Various other expenses comprise the remainder of the increase compared to the prior year.</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a higher asset base driven by prior and current year capital expenditures.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26" w:right="239" w:bottom="1440" w:gutter="0" w:footer="0" w:header="0"/>
        </w:sectPr>
      </w:pPr>
    </w:p>
    <w:bookmarkStart w:id="53" w:name="page54"/>
    <w:bookmarkEnd w:id="53"/>
    <w:tbl>
      <w:tblPr>
        <w:tblLayout w:type="fixed"/>
        <w:tblInd w:w="0" w:type="dxa"/>
        <w:tblCellMar>
          <w:top w:w="0" w:type="dxa"/>
          <w:left w:w="0" w:type="dxa"/>
          <w:bottom w:w="0" w:type="dxa"/>
          <w:right w:w="0" w:type="dxa"/>
        </w:tblCellMar>
      </w:tblPr>
      <w:tr>
        <w:trPr>
          <w:trHeight w:val="184"/>
        </w:trPr>
        <w:tc>
          <w:tcPr>
            <w:tcW w:w="914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00" w:type="dxa"/>
            <w:vAlign w:val="bottom"/>
          </w:tcPr>
          <w:p>
            <w:pPr>
              <w:spacing w:after="0"/>
              <w:rPr>
                <w:sz w:val="16"/>
                <w:szCs w:val="16"/>
                <w:color w:val="auto"/>
              </w:rPr>
            </w:pPr>
          </w:p>
        </w:tc>
        <w:tc>
          <w:tcPr>
            <w:tcW w:w="1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9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7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176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w w:val="89"/>
              </w:rPr>
              <w:t>2018 Compared to 2017</w:t>
            </w: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9140" w:type="dxa"/>
            <w:vAlign w:val="bottom"/>
            <w:gridSpan w:val="4"/>
          </w:tcPr>
          <w:p>
            <w:pPr>
              <w:spacing w:after="0"/>
              <w:rPr>
                <w:sz w:val="20"/>
                <w:szCs w:val="20"/>
                <w:color w:val="auto"/>
              </w:rPr>
            </w:pPr>
            <w:r>
              <w:rPr>
                <w:rFonts w:ascii="Arial" w:cs="Arial" w:eastAsia="Arial" w:hAnsi="Arial"/>
                <w:sz w:val="18"/>
                <w:szCs w:val="18"/>
                <w:color w:val="auto"/>
              </w:rPr>
              <w:t>Gross margin increased over the prior year as a result of:</w:t>
            </w:r>
          </w:p>
        </w:tc>
        <w:tc>
          <w:tcPr>
            <w:tcW w:w="40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98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80" w:type="dxa"/>
            <w:vAlign w:val="bottom"/>
          </w:tcPr>
          <w:p>
            <w:pPr>
              <w:jc w:val="right"/>
              <w:ind w:right="610"/>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7"/>
        </w:trPr>
        <w:tc>
          <w:tcPr>
            <w:tcW w:w="98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738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9140" w:type="dxa"/>
            <w:vAlign w:val="bottom"/>
            <w:gridSpan w:val="4"/>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Weather </w:t>
            </w:r>
            <w:r>
              <w:rPr>
                <w:rFonts w:ascii="Arial" w:cs="Arial" w:eastAsia="Arial" w:hAnsi="Arial"/>
                <w:sz w:val="25"/>
                <w:szCs w:val="25"/>
                <w:color w:val="auto"/>
                <w:vertAlign w:val="superscript"/>
              </w:rPr>
              <w:t>(a)</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43"/>
        </w:trPr>
        <w:tc>
          <w:tcPr>
            <w:tcW w:w="9140" w:type="dxa"/>
            <w:vAlign w:val="bottom"/>
            <w:gridSpan w:val="4"/>
          </w:tcPr>
          <w:p>
            <w:pPr>
              <w:ind w:left="40"/>
              <w:spacing w:after="0"/>
              <w:rPr>
                <w:sz w:val="20"/>
                <w:szCs w:val="20"/>
                <w:color w:val="auto"/>
              </w:rPr>
            </w:pPr>
            <w:r>
              <w:rPr>
                <w:rFonts w:ascii="Arial" w:cs="Arial" w:eastAsia="Arial" w:hAnsi="Arial"/>
                <w:sz w:val="18"/>
                <w:szCs w:val="18"/>
                <w:color w:val="auto"/>
              </w:rPr>
              <w:t>New rates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10.7</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Customer growth -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43"/>
        </w:trPr>
        <w:tc>
          <w:tcPr>
            <w:tcW w:w="9140" w:type="dxa"/>
            <w:vAlign w:val="bottom"/>
            <w:gridSpan w:val="4"/>
          </w:tcPr>
          <w:p>
            <w:pPr>
              <w:ind w:left="40"/>
              <w:spacing w:after="0"/>
              <w:rPr>
                <w:sz w:val="20"/>
                <w:szCs w:val="20"/>
                <w:color w:val="auto"/>
              </w:rPr>
            </w:pPr>
            <w:r>
              <w:rPr>
                <w:rFonts w:ascii="Arial" w:cs="Arial" w:eastAsia="Arial" w:hAnsi="Arial"/>
                <w:sz w:val="18"/>
                <w:szCs w:val="18"/>
                <w:color w:val="auto"/>
              </w:rPr>
              <w:t>Increased mark-to-market on non-utility natural gas commodity contracts</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Increased transport and transmission</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43"/>
        </w:trPr>
        <w:tc>
          <w:tcPr>
            <w:tcW w:w="9140" w:type="dxa"/>
            <w:vAlign w:val="bottom"/>
            <w:gridSpan w:val="4"/>
          </w:tcPr>
          <w:p>
            <w:pPr>
              <w:ind w:left="40"/>
              <w:spacing w:after="0"/>
              <w:rPr>
                <w:sz w:val="20"/>
                <w:szCs w:val="20"/>
                <w:color w:val="auto"/>
              </w:rPr>
            </w:pPr>
            <w:r>
              <w:rPr>
                <w:rFonts w:ascii="Arial" w:cs="Arial" w:eastAsia="Arial" w:hAnsi="Arial"/>
                <w:sz w:val="18"/>
                <w:szCs w:val="18"/>
                <w:color w:val="auto"/>
              </w:rPr>
              <w:t>Natural gas volumes sold</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91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Non-utility - Choice Gas, Tech Services and appliance repair</w:t>
            </w:r>
          </w:p>
        </w:tc>
        <w:tc>
          <w:tcPr>
            <w:tcW w:w="400" w:type="dxa"/>
            <w:vAlign w:val="bottom"/>
            <w:tcBorders>
              <w:bottom w:val="single" w:sz="8" w:color="CEFFE7"/>
            </w:tcBorders>
            <w:shd w:val="clear" w:color="auto" w:fill="CEFFE7"/>
          </w:tcPr>
          <w:p>
            <w:pPr>
              <w:spacing w:after="0"/>
              <w:rPr>
                <w:sz w:val="21"/>
                <w:szCs w:val="21"/>
                <w:color w:val="auto"/>
              </w:rPr>
            </w:pPr>
          </w:p>
        </w:tc>
        <w:tc>
          <w:tcPr>
            <w:tcW w:w="1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9140" w:type="dxa"/>
            <w:vAlign w:val="bottom"/>
            <w:gridSpan w:val="4"/>
          </w:tcPr>
          <w:p>
            <w:pPr>
              <w:ind w:left="40"/>
              <w:spacing w:after="0"/>
              <w:rPr>
                <w:sz w:val="20"/>
                <w:szCs w:val="20"/>
                <w:color w:val="auto"/>
              </w:rPr>
            </w:pPr>
            <w:r>
              <w:rPr>
                <w:rFonts w:ascii="Arial" w:cs="Arial" w:eastAsia="Arial" w:hAnsi="Arial"/>
                <w:sz w:val="18"/>
                <w:szCs w:val="18"/>
                <w:color w:val="auto"/>
              </w:rPr>
              <w:t>Other</w:t>
            </w:r>
          </w:p>
        </w:tc>
        <w:tc>
          <w:tcPr>
            <w:tcW w:w="400" w:type="dxa"/>
            <w:vAlign w:val="bottom"/>
          </w:tcPr>
          <w:p>
            <w:pPr>
              <w:spacing w:after="0"/>
              <w:rPr>
                <w:sz w:val="21"/>
                <w:szCs w:val="21"/>
                <w:color w:val="auto"/>
              </w:rPr>
            </w:pPr>
          </w:p>
        </w:tc>
        <w:tc>
          <w:tcPr>
            <w:tcW w:w="188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9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73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914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TCJA revenue reserve</w:t>
            </w:r>
          </w:p>
        </w:tc>
        <w:tc>
          <w:tcPr>
            <w:tcW w:w="400" w:type="dxa"/>
            <w:vAlign w:val="bottom"/>
            <w:tcBorders>
              <w:bottom w:val="single" w:sz="8" w:color="CEFFE7"/>
            </w:tcBorders>
            <w:shd w:val="clear" w:color="auto" w:fill="CEFFE7"/>
          </w:tcPr>
          <w:p>
            <w:pPr>
              <w:spacing w:after="0"/>
              <w:rPr>
                <w:sz w:val="23"/>
                <w:szCs w:val="23"/>
                <w:color w:val="auto"/>
              </w:rPr>
            </w:pPr>
          </w:p>
        </w:tc>
        <w:tc>
          <w:tcPr>
            <w:tcW w:w="1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7"/>
        </w:trPr>
        <w:tc>
          <w:tcPr>
            <w:tcW w:w="9140" w:type="dxa"/>
            <w:vAlign w:val="bottom"/>
            <w:gridSpan w:val="4"/>
          </w:tcPr>
          <w:p>
            <w:pPr>
              <w:ind w:left="40"/>
              <w:spacing w:after="0"/>
              <w:rPr>
                <w:sz w:val="20"/>
                <w:szCs w:val="20"/>
                <w:color w:val="auto"/>
              </w:rPr>
            </w:pPr>
            <w:r>
              <w:rPr>
                <w:rFonts w:ascii="Arial" w:cs="Arial" w:eastAsia="Arial" w:hAnsi="Arial"/>
                <w:sz w:val="18"/>
                <w:szCs w:val="18"/>
                <w:color w:val="auto"/>
              </w:rPr>
              <w:t>Total increase (decrease) in Gross margin (non-GAAP)</w:t>
            </w: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1760" w:type="dxa"/>
            <w:vAlign w:val="bottom"/>
            <w:gridSpan w:val="3"/>
            <w:vMerge w:val="restart"/>
          </w:tcPr>
          <w:p>
            <w:pPr>
              <w:spacing w:after="0"/>
              <w:rPr>
                <w:sz w:val="20"/>
                <w:szCs w:val="20"/>
                <w:color w:val="auto"/>
              </w:rPr>
            </w:pPr>
            <w:r>
              <w:rPr>
                <w:rFonts w:ascii="Arial" w:cs="Arial" w:eastAsia="Arial" w:hAnsi="Arial"/>
                <w:sz w:val="16"/>
                <w:szCs w:val="16"/>
                <w:color w:val="auto"/>
              </w:rPr>
              <w:t>___________________</w:t>
            </w:r>
          </w:p>
        </w:tc>
        <w:tc>
          <w:tcPr>
            <w:tcW w:w="73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760" w:type="dxa"/>
            <w:vAlign w:val="bottom"/>
            <w:gridSpan w:val="3"/>
            <w:vMerge w:val="continue"/>
          </w:tcPr>
          <w:p>
            <w:pPr>
              <w:spacing w:after="0"/>
              <w:rPr>
                <w:sz w:val="17"/>
                <w:szCs w:val="17"/>
                <w:color w:val="auto"/>
              </w:rPr>
            </w:pPr>
          </w:p>
        </w:tc>
        <w:tc>
          <w:tcPr>
            <w:tcW w:w="7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Heating degree days at the Gas Utilities for the year ended December 31, 2018 were 2% higher than normal compared to 10% lower than normal in 2017.</w:t>
      </w:r>
    </w:p>
    <w:p>
      <w:pPr>
        <w:spacing w:after="0" w:line="213"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u w:val="single" w:color="auto"/>
          <w:color w:val="auto"/>
        </w:rPr>
        <w:t>Operations and maintenance expense</w:t>
      </w:r>
      <w:r>
        <w:rPr>
          <w:rFonts w:ascii="Arial" w:cs="Arial" w:eastAsia="Arial" w:hAnsi="Arial"/>
          <w:sz w:val="18"/>
          <w:szCs w:val="18"/>
          <w:color w:val="auto"/>
        </w:rPr>
        <w:t xml:space="preserve"> increased primarily due to $11.8 million of higher employee costs, $4.7 million of higher facility costs, $4.0 million of higher outside services expenses and $2.1 million of higher bad debt expense driven by an increase in revenues.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Depreciation and amortization</w:t>
      </w:r>
      <w:r>
        <w:rPr>
          <w:rFonts w:ascii="Arial" w:cs="Arial" w:eastAsia="Arial" w:hAnsi="Arial"/>
          <w:sz w:val="18"/>
          <w:szCs w:val="18"/>
          <w:color w:val="auto"/>
        </w:rPr>
        <w:t xml:space="preserve"> increased primarily due to higher asset base driven by prior and current year capital expenditures.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Generation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Power Generation segment operating results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38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101,258</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8,807</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92,451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(2,169)</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94,620</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fuel</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9,059</w:t>
            </w:r>
          </w:p>
        </w:tc>
        <w:tc>
          <w:tcPr>
            <w:tcW w:w="320" w:type="dxa"/>
            <w:vAlign w:val="bottom"/>
            <w:tcBorders>
              <w:bottom w:val="single" w:sz="8" w:color="CEFFE7"/>
            </w:tcBorders>
            <w:shd w:val="clear" w:color="auto" w:fill="CEFFE7"/>
          </w:tcPr>
          <w:p>
            <w:pPr>
              <w:spacing w:after="0"/>
              <w:rPr>
                <w:sz w:val="21"/>
                <w:szCs w:val="21"/>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467</w:t>
            </w:r>
          </w:p>
        </w:tc>
        <w:tc>
          <w:tcPr>
            <w:tcW w:w="38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8,592</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(748)</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9,340</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28,429</w:t>
            </w:r>
          </w:p>
        </w:tc>
        <w:tc>
          <w:tcPr>
            <w:tcW w:w="3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3,294</w:t>
            </w:r>
          </w:p>
        </w:tc>
        <w:tc>
          <w:tcPr>
            <w:tcW w:w="38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25,135</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2,093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23,042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and amortization</w:t>
            </w:r>
          </w:p>
        </w:tc>
        <w:tc>
          <w:tcPr>
            <w:tcW w:w="360" w:type="dxa"/>
            <w:vAlign w:val="bottom"/>
            <w:tcBorders>
              <w:bottom w:val="single" w:sz="8" w:color="CEFFE7"/>
            </w:tcBorders>
            <w:shd w:val="clear" w:color="auto" w:fill="CEFFE7"/>
          </w:tcPr>
          <w:p>
            <w:pPr>
              <w:spacing w:after="0"/>
              <w:rPr>
                <w:sz w:val="23"/>
                <w:szCs w:val="23"/>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18,991</w:t>
            </w:r>
          </w:p>
        </w:tc>
        <w:tc>
          <w:tcPr>
            <w:tcW w:w="320" w:type="dxa"/>
            <w:vAlign w:val="bottom"/>
            <w:tcBorders>
              <w:bottom w:val="single" w:sz="8" w:color="CEFFE7"/>
            </w:tcBorders>
            <w:shd w:val="clear" w:color="auto" w:fill="CEFFE7"/>
          </w:tcPr>
          <w:p>
            <w:pPr>
              <w:spacing w:after="0"/>
              <w:rPr>
                <w:sz w:val="23"/>
                <w:szCs w:val="23"/>
                <w:color w:val="auto"/>
              </w:rPr>
            </w:pPr>
          </w:p>
        </w:tc>
        <w:tc>
          <w:tcPr>
            <w:tcW w:w="1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2,881</w:t>
            </w:r>
          </w:p>
        </w:tc>
        <w:tc>
          <w:tcPr>
            <w:tcW w:w="38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16,110</w:t>
            </w:r>
          </w:p>
        </w:tc>
        <w:tc>
          <w:tcPr>
            <w:tcW w:w="30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562</w:t>
            </w:r>
          </w:p>
        </w:tc>
        <w:tc>
          <w:tcPr>
            <w:tcW w:w="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15,548</w:t>
            </w:r>
          </w:p>
        </w:tc>
        <w:tc>
          <w:tcPr>
            <w:tcW w:w="0" w:type="dxa"/>
            <w:vAlign w:val="bottom"/>
          </w:tcPr>
          <w:p>
            <w:pPr>
              <w:spacing w:after="0"/>
              <w:rPr>
                <w:sz w:val="1"/>
                <w:szCs w:val="1"/>
                <w:color w:val="auto"/>
              </w:rPr>
            </w:pPr>
          </w:p>
        </w:tc>
      </w:tr>
      <w:tr>
        <w:trPr>
          <w:trHeight w:val="237"/>
        </w:trPr>
        <w:tc>
          <w:tcPr>
            <w:tcW w:w="4000" w:type="dxa"/>
            <w:vAlign w:val="bottom"/>
          </w:tcPr>
          <w:p>
            <w:pPr>
              <w:ind w:left="6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56,479</w:t>
            </w:r>
          </w:p>
        </w:tc>
        <w:tc>
          <w:tcPr>
            <w:tcW w:w="32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6,642</w:t>
            </w:r>
          </w:p>
        </w:tc>
        <w:tc>
          <w:tcPr>
            <w:tcW w:w="38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49,837</w:t>
            </w:r>
          </w:p>
        </w:tc>
        <w:tc>
          <w:tcPr>
            <w:tcW w:w="30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1,907</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47,930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000" w:type="dxa"/>
            <w:vAlign w:val="bottom"/>
            <w:shd w:val="clear" w:color="auto" w:fill="CEFFE7"/>
          </w:tcPr>
          <w:p>
            <w:pPr>
              <w:spacing w:after="0"/>
              <w:rPr>
                <w:sz w:val="24"/>
                <w:szCs w:val="24"/>
                <w:color w:val="auto"/>
              </w:rPr>
            </w:pPr>
          </w:p>
        </w:tc>
        <w:tc>
          <w:tcPr>
            <w:tcW w:w="360" w:type="dxa"/>
            <w:vAlign w:val="bottom"/>
            <w:tcBorders>
              <w:bottom w:val="single" w:sz="8" w:color="auto"/>
            </w:tcBorders>
            <w:shd w:val="clear" w:color="auto" w:fill="CEFFE7"/>
          </w:tcPr>
          <w:p>
            <w:pPr>
              <w:spacing w:after="0"/>
              <w:rPr>
                <w:sz w:val="24"/>
                <w:szCs w:val="24"/>
                <w:color w:val="auto"/>
              </w:rPr>
            </w:pPr>
          </w:p>
        </w:tc>
        <w:tc>
          <w:tcPr>
            <w:tcW w:w="1120" w:type="dxa"/>
            <w:vAlign w:val="bottom"/>
            <w:tcBorders>
              <w:bottom w:val="single" w:sz="8" w:color="auto"/>
            </w:tcBorders>
            <w:shd w:val="clear" w:color="auto" w:fill="CEFFE7"/>
          </w:tcPr>
          <w:p>
            <w:pPr>
              <w:spacing w:after="0"/>
              <w:rPr>
                <w:sz w:val="24"/>
                <w:szCs w:val="24"/>
                <w:color w:val="auto"/>
              </w:rPr>
            </w:pPr>
          </w:p>
        </w:tc>
        <w:tc>
          <w:tcPr>
            <w:tcW w:w="320" w:type="dxa"/>
            <w:vAlign w:val="bottom"/>
            <w:tcBorders>
              <w:bottom w:val="single" w:sz="8" w:color="auto"/>
            </w:tcBorders>
            <w:shd w:val="clear" w:color="auto" w:fill="CEFFE7"/>
          </w:tcPr>
          <w:p>
            <w:pPr>
              <w:spacing w:after="0"/>
              <w:rPr>
                <w:sz w:val="24"/>
                <w:szCs w:val="24"/>
                <w:color w:val="auto"/>
              </w:rPr>
            </w:pPr>
          </w:p>
        </w:tc>
        <w:tc>
          <w:tcPr>
            <w:tcW w:w="1160" w:type="dxa"/>
            <w:vAlign w:val="bottom"/>
            <w:tcBorders>
              <w:bottom w:val="single" w:sz="8" w:color="auto"/>
            </w:tcBorders>
            <w:shd w:val="clear" w:color="auto" w:fill="CEFFE7"/>
          </w:tcPr>
          <w:p>
            <w:pPr>
              <w:spacing w:after="0"/>
              <w:rPr>
                <w:sz w:val="24"/>
                <w:szCs w:val="24"/>
                <w:color w:val="auto"/>
              </w:rPr>
            </w:pPr>
          </w:p>
        </w:tc>
        <w:tc>
          <w:tcPr>
            <w:tcW w:w="380" w:type="dxa"/>
            <w:vAlign w:val="bottom"/>
            <w:tcBorders>
              <w:bottom w:val="single" w:sz="8" w:color="auto"/>
            </w:tcBorders>
            <w:shd w:val="clear" w:color="auto" w:fill="CEFFE7"/>
          </w:tcPr>
          <w:p>
            <w:pPr>
              <w:spacing w:after="0"/>
              <w:rPr>
                <w:sz w:val="24"/>
                <w:szCs w:val="24"/>
                <w:color w:val="auto"/>
              </w:rPr>
            </w:pPr>
          </w:p>
        </w:tc>
        <w:tc>
          <w:tcPr>
            <w:tcW w:w="1100" w:type="dxa"/>
            <w:vAlign w:val="bottom"/>
            <w:tcBorders>
              <w:bottom w:val="single" w:sz="8" w:color="auto"/>
            </w:tcBorders>
            <w:shd w:val="clear" w:color="auto" w:fill="CEFFE7"/>
          </w:tcPr>
          <w:p>
            <w:pPr>
              <w:spacing w:after="0"/>
              <w:rPr>
                <w:sz w:val="24"/>
                <w:szCs w:val="24"/>
                <w:color w:val="auto"/>
              </w:rPr>
            </w:pPr>
          </w:p>
        </w:tc>
        <w:tc>
          <w:tcPr>
            <w:tcW w:w="300" w:type="dxa"/>
            <w:vAlign w:val="bottom"/>
            <w:tcBorders>
              <w:bottom w:val="single" w:sz="8" w:color="auto"/>
            </w:tcBorders>
            <w:shd w:val="clear" w:color="auto" w:fill="CEFFE7"/>
          </w:tcPr>
          <w:p>
            <w:pPr>
              <w:spacing w:after="0"/>
              <w:rPr>
                <w:sz w:val="24"/>
                <w:szCs w:val="24"/>
                <w:color w:val="auto"/>
              </w:rPr>
            </w:pPr>
          </w:p>
        </w:tc>
        <w:tc>
          <w:tcPr>
            <w:tcW w:w="1200" w:type="dxa"/>
            <w:vAlign w:val="bottom"/>
            <w:tcBorders>
              <w:bottom w:val="single" w:sz="8" w:color="auto"/>
            </w:tcBorders>
            <w:shd w:val="clear" w:color="auto" w:fill="CEFFE7"/>
          </w:tcPr>
          <w:p>
            <w:pPr>
              <w:spacing w:after="0"/>
              <w:rPr>
                <w:sz w:val="24"/>
                <w:szCs w:val="24"/>
                <w:color w:val="auto"/>
              </w:rPr>
            </w:pPr>
          </w:p>
        </w:tc>
        <w:tc>
          <w:tcPr>
            <w:tcW w:w="340" w:type="dxa"/>
            <w:vAlign w:val="bottom"/>
            <w:tcBorders>
              <w:bottom w:val="single" w:sz="8" w:color="auto"/>
            </w:tcBorders>
            <w:shd w:val="clear" w:color="auto" w:fill="CEFFE7"/>
          </w:tcPr>
          <w:p>
            <w:pPr>
              <w:spacing w:after="0"/>
              <w:rPr>
                <w:sz w:val="24"/>
                <w:szCs w:val="24"/>
                <w:color w:val="auto"/>
              </w:rPr>
            </w:pPr>
          </w:p>
        </w:tc>
        <w:tc>
          <w:tcPr>
            <w:tcW w:w="1140" w:type="dxa"/>
            <w:vAlign w:val="bottom"/>
            <w:tcBorders>
              <w:bottom w:val="single" w:sz="8" w:color="auto"/>
            </w:tcBorders>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000" w:type="dxa"/>
            <w:vAlign w:val="bottom"/>
          </w:tcPr>
          <w:p>
            <w:pPr>
              <w:ind w:left="40"/>
              <w:spacing w:after="0" w:line="264" w:lineRule="exact"/>
              <w:rPr>
                <w:sz w:val="20"/>
                <w:szCs w:val="20"/>
                <w:color w:val="auto"/>
              </w:rPr>
            </w:pPr>
            <w:r>
              <w:rPr>
                <w:rFonts w:ascii="Arial" w:cs="Arial" w:eastAsia="Arial" w:hAnsi="Arial"/>
                <w:sz w:val="18"/>
                <w:szCs w:val="18"/>
                <w:color w:val="auto"/>
              </w:rPr>
              <w:t xml:space="preserve">Adjusted operating income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44,779</w:t>
            </w:r>
          </w:p>
        </w:tc>
        <w:tc>
          <w:tcPr>
            <w:tcW w:w="3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2,165</w:t>
            </w:r>
          </w:p>
        </w:tc>
        <w:tc>
          <w:tcPr>
            <w:tcW w:w="3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42,614</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(4,076)</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46,690</w:t>
            </w:r>
          </w:p>
        </w:tc>
        <w:tc>
          <w:tcPr>
            <w:tcW w:w="0" w:type="dxa"/>
            <w:vAlign w:val="bottom"/>
          </w:tcPr>
          <w:p>
            <w:pPr>
              <w:spacing w:after="0"/>
              <w:rPr>
                <w:sz w:val="1"/>
                <w:szCs w:val="1"/>
                <w:color w:val="auto"/>
              </w:rPr>
            </w:pPr>
          </w:p>
        </w:tc>
      </w:tr>
      <w:tr>
        <w:trPr>
          <w:trHeight w:val="20"/>
        </w:trPr>
        <w:tc>
          <w:tcPr>
            <w:tcW w:w="4000" w:type="dxa"/>
            <w:vAlign w:val="bottom"/>
            <w:vMerge w:val="restart"/>
          </w:tcPr>
          <w:p>
            <w:pPr>
              <w:spacing w:after="0"/>
              <w:rPr>
                <w:sz w:val="20"/>
                <w:szCs w:val="20"/>
                <w:color w:val="auto"/>
              </w:rPr>
            </w:pPr>
            <w:r>
              <w:rPr>
                <w:rFonts w:ascii="Arial" w:cs="Arial" w:eastAsia="Arial" w:hAnsi="Arial"/>
                <w:sz w:val="16"/>
                <w:szCs w:val="16"/>
                <w:color w:val="auto"/>
              </w:rPr>
              <w:t>____________________</w:t>
            </w: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40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jc w:val="both"/>
        <w:ind w:left="340" w:right="340" w:hanging="332"/>
        <w:spacing w:after="0" w:line="252" w:lineRule="auto"/>
        <w:tabs>
          <w:tab w:leader="none" w:pos="340" w:val="left"/>
        </w:tabs>
        <w:numPr>
          <w:ilvl w:val="0"/>
          <w:numId w:val="41"/>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Power Generation Adjusted operating income was revised for the years ended December 31, 2018 and December 31, 2017 which resulted in a decrease of $(5.7) million and $(6.5)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Compared to 2018</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increased in the current year due to increased wind MWh sold and higher PPA prices. Operating expenses increased in the current year primarily due to higher depreciation and property taxes from new wind assets.</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20"/>
          </w:cols>
          <w:pgMar w:left="240" w:top="118" w:right="239" w:bottom="1440" w:gutter="0" w:footer="0" w:header="0"/>
        </w:sectPr>
      </w:pPr>
    </w:p>
    <w:bookmarkStart w:id="54" w:name="page55"/>
    <w:bookmarkEnd w:id="5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Revenue decreased in 2018 due to a decrease in MWh sold, primarily from a planned outage at Wygen I. Operating expenses increased due to higher maintenance expenses primarily related to outage costs at Wygen I and higher depreciation.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40" w:type="dxa"/>
            <w:vAlign w:val="bottom"/>
          </w:tcPr>
          <w:p>
            <w:pPr>
              <w:jc w:val="center"/>
              <w:spacing w:after="0"/>
              <w:rPr>
                <w:sz w:val="20"/>
                <w:szCs w:val="20"/>
                <w:color w:val="auto"/>
              </w:rPr>
            </w:pPr>
            <w:r>
              <w:rPr>
                <w:rFonts w:ascii="Arial" w:cs="Arial" w:eastAsia="Arial" w:hAnsi="Arial"/>
                <w:sz w:val="18"/>
                <w:szCs w:val="18"/>
                <w:color w:val="auto"/>
                <w:w w:val="88"/>
              </w:rPr>
              <w:t>For the year ended December 31,</w:t>
            </w:r>
          </w:p>
        </w:tc>
        <w:tc>
          <w:tcPr>
            <w:tcW w:w="1000" w:type="dxa"/>
            <w:vAlign w:val="bottom"/>
          </w:tcPr>
          <w:p>
            <w:pPr>
              <w:spacing w:after="0"/>
              <w:rPr>
                <w:sz w:val="20"/>
                <w:szCs w:val="20"/>
                <w:color w:val="auto"/>
              </w:rPr>
            </w:pPr>
          </w:p>
        </w:tc>
      </w:tr>
      <w:tr>
        <w:trPr>
          <w:trHeight w:val="27"/>
        </w:trPr>
        <w:tc>
          <w:tcPr>
            <w:tcW w:w="69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64"/>
        </w:trPr>
        <w:tc>
          <w:tcPr>
            <w:tcW w:w="6980" w:type="dxa"/>
            <w:vAlign w:val="bottom"/>
            <w:tcBorders>
              <w:bottom w:val="single" w:sz="8" w:color="auto"/>
            </w:tcBorders>
          </w:tcPr>
          <w:p>
            <w:pPr>
              <w:ind w:left="40"/>
              <w:spacing w:after="0" w:line="264" w:lineRule="exact"/>
              <w:rPr>
                <w:sz w:val="20"/>
                <w:szCs w:val="20"/>
                <w:color w:val="auto"/>
              </w:rPr>
            </w:pPr>
            <w:r>
              <w:rPr>
                <w:rFonts w:ascii="Arial" w:cs="Arial" w:eastAsia="Arial" w:hAnsi="Arial"/>
                <w:sz w:val="18"/>
                <w:szCs w:val="18"/>
                <w:color w:val="auto"/>
              </w:rPr>
              <w:t xml:space="preserve">Contracted power plant fleet availability </w:t>
            </w:r>
            <w:r>
              <w:rPr>
                <w:rFonts w:ascii="Arial" w:cs="Arial" w:eastAsia="Arial" w:hAnsi="Arial"/>
                <w:sz w:val="25"/>
                <w:szCs w:val="25"/>
                <w:color w:val="auto"/>
                <w:vertAlign w:val="superscript"/>
              </w:rPr>
              <w:t>(a)</w:t>
            </w:r>
          </w:p>
        </w:tc>
        <w:tc>
          <w:tcPr>
            <w:tcW w:w="1000" w:type="dxa"/>
            <w:vAlign w:val="bottom"/>
            <w:tcBorders>
              <w:bottom w:val="single" w:sz="8" w:color="auto"/>
            </w:tcBorders>
          </w:tcPr>
          <w:p>
            <w:pPr>
              <w:jc w:val="center"/>
              <w:ind w:left="390"/>
              <w:spacing w:after="0"/>
              <w:rPr>
                <w:sz w:val="20"/>
                <w:szCs w:val="20"/>
                <w:color w:val="auto"/>
              </w:rPr>
            </w:pPr>
            <w:r>
              <w:rPr>
                <w:rFonts w:ascii="Arial" w:cs="Arial" w:eastAsia="Arial" w:hAnsi="Arial"/>
                <w:sz w:val="18"/>
                <w:szCs w:val="18"/>
                <w:color w:val="auto"/>
                <w:w w:val="89"/>
              </w:rPr>
              <w:t>2019</w:t>
            </w:r>
          </w:p>
        </w:tc>
        <w:tc>
          <w:tcPr>
            <w:tcW w:w="24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2018</w:t>
            </w:r>
          </w:p>
        </w:tc>
        <w:tc>
          <w:tcPr>
            <w:tcW w:w="100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color w:val="auto"/>
                <w:w w:val="89"/>
              </w:rPr>
              <w:t>2017</w:t>
            </w:r>
          </w:p>
        </w:tc>
      </w:tr>
      <w:tr>
        <w:trPr>
          <w:trHeight w:val="318"/>
        </w:trPr>
        <w:tc>
          <w:tcPr>
            <w:tcW w:w="698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c>
          <w:tcPr>
            <w:tcW w:w="2440" w:type="dxa"/>
            <w:vAlign w:val="bottom"/>
            <w:shd w:val="clear" w:color="auto" w:fill="CEFFE7"/>
          </w:tcPr>
          <w:p>
            <w:pPr>
              <w:spacing w:after="0"/>
              <w:rPr>
                <w:sz w:val="24"/>
                <w:szCs w:val="24"/>
                <w:color w:val="auto"/>
              </w:rPr>
            </w:pPr>
          </w:p>
        </w:tc>
        <w:tc>
          <w:tcPr>
            <w:tcW w:w="1000" w:type="dxa"/>
            <w:vAlign w:val="bottom"/>
            <w:shd w:val="clear" w:color="auto" w:fill="CEFFE7"/>
          </w:tcPr>
          <w:p>
            <w:pPr>
              <w:spacing w:after="0"/>
              <w:rPr>
                <w:sz w:val="24"/>
                <w:szCs w:val="24"/>
                <w:color w:val="auto"/>
              </w:rPr>
            </w:pP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Coal-fired plant </w:t>
            </w:r>
            <w:r>
              <w:rPr>
                <w:rFonts w:ascii="Arial" w:cs="Arial" w:eastAsia="Arial" w:hAnsi="Arial"/>
                <w:sz w:val="25"/>
                <w:szCs w:val="25"/>
                <w:color w:val="auto"/>
                <w:vertAlign w:val="superscript"/>
              </w:rPr>
              <w:t>(b)</w:t>
            </w:r>
          </w:p>
        </w:tc>
        <w:tc>
          <w:tcPr>
            <w:tcW w:w="1000" w:type="dxa"/>
            <w:vAlign w:val="bottom"/>
          </w:tcPr>
          <w:p>
            <w:pPr>
              <w:jc w:val="center"/>
              <w:ind w:left="390"/>
              <w:spacing w:after="0"/>
              <w:rPr>
                <w:sz w:val="20"/>
                <w:szCs w:val="20"/>
                <w:color w:val="auto"/>
              </w:rPr>
            </w:pPr>
            <w:r>
              <w:rPr>
                <w:rFonts w:ascii="Arial" w:cs="Arial" w:eastAsia="Arial" w:hAnsi="Arial"/>
                <w:sz w:val="18"/>
                <w:szCs w:val="18"/>
                <w:color w:val="auto"/>
                <w:w w:val="93"/>
              </w:rPr>
              <w:t>94.5%</w:t>
            </w:r>
          </w:p>
        </w:tc>
        <w:tc>
          <w:tcPr>
            <w:tcW w:w="2440" w:type="dxa"/>
            <w:vAlign w:val="bottom"/>
          </w:tcPr>
          <w:p>
            <w:pPr>
              <w:jc w:val="center"/>
              <w:spacing w:after="0"/>
              <w:rPr>
                <w:sz w:val="20"/>
                <w:szCs w:val="20"/>
                <w:color w:val="auto"/>
              </w:rPr>
            </w:pPr>
            <w:r>
              <w:rPr>
                <w:rFonts w:ascii="Arial" w:cs="Arial" w:eastAsia="Arial" w:hAnsi="Arial"/>
                <w:sz w:val="18"/>
                <w:szCs w:val="18"/>
                <w:color w:val="auto"/>
                <w:w w:val="90"/>
              </w:rPr>
              <w:t>85.8%</w:t>
            </w:r>
          </w:p>
        </w:tc>
        <w:tc>
          <w:tcPr>
            <w:tcW w:w="1000" w:type="dxa"/>
            <w:vAlign w:val="bottom"/>
          </w:tcPr>
          <w:p>
            <w:pPr>
              <w:jc w:val="center"/>
              <w:ind w:right="370"/>
              <w:spacing w:after="0"/>
              <w:rPr>
                <w:sz w:val="20"/>
                <w:szCs w:val="20"/>
                <w:color w:val="auto"/>
              </w:rPr>
            </w:pPr>
            <w:r>
              <w:rPr>
                <w:rFonts w:ascii="Arial" w:cs="Arial" w:eastAsia="Arial" w:hAnsi="Arial"/>
                <w:sz w:val="18"/>
                <w:szCs w:val="18"/>
                <w:color w:val="auto"/>
                <w:w w:val="90"/>
              </w:rPr>
              <w:t>96.9%</w:t>
            </w:r>
          </w:p>
        </w:tc>
      </w:tr>
      <w:tr>
        <w:trPr>
          <w:trHeight w:val="250"/>
        </w:trPr>
        <w:tc>
          <w:tcPr>
            <w:tcW w:w="69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Natural gas-fired plants</w:t>
            </w:r>
          </w:p>
        </w:tc>
        <w:tc>
          <w:tcPr>
            <w:tcW w:w="1000" w:type="dxa"/>
            <w:vAlign w:val="bottom"/>
            <w:tcBorders>
              <w:bottom w:val="single" w:sz="8" w:color="CEFFE7"/>
            </w:tcBorders>
            <w:shd w:val="clear" w:color="auto" w:fill="CEFFE7"/>
          </w:tcPr>
          <w:p>
            <w:pPr>
              <w:jc w:val="center"/>
              <w:ind w:left="390"/>
              <w:spacing w:after="0"/>
              <w:rPr>
                <w:sz w:val="20"/>
                <w:szCs w:val="20"/>
                <w:color w:val="auto"/>
              </w:rPr>
            </w:pPr>
            <w:r>
              <w:rPr>
                <w:rFonts w:ascii="Arial" w:cs="Arial" w:eastAsia="Arial" w:hAnsi="Arial"/>
                <w:sz w:val="18"/>
                <w:szCs w:val="18"/>
                <w:color w:val="auto"/>
                <w:w w:val="93"/>
              </w:rPr>
              <w:t>98.6%</w:t>
            </w:r>
          </w:p>
        </w:tc>
        <w:tc>
          <w:tcPr>
            <w:tcW w:w="24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99.4%</w:t>
            </w:r>
          </w:p>
        </w:tc>
        <w:tc>
          <w:tcPr>
            <w:tcW w:w="100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99.2%</w:t>
            </w:r>
          </w:p>
        </w:tc>
      </w:tr>
      <w:tr>
        <w:trPr>
          <w:trHeight w:val="270"/>
        </w:trPr>
        <w:tc>
          <w:tcPr>
            <w:tcW w:w="6980" w:type="dxa"/>
            <w:vAlign w:val="bottom"/>
          </w:tcPr>
          <w:p>
            <w:pPr>
              <w:ind w:left="280"/>
              <w:spacing w:after="0" w:line="270" w:lineRule="exact"/>
              <w:rPr>
                <w:sz w:val="20"/>
                <w:szCs w:val="20"/>
                <w:color w:val="auto"/>
              </w:rPr>
            </w:pPr>
            <w:r>
              <w:rPr>
                <w:rFonts w:ascii="Arial" w:cs="Arial" w:eastAsia="Arial" w:hAnsi="Arial"/>
                <w:sz w:val="18"/>
                <w:szCs w:val="18"/>
                <w:color w:val="auto"/>
              </w:rPr>
              <w:t xml:space="preserve">Wind </w:t>
            </w:r>
            <w:r>
              <w:rPr>
                <w:rFonts w:ascii="Arial" w:cs="Arial" w:eastAsia="Arial" w:hAnsi="Arial"/>
                <w:sz w:val="25"/>
                <w:szCs w:val="25"/>
                <w:color w:val="auto"/>
                <w:vertAlign w:val="superscript"/>
              </w:rPr>
              <w:t>(c)</w:t>
            </w:r>
          </w:p>
        </w:tc>
        <w:tc>
          <w:tcPr>
            <w:tcW w:w="1000" w:type="dxa"/>
            <w:vAlign w:val="bottom"/>
          </w:tcPr>
          <w:p>
            <w:pPr>
              <w:jc w:val="center"/>
              <w:ind w:left="390"/>
              <w:spacing w:after="0"/>
              <w:rPr>
                <w:sz w:val="20"/>
                <w:szCs w:val="20"/>
                <w:color w:val="auto"/>
              </w:rPr>
            </w:pPr>
            <w:r>
              <w:rPr>
                <w:rFonts w:ascii="Arial" w:cs="Arial" w:eastAsia="Arial" w:hAnsi="Arial"/>
                <w:sz w:val="18"/>
                <w:szCs w:val="18"/>
                <w:color w:val="auto"/>
                <w:w w:val="93"/>
              </w:rPr>
              <w:t>90.6%</w:t>
            </w:r>
          </w:p>
        </w:tc>
        <w:tc>
          <w:tcPr>
            <w:tcW w:w="2440" w:type="dxa"/>
            <w:vAlign w:val="bottom"/>
          </w:tcPr>
          <w:p>
            <w:pPr>
              <w:jc w:val="center"/>
              <w:spacing w:after="0"/>
              <w:rPr>
                <w:sz w:val="20"/>
                <w:szCs w:val="20"/>
                <w:color w:val="auto"/>
              </w:rPr>
            </w:pPr>
            <w:r>
              <w:rPr>
                <w:rFonts w:ascii="Arial" w:cs="Arial" w:eastAsia="Arial" w:hAnsi="Arial"/>
                <w:sz w:val="18"/>
                <w:szCs w:val="18"/>
                <w:color w:val="auto"/>
                <w:w w:val="99"/>
              </w:rPr>
              <w:t>N/A</w:t>
            </w:r>
          </w:p>
        </w:tc>
        <w:tc>
          <w:tcPr>
            <w:tcW w:w="1000" w:type="dxa"/>
            <w:vAlign w:val="bottom"/>
          </w:tcPr>
          <w:p>
            <w:pPr>
              <w:ind w:left="100"/>
              <w:spacing w:after="0"/>
              <w:rPr>
                <w:sz w:val="20"/>
                <w:szCs w:val="20"/>
                <w:color w:val="auto"/>
              </w:rPr>
            </w:pPr>
            <w:r>
              <w:rPr>
                <w:rFonts w:ascii="Arial" w:cs="Arial" w:eastAsia="Arial" w:hAnsi="Arial"/>
                <w:sz w:val="18"/>
                <w:szCs w:val="18"/>
                <w:color w:val="auto"/>
              </w:rPr>
              <w:t>N/A</w:t>
            </w:r>
          </w:p>
        </w:tc>
      </w:tr>
      <w:tr>
        <w:trPr>
          <w:trHeight w:val="250"/>
        </w:trPr>
        <w:tc>
          <w:tcPr>
            <w:tcW w:w="69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 availability</w:t>
            </w:r>
          </w:p>
        </w:tc>
        <w:tc>
          <w:tcPr>
            <w:tcW w:w="1000" w:type="dxa"/>
            <w:vAlign w:val="bottom"/>
            <w:tcBorders>
              <w:bottom w:val="single" w:sz="8" w:color="CEFFE7"/>
            </w:tcBorders>
            <w:shd w:val="clear" w:color="auto" w:fill="CEFFE7"/>
          </w:tcPr>
          <w:p>
            <w:pPr>
              <w:jc w:val="center"/>
              <w:ind w:left="390"/>
              <w:spacing w:after="0"/>
              <w:rPr>
                <w:sz w:val="20"/>
                <w:szCs w:val="20"/>
                <w:color w:val="auto"/>
              </w:rPr>
            </w:pPr>
            <w:r>
              <w:rPr>
                <w:rFonts w:ascii="Arial" w:cs="Arial" w:eastAsia="Arial" w:hAnsi="Arial"/>
                <w:sz w:val="18"/>
                <w:szCs w:val="18"/>
                <w:color w:val="auto"/>
                <w:w w:val="93"/>
              </w:rPr>
              <w:t>95.0%</w:t>
            </w:r>
          </w:p>
        </w:tc>
        <w:tc>
          <w:tcPr>
            <w:tcW w:w="24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95.9%</w:t>
            </w:r>
          </w:p>
        </w:tc>
        <w:tc>
          <w:tcPr>
            <w:tcW w:w="100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98.6%</w:t>
            </w:r>
          </w:p>
        </w:tc>
      </w:tr>
      <w:tr>
        <w:trPr>
          <w:trHeight w:val="324"/>
        </w:trPr>
        <w:tc>
          <w:tcPr>
            <w:tcW w:w="69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6980" w:type="dxa"/>
            <w:vAlign w:val="bottom"/>
            <w:shd w:val="clear" w:color="auto" w:fill="CEFFE7"/>
          </w:tcPr>
          <w:p>
            <w:pPr>
              <w:ind w:left="280"/>
              <w:spacing w:after="0" w:line="270" w:lineRule="exact"/>
              <w:rPr>
                <w:sz w:val="20"/>
                <w:szCs w:val="20"/>
                <w:color w:val="auto"/>
              </w:rPr>
            </w:pPr>
            <w:r>
              <w:rPr>
                <w:rFonts w:ascii="Arial" w:cs="Arial" w:eastAsia="Arial" w:hAnsi="Arial"/>
                <w:sz w:val="18"/>
                <w:szCs w:val="18"/>
                <w:color w:val="auto"/>
              </w:rPr>
              <w:t xml:space="preserve">Wind capacity factor </w:t>
            </w:r>
            <w:r>
              <w:rPr>
                <w:rFonts w:ascii="Arial" w:cs="Arial" w:eastAsia="Arial" w:hAnsi="Arial"/>
                <w:sz w:val="25"/>
                <w:szCs w:val="25"/>
                <w:color w:val="auto"/>
                <w:vertAlign w:val="superscript"/>
              </w:rPr>
              <w:t>(c)</w:t>
            </w:r>
          </w:p>
        </w:tc>
        <w:tc>
          <w:tcPr>
            <w:tcW w:w="1000" w:type="dxa"/>
            <w:vAlign w:val="bottom"/>
            <w:shd w:val="clear" w:color="auto" w:fill="CEFFE7"/>
          </w:tcPr>
          <w:p>
            <w:pPr>
              <w:jc w:val="center"/>
              <w:ind w:left="390"/>
              <w:spacing w:after="0"/>
              <w:rPr>
                <w:sz w:val="20"/>
                <w:szCs w:val="20"/>
                <w:color w:val="auto"/>
              </w:rPr>
            </w:pPr>
            <w:r>
              <w:rPr>
                <w:rFonts w:ascii="Arial" w:cs="Arial" w:eastAsia="Arial" w:hAnsi="Arial"/>
                <w:sz w:val="18"/>
                <w:szCs w:val="18"/>
                <w:color w:val="auto"/>
                <w:w w:val="93"/>
              </w:rPr>
              <w:t>23.5%</w:t>
            </w:r>
          </w:p>
        </w:tc>
        <w:tc>
          <w:tcPr>
            <w:tcW w:w="244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N/A</w:t>
            </w:r>
          </w:p>
        </w:tc>
        <w:tc>
          <w:tcPr>
            <w:tcW w:w="1000" w:type="dxa"/>
            <w:vAlign w:val="bottom"/>
            <w:shd w:val="clear" w:color="auto" w:fill="CEFFE7"/>
          </w:tcPr>
          <w:p>
            <w:pPr>
              <w:ind w:left="100"/>
              <w:spacing w:after="0"/>
              <w:rPr>
                <w:sz w:val="20"/>
                <w:szCs w:val="20"/>
                <w:color w:val="auto"/>
              </w:rPr>
            </w:pPr>
            <w:r>
              <w:rPr>
                <w:rFonts w:ascii="Arial" w:cs="Arial" w:eastAsia="Arial" w:hAnsi="Arial"/>
                <w:sz w:val="18"/>
                <w:szCs w:val="18"/>
                <w:color w:val="auto"/>
              </w:rPr>
              <w:t>N/A</w:t>
            </w:r>
          </w:p>
        </w:tc>
      </w:tr>
      <w:tr>
        <w:trPr>
          <w:trHeight w:val="220"/>
        </w:trPr>
        <w:tc>
          <w:tcPr>
            <w:tcW w:w="6980" w:type="dxa"/>
            <w:vAlign w:val="bottom"/>
          </w:tcPr>
          <w:p>
            <w:pPr>
              <w:spacing w:after="0"/>
              <w:rPr>
                <w:sz w:val="20"/>
                <w:szCs w:val="20"/>
                <w:color w:val="auto"/>
              </w:rPr>
            </w:pPr>
            <w:r>
              <w:rPr>
                <w:rFonts w:ascii="Arial" w:cs="Arial" w:eastAsia="Arial" w:hAnsi="Arial"/>
                <w:sz w:val="18"/>
                <w:szCs w:val="18"/>
                <w:color w:val="auto"/>
              </w:rPr>
              <w:t>___________</w:t>
            </w:r>
          </w:p>
        </w:tc>
        <w:tc>
          <w:tcPr>
            <w:tcW w:w="100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000" w:type="dxa"/>
            <w:vAlign w:val="bottom"/>
          </w:tcPr>
          <w:p>
            <w:pPr>
              <w:spacing w:after="0"/>
              <w:rPr>
                <w:sz w:val="19"/>
                <w:szCs w:val="19"/>
                <w:color w:val="auto"/>
              </w:rPr>
            </w:pPr>
          </w:p>
        </w:tc>
      </w:tr>
    </w:tbl>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Availability and wind capacity factor are calculated using a weighted average based on capacity of our generating fleet.</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Wygen I experienced a planned outage in 2018</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42"/>
        </w:numPr>
        <w:rPr>
          <w:rFonts w:ascii="Arial" w:cs="Arial" w:eastAsia="Arial" w:hAnsi="Arial"/>
          <w:sz w:val="16"/>
          <w:szCs w:val="16"/>
          <w:color w:val="auto"/>
        </w:rPr>
      </w:pPr>
      <w:r>
        <w:rPr>
          <w:rFonts w:ascii="Arial" w:cs="Arial" w:eastAsia="Arial" w:hAnsi="Arial"/>
          <w:sz w:val="16"/>
          <w:szCs w:val="16"/>
          <w:color w:val="auto"/>
        </w:rPr>
        <w:t>Change from 2018 to 2019 is driven by Black Hills Electric Generation’s acquisition of new wind assets.</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Mining operating results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2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360" w:type="dxa"/>
            <w:vAlign w:val="bottom"/>
          </w:tcPr>
          <w:p>
            <w:pPr>
              <w:spacing w:after="0"/>
              <w:rPr>
                <w:sz w:val="20"/>
                <w:szCs w:val="20"/>
                <w:color w:val="auto"/>
              </w:rPr>
            </w:pPr>
          </w:p>
        </w:tc>
        <w:tc>
          <w:tcPr>
            <w:tcW w:w="110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30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40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31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7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61,629</w:t>
            </w:r>
          </w:p>
        </w:tc>
        <w:tc>
          <w:tcPr>
            <w:tcW w:w="32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(6,404)</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68,033</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1,412</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66,621</w:t>
            </w:r>
          </w:p>
        </w:tc>
      </w:tr>
      <w:tr>
        <w:trPr>
          <w:trHeight w:val="318"/>
        </w:trPr>
        <w:tc>
          <w:tcPr>
            <w:tcW w:w="400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40,032</w:t>
            </w:r>
          </w:p>
        </w:tc>
        <w:tc>
          <w:tcPr>
            <w:tcW w:w="3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(3,696)</w:t>
            </w:r>
          </w:p>
        </w:tc>
        <w:tc>
          <w:tcPr>
            <w:tcW w:w="3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43,728</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(1,154)</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44,882</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8,970</w:t>
            </w:r>
          </w:p>
        </w:tc>
        <w:tc>
          <w:tcPr>
            <w:tcW w:w="3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1,005</w:t>
            </w: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7,965</w:t>
            </w:r>
          </w:p>
        </w:tc>
        <w:tc>
          <w:tcPr>
            <w:tcW w:w="3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(274)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8,239</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64"/>
        </w:trPr>
        <w:tc>
          <w:tcPr>
            <w:tcW w:w="400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CEFFE7"/>
            </w:tcBorders>
            <w:shd w:val="clear" w:color="auto" w:fill="CEFFE7"/>
          </w:tcPr>
          <w:p>
            <w:pPr>
              <w:spacing w:after="0"/>
              <w:rPr>
                <w:sz w:val="22"/>
                <w:szCs w:val="22"/>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49,002</w:t>
            </w:r>
          </w:p>
        </w:tc>
        <w:tc>
          <w:tcPr>
            <w:tcW w:w="320" w:type="dxa"/>
            <w:vAlign w:val="bottom"/>
            <w:tcBorders>
              <w:bottom w:val="single" w:sz="8" w:color="CEFFE7"/>
            </w:tcBorders>
            <w:shd w:val="clear" w:color="auto" w:fill="CEFFE7"/>
          </w:tcPr>
          <w:p>
            <w:pPr>
              <w:spacing w:after="0"/>
              <w:rPr>
                <w:sz w:val="22"/>
                <w:szCs w:val="22"/>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(2,691)</w:t>
            </w:r>
          </w:p>
        </w:tc>
        <w:tc>
          <w:tcPr>
            <w:tcW w:w="360" w:type="dxa"/>
            <w:vAlign w:val="bottom"/>
            <w:tcBorders>
              <w:bottom w:val="single" w:sz="8" w:color="CEFFE7"/>
            </w:tcBorders>
            <w:shd w:val="clear" w:color="auto" w:fill="CEFFE7"/>
          </w:tcPr>
          <w:p>
            <w:pPr>
              <w:spacing w:after="0"/>
              <w:rPr>
                <w:sz w:val="22"/>
                <w:szCs w:val="22"/>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51,693</w:t>
            </w:r>
          </w:p>
        </w:tc>
        <w:tc>
          <w:tcPr>
            <w:tcW w:w="30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(1,428)</w:t>
            </w:r>
          </w:p>
        </w:tc>
        <w:tc>
          <w:tcPr>
            <w:tcW w:w="340" w:type="dxa"/>
            <w:vAlign w:val="bottom"/>
            <w:tcBorders>
              <w:bottom w:val="single" w:sz="8" w:color="CEFFE7"/>
            </w:tcBorders>
            <w:shd w:val="clear" w:color="auto" w:fill="CEFFE7"/>
          </w:tcPr>
          <w:p>
            <w:pPr>
              <w:spacing w:after="0"/>
              <w:rPr>
                <w:sz w:val="22"/>
                <w:szCs w:val="22"/>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53,121</w:t>
            </w:r>
          </w:p>
        </w:tc>
      </w:tr>
      <w:tr>
        <w:trPr>
          <w:trHeight w:val="318"/>
        </w:trPr>
        <w:tc>
          <w:tcPr>
            <w:tcW w:w="4000" w:type="dxa"/>
            <w:vAlign w:val="bottom"/>
            <w:tcBorders>
              <w:bottom w:val="single" w:sz="8" w:color="CEFFE7"/>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spacing w:after="0"/>
              <w:rPr>
                <w:sz w:val="24"/>
                <w:szCs w:val="24"/>
                <w:color w:val="auto"/>
              </w:rPr>
            </w:pPr>
          </w:p>
        </w:tc>
        <w:tc>
          <w:tcPr>
            <w:tcW w:w="32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1100" w:type="dxa"/>
            <w:vAlign w:val="bottom"/>
            <w:tcBorders>
              <w:top w:val="single" w:sz="8" w:color="auto"/>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1200" w:type="dxa"/>
            <w:vAlign w:val="bottom"/>
            <w:tcBorders>
              <w:top w:val="single" w:sz="8" w:color="auto"/>
              <w:bottom w:val="single" w:sz="8" w:color="auto"/>
            </w:tcBorders>
          </w:tcPr>
          <w:p>
            <w:pPr>
              <w:spacing w:after="0"/>
              <w:rPr>
                <w:sz w:val="24"/>
                <w:szCs w:val="24"/>
                <w:color w:val="auto"/>
              </w:rPr>
            </w:pPr>
          </w:p>
        </w:tc>
        <w:tc>
          <w:tcPr>
            <w:tcW w:w="34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spacing w:after="0"/>
              <w:rPr>
                <w:sz w:val="24"/>
                <w:szCs w:val="24"/>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Adjusted operating income</w:t>
            </w: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12,627</w:t>
            </w:r>
          </w:p>
        </w:tc>
        <w:tc>
          <w:tcPr>
            <w:tcW w:w="32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(3,713)</w:t>
            </w:r>
          </w:p>
        </w:tc>
        <w:tc>
          <w:tcPr>
            <w:tcW w:w="36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16,340</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2,840</w:t>
            </w:r>
          </w:p>
        </w:tc>
        <w:tc>
          <w:tcPr>
            <w:tcW w:w="34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13,500</w:t>
            </w:r>
          </w:p>
        </w:tc>
      </w:tr>
      <w:tr>
        <w:trPr>
          <w:trHeight w:val="20"/>
        </w:trPr>
        <w:tc>
          <w:tcPr>
            <w:tcW w:w="4000" w:type="dxa"/>
            <w:vAlign w:val="bottom"/>
          </w:tcPr>
          <w:p>
            <w:pPr>
              <w:spacing w:after="0" w:line="20" w:lineRule="exact"/>
              <w:rPr>
                <w:sz w:val="1"/>
                <w:szCs w:val="1"/>
                <w:color w:val="auto"/>
              </w:rPr>
            </w:pPr>
          </w:p>
        </w:tc>
        <w:tc>
          <w:tcPr>
            <w:tcW w:w="2980" w:type="dxa"/>
            <w:vAlign w:val="bottom"/>
            <w:tcBorders>
              <w:bottom w:val="single" w:sz="8" w:color="auto"/>
            </w:tcBorders>
            <w:gridSpan w:val="4"/>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419"/>
        </w:trPr>
        <w:tc>
          <w:tcPr>
            <w:tcW w:w="6980" w:type="dxa"/>
            <w:vAlign w:val="bottom"/>
            <w:gridSpan w:val="5"/>
          </w:tcPr>
          <w:p>
            <w:pPr>
              <w:spacing w:after="0"/>
              <w:rPr>
                <w:sz w:val="20"/>
                <w:szCs w:val="20"/>
                <w:color w:val="auto"/>
              </w:rPr>
            </w:pPr>
            <w:r>
              <w:rPr>
                <w:rFonts w:ascii="Arial" w:cs="Arial" w:eastAsia="Arial" w:hAnsi="Arial"/>
                <w:sz w:val="18"/>
                <w:szCs w:val="18"/>
                <w:color w:val="auto"/>
                <w:w w:val="93"/>
              </w:rPr>
              <w:t>The following table provides certain operating statistics for the Mining segment (in thousands):</w:t>
            </w: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78"/>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jc w:val="right"/>
              <w:ind w:right="4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4"/>
                <w:szCs w:val="24"/>
                <w:color w:val="auto"/>
              </w:rPr>
            </w:pPr>
          </w:p>
        </w:tc>
        <w:tc>
          <w:tcPr>
            <w:tcW w:w="120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4"/>
                <w:szCs w:val="24"/>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4000" w:type="dxa"/>
            <w:vAlign w:val="bottom"/>
            <w:tcBorders>
              <w:bottom w:val="single" w:sz="8" w:color="CEFFE7"/>
            </w:tcBorders>
          </w:tcPr>
          <w:p>
            <w:pPr>
              <w:spacing w:after="0"/>
              <w:rPr>
                <w:sz w:val="2"/>
                <w:szCs w:val="2"/>
                <w:color w:val="auto"/>
              </w:rPr>
            </w:pPr>
          </w:p>
        </w:tc>
        <w:tc>
          <w:tcPr>
            <w:tcW w:w="360" w:type="dxa"/>
            <w:vAlign w:val="bottom"/>
            <w:tcBorders>
              <w:bottom w:val="single" w:sz="8" w:color="CEFFE7"/>
            </w:tcBorders>
          </w:tcPr>
          <w:p>
            <w:pPr>
              <w:spacing w:after="0"/>
              <w:rPr>
                <w:sz w:val="2"/>
                <w:szCs w:val="2"/>
                <w:color w:val="auto"/>
              </w:rPr>
            </w:pPr>
          </w:p>
        </w:tc>
        <w:tc>
          <w:tcPr>
            <w:tcW w:w="1120" w:type="dxa"/>
            <w:vAlign w:val="bottom"/>
            <w:tcBorders>
              <w:bottom w:val="single" w:sz="8" w:color="CEFFE7"/>
            </w:tcBorders>
          </w:tcPr>
          <w:p>
            <w:pPr>
              <w:spacing w:after="0"/>
              <w:rPr>
                <w:sz w:val="2"/>
                <w:szCs w:val="2"/>
                <w:color w:val="auto"/>
              </w:rPr>
            </w:pPr>
          </w:p>
        </w:tc>
        <w:tc>
          <w:tcPr>
            <w:tcW w:w="320" w:type="dxa"/>
            <w:vAlign w:val="bottom"/>
            <w:tcBorders>
              <w:bottom w:val="single" w:sz="8" w:color="CEFFE7"/>
            </w:tcBorders>
          </w:tcPr>
          <w:p>
            <w:pPr>
              <w:spacing w:after="0"/>
              <w:rPr>
                <w:sz w:val="2"/>
                <w:szCs w:val="2"/>
                <w:color w:val="auto"/>
              </w:rPr>
            </w:pPr>
          </w:p>
        </w:tc>
        <w:tc>
          <w:tcPr>
            <w:tcW w:w="118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Tons of coal sold</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3,716</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4,085</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4,183</w:t>
            </w: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Cubic yards of overburden moved</w:t>
            </w: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8,534</w:t>
            </w:r>
          </w:p>
        </w:tc>
        <w:tc>
          <w:tcPr>
            <w:tcW w:w="30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8,970</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9,018</w:t>
            </w:r>
          </w:p>
        </w:tc>
      </w:tr>
      <w:tr>
        <w:trPr>
          <w:trHeight w:val="27"/>
        </w:trPr>
        <w:tc>
          <w:tcPr>
            <w:tcW w:w="40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Coal reserves at year-end (in tons)</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185,448</w:t>
            </w:r>
          </w:p>
        </w:tc>
        <w:tc>
          <w:tcPr>
            <w:tcW w:w="30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189,164</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194,909</w:t>
            </w:r>
          </w:p>
        </w:tc>
      </w:tr>
      <w:tr>
        <w:trPr>
          <w:trHeight w:val="324"/>
        </w:trPr>
        <w:tc>
          <w:tcPr>
            <w:tcW w:w="4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43"/>
        </w:trPr>
        <w:tc>
          <w:tcPr>
            <w:tcW w:w="400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Revenue per ton</w:t>
            </w:r>
          </w:p>
        </w:tc>
        <w:tc>
          <w:tcPr>
            <w:tcW w:w="360" w:type="dxa"/>
            <w:vAlign w:val="bottom"/>
            <w:shd w:val="clear" w:color="auto" w:fill="CEFFE7"/>
          </w:tcPr>
          <w:p>
            <w:pPr>
              <w:spacing w:after="0"/>
              <w:rPr>
                <w:sz w:val="21"/>
                <w:szCs w:val="21"/>
                <w:color w:val="auto"/>
              </w:rPr>
            </w:pPr>
          </w:p>
        </w:tc>
        <w:tc>
          <w:tcPr>
            <w:tcW w:w="1120" w:type="dxa"/>
            <w:vAlign w:val="bottom"/>
            <w:shd w:val="clear" w:color="auto" w:fill="CEFFE7"/>
          </w:tcPr>
          <w:p>
            <w:pPr>
              <w:spacing w:after="0"/>
              <w:rPr>
                <w:sz w:val="21"/>
                <w:szCs w:val="21"/>
                <w:color w:val="auto"/>
              </w:rPr>
            </w:pPr>
          </w:p>
        </w:tc>
        <w:tc>
          <w:tcPr>
            <w:tcW w:w="320" w:type="dxa"/>
            <w:vAlign w:val="bottom"/>
            <w:shd w:val="clear" w:color="auto" w:fill="CEFFE7"/>
          </w:tcPr>
          <w:p>
            <w:pPr>
              <w:spacing w:after="0"/>
              <w:rPr>
                <w:sz w:val="21"/>
                <w:szCs w:val="21"/>
                <w:color w:val="auto"/>
              </w:rPr>
            </w:pPr>
          </w:p>
        </w:tc>
        <w:tc>
          <w:tcPr>
            <w:tcW w:w="1180" w:type="dxa"/>
            <w:vAlign w:val="bottom"/>
            <w:shd w:val="clear" w:color="auto" w:fill="CEFFE7"/>
          </w:tcPr>
          <w:p>
            <w:pPr>
              <w:spacing w:after="0"/>
              <w:rPr>
                <w:sz w:val="21"/>
                <w:szCs w:val="21"/>
                <w:color w:val="auto"/>
              </w:rPr>
            </w:pP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15.94</w:t>
            </w:r>
          </w:p>
        </w:tc>
        <w:tc>
          <w:tcPr>
            <w:tcW w:w="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16.11</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15.93</w:t>
            </w:r>
          </w:p>
        </w:tc>
      </w:tr>
      <w:tr>
        <w:trPr>
          <w:trHeight w:val="27"/>
        </w:trPr>
        <w:tc>
          <w:tcPr>
            <w:tcW w:w="400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118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10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34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Compared to 2018</w:t>
      </w:r>
    </w:p>
    <w:p>
      <w:pPr>
        <w:spacing w:after="0" w:line="225"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Current year revenue decreased primarily due to 9% fewer tons sold driven primarily by planned and unplanned generation facility outages at the Wyodak Plant. Operating expenses decreased primarily due to lower royalties and production taxes on decreased revenues and lower fuel, labor, and major maintenance expenses.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26" w:right="239" w:bottom="1440" w:gutter="0" w:footer="0" w:header="0"/>
        </w:sectPr>
      </w:pPr>
    </w:p>
    <w:bookmarkStart w:id="55" w:name="page56"/>
    <w:bookmarkEnd w:id="5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Revenue increased primarily due to a 1% increase in price per ton sold. Current year revenue is also reflective of lease and rental revenue, previously reported in Other income, net. Operating expenses decreased primarily due to lower major maintenance expenses.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and Other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Corporate and Other operating results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3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38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160" w:type="dxa"/>
            <w:vAlign w:val="bottom"/>
          </w:tcPr>
          <w:p>
            <w:pPr>
              <w:jc w:val="right"/>
              <w:ind w:right="290"/>
              <w:spacing w:after="0"/>
              <w:rPr>
                <w:sz w:val="20"/>
                <w:szCs w:val="20"/>
                <w:color w:val="auto"/>
              </w:rPr>
            </w:pPr>
            <w:r>
              <w:rPr>
                <w:rFonts w:ascii="Arial" w:cs="Arial" w:eastAsia="Arial" w:hAnsi="Arial"/>
                <w:sz w:val="18"/>
                <w:szCs w:val="18"/>
                <w:color w:val="auto"/>
              </w:rPr>
              <w:t>Variance</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40" w:type="dxa"/>
            <w:vAlign w:val="bottom"/>
          </w:tcPr>
          <w:p>
            <w:pPr>
              <w:spacing w:after="0"/>
              <w:rPr>
                <w:sz w:val="2"/>
                <w:szCs w:val="2"/>
                <w:color w:val="auto"/>
              </w:rPr>
            </w:pPr>
          </w:p>
        </w:tc>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398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Adjusted operating (loss) </w:t>
            </w:r>
            <w:r>
              <w:rPr>
                <w:rFonts w:ascii="Arial" w:cs="Arial" w:eastAsia="Arial" w:hAnsi="Arial"/>
                <w:sz w:val="25"/>
                <w:szCs w:val="25"/>
                <w:color w:val="auto"/>
                <w:vertAlign w:val="superscript"/>
              </w:rPr>
              <w:t>(a)</w:t>
            </w:r>
          </w:p>
        </w:tc>
        <w:tc>
          <w:tcPr>
            <w:tcW w:w="34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(1,632)</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1,393</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(3,025)</w:t>
            </w:r>
          </w:p>
        </w:tc>
        <w:tc>
          <w:tcPr>
            <w:tcW w:w="28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3,271</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(6,296)</w:t>
            </w:r>
          </w:p>
        </w:tc>
      </w:tr>
      <w:tr>
        <w:trPr>
          <w:trHeight w:val="220"/>
        </w:trPr>
        <w:tc>
          <w:tcPr>
            <w:tcW w:w="4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____________</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140" w:type="dxa"/>
            <w:vAlign w:val="bottom"/>
          </w:tcPr>
          <w:p>
            <w:pPr>
              <w:spacing w:after="0"/>
              <w:rPr>
                <w:sz w:val="19"/>
                <w:szCs w:val="19"/>
                <w:color w:val="auto"/>
              </w:rPr>
            </w:pPr>
          </w:p>
        </w:tc>
      </w:tr>
    </w:tbl>
    <w:p>
      <w:pPr>
        <w:jc w:val="both"/>
        <w:ind w:left="340" w:right="100" w:hanging="332"/>
        <w:spacing w:after="0" w:line="252" w:lineRule="auto"/>
        <w:tabs>
          <w:tab w:leader="none" w:pos="340" w:val="left"/>
        </w:tabs>
        <w:numPr>
          <w:ilvl w:val="0"/>
          <w:numId w:val="43"/>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 Corporate and Other Adjusted operating (loss) was revised for the years ended December 31, 2018 and December 31, 2017 which resulted in a decrease of $(0.7) million and $(0.6) million, respectively.</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Compared to 2018</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variance in Adjusted operating (loss) was primarily due to prior year expenses related to the oil and gas segment that were not reclassified to discontinued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variance in Adjusted operating (loss) was primarily due to prior year acquisition costs.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Interest Expense, Impairment of Investment, Other Income (Expense) and Income Tax Benefit (Expense)</w:t>
      </w:r>
    </w:p>
    <w:p>
      <w:pPr>
        <w:spacing w:after="0" w:line="39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3980" w:type="dxa"/>
            <w:vAlign w:val="bottom"/>
          </w:tcPr>
          <w:p>
            <w:pPr>
              <w:ind w:left="20"/>
              <w:spacing w:after="0"/>
              <w:rPr>
                <w:sz w:val="20"/>
                <w:szCs w:val="20"/>
                <w:color w:val="auto"/>
              </w:rPr>
            </w:pPr>
            <w:r>
              <w:rPr>
                <w:rFonts w:ascii="Arial" w:cs="Arial" w:eastAsia="Arial" w:hAnsi="Arial"/>
                <w:sz w:val="18"/>
                <w:szCs w:val="18"/>
                <w:color w:val="auto"/>
              </w:rPr>
              <w:t>(in thousands)</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180" w:type="dxa"/>
            <w:vAlign w:val="bottom"/>
          </w:tcPr>
          <w:p>
            <w:pPr>
              <w:jc w:val="right"/>
              <w:ind w:right="310"/>
              <w:spacing w:after="0"/>
              <w:rPr>
                <w:sz w:val="20"/>
                <w:szCs w:val="20"/>
                <w:color w:val="auto"/>
              </w:rPr>
            </w:pPr>
            <w:r>
              <w:rPr>
                <w:rFonts w:ascii="Arial" w:cs="Arial" w:eastAsia="Arial" w:hAnsi="Arial"/>
                <w:sz w:val="18"/>
                <w:szCs w:val="18"/>
                <w:color w:val="auto"/>
              </w:rPr>
              <w:t>Variance</w:t>
            </w:r>
          </w:p>
        </w:tc>
        <w:tc>
          <w:tcPr>
            <w:tcW w:w="36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200" w:type="dxa"/>
            <w:vAlign w:val="bottom"/>
          </w:tcPr>
          <w:p>
            <w:pPr>
              <w:jc w:val="right"/>
              <w:ind w:right="330"/>
              <w:spacing w:after="0"/>
              <w:rPr>
                <w:sz w:val="20"/>
                <w:szCs w:val="20"/>
                <w:color w:val="auto"/>
              </w:rPr>
            </w:pPr>
            <w:r>
              <w:rPr>
                <w:rFonts w:ascii="Arial" w:cs="Arial" w:eastAsia="Arial" w:hAnsi="Arial"/>
                <w:sz w:val="18"/>
                <w:szCs w:val="18"/>
                <w:color w:val="auto"/>
              </w:rPr>
              <w:t>Variance</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39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39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r>
      <w:tr>
        <w:trPr>
          <w:trHeight w:val="250"/>
        </w:trPr>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 net</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(137,659)</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2,316</w:t>
            </w:r>
          </w:p>
        </w:tc>
        <w:tc>
          <w:tcPr>
            <w:tcW w:w="36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(139,975)</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(2,873)</w:t>
            </w:r>
          </w:p>
        </w:tc>
        <w:tc>
          <w:tcPr>
            <w:tcW w:w="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(137,102)</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Impairment of investment</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(19,741)</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(19,741)</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39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9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income (expense), net</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(5,740)</w:t>
            </w:r>
          </w:p>
        </w:tc>
        <w:tc>
          <w:tcPr>
            <w:tcW w:w="28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(4,560)</w:t>
            </w:r>
          </w:p>
        </w:tc>
        <w:tc>
          <w:tcPr>
            <w:tcW w:w="360" w:type="dxa"/>
            <w:vAlign w:val="bottom"/>
            <w:tcBorders>
              <w:bottom w:val="single" w:sz="8" w:color="CEFFE7"/>
            </w:tcBorders>
            <w:shd w:val="clear" w:color="auto" w:fill="CEFFE7"/>
          </w:tcPr>
          <w:p>
            <w:pPr>
              <w:spacing w:after="0"/>
              <w:rPr>
                <w:sz w:val="21"/>
                <w:szCs w:val="21"/>
                <w:color w:val="auto"/>
              </w:rPr>
            </w:pPr>
          </w:p>
        </w:tc>
        <w:tc>
          <w:tcPr>
            <w:tcW w:w="1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(1,180)</w:t>
            </w:r>
          </w:p>
        </w:tc>
        <w:tc>
          <w:tcPr>
            <w:tcW w:w="2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(3,288)</w:t>
            </w:r>
          </w:p>
        </w:tc>
        <w:tc>
          <w:tcPr>
            <w:tcW w:w="3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2,108</w:t>
            </w:r>
          </w:p>
        </w:tc>
      </w:tr>
      <w:tr>
        <w:trPr>
          <w:trHeight w:val="243"/>
        </w:trPr>
        <w:tc>
          <w:tcPr>
            <w:tcW w:w="3980" w:type="dxa"/>
            <w:vAlign w:val="bottom"/>
          </w:tcPr>
          <w:p>
            <w:pPr>
              <w:ind w:left="20"/>
              <w:spacing w:after="0"/>
              <w:rPr>
                <w:sz w:val="20"/>
                <w:szCs w:val="20"/>
                <w:color w:val="auto"/>
              </w:rPr>
            </w:pPr>
            <w:r>
              <w:rPr>
                <w:rFonts w:ascii="Arial" w:cs="Arial" w:eastAsia="Arial" w:hAnsi="Arial"/>
                <w:sz w:val="18"/>
                <w:szCs w:val="18"/>
                <w:color w:val="auto"/>
              </w:rPr>
              <w:t>Income tax benefit (expense)</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(29,580)</w:t>
            </w:r>
          </w:p>
        </w:tc>
        <w:tc>
          <w:tcPr>
            <w:tcW w:w="2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(53,247)</w:t>
            </w:r>
          </w:p>
        </w:tc>
        <w:tc>
          <w:tcPr>
            <w:tcW w:w="36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23,667</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97,034</w:t>
            </w:r>
          </w:p>
        </w:tc>
        <w:tc>
          <w:tcPr>
            <w:tcW w:w="3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(73,367)</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Compared to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Investment</w:t>
      </w:r>
    </w:p>
    <w:p>
      <w:pPr>
        <w:spacing w:after="0" w:line="229" w:lineRule="exact"/>
        <w:rPr>
          <w:sz w:val="20"/>
          <w:szCs w:val="20"/>
          <w:color w:val="auto"/>
        </w:rPr>
      </w:pPr>
    </w:p>
    <w:p>
      <w:pPr>
        <w:ind w:right="22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For the year ended December 31, 2019, we recorded a pre-tax non-cash write-down of $20 million in our investment in equity securities of a privately held oil and gas company. The impairment was triggered by a deterioration in earnings performance of the privately held oil and gas company and an adverse change in future natural gas prices. See </w:t>
      </w:r>
      <w:hyperlink w:anchor="page8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Consolidated Financial Statements for additional details.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For the year ended December 31, 2019, we expensed $5.4 million of development costs related to projects we no longer intend to construct.</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26" w:right="239" w:bottom="1440" w:gutter="0" w:footer="0" w:header="0"/>
        </w:sectPr>
      </w:pPr>
    </w:p>
    <w:bookmarkStart w:id="56" w:name="page57"/>
    <w:bookmarkEnd w:id="5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tax expense was primarily due to a prior year $73 million tax benefit resulting from legal entity restructuring partially offset by:</w:t>
      </w:r>
    </w:p>
    <w:p>
      <w:pPr>
        <w:spacing w:after="0" w:line="225" w:lineRule="exact"/>
        <w:rPr>
          <w:sz w:val="20"/>
          <w:szCs w:val="20"/>
          <w:color w:val="auto"/>
        </w:rPr>
      </w:pPr>
    </w:p>
    <w:p>
      <w:pPr>
        <w:ind w:left="660" w:hanging="328"/>
        <w:spacing w:after="0"/>
        <w:tabs>
          <w:tab w:leader="none" w:pos="66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 prior year $(4.0) million income tax expense associated with changes in the previously estimated impact of tax reform on deferred income taxes;</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Current year $3.8 million of federal PTCs and $2.1 million of related state ITCs associated with new wind assets;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year $1.9 million tax benefit from increased repair activity in flow-through regulatory jurisdictions;</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year $1.4 million tax benefit for incremental excess deferred tax amortization related to tax reform; and</w:t>
      </w:r>
    </w:p>
    <w:p>
      <w:pPr>
        <w:spacing w:after="0" w:line="9" w:lineRule="exact"/>
        <w:rPr>
          <w:rFonts w:ascii="Arial" w:cs="Arial" w:eastAsia="Arial" w:hAnsi="Arial"/>
          <w:sz w:val="18"/>
          <w:szCs w:val="18"/>
          <w:color w:val="auto"/>
        </w:rPr>
      </w:pPr>
    </w:p>
    <w:p>
      <w:pPr>
        <w:ind w:left="660" w:right="440" w:hanging="328"/>
        <w:spacing w:after="0" w:line="261"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A current year $3.4 million tax benefit from a federal tax loss carry-back claim including interest. We identified certain qualified expenses that extend beyond the typical two-year carry-back period.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2018 Compared to 2017</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(Expense)</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variance in Other income (expense), net was primarily due to the presentation change of non-service pension costs to Other income (expense) in 2018, previously reported in Operations and maintenance.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Benefit (Expense)</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The variance in Income tax benefit (expense) was primarily due to a $73 million tax benefit in 2018 resulting from legal entity restructuring and the reduction in the federal corporate income tax rate from 35% to 21% from the TCJA, effective January 1, 2018, partially offset by a $(4.0) million income tax expense associated with changes in the previously estimated impact of tax reform on deferred income taxes.</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Our company requires significant cash to support and grow our businesses. Our predominant source of cash is from our operations and supplemented with corporate financings. This cash is used for, among other things, working capital, capital expenditures, dividends, pension funding, investments in or acquisitions of assets and businesses, payment of debt obligations and redemption of outstanding debt and equity securities when required or financially appropriate.</w:t>
      </w:r>
    </w:p>
    <w:p>
      <w:pPr>
        <w:spacing w:after="0" w:line="18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experience significant cash requirements during peak months of the winter heating season due to higher natural gas consumption and during periods of high natural gas prices, as well as during the construction season.</w:t>
      </w:r>
    </w:p>
    <w:p>
      <w:pPr>
        <w:spacing w:after="0" w:line="170" w:lineRule="exact"/>
        <w:rPr>
          <w:sz w:val="20"/>
          <w:szCs w:val="20"/>
          <w:color w:val="auto"/>
        </w:rPr>
      </w:pPr>
    </w:p>
    <w:p>
      <w:pPr>
        <w:jc w:val="both"/>
        <w:ind w:right="280"/>
        <w:spacing w:after="0" w:line="264" w:lineRule="auto"/>
        <w:rPr>
          <w:sz w:val="20"/>
          <w:szCs w:val="20"/>
          <w:color w:val="auto"/>
        </w:rPr>
      </w:pPr>
      <w:r>
        <w:rPr>
          <w:rFonts w:ascii="Arial" w:cs="Arial" w:eastAsia="Arial" w:hAnsi="Arial"/>
          <w:sz w:val="18"/>
          <w:szCs w:val="18"/>
          <w:color w:val="auto"/>
        </w:rPr>
        <w:t>We believe that our cash on hand, operating cash flows, existing borrowing capacity and ability to complete new debt and equity financings, taken in their entirety, provide sufficient capital resources to fund our ongoing operating requirements, regulatory liabilities, debt maturities, anticipated dividends, and anticipated capital expenditures discussed in this section.</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126" w:right="27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184"/>
        </w:trPr>
        <w:tc>
          <w:tcPr>
            <w:tcW w:w="63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844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39"/>
        </w:trPr>
        <w:tc>
          <w:tcPr>
            <w:tcW w:w="9660" w:type="dxa"/>
            <w:vAlign w:val="bottom"/>
            <w:gridSpan w:val="4"/>
          </w:tcPr>
          <w:p>
            <w:pPr>
              <w:spacing w:after="0"/>
              <w:rPr>
                <w:sz w:val="20"/>
                <w:szCs w:val="20"/>
                <w:color w:val="auto"/>
              </w:rPr>
            </w:pPr>
            <w:r>
              <w:rPr>
                <w:rFonts w:ascii="Arial" w:cs="Arial" w:eastAsia="Arial" w:hAnsi="Arial"/>
                <w:sz w:val="18"/>
                <w:szCs w:val="18"/>
                <w:color w:val="auto"/>
              </w:rPr>
              <w:t>The following table provides an informational summary of our financial position as of December 31 (dollars in thousands):</w:t>
            </w:r>
          </w:p>
        </w:tc>
        <w:tc>
          <w:tcPr>
            <w:tcW w:w="4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378"/>
        </w:trPr>
        <w:tc>
          <w:tcPr>
            <w:tcW w:w="6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Financial Position Summary</w:t>
            </w:r>
          </w:p>
        </w:tc>
        <w:tc>
          <w:tcPr>
            <w:tcW w:w="2120" w:type="dxa"/>
            <w:vAlign w:val="bottom"/>
          </w:tcPr>
          <w:p>
            <w:pPr>
              <w:spacing w:after="0"/>
              <w:rPr>
                <w:sz w:val="24"/>
                <w:szCs w:val="24"/>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80" w:type="dxa"/>
            <w:vAlign w:val="bottom"/>
          </w:tcPr>
          <w:p>
            <w:pPr>
              <w:spacing w:after="0"/>
              <w:rPr>
                <w:sz w:val="24"/>
                <w:szCs w:val="24"/>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2018</w:t>
            </w:r>
          </w:p>
        </w:tc>
      </w:tr>
      <w:tr>
        <w:trPr>
          <w:trHeight w:val="27"/>
        </w:trPr>
        <w:tc>
          <w:tcPr>
            <w:tcW w:w="1220" w:type="dxa"/>
            <w:vAlign w:val="bottom"/>
            <w:tcBorders>
              <w:bottom w:val="single" w:sz="8" w:color="auto"/>
            </w:tcBorders>
          </w:tcPr>
          <w:p>
            <w:pPr>
              <w:spacing w:after="0"/>
              <w:rPr>
                <w:sz w:val="2"/>
                <w:szCs w:val="2"/>
                <w:color w:val="auto"/>
              </w:rPr>
            </w:pPr>
          </w:p>
        </w:tc>
        <w:tc>
          <w:tcPr>
            <w:tcW w:w="512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3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Cash and cash equivalents</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9,777</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20,776</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Restricted cash and equivalents</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3,881</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3,369</w:t>
            </w:r>
          </w:p>
        </w:tc>
      </w:tr>
      <w:tr>
        <w:trPr>
          <w:trHeight w:val="27"/>
        </w:trPr>
        <w:tc>
          <w:tcPr>
            <w:tcW w:w="1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34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Notes payable</w:t>
            </w:r>
          </w:p>
        </w:tc>
        <w:tc>
          <w:tcPr>
            <w:tcW w:w="212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349,500</w:t>
            </w:r>
          </w:p>
        </w:tc>
        <w:tc>
          <w:tcPr>
            <w:tcW w:w="4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185,620</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Short-term debt, including current maturities of long-term debt</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5,743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5,743</w:t>
            </w:r>
          </w:p>
        </w:tc>
      </w:tr>
      <w:tr>
        <w:trPr>
          <w:trHeight w:val="27"/>
        </w:trPr>
        <w:tc>
          <w:tcPr>
            <w:tcW w:w="1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70"/>
        </w:trPr>
        <w:tc>
          <w:tcPr>
            <w:tcW w:w="634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Long-term debt </w:t>
            </w:r>
            <w:r>
              <w:rPr>
                <w:rFonts w:ascii="Arial" w:cs="Arial" w:eastAsia="Arial" w:hAnsi="Arial"/>
                <w:sz w:val="25"/>
                <w:szCs w:val="25"/>
                <w:color w:val="auto"/>
                <w:vertAlign w:val="superscript"/>
              </w:rPr>
              <w:t>(a)</w:t>
            </w:r>
          </w:p>
        </w:tc>
        <w:tc>
          <w:tcPr>
            <w:tcW w:w="212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3,140,096</w:t>
            </w:r>
          </w:p>
        </w:tc>
        <w:tc>
          <w:tcPr>
            <w:tcW w:w="48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2,950,835</w:t>
            </w:r>
          </w:p>
        </w:tc>
      </w:tr>
      <w:tr>
        <w:trPr>
          <w:trHeight w:val="243"/>
        </w:trPr>
        <w:tc>
          <w:tcPr>
            <w:tcW w:w="634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21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2,362,123</w:t>
            </w:r>
          </w:p>
        </w:tc>
        <w:tc>
          <w:tcPr>
            <w:tcW w:w="48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90"/>
              <w:spacing w:after="0"/>
              <w:rPr>
                <w:sz w:val="20"/>
                <w:szCs w:val="20"/>
                <w:color w:val="auto"/>
              </w:rPr>
            </w:pPr>
            <w:r>
              <w:rPr>
                <w:rFonts w:ascii="Arial" w:cs="Arial" w:eastAsia="Arial" w:hAnsi="Arial"/>
                <w:sz w:val="18"/>
                <w:szCs w:val="18"/>
                <w:color w:val="auto"/>
              </w:rPr>
              <w:t>2,181,588</w:t>
            </w:r>
          </w:p>
        </w:tc>
      </w:tr>
      <w:tr>
        <w:trPr>
          <w:trHeight w:val="27"/>
        </w:trPr>
        <w:tc>
          <w:tcPr>
            <w:tcW w:w="1220" w:type="dxa"/>
            <w:vAlign w:val="bottom"/>
          </w:tcPr>
          <w:p>
            <w:pPr>
              <w:spacing w:after="0"/>
              <w:rPr>
                <w:sz w:val="2"/>
                <w:szCs w:val="2"/>
                <w:color w:val="auto"/>
              </w:rPr>
            </w:pPr>
          </w:p>
        </w:tc>
        <w:tc>
          <w:tcPr>
            <w:tcW w:w="51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324"/>
        </w:trPr>
        <w:tc>
          <w:tcPr>
            <w:tcW w:w="1220" w:type="dxa"/>
            <w:vAlign w:val="bottom"/>
            <w:shd w:val="clear" w:color="auto" w:fill="CEFFE7"/>
          </w:tcPr>
          <w:p>
            <w:pPr>
              <w:spacing w:after="0"/>
              <w:rPr>
                <w:sz w:val="24"/>
                <w:szCs w:val="24"/>
                <w:color w:val="auto"/>
              </w:rPr>
            </w:pPr>
          </w:p>
        </w:tc>
        <w:tc>
          <w:tcPr>
            <w:tcW w:w="5120" w:type="dxa"/>
            <w:vAlign w:val="bottom"/>
            <w:shd w:val="clear" w:color="auto" w:fill="CEFFE7"/>
          </w:tcPr>
          <w:p>
            <w:pPr>
              <w:spacing w:after="0"/>
              <w:rPr>
                <w:sz w:val="24"/>
                <w:szCs w:val="24"/>
                <w:color w:val="auto"/>
              </w:rPr>
            </w:pPr>
          </w:p>
        </w:tc>
        <w:tc>
          <w:tcPr>
            <w:tcW w:w="2120" w:type="dxa"/>
            <w:vAlign w:val="bottom"/>
            <w:shd w:val="clear" w:color="auto" w:fill="CEFFE7"/>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c>
          <w:tcPr>
            <w:tcW w:w="1280" w:type="dxa"/>
            <w:vAlign w:val="bottom"/>
            <w:shd w:val="clear" w:color="auto" w:fill="CEFFE7"/>
          </w:tcPr>
          <w:p>
            <w:pPr>
              <w:spacing w:after="0"/>
              <w:rPr>
                <w:sz w:val="24"/>
                <w:szCs w:val="24"/>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7100" w:type="dxa"/>
            <w:vAlign w:val="bottom"/>
            <w:gridSpan w:val="3"/>
          </w:tcPr>
          <w:p>
            <w:pPr>
              <w:ind w:left="40"/>
              <w:spacing w:after="0" w:line="202" w:lineRule="exact"/>
              <w:rPr>
                <w:sz w:val="20"/>
                <w:szCs w:val="20"/>
                <w:color w:val="auto"/>
              </w:rPr>
            </w:pPr>
            <w:r>
              <w:rPr>
                <w:rFonts w:ascii="Arial" w:cs="Arial" w:eastAsia="Arial" w:hAnsi="Arial"/>
                <w:sz w:val="18"/>
                <w:szCs w:val="18"/>
                <w:color w:val="auto"/>
              </w:rPr>
              <w:t>Ratios</w:t>
            </w:r>
          </w:p>
        </w:tc>
        <w:tc>
          <w:tcPr>
            <w:tcW w:w="32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460" w:type="dxa"/>
            <w:vAlign w:val="bottom"/>
            <w:tcBorders>
              <w:top w:val="single" w:sz="8" w:color="auto"/>
            </w:tcBorders>
          </w:tcPr>
          <w:p>
            <w:pPr>
              <w:spacing w:after="0"/>
              <w:rPr>
                <w:sz w:val="4"/>
                <w:szCs w:val="4"/>
                <w:color w:val="auto"/>
              </w:rPr>
            </w:pPr>
          </w:p>
        </w:tc>
        <w:tc>
          <w:tcPr>
            <w:tcW w:w="6600" w:type="dxa"/>
            <w:vAlign w:val="bottom"/>
          </w:tcPr>
          <w:p>
            <w:pPr>
              <w:spacing w:after="0"/>
              <w:rPr>
                <w:sz w:val="4"/>
                <w:szCs w:val="4"/>
                <w:color w:val="auto"/>
              </w:rPr>
            </w:pPr>
          </w:p>
        </w:tc>
        <w:tc>
          <w:tcPr>
            <w:tcW w:w="3280" w:type="dxa"/>
            <w:vAlign w:val="bottom"/>
          </w:tcPr>
          <w:p>
            <w:pPr>
              <w:spacing w:after="0"/>
              <w:rPr>
                <w:sz w:val="4"/>
                <w:szCs w:val="4"/>
                <w:color w:val="auto"/>
              </w:rPr>
            </w:pPr>
          </w:p>
        </w:tc>
        <w:tc>
          <w:tcPr>
            <w:tcW w:w="1040" w:type="dxa"/>
            <w:vAlign w:val="bottom"/>
          </w:tcPr>
          <w:p>
            <w:pPr>
              <w:spacing w:after="0"/>
              <w:rPr>
                <w:sz w:val="4"/>
                <w:szCs w:val="4"/>
                <w:color w:val="auto"/>
              </w:rPr>
            </w:pPr>
          </w:p>
        </w:tc>
      </w:tr>
      <w:tr>
        <w:trPr>
          <w:trHeight w:val="250"/>
        </w:trPr>
        <w:tc>
          <w:tcPr>
            <w:tcW w:w="710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Long-term debt ratio</w:t>
            </w:r>
          </w:p>
        </w:tc>
        <w:tc>
          <w:tcPr>
            <w:tcW w:w="328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57%</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w:t>
            </w:r>
          </w:p>
        </w:tc>
      </w:tr>
      <w:tr>
        <w:trPr>
          <w:trHeight w:val="243"/>
        </w:trPr>
        <w:tc>
          <w:tcPr>
            <w:tcW w:w="7100" w:type="dxa"/>
            <w:vAlign w:val="bottom"/>
            <w:gridSpan w:val="3"/>
          </w:tcPr>
          <w:p>
            <w:pPr>
              <w:ind w:left="40"/>
              <w:spacing w:after="0"/>
              <w:rPr>
                <w:sz w:val="20"/>
                <w:szCs w:val="20"/>
                <w:color w:val="auto"/>
              </w:rPr>
            </w:pPr>
            <w:r>
              <w:rPr>
                <w:rFonts w:ascii="Arial" w:cs="Arial" w:eastAsia="Arial" w:hAnsi="Arial"/>
                <w:sz w:val="18"/>
                <w:szCs w:val="18"/>
                <w:color w:val="auto"/>
              </w:rPr>
              <w:t>Total debt ratio</w:t>
            </w:r>
          </w:p>
        </w:tc>
        <w:tc>
          <w:tcPr>
            <w:tcW w:w="3280" w:type="dxa"/>
            <w:vAlign w:val="bottom"/>
          </w:tcPr>
          <w:p>
            <w:pPr>
              <w:jc w:val="right"/>
              <w:ind w:right="590"/>
              <w:spacing w:after="0"/>
              <w:rPr>
                <w:sz w:val="20"/>
                <w:szCs w:val="20"/>
                <w:color w:val="auto"/>
              </w:rPr>
            </w:pPr>
            <w:r>
              <w:rPr>
                <w:rFonts w:ascii="Arial" w:cs="Arial" w:eastAsia="Arial" w:hAnsi="Arial"/>
                <w:sz w:val="18"/>
                <w:szCs w:val="18"/>
                <w:color w:val="auto"/>
              </w:rPr>
              <w:t>60%</w:t>
            </w:r>
          </w:p>
        </w:tc>
        <w:tc>
          <w:tcPr>
            <w:tcW w:w="104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33"/>
        </w:trPr>
        <w:tc>
          <w:tcPr>
            <w:tcW w:w="7100" w:type="dxa"/>
            <w:vAlign w:val="bottom"/>
            <w:gridSpan w:val="3"/>
          </w:tcPr>
          <w:p>
            <w:pPr>
              <w:spacing w:after="0"/>
              <w:rPr>
                <w:sz w:val="20"/>
                <w:szCs w:val="20"/>
                <w:color w:val="auto"/>
              </w:rPr>
            </w:pPr>
            <w:r>
              <w:rPr>
                <w:rFonts w:ascii="Arial" w:cs="Arial" w:eastAsia="Arial" w:hAnsi="Arial"/>
                <w:sz w:val="18"/>
                <w:szCs w:val="18"/>
                <w:color w:val="auto"/>
              </w:rPr>
              <w:t>______________</w:t>
            </w:r>
          </w:p>
        </w:tc>
        <w:tc>
          <w:tcPr>
            <w:tcW w:w="328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6"/>
        </w:trPr>
        <w:tc>
          <w:tcPr>
            <w:tcW w:w="7100" w:type="dxa"/>
            <w:vAlign w:val="bottom"/>
            <w:gridSpan w:val="3"/>
          </w:tcPr>
          <w:p>
            <w:pPr>
              <w:spacing w:after="0"/>
              <w:rPr>
                <w:sz w:val="20"/>
                <w:szCs w:val="20"/>
                <w:color w:val="auto"/>
              </w:rPr>
            </w:pPr>
            <w:r>
              <w:rPr>
                <w:rFonts w:ascii="Arial" w:cs="Arial" w:eastAsia="Arial" w:hAnsi="Arial"/>
                <w:sz w:val="16"/>
                <w:szCs w:val="16"/>
                <w:color w:val="auto"/>
              </w:rPr>
              <w:t>(a)  Carrying amount of long-term debt is net of deferred financing costs.</w:t>
            </w:r>
          </w:p>
        </w:tc>
        <w:tc>
          <w:tcPr>
            <w:tcW w:w="3280" w:type="dxa"/>
            <w:vAlign w:val="bottom"/>
          </w:tcPr>
          <w:p>
            <w:pPr>
              <w:spacing w:after="0"/>
              <w:rPr>
                <w:sz w:val="17"/>
                <w:szCs w:val="17"/>
                <w:color w:val="auto"/>
              </w:rPr>
            </w:pPr>
          </w:p>
        </w:tc>
        <w:tc>
          <w:tcPr>
            <w:tcW w:w="1040" w:type="dxa"/>
            <w:vAlign w:val="bottom"/>
          </w:tcPr>
          <w:p>
            <w:pPr>
              <w:spacing w:after="0"/>
              <w:rPr>
                <w:sz w:val="17"/>
                <w:szCs w:val="17"/>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Significant Factors Affecting Liquidity</w:t>
      </w:r>
    </w:p>
    <w:p>
      <w:pPr>
        <w:spacing w:after="0" w:line="22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Although we believe we have sufficient resources to fund our cash requirements, there are many factors with the potential to influence our cash flow position, including weather seasonality, commodity prices, significant capital projects and acquisitions, requirements imposed by state and federal agencies and economic market conditions. We have implemented risk mitigation programs, where possible, to stabilize cash flow. However, the potential for unforeseen events affecting cash needs will continue to exist.</w:t>
      </w:r>
    </w:p>
    <w:p>
      <w:pPr>
        <w:spacing w:after="0" w:line="187"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Our Utilities maintain wholesale commodity contracts for the purchases and sales of electricity and natural gas which have performance assurance provisions that allow the counterparty to require collateral postings under certain conditions, including when requested on a reasonable basis due to a deterioration in our financial condition or nonperformance. A significant downgrade in our credit ratings, such as a downgrade to a level below investment grade, could result in counterparties requiring collateral postings under such adequate assurance provisions. The amount of credit support that we may be required to provide at any point in the future is dependent on the amount of the initial transaction, changes in the market price, open positions and the amounts owed by or to the counterparty. At December 31, 2019, we had sufficient liquidity to cover collateral that could be required to be posted under these contracts.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Weather Seasonality, Commodity Pricing and Associated Hedging Strategies</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manage liquidity needs through hedging activities, primarily in connection with seasonal needs of our utility operations (including seasonal peaks in fuel requirements), interest rate movements and commodity price movements.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Utility Factors</w:t>
      </w:r>
    </w:p>
    <w:p>
      <w:pPr>
        <w:spacing w:after="0" w:line="225"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Our cash flows, and in turn liquidity needs in many of our regulated jurisdictions, can be subject to fluctuations in weather and commodity prices. Since weather conditions are uncontrollable, we have implemented commission-approved natural gas hedging and storage programs in many of our regulated jurisdictions to mitigate significant changes in natural gas commodity pricing. We target hedging a percentage of our forecasted natural gas supply consumption using options, futures, basis swaps and physical fixed price purchases.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Interest Rates</w:t>
      </w:r>
    </w:p>
    <w:p>
      <w:pPr>
        <w:spacing w:after="0" w:line="225" w:lineRule="exact"/>
        <w:rPr>
          <w:sz w:val="20"/>
          <w:szCs w:val="20"/>
          <w:color w:val="auto"/>
        </w:rPr>
      </w:pPr>
    </w:p>
    <w:p>
      <w:pPr>
        <w:ind w:right="20"/>
        <w:spacing w:after="0" w:line="308" w:lineRule="auto"/>
        <w:rPr>
          <w:sz w:val="20"/>
          <w:szCs w:val="20"/>
          <w:color w:val="auto"/>
        </w:rPr>
      </w:pPr>
      <w:r>
        <w:rPr>
          <w:rFonts w:ascii="Arial" w:cs="Arial" w:eastAsia="Arial" w:hAnsi="Arial"/>
          <w:sz w:val="17"/>
          <w:szCs w:val="17"/>
          <w:color w:val="auto"/>
        </w:rPr>
        <w:t>Some of our debt instruments have a variable interest rate component which can change significantly depending on the economic climate. We do not have any interest rate swap agreements at December 31, 2019; 90% of our interest rate exposure has been mitigated through fixed interest rates.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Federal and State Regulations</w:t>
      </w:r>
    </w:p>
    <w:p>
      <w:pPr>
        <w:spacing w:after="0" w:line="225" w:lineRule="exact"/>
        <w:rPr>
          <w:sz w:val="20"/>
          <w:szCs w:val="20"/>
          <w:color w:val="auto"/>
        </w:rPr>
      </w:pPr>
    </w:p>
    <w:p>
      <w:pPr>
        <w:ind w:right="180"/>
        <w:spacing w:after="0" w:line="255" w:lineRule="auto"/>
        <w:rPr>
          <w:sz w:val="20"/>
          <w:szCs w:val="20"/>
          <w:color w:val="auto"/>
        </w:rPr>
      </w:pPr>
      <w:r>
        <w:rPr>
          <w:rFonts w:ascii="Arial" w:cs="Arial" w:eastAsia="Arial" w:hAnsi="Arial"/>
          <w:sz w:val="18"/>
          <w:szCs w:val="18"/>
          <w:color w:val="auto"/>
        </w:rPr>
        <w:t>We are structured as a utility holding company which owns several regulated utilities. Within this structure, we are subject to various regulations by our commissions that can influence our liquidity. As an example, the issuance of debt by our regulated subsidiaries and the use of our utility assets as collateral generally require prior approval of the state regulators in the state in which the utility assets are located. Furthermore, as a result of our holding company structure, our right as a common shareholder to receive assets of any of our direct or indirect subsidiaries upon a subsidiary's liquidation or reorganization is subordinate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GENERATION AND CASH REQUIREMENTS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Generation</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Our primary sources of cash are generated from operating activities, our five-year Revolving Credit Facility expiring in 2023, our CP Program, our ATM equity offering program and our ability to access the public and private capital markets through debt and equity securities offerings when necessary.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Collateral</w:t>
      </w:r>
    </w:p>
    <w:p>
      <w:pPr>
        <w:spacing w:after="0" w:line="225" w:lineRule="exact"/>
        <w:rPr>
          <w:sz w:val="20"/>
          <w:szCs w:val="20"/>
          <w:color w:val="auto"/>
        </w:rPr>
      </w:pPr>
    </w:p>
    <w:p>
      <w:pPr>
        <w:ind w:right="320"/>
        <w:spacing w:after="0" w:line="342" w:lineRule="auto"/>
        <w:rPr>
          <w:sz w:val="20"/>
          <w:szCs w:val="20"/>
          <w:color w:val="auto"/>
        </w:rPr>
      </w:pPr>
      <w:r>
        <w:rPr>
          <w:rFonts w:ascii="Arial" w:cs="Arial" w:eastAsia="Arial" w:hAnsi="Arial"/>
          <w:sz w:val="16"/>
          <w:szCs w:val="16"/>
          <w:color w:val="auto"/>
        </w:rPr>
        <w:t>Under contractual agreements and exchange requirements, BHC or its subsidiaries have collateral requirements, which if triggered, require us to post cash collateral with the counterparty to meet these obligations. The cash collateral we were required to post at December 31, 2019 was not material.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EQUITY AND LIQUIDITY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Revolving Credit Facility and CP Program</w:t>
      </w:r>
    </w:p>
    <w:p>
      <w:pPr>
        <w:spacing w:after="0" w:line="229" w:lineRule="exact"/>
        <w:rPr>
          <w:sz w:val="20"/>
          <w:szCs w:val="20"/>
          <w:color w:val="auto"/>
        </w:rPr>
      </w:pPr>
    </w:p>
    <w:p>
      <w:pPr>
        <w:ind w:right="140"/>
        <w:spacing w:after="0" w:line="276" w:lineRule="auto"/>
        <w:rPr>
          <w:rFonts w:ascii="Arial" w:cs="Arial" w:eastAsia="Arial" w:hAnsi="Arial"/>
          <w:sz w:val="17"/>
          <w:szCs w:val="17"/>
          <w:color w:val="auto"/>
        </w:rPr>
      </w:pPr>
      <w:r>
        <w:rPr>
          <w:rFonts w:ascii="Arial" w:cs="Arial" w:eastAsia="Arial" w:hAnsi="Arial"/>
          <w:sz w:val="17"/>
          <w:szCs w:val="17"/>
          <w:color w:val="auto"/>
        </w:rPr>
        <w:t xml:space="preserve">On July 30, 2018, we amended and restated our corporate Revolving Credit Facility, maintaining total commitments of $750 million and extending the term through July 30, 2023 with two one-year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See </w:t>
      </w:r>
      <w:hyperlink w:anchor="page105">
        <w:r>
          <w:rPr>
            <w:rFonts w:ascii="Arial" w:cs="Arial" w:eastAsia="Arial" w:hAnsi="Arial"/>
            <w:sz w:val="17"/>
            <w:szCs w:val="17"/>
            <w:u w:val="single" w:color="auto"/>
            <w:color w:val="0000EE"/>
          </w:rPr>
          <w:t>Note 7</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our Notes to the Consolidated Financial Statements in this Annual Report on Form 10-K for more information.</w:t>
      </w:r>
    </w:p>
    <w:p>
      <w:pPr>
        <w:spacing w:after="0" w:line="173" w:lineRule="exact"/>
        <w:rPr>
          <w:sz w:val="20"/>
          <w:szCs w:val="20"/>
          <w:color w:val="auto"/>
        </w:rPr>
      </w:pPr>
    </w:p>
    <w:p>
      <w:pPr>
        <w:jc w:val="both"/>
        <w:ind w:right="4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have a $750 million, unsecured CP Program that is backstopped by the Revolving Credit Facility. Amounts outstanding under the Revolving Credit Facility and the CP Program, either individually or in the aggregate, cannot exceed $750 million. See </w:t>
      </w:r>
      <w:hyperlink w:anchor="page105">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Notes to the Consolidated Financial Statements in this Annual Report on Form 10-K for more information.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Our Revolving Credit Facility and CP Program had the following borrowings, outstanding letters of credit, and available capacity (in millions):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3"/>
              </w:rPr>
              <w:t>Current</w:t>
            </w:r>
          </w:p>
        </w:tc>
        <w:tc>
          <w:tcPr>
            <w:tcW w:w="180" w:type="dxa"/>
            <w:vAlign w:val="bottom"/>
          </w:tcPr>
          <w:p>
            <w:pPr>
              <w:spacing w:after="0"/>
              <w:rPr>
                <w:sz w:val="20"/>
                <w:szCs w:val="20"/>
                <w:color w:val="auto"/>
              </w:rPr>
            </w:pPr>
          </w:p>
        </w:tc>
        <w:tc>
          <w:tcPr>
            <w:tcW w:w="1980" w:type="dxa"/>
            <w:vAlign w:val="bottom"/>
          </w:tcPr>
          <w:p>
            <w:pPr>
              <w:jc w:val="center"/>
              <w:ind w:right="30"/>
              <w:spacing w:after="0"/>
              <w:rPr>
                <w:sz w:val="20"/>
                <w:szCs w:val="20"/>
                <w:color w:val="auto"/>
              </w:rPr>
            </w:pPr>
            <w:r>
              <w:rPr>
                <w:rFonts w:ascii="Arial" w:cs="Arial" w:eastAsia="Arial" w:hAnsi="Arial"/>
                <w:sz w:val="18"/>
                <w:szCs w:val="18"/>
                <w:color w:val="auto"/>
                <w:w w:val="91"/>
              </w:rPr>
              <w:t>Short-term borrowings at</w:t>
            </w:r>
          </w:p>
        </w:tc>
        <w:tc>
          <w:tcPr>
            <w:tcW w:w="280" w:type="dxa"/>
            <w:vAlign w:val="bottom"/>
          </w:tcPr>
          <w:p>
            <w:pPr>
              <w:spacing w:after="0"/>
              <w:rPr>
                <w:sz w:val="20"/>
                <w:szCs w:val="20"/>
                <w:color w:val="auto"/>
              </w:rPr>
            </w:pPr>
          </w:p>
        </w:tc>
        <w:tc>
          <w:tcPr>
            <w:tcW w:w="1880" w:type="dxa"/>
            <w:vAlign w:val="bottom"/>
          </w:tcPr>
          <w:p>
            <w:pPr>
              <w:jc w:val="center"/>
              <w:ind w:right="110"/>
              <w:spacing w:after="0"/>
              <w:rPr>
                <w:sz w:val="20"/>
                <w:szCs w:val="20"/>
                <w:color w:val="auto"/>
              </w:rPr>
            </w:pPr>
            <w:r>
              <w:rPr>
                <w:rFonts w:ascii="Arial" w:cs="Arial" w:eastAsia="Arial" w:hAnsi="Arial"/>
                <w:sz w:val="18"/>
                <w:szCs w:val="18"/>
                <w:color w:val="auto"/>
                <w:w w:val="91"/>
              </w:rPr>
              <w:t>Letters of Credit at</w:t>
            </w:r>
          </w:p>
        </w:tc>
        <w:tc>
          <w:tcPr>
            <w:tcW w:w="260" w:type="dxa"/>
            <w:vAlign w:val="bottom"/>
          </w:tcPr>
          <w:p>
            <w:pPr>
              <w:spacing w:after="0"/>
              <w:rPr>
                <w:sz w:val="20"/>
                <w:szCs w:val="20"/>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92"/>
              </w:rPr>
              <w:t>Available Capacity at</w:t>
            </w:r>
          </w:p>
        </w:tc>
      </w:tr>
      <w:tr>
        <w:trPr>
          <w:trHeight w:val="270"/>
        </w:trPr>
        <w:tc>
          <w:tcPr>
            <w:tcW w:w="2560" w:type="dxa"/>
            <w:vAlign w:val="bottom"/>
          </w:tcPr>
          <w:p>
            <w:pPr>
              <w:ind w:left="40"/>
              <w:spacing w:after="0"/>
              <w:rPr>
                <w:sz w:val="20"/>
                <w:szCs w:val="20"/>
                <w:color w:val="auto"/>
              </w:rPr>
            </w:pPr>
            <w:r>
              <w:rPr>
                <w:rFonts w:ascii="Arial" w:cs="Arial" w:eastAsia="Arial" w:hAnsi="Arial"/>
                <w:sz w:val="18"/>
                <w:szCs w:val="18"/>
                <w:color w:val="auto"/>
              </w:rPr>
              <w:t>Credit Facility</w:t>
            </w:r>
          </w:p>
        </w:tc>
        <w:tc>
          <w:tcPr>
            <w:tcW w:w="116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240" w:type="dxa"/>
            <w:vAlign w:val="bottom"/>
          </w:tcPr>
          <w:p>
            <w:pPr>
              <w:spacing w:after="0"/>
              <w:rPr>
                <w:sz w:val="23"/>
                <w:szCs w:val="23"/>
                <w:color w:val="auto"/>
              </w:rPr>
            </w:pPr>
          </w:p>
        </w:tc>
        <w:tc>
          <w:tcPr>
            <w:tcW w:w="940" w:type="dxa"/>
            <w:vAlign w:val="bottom"/>
          </w:tcPr>
          <w:p>
            <w:pPr>
              <w:jc w:val="center"/>
              <w:ind w:right="50"/>
              <w:spacing w:after="0"/>
              <w:rPr>
                <w:sz w:val="20"/>
                <w:szCs w:val="20"/>
                <w:color w:val="auto"/>
              </w:rPr>
            </w:pPr>
            <w:r>
              <w:rPr>
                <w:rFonts w:ascii="Arial" w:cs="Arial" w:eastAsia="Arial" w:hAnsi="Arial"/>
                <w:sz w:val="18"/>
                <w:szCs w:val="18"/>
                <w:color w:val="auto"/>
                <w:w w:val="91"/>
              </w:rPr>
              <w:t>Capacity</w:t>
            </w:r>
          </w:p>
        </w:tc>
        <w:tc>
          <w:tcPr>
            <w:tcW w:w="180" w:type="dxa"/>
            <w:vAlign w:val="bottom"/>
          </w:tcPr>
          <w:p>
            <w:pPr>
              <w:spacing w:after="0"/>
              <w:rPr>
                <w:sz w:val="23"/>
                <w:szCs w:val="23"/>
                <w:color w:val="auto"/>
              </w:rPr>
            </w:pPr>
          </w:p>
        </w:tc>
        <w:tc>
          <w:tcPr>
            <w:tcW w:w="1980" w:type="dxa"/>
            <w:vAlign w:val="bottom"/>
          </w:tcPr>
          <w:p>
            <w:pPr>
              <w:jc w:val="center"/>
              <w:ind w:right="10"/>
              <w:spacing w:after="0"/>
              <w:rPr>
                <w:sz w:val="20"/>
                <w:szCs w:val="20"/>
                <w:color w:val="auto"/>
              </w:rPr>
            </w:pPr>
            <w:r>
              <w:rPr>
                <w:rFonts w:ascii="Arial" w:cs="Arial" w:eastAsia="Arial" w:hAnsi="Arial"/>
                <w:sz w:val="18"/>
                <w:szCs w:val="18"/>
                <w:color w:val="auto"/>
                <w:w w:val="88"/>
              </w:rPr>
              <w:t>December 31, 2019</w:t>
            </w:r>
          </w:p>
        </w:tc>
        <w:tc>
          <w:tcPr>
            <w:tcW w:w="280" w:type="dxa"/>
            <w:vAlign w:val="bottom"/>
          </w:tcPr>
          <w:p>
            <w:pPr>
              <w:spacing w:after="0"/>
              <w:rPr>
                <w:sz w:val="23"/>
                <w:szCs w:val="23"/>
                <w:color w:val="auto"/>
              </w:rPr>
            </w:pPr>
          </w:p>
        </w:tc>
        <w:tc>
          <w:tcPr>
            <w:tcW w:w="1880" w:type="dxa"/>
            <w:vAlign w:val="bottom"/>
          </w:tcPr>
          <w:p>
            <w:pPr>
              <w:jc w:val="center"/>
              <w:ind w:right="110"/>
              <w:spacing w:after="0"/>
              <w:rPr>
                <w:sz w:val="20"/>
                <w:szCs w:val="20"/>
                <w:color w:val="auto"/>
              </w:rPr>
            </w:pPr>
            <w:r>
              <w:rPr>
                <w:rFonts w:ascii="Arial" w:cs="Arial" w:eastAsia="Arial" w:hAnsi="Arial"/>
                <w:sz w:val="18"/>
                <w:szCs w:val="18"/>
                <w:color w:val="auto"/>
                <w:w w:val="88"/>
              </w:rPr>
              <w:t>December 31, 2019</w:t>
            </w:r>
          </w:p>
        </w:tc>
        <w:tc>
          <w:tcPr>
            <w:tcW w:w="260" w:type="dxa"/>
            <w:vAlign w:val="bottom"/>
          </w:tcPr>
          <w:p>
            <w:pPr>
              <w:spacing w:after="0"/>
              <w:rPr>
                <w:sz w:val="23"/>
                <w:szCs w:val="23"/>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88"/>
              </w:rPr>
              <w:t>December 31, 2019</w:t>
            </w:r>
          </w:p>
        </w:tc>
      </w:tr>
      <w:tr>
        <w:trPr>
          <w:trHeight w:val="27"/>
        </w:trPr>
        <w:tc>
          <w:tcPr>
            <w:tcW w:w="25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22"/>
        </w:trPr>
        <w:tc>
          <w:tcPr>
            <w:tcW w:w="25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6"/>
              </w:rPr>
              <w:t>Revolving Credit Facility and CP</w:t>
            </w:r>
          </w:p>
        </w:tc>
        <w:tc>
          <w:tcPr>
            <w:tcW w:w="1160" w:type="dxa"/>
            <w:vAlign w:val="bottom"/>
            <w:shd w:val="clear" w:color="auto" w:fill="CEFFE7"/>
          </w:tcPr>
          <w:p>
            <w:pPr>
              <w:spacing w:after="0"/>
              <w:rPr>
                <w:sz w:val="19"/>
                <w:szCs w:val="19"/>
                <w:color w:val="auto"/>
              </w:rPr>
            </w:pPr>
          </w:p>
        </w:tc>
        <w:tc>
          <w:tcPr>
            <w:tcW w:w="240" w:type="dxa"/>
            <w:vAlign w:val="bottom"/>
            <w:shd w:val="clear" w:color="auto" w:fill="CEFFE7"/>
          </w:tcPr>
          <w:p>
            <w:pPr>
              <w:spacing w:after="0"/>
              <w:rPr>
                <w:sz w:val="19"/>
                <w:szCs w:val="19"/>
                <w:color w:val="auto"/>
              </w:rPr>
            </w:pPr>
          </w:p>
        </w:tc>
        <w:tc>
          <w:tcPr>
            <w:tcW w:w="9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980" w:type="dxa"/>
            <w:vAlign w:val="bottom"/>
            <w:shd w:val="clear" w:color="auto" w:fill="CEFFE7"/>
          </w:tcPr>
          <w:p>
            <w:pPr>
              <w:spacing w:after="0"/>
              <w:rPr>
                <w:sz w:val="19"/>
                <w:szCs w:val="19"/>
                <w:color w:val="auto"/>
              </w:rPr>
            </w:pPr>
          </w:p>
        </w:tc>
        <w:tc>
          <w:tcPr>
            <w:tcW w:w="280" w:type="dxa"/>
            <w:vAlign w:val="bottom"/>
            <w:shd w:val="clear" w:color="auto" w:fill="CEFFE7"/>
          </w:tcPr>
          <w:p>
            <w:pPr>
              <w:spacing w:after="0"/>
              <w:rPr>
                <w:sz w:val="19"/>
                <w:szCs w:val="19"/>
                <w:color w:val="auto"/>
              </w:rPr>
            </w:pPr>
          </w:p>
        </w:tc>
        <w:tc>
          <w:tcPr>
            <w:tcW w:w="18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1940" w:type="dxa"/>
            <w:vAlign w:val="bottom"/>
            <w:shd w:val="clear" w:color="auto" w:fill="CEFFE7"/>
          </w:tcPr>
          <w:p>
            <w:pPr>
              <w:spacing w:after="0"/>
              <w:rPr>
                <w:sz w:val="19"/>
                <w:szCs w:val="19"/>
                <w:color w:val="auto"/>
              </w:rPr>
            </w:pPr>
          </w:p>
        </w:tc>
      </w:tr>
      <w:tr>
        <w:trPr>
          <w:trHeight w:val="230"/>
        </w:trPr>
        <w:tc>
          <w:tcPr>
            <w:tcW w:w="2560" w:type="dxa"/>
            <w:vAlign w:val="bottom"/>
            <w:shd w:val="clear" w:color="auto" w:fill="CEFFE7"/>
          </w:tcPr>
          <w:p>
            <w:pPr>
              <w:ind w:left="40"/>
              <w:spacing w:after="0"/>
              <w:rPr>
                <w:sz w:val="20"/>
                <w:szCs w:val="20"/>
                <w:color w:val="auto"/>
              </w:rPr>
            </w:pPr>
            <w:r>
              <w:rPr>
                <w:rFonts w:ascii="Arial" w:cs="Arial" w:eastAsia="Arial" w:hAnsi="Arial"/>
                <w:sz w:val="18"/>
                <w:szCs w:val="18"/>
                <w:color w:val="auto"/>
              </w:rPr>
              <w:t>Program</w:t>
            </w:r>
          </w:p>
        </w:tc>
        <w:tc>
          <w:tcPr>
            <w:tcW w:w="11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July 30, 2023</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750</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9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350</w:t>
            </w:r>
          </w:p>
        </w:tc>
        <w:tc>
          <w:tcPr>
            <w:tcW w:w="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8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w:t>
            </w:r>
          </w:p>
        </w:tc>
        <w:tc>
          <w:tcPr>
            <w:tcW w:w="2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19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370</w:t>
            </w:r>
          </w:p>
        </w:tc>
      </w:tr>
      <w:tr>
        <w:trPr>
          <w:trHeight w:val="27"/>
        </w:trPr>
        <w:tc>
          <w:tcPr>
            <w:tcW w:w="2560" w:type="dxa"/>
            <w:vAlign w:val="bottom"/>
            <w:shd w:val="clear" w:color="auto" w:fill="CEFFE7"/>
          </w:tcPr>
          <w:p>
            <w:pPr>
              <w:spacing w:after="0"/>
              <w:rPr>
                <w:sz w:val="2"/>
                <w:szCs w:val="2"/>
                <w:color w:val="auto"/>
              </w:rPr>
            </w:pPr>
          </w:p>
        </w:tc>
        <w:tc>
          <w:tcPr>
            <w:tcW w:w="1160" w:type="dxa"/>
            <w:vAlign w:val="bottom"/>
            <w:shd w:val="clear" w:color="auto" w:fill="CEFFE7"/>
          </w:tcPr>
          <w:p>
            <w:pPr>
              <w:spacing w:after="0"/>
              <w:rPr>
                <w:sz w:val="2"/>
                <w:szCs w:val="2"/>
                <w:color w:val="auto"/>
              </w:rPr>
            </w:pPr>
          </w:p>
        </w:tc>
        <w:tc>
          <w:tcPr>
            <w:tcW w:w="240" w:type="dxa"/>
            <w:vAlign w:val="bottom"/>
            <w:shd w:val="clear" w:color="auto" w:fill="CEFFE7"/>
          </w:tcPr>
          <w:p>
            <w:pPr>
              <w:spacing w:after="0"/>
              <w:rPr>
                <w:sz w:val="2"/>
                <w:szCs w:val="2"/>
                <w:color w:val="auto"/>
              </w:rPr>
            </w:pPr>
          </w:p>
        </w:tc>
        <w:tc>
          <w:tcPr>
            <w:tcW w:w="94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19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88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94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6"/>
          <w:szCs w:val="16"/>
          <w:color w:val="auto"/>
        </w:rPr>
        <w:t>The weighted average interest rate on short-term borrowings at December 31, 2019 was 2.03%. Short-term borrowing activity for the twelve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2019 was: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240" w:type="dxa"/>
            <w:vAlign w:val="bottom"/>
          </w:tcPr>
          <w:p>
            <w:pPr>
              <w:jc w:val="right"/>
              <w:ind w:right="490"/>
              <w:spacing w:after="0"/>
              <w:rPr>
                <w:sz w:val="20"/>
                <w:szCs w:val="20"/>
                <w:color w:val="auto"/>
              </w:rPr>
            </w:pPr>
            <w:r>
              <w:rPr>
                <w:rFonts w:ascii="Arial" w:cs="Arial" w:eastAsia="Arial" w:hAnsi="Arial"/>
                <w:sz w:val="18"/>
                <w:szCs w:val="18"/>
                <w:color w:val="auto"/>
              </w:rPr>
              <w:t>(dollars in millions)</w:t>
            </w:r>
          </w:p>
        </w:tc>
      </w:tr>
      <w:tr>
        <w:trPr>
          <w:trHeight w:val="27"/>
        </w:trPr>
        <w:tc>
          <w:tcPr>
            <w:tcW w:w="78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r>
      <w:tr>
        <w:trPr>
          <w:trHeight w:val="244"/>
        </w:trPr>
        <w:tc>
          <w:tcPr>
            <w:tcW w:w="78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Maximum amount outstanding - short-term borrowing (based on daily outstanding balances)</w:t>
            </w:r>
          </w:p>
        </w:tc>
        <w:tc>
          <w:tcPr>
            <w:tcW w:w="134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357</w:t>
            </w:r>
          </w:p>
        </w:tc>
      </w:tr>
      <w:tr>
        <w:trPr>
          <w:trHeight w:val="243"/>
        </w:trPr>
        <w:tc>
          <w:tcPr>
            <w:tcW w:w="7840" w:type="dxa"/>
            <w:vAlign w:val="bottom"/>
          </w:tcPr>
          <w:p>
            <w:pPr>
              <w:ind w:left="120"/>
              <w:spacing w:after="0"/>
              <w:rPr>
                <w:sz w:val="20"/>
                <w:szCs w:val="20"/>
                <w:color w:val="auto"/>
              </w:rPr>
            </w:pPr>
            <w:r>
              <w:rPr>
                <w:rFonts w:ascii="Arial" w:cs="Arial" w:eastAsia="Arial" w:hAnsi="Arial"/>
                <w:sz w:val="18"/>
                <w:szCs w:val="18"/>
                <w:color w:val="auto"/>
              </w:rPr>
              <w:t>Average amount outstanding - short-term borrowing (based on daily outstanding balances)</w:t>
            </w:r>
          </w:p>
        </w:tc>
        <w:tc>
          <w:tcPr>
            <w:tcW w:w="134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2240" w:type="dxa"/>
            <w:vAlign w:val="bottom"/>
          </w:tcPr>
          <w:p>
            <w:pPr>
              <w:jc w:val="right"/>
              <w:ind w:right="90"/>
              <w:spacing w:after="0"/>
              <w:rPr>
                <w:sz w:val="20"/>
                <w:szCs w:val="20"/>
                <w:color w:val="auto"/>
              </w:rPr>
            </w:pPr>
            <w:r>
              <w:rPr>
                <w:rFonts w:ascii="Arial" w:cs="Arial" w:eastAsia="Arial" w:hAnsi="Arial"/>
                <w:sz w:val="18"/>
                <w:szCs w:val="18"/>
                <w:color w:val="auto"/>
              </w:rPr>
              <w:t>187</w:t>
            </w:r>
          </w:p>
        </w:tc>
      </w:tr>
      <w:tr>
        <w:trPr>
          <w:trHeight w:val="27"/>
        </w:trPr>
        <w:tc>
          <w:tcPr>
            <w:tcW w:w="78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2240" w:type="dxa"/>
            <w:vAlign w:val="bottom"/>
          </w:tcPr>
          <w:p>
            <w:pPr>
              <w:spacing w:after="0"/>
              <w:rPr>
                <w:sz w:val="2"/>
                <w:szCs w:val="2"/>
                <w:color w:val="auto"/>
              </w:rPr>
            </w:pPr>
          </w:p>
        </w:tc>
      </w:tr>
      <w:tr>
        <w:trPr>
          <w:trHeight w:val="250"/>
        </w:trPr>
        <w:tc>
          <w:tcPr>
            <w:tcW w:w="78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Weighted average interest rates - short-term borrowing</w:t>
            </w:r>
          </w:p>
        </w:tc>
        <w:tc>
          <w:tcPr>
            <w:tcW w:w="1340" w:type="dxa"/>
            <w:vAlign w:val="bottom"/>
            <w:tcBorders>
              <w:bottom w:val="single" w:sz="8" w:color="CEFFE7"/>
            </w:tcBorders>
            <w:shd w:val="clear" w:color="auto" w:fill="CEFFE7"/>
          </w:tcPr>
          <w:p>
            <w:pPr>
              <w:spacing w:after="0"/>
              <w:rPr>
                <w:sz w:val="21"/>
                <w:szCs w:val="21"/>
                <w:color w:val="auto"/>
              </w:rPr>
            </w:pPr>
          </w:p>
        </w:tc>
        <w:tc>
          <w:tcPr>
            <w:tcW w:w="2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w:t>
            </w:r>
          </w:p>
        </w:tc>
      </w:tr>
      <w:tr>
        <w:trPr>
          <w:trHeight w:val="621"/>
        </w:trPr>
        <w:tc>
          <w:tcPr>
            <w:tcW w:w="7840" w:type="dxa"/>
            <w:vAlign w:val="bottom"/>
          </w:tcPr>
          <w:p>
            <w:pPr>
              <w:jc w:val="right"/>
              <w:ind w:right="1950"/>
              <w:spacing w:after="0"/>
              <w:rPr>
                <w:sz w:val="20"/>
                <w:szCs w:val="20"/>
                <w:color w:val="auto"/>
              </w:rPr>
            </w:pPr>
            <w:r>
              <w:rPr>
                <w:rFonts w:ascii="Arial" w:cs="Arial" w:eastAsia="Arial" w:hAnsi="Arial"/>
                <w:sz w:val="18"/>
                <w:szCs w:val="18"/>
                <w:color w:val="auto"/>
              </w:rPr>
              <w:t>59</w:t>
            </w:r>
          </w:p>
        </w:tc>
        <w:tc>
          <w:tcPr>
            <w:tcW w:w="1340" w:type="dxa"/>
            <w:vAlign w:val="bottom"/>
          </w:tcPr>
          <w:p>
            <w:pPr>
              <w:spacing w:after="0"/>
              <w:rPr>
                <w:sz w:val="24"/>
                <w:szCs w:val="24"/>
                <w:color w:val="auto"/>
              </w:rPr>
            </w:pPr>
          </w:p>
        </w:tc>
        <w:tc>
          <w:tcPr>
            <w:tcW w:w="224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59" w:name="page60"/>
    <w:bookmarkEnd w:id="5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60"/>
        <w:spacing w:after="0" w:line="286" w:lineRule="auto"/>
        <w:rPr>
          <w:rFonts w:ascii="Arial" w:cs="Arial" w:eastAsia="Arial" w:hAnsi="Arial"/>
          <w:sz w:val="17"/>
          <w:szCs w:val="17"/>
          <w:color w:val="0000EE"/>
        </w:rPr>
      </w:pPr>
      <w:r>
        <w:rPr>
          <w:rFonts w:ascii="Arial" w:cs="Arial" w:eastAsia="Arial" w:hAnsi="Arial"/>
          <w:sz w:val="17"/>
          <w:szCs w:val="17"/>
          <w:color w:val="auto"/>
        </w:rPr>
        <w:t xml:space="preserve">The Revolving Credit Facility contains customary affirmative and negative covenants, such as limitations on certain liens, restrictions on certain transactions, and maintenance of a certain Consolidated Indebtedness to Capitalization Ratio. We were in compliance with these covenants as of December 31, 2019. See </w:t>
      </w:r>
      <w:hyperlink w:anchor="page105">
        <w:r>
          <w:rPr>
            <w:rFonts w:ascii="Arial" w:cs="Arial" w:eastAsia="Arial" w:hAnsi="Arial"/>
            <w:sz w:val="17"/>
            <w:szCs w:val="17"/>
            <w:u w:val="single" w:color="auto"/>
            <w:color w:val="0000EE"/>
          </w:rPr>
          <w:t>Note 7</w:t>
        </w:r>
        <w:r>
          <w:rPr>
            <w:rFonts w:ascii="Arial" w:cs="Arial" w:eastAsia="Arial" w:hAnsi="Arial"/>
            <w:sz w:val="17"/>
            <w:szCs w:val="17"/>
            <w:color w:val="0000EE"/>
          </w:rPr>
          <w:t xml:space="preserve"> </w:t>
        </w:r>
      </w:hyperlink>
      <w:r>
        <w:rPr>
          <w:rFonts w:ascii="Arial" w:cs="Arial" w:eastAsia="Arial" w:hAnsi="Arial"/>
          <w:sz w:val="17"/>
          <w:szCs w:val="17"/>
          <w:color w:val="000000"/>
        </w:rPr>
        <w:t>of</w:t>
      </w:r>
      <w:r>
        <w:rPr>
          <w:rFonts w:ascii="Arial" w:cs="Arial" w:eastAsia="Arial" w:hAnsi="Arial"/>
          <w:sz w:val="17"/>
          <w:szCs w:val="17"/>
          <w:color w:val="0000EE"/>
        </w:rPr>
        <w:t xml:space="preserve"> </w:t>
      </w:r>
      <w:r>
        <w:rPr>
          <w:rFonts w:ascii="Arial" w:cs="Arial" w:eastAsia="Arial" w:hAnsi="Arial"/>
          <w:sz w:val="17"/>
          <w:szCs w:val="17"/>
          <w:color w:val="000000"/>
        </w:rPr>
        <w:t>our Notes to the Consolidated Financial Statements in this Annual Report on Form 10-K for more information.</w:t>
      </w:r>
    </w:p>
    <w:p>
      <w:pPr>
        <w:spacing w:after="0" w:line="166" w:lineRule="exact"/>
        <w:rPr>
          <w:sz w:val="20"/>
          <w:szCs w:val="20"/>
          <w:color w:val="auto"/>
        </w:rPr>
      </w:pPr>
    </w:p>
    <w:p>
      <w:pPr>
        <w:ind w:right="620"/>
        <w:spacing w:after="0" w:line="308" w:lineRule="auto"/>
        <w:rPr>
          <w:sz w:val="20"/>
          <w:szCs w:val="20"/>
          <w:color w:val="auto"/>
        </w:rPr>
      </w:pPr>
      <w:r>
        <w:rPr>
          <w:rFonts w:ascii="Arial" w:cs="Arial" w:eastAsia="Arial" w:hAnsi="Arial"/>
          <w:sz w:val="17"/>
          <w:szCs w:val="17"/>
          <w:color w:val="auto"/>
        </w:rPr>
        <w:t>The Revolving Credit Facility prohibits us from paying cash dividends if a default or an event of default exists prior to, or would result after, paying a dividend. Although these contractual restrictions exist, we do not anticipate triggering any default measures or restrictions.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Cross-Default Provisions</w:t>
      </w:r>
    </w:p>
    <w:p>
      <w:pPr>
        <w:spacing w:after="0" w:line="22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$7 million Corporate term loan contains cross-default provisions that could result in a default under such agreements if BHC or its material subsidiaries failed to make timely payments of debt obligations or triggered other default provisions under any debt agreement totaling, in the aggregate principal amount of $50 million or more that permits the acceleration of debt maturities or mandatory debt prepayment. Our Revolving Credit Facility contains the same provisions and the threshold principal amount is $50 million.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Revolving Credit Facility prohibits us from paying cash dividends if we are in default or if paying dividends would cause us to be in default.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Utility Money Pool</w:t>
      </w:r>
    </w:p>
    <w:p>
      <w:pPr>
        <w:spacing w:after="0" w:line="229"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As a utility holding company, we are required to establish a cash management program to address lending and borrowing activities between our utilities and the Company. We have established utility money pool agreements which address these requirements. These agreements are on file with the FERC and appropriate state regulators. Under the utility money pool agreements, our utilities may at their option, borrow and extend short-term loans to our other utilities via a utility money pool at market-based rates (2.210% at December 31, 2019). While the utility money pool may borrow funds from the Company (as ultimate parent company), the money pool arrangement does not allow loans from our utility subsidiaries to the Company (as ultimate parent company) or to non-regulated affiliates.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900" w:type="dxa"/>
            <w:vAlign w:val="bottom"/>
          </w:tcPr>
          <w:p>
            <w:pPr>
              <w:spacing w:after="0"/>
              <w:rPr>
                <w:sz w:val="20"/>
                <w:szCs w:val="20"/>
                <w:color w:val="auto"/>
              </w:rPr>
            </w:pPr>
            <w:r>
              <w:rPr>
                <w:rFonts w:ascii="Arial" w:cs="Arial" w:eastAsia="Arial" w:hAnsi="Arial"/>
                <w:sz w:val="18"/>
                <w:szCs w:val="18"/>
                <w:color w:val="auto"/>
              </w:rPr>
              <w:t>At December 31, 2019, money pool balances included (in thousands):</w:t>
            </w:r>
          </w:p>
        </w:tc>
        <w:tc>
          <w:tcPr>
            <w:tcW w:w="240" w:type="dxa"/>
            <w:vAlign w:val="bottom"/>
          </w:tcPr>
          <w:p>
            <w:pPr>
              <w:spacing w:after="0"/>
              <w:rPr>
                <w:sz w:val="20"/>
                <w:szCs w:val="20"/>
                <w:color w:val="auto"/>
              </w:rPr>
            </w:pPr>
          </w:p>
        </w:tc>
        <w:tc>
          <w:tcPr>
            <w:tcW w:w="2280" w:type="dxa"/>
            <w:vAlign w:val="bottom"/>
          </w:tcPr>
          <w:p>
            <w:pPr>
              <w:spacing w:after="0"/>
              <w:rPr>
                <w:sz w:val="20"/>
                <w:szCs w:val="20"/>
                <w:color w:val="auto"/>
              </w:rPr>
            </w:pPr>
          </w:p>
        </w:tc>
      </w:tr>
      <w:tr>
        <w:trPr>
          <w:trHeight w:val="364"/>
        </w:trPr>
        <w:tc>
          <w:tcPr>
            <w:tcW w:w="89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tcPr>
          <w:p>
            <w:pPr>
              <w:jc w:val="right"/>
              <w:ind w:right="530"/>
              <w:spacing w:after="0"/>
              <w:rPr>
                <w:sz w:val="20"/>
                <w:szCs w:val="20"/>
                <w:color w:val="auto"/>
              </w:rPr>
            </w:pPr>
            <w:r>
              <w:rPr>
                <w:rFonts w:ascii="Arial" w:cs="Arial" w:eastAsia="Arial" w:hAnsi="Arial"/>
                <w:sz w:val="18"/>
                <w:szCs w:val="18"/>
                <w:color w:val="auto"/>
              </w:rPr>
              <w:t>Borrowings From</w:t>
            </w:r>
          </w:p>
        </w:tc>
      </w:tr>
      <w:tr>
        <w:trPr>
          <w:trHeight w:val="230"/>
        </w:trPr>
        <w:tc>
          <w:tcPr>
            <w:tcW w:w="8900" w:type="dxa"/>
            <w:vAlign w:val="bottom"/>
          </w:tcPr>
          <w:p>
            <w:pPr>
              <w:ind w:left="40"/>
              <w:spacing w:after="0"/>
              <w:rPr>
                <w:sz w:val="20"/>
                <w:szCs w:val="20"/>
                <w:color w:val="auto"/>
              </w:rPr>
            </w:pPr>
            <w:r>
              <w:rPr>
                <w:rFonts w:ascii="Arial" w:cs="Arial" w:eastAsia="Arial" w:hAnsi="Arial"/>
                <w:sz w:val="18"/>
                <w:szCs w:val="18"/>
                <w:color w:val="auto"/>
              </w:rPr>
              <w:t>Subsidiary</w:t>
            </w:r>
          </w:p>
        </w:tc>
        <w:tc>
          <w:tcPr>
            <w:tcW w:w="240" w:type="dxa"/>
            <w:vAlign w:val="bottom"/>
          </w:tcPr>
          <w:p>
            <w:pPr>
              <w:spacing w:after="0"/>
              <w:rPr>
                <w:sz w:val="20"/>
                <w:szCs w:val="20"/>
                <w:color w:val="auto"/>
              </w:rPr>
            </w:pPr>
          </w:p>
        </w:tc>
        <w:tc>
          <w:tcPr>
            <w:tcW w:w="2280" w:type="dxa"/>
            <w:vAlign w:val="bottom"/>
          </w:tcPr>
          <w:p>
            <w:pPr>
              <w:jc w:val="right"/>
              <w:ind w:right="270"/>
              <w:spacing w:after="0"/>
              <w:rPr>
                <w:sz w:val="20"/>
                <w:szCs w:val="20"/>
                <w:color w:val="auto"/>
              </w:rPr>
            </w:pPr>
            <w:r>
              <w:rPr>
                <w:rFonts w:ascii="Arial" w:cs="Arial" w:eastAsia="Arial" w:hAnsi="Arial"/>
                <w:sz w:val="18"/>
                <w:szCs w:val="18"/>
                <w:color w:val="auto"/>
                <w:w w:val="96"/>
              </w:rPr>
              <w:t>Money Pool Outstanding</w:t>
            </w:r>
          </w:p>
        </w:tc>
      </w:tr>
      <w:tr>
        <w:trPr>
          <w:trHeight w:val="27"/>
        </w:trPr>
        <w:tc>
          <w:tcPr>
            <w:tcW w:w="8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BHSC</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148,041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South Dakota Electric</w:t>
            </w:r>
          </w:p>
        </w:tc>
        <w:tc>
          <w:tcPr>
            <w:tcW w:w="240" w:type="dxa"/>
            <w:vAlign w:val="bottom"/>
          </w:tcPr>
          <w:p>
            <w:pPr>
              <w:spacing w:after="0"/>
              <w:rPr>
                <w:sz w:val="21"/>
                <w:szCs w:val="21"/>
                <w:color w:val="auto"/>
              </w:rPr>
            </w:pPr>
          </w:p>
        </w:tc>
        <w:tc>
          <w:tcPr>
            <w:tcW w:w="2280" w:type="dxa"/>
            <w:vAlign w:val="bottom"/>
          </w:tcPr>
          <w:p>
            <w:pPr>
              <w:jc w:val="right"/>
              <w:ind w:right="10"/>
              <w:spacing w:after="0"/>
              <w:rPr>
                <w:sz w:val="20"/>
                <w:szCs w:val="20"/>
                <w:color w:val="auto"/>
              </w:rPr>
            </w:pPr>
            <w:r>
              <w:rPr>
                <w:rFonts w:ascii="Arial" w:cs="Arial" w:eastAsia="Arial" w:hAnsi="Arial"/>
                <w:sz w:val="18"/>
                <w:szCs w:val="18"/>
                <w:color w:val="auto"/>
              </w:rPr>
              <w:t>57,585</w:t>
            </w:r>
          </w:p>
        </w:tc>
      </w:tr>
      <w:tr>
        <w:trPr>
          <w:trHeight w:val="27"/>
        </w:trPr>
        <w:tc>
          <w:tcPr>
            <w:tcW w:w="8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8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Wyoming Electric</w:t>
            </w:r>
          </w:p>
        </w:tc>
        <w:tc>
          <w:tcPr>
            <w:tcW w:w="240" w:type="dxa"/>
            <w:vAlign w:val="bottom"/>
            <w:tcBorders>
              <w:bottom w:val="single" w:sz="8" w:color="CEFFE7"/>
            </w:tcBorders>
            <w:shd w:val="clear" w:color="auto" w:fill="CEFFE7"/>
          </w:tcPr>
          <w:p>
            <w:pPr>
              <w:spacing w:after="0"/>
              <w:rPr>
                <w:sz w:val="23"/>
                <w:szCs w:val="23"/>
                <w:color w:val="auto"/>
              </w:rPr>
            </w:pPr>
          </w:p>
        </w:tc>
        <w:tc>
          <w:tcPr>
            <w:tcW w:w="2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37,993</w:t>
            </w:r>
          </w:p>
        </w:tc>
      </w:tr>
      <w:tr>
        <w:trPr>
          <w:trHeight w:val="257"/>
        </w:trPr>
        <w:tc>
          <w:tcPr>
            <w:tcW w:w="8900" w:type="dxa"/>
            <w:vAlign w:val="bottom"/>
          </w:tcPr>
          <w:p>
            <w:pPr>
              <w:ind w:left="380"/>
              <w:spacing w:after="0"/>
              <w:rPr>
                <w:sz w:val="20"/>
                <w:szCs w:val="20"/>
                <w:color w:val="auto"/>
              </w:rPr>
            </w:pPr>
            <w:r>
              <w:rPr>
                <w:rFonts w:ascii="Arial" w:cs="Arial" w:eastAsia="Arial" w:hAnsi="Arial"/>
                <w:sz w:val="18"/>
                <w:szCs w:val="18"/>
                <w:color w:val="auto"/>
              </w:rPr>
              <w:t>Total Money Pool borrowings from Parent</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243,619</w:t>
            </w:r>
          </w:p>
        </w:tc>
      </w:tr>
      <w:tr>
        <w:trPr>
          <w:trHeight w:val="20"/>
        </w:trPr>
        <w:tc>
          <w:tcPr>
            <w:tcW w:w="89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Equity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Shelf Registration</w:t>
      </w:r>
    </w:p>
    <w:p>
      <w:pPr>
        <w:spacing w:after="0" w:line="229"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We have an effective automatic shelf registration statement on file with the SEC under which we may issue, from time to time, senior debt securities, subordinated debt securities, common stock, preferred stock, warrants and other securities. Although the shelf registration statement does not limit our issuance capacity, our ability to issue securities is limited to the authority granted by our Board of Directors, certain covenants in our financing arrangements and restrictions imposed by federal and state regulatory authorities. The shelf registration expires in August 2020. Our articles of incorporation authorize the issuance of 100 million shares of common stock and 25 million shares of preferred stock. As of December 31, 2019, we had approximately 61 million shares of common stock outstanding and no shares of preferred stock outstanding.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ATM</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 2019, we issued a total of 1,328,332 shares of common stock under the ATM for proceeds of $99 million, net of $1.2 million in issuance costs. As of December 31, 2019, all shares were settled.</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26" w:right="239" w:bottom="1440" w:gutter="0" w:footer="0" w:header="0"/>
        </w:sectPr>
      </w:pPr>
    </w:p>
    <w:bookmarkStart w:id="60" w:name="page61"/>
    <w:bookmarkEnd w:id="6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Dividends</w:t>
      </w:r>
    </w:p>
    <w:p>
      <w:pPr>
        <w:spacing w:after="0" w:line="22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Future cash dividends, if any, will be dependent on our results of operations, financial position, cash flows, reinvestment opportunities and other factors, and will be evaluated and approved by our Board of Directors.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On January 29, 2020, our Board of Directors declared a quarterly dividend of $0.535 per share, equivalent to an annual dividend rate of $2.14 per share. The table below provides our historical three-year dividend payout ratio and dividends paid per share:</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1640" w:type="dxa"/>
            <w:vAlign w:val="bottom"/>
          </w:tcPr>
          <w:p>
            <w:pPr>
              <w:jc w:val="center"/>
              <w:spacing w:after="0"/>
              <w:rPr>
                <w:sz w:val="20"/>
                <w:szCs w:val="20"/>
                <w:color w:val="auto"/>
              </w:rPr>
            </w:pPr>
            <w:r>
              <w:rPr>
                <w:rFonts w:ascii="Arial" w:cs="Arial" w:eastAsia="Arial" w:hAnsi="Arial"/>
                <w:sz w:val="18"/>
                <w:szCs w:val="18"/>
                <w:color w:val="auto"/>
                <w:w w:val="89"/>
              </w:rPr>
              <w:t>2018</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2017</w:t>
            </w:r>
          </w:p>
        </w:tc>
      </w:tr>
      <w:tr>
        <w:trPr>
          <w:trHeight w:val="27"/>
        </w:trPr>
        <w:tc>
          <w:tcPr>
            <w:tcW w:w="6400" w:type="dxa"/>
            <w:vAlign w:val="bottom"/>
            <w:tcBorders>
              <w:bottom w:val="single" w:sz="8" w:color="CEFFE7"/>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Dividend Payout Ratio</w:t>
            </w:r>
          </w:p>
        </w:tc>
        <w:tc>
          <w:tcPr>
            <w:tcW w:w="17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63%</w:t>
            </w:r>
          </w:p>
        </w:tc>
        <w:tc>
          <w:tcPr>
            <w:tcW w:w="16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4"/>
              </w:rPr>
              <w:t>40%</w:t>
            </w:r>
          </w:p>
        </w:tc>
        <w:tc>
          <w:tcPr>
            <w:tcW w:w="1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50%</w:t>
            </w:r>
          </w:p>
        </w:tc>
      </w:tr>
      <w:tr>
        <w:trPr>
          <w:trHeight w:val="243"/>
        </w:trPr>
        <w:tc>
          <w:tcPr>
            <w:tcW w:w="6400" w:type="dxa"/>
            <w:vAlign w:val="bottom"/>
          </w:tcPr>
          <w:p>
            <w:pPr>
              <w:ind w:left="40"/>
              <w:spacing w:after="0"/>
              <w:rPr>
                <w:sz w:val="20"/>
                <w:szCs w:val="20"/>
                <w:color w:val="auto"/>
              </w:rPr>
            </w:pPr>
            <w:r>
              <w:rPr>
                <w:rFonts w:ascii="Arial" w:cs="Arial" w:eastAsia="Arial" w:hAnsi="Arial"/>
                <w:sz w:val="18"/>
                <w:szCs w:val="18"/>
                <w:color w:val="auto"/>
              </w:rPr>
              <w:t>Dividends Per Share</w:t>
            </w:r>
          </w:p>
        </w:tc>
        <w:tc>
          <w:tcPr>
            <w:tcW w:w="1780" w:type="dxa"/>
            <w:vAlign w:val="bottom"/>
          </w:tcPr>
          <w:p>
            <w:pPr>
              <w:jc w:val="center"/>
              <w:spacing w:after="0"/>
              <w:rPr>
                <w:sz w:val="20"/>
                <w:szCs w:val="20"/>
                <w:color w:val="auto"/>
              </w:rPr>
            </w:pPr>
            <w:r>
              <w:rPr>
                <w:rFonts w:ascii="Arial" w:cs="Arial" w:eastAsia="Arial" w:hAnsi="Arial"/>
                <w:sz w:val="18"/>
                <w:szCs w:val="18"/>
                <w:color w:val="auto"/>
                <w:w w:val="88"/>
              </w:rPr>
              <w:t>$2.05</w:t>
            </w:r>
          </w:p>
        </w:tc>
        <w:tc>
          <w:tcPr>
            <w:tcW w:w="1640" w:type="dxa"/>
            <w:vAlign w:val="bottom"/>
          </w:tcPr>
          <w:p>
            <w:pPr>
              <w:jc w:val="center"/>
              <w:spacing w:after="0"/>
              <w:rPr>
                <w:sz w:val="20"/>
                <w:szCs w:val="20"/>
                <w:color w:val="auto"/>
              </w:rPr>
            </w:pPr>
            <w:r>
              <w:rPr>
                <w:rFonts w:ascii="Arial" w:cs="Arial" w:eastAsia="Arial" w:hAnsi="Arial"/>
                <w:sz w:val="18"/>
                <w:szCs w:val="18"/>
                <w:color w:val="auto"/>
                <w:w w:val="93"/>
              </w:rPr>
              <w:t>$1.93</w:t>
            </w:r>
          </w:p>
        </w:tc>
        <w:tc>
          <w:tcPr>
            <w:tcW w:w="1600" w:type="dxa"/>
            <w:vAlign w:val="bottom"/>
          </w:tcPr>
          <w:p>
            <w:pPr>
              <w:jc w:val="center"/>
              <w:spacing w:after="0"/>
              <w:rPr>
                <w:sz w:val="20"/>
                <w:szCs w:val="20"/>
                <w:color w:val="auto"/>
              </w:rPr>
            </w:pPr>
            <w:r>
              <w:rPr>
                <w:rFonts w:ascii="Arial" w:cs="Arial" w:eastAsia="Arial" w:hAnsi="Arial"/>
                <w:sz w:val="18"/>
                <w:szCs w:val="18"/>
                <w:color w:val="auto"/>
                <w:w w:val="88"/>
              </w:rPr>
              <w:t>$1.81</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Our three-year compound annualized dividend growth rate was 6.9% and all dividends were paid out of available operating cash flows.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Restrictions</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As a utility holding company which owns several regulated utilities, we are subject to various regulations that could influence our liquidity. Our utilities in Arkansas, Colorado, Iowa, Kansas and Nebraska have regulatory agreements in which they cannot pay dividends if they have issued debt to third parties and the payment of a dividend would reduce their equity ratio to below 40% of their total capitalization; and neither BHSC nor its utility subsidiaries can extend credit to the Company except in the ordinary course of business and upon reasonable terms consistent with market terms. The use of our utility assets as collateral generally requires the prior approval of the state regulators in the state in which the utility assets are located. Additionally, our utility subsidiaries may generally be limited to the amount of dividends allowed by state regulatory authorities to be paid to us as a utility holding company and also may have further restrictions under the Federal Power Act.</w:t>
      </w:r>
    </w:p>
    <w:p>
      <w:pPr>
        <w:spacing w:after="0" w:line="189" w:lineRule="exact"/>
        <w:rPr>
          <w:sz w:val="20"/>
          <w:szCs w:val="20"/>
          <w:color w:val="auto"/>
        </w:rPr>
      </w:pPr>
    </w:p>
    <w:p>
      <w:pPr>
        <w:ind w:right="40"/>
        <w:spacing w:after="0" w:line="257" w:lineRule="auto"/>
        <w:rPr>
          <w:rFonts w:ascii="Arial" w:cs="Arial" w:eastAsia="Arial" w:hAnsi="Arial"/>
          <w:sz w:val="18"/>
          <w:szCs w:val="18"/>
          <w:color w:val="auto"/>
        </w:rPr>
      </w:pPr>
      <w:r>
        <w:rPr>
          <w:rFonts w:ascii="Arial" w:cs="Arial" w:eastAsia="Arial" w:hAnsi="Arial"/>
          <w:sz w:val="18"/>
          <w:szCs w:val="18"/>
          <w:color w:val="auto"/>
        </w:rPr>
        <w:t xml:space="preserve">As a result of our holding company structure, our right as a common shareholder to receive assets from any of our direct or indirect subsidiaries upon a subsidiary’s liquidation or reorganization is junior to the claims against the assets of such subsidiaries by their creditors. Therefore, our holding company debt obligations are effectively subordinated to all existing and future claims of the creditors of our subsidiaries, including trade creditors, debt holders, secured creditors, taxing authorities and guarantee holders. See additional information in </w:t>
      </w:r>
      <w:hyperlink w:anchor="page103">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Notes to the Consolidated Financial Statements in this Annual Report on Form 10-K.</w:t>
      </w:r>
    </w:p>
    <w:p>
      <w:pPr>
        <w:spacing w:after="0" w:line="188" w:lineRule="exact"/>
        <w:rPr>
          <w:sz w:val="20"/>
          <w:szCs w:val="20"/>
          <w:color w:val="auto"/>
        </w:rPr>
      </w:pPr>
    </w:p>
    <w:p>
      <w:pPr>
        <w:jc w:val="both"/>
        <w:ind w:right="2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Our credit facilities and other debt obligations contain restrictions on the payment of cash dividends upon a default or event of default. An event of default would be deemed to have occurred if we did not comply with certain financial or other covenants. See additional information in </w:t>
      </w:r>
      <w:hyperlink w:anchor="page105">
        <w:r>
          <w:rPr>
            <w:rFonts w:ascii="Arial" w:cs="Arial" w:eastAsia="Arial" w:hAnsi="Arial"/>
            <w:sz w:val="18"/>
            <w:szCs w:val="18"/>
            <w:u w:val="single" w:color="auto"/>
            <w:color w:val="0000EE"/>
          </w:rPr>
          <w:t>Note 7</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our Notes to the Consolidated Financial Statements in this Annual Report on Form 10-K.</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Covenants within Wyoming Electric's financing agreements require Wyoming Electric to maintain a debt to capitalization ratio of no more than 0.60 to 1.00.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we were in compliance with these covenants.</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Financing activities in 2019 consisted of the following:</w:t>
      </w:r>
    </w:p>
    <w:p>
      <w:pPr>
        <w:spacing w:after="0" w:line="225" w:lineRule="exact"/>
        <w:rPr>
          <w:sz w:val="20"/>
          <w:szCs w:val="20"/>
          <w:color w:val="auto"/>
        </w:rPr>
      </w:pPr>
    </w:p>
    <w:p>
      <w:pPr>
        <w:ind w:left="660" w:right="180" w:hanging="328"/>
        <w:spacing w:after="0" w:line="277"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We issued a total of 1.3 million shares of common stock under the ATM equity offering program for proceeds of $99 million, net of $1.2 million in issuance costs.</w:t>
      </w:r>
    </w:p>
    <w:p>
      <w:pPr>
        <w:spacing w:after="0" w:line="170" w:lineRule="exact"/>
        <w:rPr>
          <w:rFonts w:ascii="Arial" w:cs="Arial" w:eastAsia="Arial" w:hAnsi="Arial"/>
          <w:sz w:val="18"/>
          <w:szCs w:val="18"/>
          <w:color w:val="auto"/>
        </w:rPr>
      </w:pPr>
    </w:p>
    <w:p>
      <w:pPr>
        <w:ind w:left="660" w:right="60" w:hanging="328"/>
        <w:spacing w:after="0" w:line="259"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On October 3, 2019, we completed a public debt offering of $700 million principal amount in senior unsecured notes. The debt offering consisted of $400 million of 3.05% 10-year senior notes due October 15, 2029, and $300 million of 3.875% 30-year senior notes due October 15, 2049. Proceeds were used to repay the $400 million Corporate term loan due June 17, 2021, retire the $200 million 5.875% senior notes due July 15, 2020, and repay a portion of short-term debt.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26" w:right="239" w:bottom="1440" w:gutter="0" w:footer="0" w:header="0"/>
        </w:sectPr>
      </w:pPr>
    </w:p>
    <w:bookmarkStart w:id="61" w:name="page62"/>
    <w:bookmarkEnd w:id="6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hanging="328"/>
        <w:spacing w:after="0" w:line="259" w:lineRule="auto"/>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and continued to have substantially similar terms and covenants as the amended and restated Revolving Credit Facility. The net proceeds were used to pay down short-term debt. Proceeds from the October 3, 2019 debt transaction were used to repay this term loan.</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Short-term borrowings from our Revolving Credit Facility and CP Program.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Future Financing Plans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anticipate the following financing activities in 2020:</w:t>
      </w:r>
    </w:p>
    <w:p>
      <w:pPr>
        <w:spacing w:after="0" w:line="225" w:lineRule="exact"/>
        <w:rPr>
          <w:sz w:val="20"/>
          <w:szCs w:val="20"/>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Renew our shelf registration and ATM;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Continued equity issuance under the ATM or assess other equity issuance options;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Refinance a portion of short-term borrowings held through the Revolving Credit Facility and CP Program to long-term debt;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Continue to assess debt and equity needs to support our capital expenditure plan.</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gridSpan w:val="2"/>
          </w:tcPr>
          <w:p>
            <w:pPr>
              <w:spacing w:after="0"/>
              <w:rPr>
                <w:sz w:val="20"/>
                <w:szCs w:val="20"/>
                <w:color w:val="auto"/>
              </w:rPr>
            </w:pPr>
            <w:r>
              <w:rPr>
                <w:rFonts w:ascii="Arial" w:cs="Arial" w:eastAsia="Arial" w:hAnsi="Arial"/>
                <w:sz w:val="18"/>
                <w:szCs w:val="18"/>
                <w:b w:val="1"/>
                <w:bCs w:val="1"/>
                <w:color w:val="auto"/>
              </w:rPr>
              <w:t>CASH FLOW ACTIVITIES</w:t>
            </w: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280" w:type="dxa"/>
            <w:vAlign w:val="bottom"/>
            <w:gridSpan w:val="2"/>
          </w:tcPr>
          <w:p>
            <w:pPr>
              <w:spacing w:after="0"/>
              <w:rPr>
                <w:sz w:val="20"/>
                <w:szCs w:val="20"/>
                <w:color w:val="auto"/>
              </w:rPr>
            </w:pPr>
            <w:r>
              <w:rPr>
                <w:rFonts w:ascii="Arial" w:cs="Arial" w:eastAsia="Arial" w:hAnsi="Arial"/>
                <w:sz w:val="18"/>
                <w:szCs w:val="18"/>
                <w:color w:val="auto"/>
              </w:rPr>
              <w:t>The following table summarizes our cash flows (in thousands):</w:t>
            </w:r>
          </w:p>
        </w:tc>
        <w:tc>
          <w:tcPr>
            <w:tcW w:w="4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6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2018</w:t>
            </w:r>
          </w:p>
        </w:tc>
        <w:tc>
          <w:tcPr>
            <w:tcW w:w="400" w:type="dxa"/>
            <w:vAlign w:val="bottom"/>
          </w:tcPr>
          <w:p>
            <w:pPr>
              <w:spacing w:after="0"/>
              <w:rPr>
                <w:sz w:val="24"/>
                <w:szCs w:val="24"/>
                <w:color w:val="auto"/>
              </w:rPr>
            </w:pPr>
          </w:p>
        </w:tc>
        <w:tc>
          <w:tcPr>
            <w:tcW w:w="130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vMerge w:val="restart"/>
          </w:tcPr>
          <w:p>
            <w:pPr>
              <w:ind w:left="20"/>
              <w:spacing w:after="0"/>
              <w:rPr>
                <w:sz w:val="20"/>
                <w:szCs w:val="20"/>
                <w:color w:val="auto"/>
              </w:rPr>
            </w:pPr>
            <w:r>
              <w:rPr>
                <w:rFonts w:ascii="Arial" w:cs="Arial" w:eastAsia="Arial" w:hAnsi="Arial"/>
                <w:sz w:val="18"/>
                <w:szCs w:val="18"/>
                <w:color w:val="auto"/>
              </w:rPr>
              <w:t>Cash provided by (used in)</w:t>
            </w: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26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26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505,513</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488,811</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428,261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tcPr>
          <w:p>
            <w:pPr>
              <w:ind w:left="16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(816,210)</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(465,849)</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(317,118)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260" w:type="dxa"/>
            <w:vAlign w:val="bottom"/>
            <w:shd w:val="clear" w:color="auto" w:fill="CEFFE7"/>
          </w:tcPr>
          <w:p>
            <w:pPr>
              <w:ind w:left="160"/>
              <w:spacing w:after="0"/>
              <w:rPr>
                <w:sz w:val="20"/>
                <w:szCs w:val="20"/>
                <w:color w:val="auto"/>
              </w:rPr>
            </w:pPr>
            <w:r>
              <w:rPr>
                <w:rFonts w:ascii="Arial" w:cs="Arial" w:eastAsia="Arial" w:hAnsi="Arial"/>
                <w:sz w:val="18"/>
                <w:szCs w:val="18"/>
                <w:color w:val="auto"/>
              </w:rPr>
              <w:t>Financing activities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300,210</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(17,057)</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(108,695)</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26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2019 Compared to 2018</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Operating Activities: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Net cash provided by operating activities was $17 million higher than in 2018. The variance to the prior year was primarily attributable to:</w:t>
      </w:r>
    </w:p>
    <w:p>
      <w:pPr>
        <w:spacing w:after="0" w:line="225" w:lineRule="exact"/>
        <w:rPr>
          <w:sz w:val="20"/>
          <w:szCs w:val="20"/>
          <w:color w:val="auto"/>
        </w:rPr>
      </w:pPr>
    </w:p>
    <w:p>
      <w:pPr>
        <w:ind w:left="500" w:right="440" w:hanging="330"/>
        <w:spacing w:after="0" w:line="277" w:lineRule="auto"/>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earnings (income from continuing operations plus non-cash adjustments) were $37 million higher than prior year driven primarily by higher margins at our Electric and Gas Utilities;</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Net outflows from operating assets and liabilities were $25 million higher than prior year, primarily attributable to:</w:t>
      </w:r>
    </w:p>
    <w:p>
      <w:pPr>
        <w:spacing w:after="0" w:line="225" w:lineRule="exact"/>
        <w:rPr>
          <w:rFonts w:ascii="Arial" w:cs="Arial" w:eastAsia="Arial" w:hAnsi="Arial"/>
          <w:sz w:val="18"/>
          <w:szCs w:val="18"/>
          <w:color w:val="auto"/>
        </w:rPr>
      </w:pPr>
    </w:p>
    <w:p>
      <w:pPr>
        <w:ind w:left="900" w:right="120" w:hanging="244"/>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Cash outflows increased by approximately $40 million as a result of changes in accounts payable and accrued liabilities, driven by the impact of higher outside services, employee costs and other working capital requirements;</w:t>
      </w:r>
    </w:p>
    <w:p>
      <w:pPr>
        <w:spacing w:after="0" w:line="170" w:lineRule="exact"/>
        <w:rPr>
          <w:rFonts w:ascii="Arial" w:cs="Arial" w:eastAsia="Arial" w:hAnsi="Arial"/>
          <w:sz w:val="18"/>
          <w:szCs w:val="18"/>
          <w:color w:val="auto"/>
        </w:rPr>
      </w:pPr>
    </w:p>
    <w:p>
      <w:pPr>
        <w:ind w:left="900" w:right="380" w:hanging="244"/>
        <w:spacing w:after="0" w:line="277"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Cash inflows increased by approximately $59 million compared to the prior year primarily as a result of lower accounts receivable driven by lower pass-through revenues reflecting lower commodity prices; and</w:t>
      </w:r>
    </w:p>
    <w:p>
      <w:pPr>
        <w:spacing w:after="0" w:line="170" w:lineRule="exact"/>
        <w:rPr>
          <w:rFonts w:ascii="Arial" w:cs="Arial" w:eastAsia="Arial" w:hAnsi="Arial"/>
          <w:sz w:val="18"/>
          <w:szCs w:val="18"/>
          <w:color w:val="auto"/>
        </w:rPr>
      </w:pPr>
    </w:p>
    <w:p>
      <w:pPr>
        <w:ind w:left="900" w:right="320" w:hanging="244"/>
        <w:spacing w:after="0" w:line="264" w:lineRule="auto"/>
        <w:tabs>
          <w:tab w:leader="none" w:pos="900" w:val="left"/>
        </w:tabs>
        <w:numPr>
          <w:ilvl w:val="1"/>
          <w:numId w:val="48"/>
        </w:numPr>
        <w:rPr>
          <w:rFonts w:ascii="Arial" w:cs="Arial" w:eastAsia="Arial" w:hAnsi="Arial"/>
          <w:sz w:val="18"/>
          <w:szCs w:val="18"/>
          <w:color w:val="auto"/>
        </w:rPr>
      </w:pPr>
      <w:r>
        <w:rPr>
          <w:rFonts w:ascii="Arial" w:cs="Arial" w:eastAsia="Arial" w:hAnsi="Arial"/>
          <w:sz w:val="18"/>
          <w:szCs w:val="18"/>
          <w:color w:val="auto"/>
        </w:rPr>
        <w:t>Cash inflows decreased by approximately $44 million primarily as a result of changes in our current regulatory liabilities due to the TCJA tax rate change that has subsequently been returned to customers and from changes in our current regulatory assets driven by lower fuel cost adjustments and the impact of lower commodity prices; and</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Cash outflows decreased approximately $5.5 million due to the absence of operating activities of discontinued operations in 2019.</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26" w:right="239" w:bottom="1440" w:gutter="0" w:footer="0" w:header="0"/>
        </w:sectPr>
      </w:pPr>
    </w:p>
    <w:bookmarkStart w:id="62" w:name="page63"/>
    <w:bookmarkEnd w:id="6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Investing Activities:</w:t>
      </w:r>
    </w:p>
    <w:p>
      <w:pPr>
        <w:spacing w:after="0" w:line="229"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Net cash used in investing activities was $816 million in 2019, compared to net cash used in investing activities of $466 million in 2018 for a variance of $350 million. This variance was primarily due to:</w:t>
      </w:r>
    </w:p>
    <w:p>
      <w:pPr>
        <w:spacing w:after="0" w:line="170" w:lineRule="exact"/>
        <w:rPr>
          <w:sz w:val="20"/>
          <w:szCs w:val="20"/>
          <w:color w:val="auto"/>
        </w:rPr>
      </w:pPr>
    </w:p>
    <w:p>
      <w:pPr>
        <w:ind w:left="500" w:right="40" w:hanging="330"/>
        <w:spacing w:after="0" w:line="257" w:lineRule="auto"/>
        <w:tabs>
          <w:tab w:leader="none" w:pos="50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Capital expenditures of approximately $818 million in 2019 compared to $458 million in 2018. The $361 million increase from the prior year was due to higher capital expenditures driven by higher programmatic safety, reliability and integrity spending at our Electric and Gas Utilities segments, the Corriedale Wind Energy Project at our Electric Utilities segment, construction of the final segment of the 175-mile transmission line from Rapid City, South Dakota, to Stegall, Nebraska, at our Electric Utilities segment, the 35-mile Natural Bridge pipeline project at our Gas Utilities segment, and construction of Busch Ranch II at our Power Generation segment; and</w:t>
      </w:r>
    </w:p>
    <w:p>
      <w:pPr>
        <w:spacing w:after="0" w:line="188" w:lineRule="exact"/>
        <w:rPr>
          <w:rFonts w:ascii="Arial" w:cs="Arial" w:eastAsia="Arial" w:hAnsi="Arial"/>
          <w:sz w:val="18"/>
          <w:szCs w:val="18"/>
          <w:color w:val="auto"/>
        </w:rPr>
      </w:pPr>
    </w:p>
    <w:p>
      <w:pPr>
        <w:ind w:left="500" w:hanging="330"/>
        <w:spacing w:after="0"/>
        <w:tabs>
          <w:tab w:leader="none" w:pos="50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Net cash used in investing activities decreased $4.0 million due to prior year activities associated with divesting of our oil and gas segment.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cash provided by financing activities was $300 million in 2019 as compared to net cash used by financing activities of $17 million in 2018, an increase of $317 million due to the following:</w:t>
      </w:r>
    </w:p>
    <w:p>
      <w:pPr>
        <w:spacing w:after="0" w:line="170" w:lineRule="exact"/>
        <w:rPr>
          <w:sz w:val="20"/>
          <w:szCs w:val="20"/>
          <w:color w:val="auto"/>
        </w:rPr>
      </w:pPr>
    </w:p>
    <w:p>
      <w:pPr>
        <w:ind w:left="500" w:hanging="330"/>
        <w:spacing w:after="0"/>
        <w:tabs>
          <w:tab w:leader="none" w:pos="5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Increase of $539 million due to issuances of long and short-term debt in excess of required maturities that were used to fund our capital program</w:t>
      </w:r>
    </w:p>
    <w:p>
      <w:pPr>
        <w:spacing w:after="0" w:line="236" w:lineRule="exact"/>
        <w:rPr>
          <w:rFonts w:ascii="Arial" w:cs="Arial" w:eastAsia="Arial" w:hAnsi="Arial"/>
          <w:sz w:val="17"/>
          <w:szCs w:val="17"/>
          <w:color w:val="auto"/>
        </w:rPr>
      </w:pPr>
    </w:p>
    <w:p>
      <w:pPr>
        <w:ind w:left="500" w:right="42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Decrease of $199 million in common stock issued primarily due to prior year gross proceeds of approximately $299 million from the Equity Unit conversion partially offset by current year net proceeds of $99 million through our ATM equity offering program;</w:t>
      </w:r>
    </w:p>
    <w:p>
      <w:pPr>
        <w:spacing w:after="0" w:line="170" w:lineRule="exact"/>
        <w:rPr>
          <w:rFonts w:ascii="Arial" w:cs="Arial" w:eastAsia="Arial" w:hAnsi="Arial"/>
          <w:sz w:val="18"/>
          <w:szCs w:val="18"/>
          <w:color w:val="auto"/>
        </w:rPr>
      </w:pPr>
    </w:p>
    <w:p>
      <w:pPr>
        <w:ind w:left="500" w:hanging="330"/>
        <w:spacing w:after="0"/>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dividends on common stock of $125 million were paid in 2019 compared to $107 million paid in 2018; and</w:t>
      </w:r>
    </w:p>
    <w:p>
      <w:pPr>
        <w:spacing w:after="0" w:line="225" w:lineRule="exact"/>
        <w:rPr>
          <w:rFonts w:ascii="Arial" w:cs="Arial" w:eastAsia="Arial" w:hAnsi="Arial"/>
          <w:sz w:val="18"/>
          <w:szCs w:val="18"/>
          <w:color w:val="auto"/>
        </w:rPr>
      </w:pPr>
    </w:p>
    <w:p>
      <w:pPr>
        <w:ind w:left="500" w:right="220" w:hanging="330"/>
        <w:spacing w:after="0" w:line="277" w:lineRule="auto"/>
        <w:tabs>
          <w:tab w:leader="none" w:pos="5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Cash outflows for other financing activities increased by approximately $5.5 million driven primarily by current year financing costs incurred in the October 3, 2019 debt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380"/>
          </w:cols>
          <w:pgMar w:left="240" w:top="126" w:right="279" w:bottom="1440" w:gutter="0" w:footer="0" w:header="0"/>
        </w:sectPr>
      </w:pPr>
    </w:p>
    <w:bookmarkStart w:id="63" w:name="page64"/>
    <w:bookmarkEnd w:id="6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229" w:lineRule="exact"/>
        <w:rPr>
          <w:sz w:val="20"/>
          <w:szCs w:val="20"/>
          <w:color w:val="auto"/>
        </w:rPr>
      </w:pPr>
    </w:p>
    <w:p>
      <w:pPr>
        <w:ind w:right="10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Capital expenditures are a substantial portion of our cash requirements each year and we continue to forecast a robust capital expenditure program during the next five years. See Key Elements of our Business Strategy above in </w:t>
      </w:r>
      <w:hyperlink w:anchor="page42">
        <w:r>
          <w:rPr>
            <w:rFonts w:ascii="Arial" w:cs="Arial" w:eastAsia="Arial" w:hAnsi="Arial"/>
            <w:sz w:val="18"/>
            <w:szCs w:val="18"/>
            <w:u w:val="single" w:color="auto"/>
            <w:color w:val="0000EE"/>
          </w:rPr>
          <w:t>Item 7 - Executive Summary and Business Strategy</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forecasted capital expenditure requirements.</w:t>
      </w:r>
    </w:p>
    <w:p>
      <w:pPr>
        <w:spacing w:after="0" w:line="181"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 significant portion of our capital expenditures relates to safety, reliability and integrity assets benefiting customers that may be included in utility rate base and can be recovered from our utility customers following regulatory approval. Those capital expenditures also earn a rate of return authorized by the commissions in the jurisdictions in which we operate.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Historical Capital Requirements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Our primary capital requirements for the three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5960" w:type="dxa"/>
            <w:vAlign w:val="bottom"/>
            <w:vMerge w:val="restart"/>
          </w:tcPr>
          <w:p>
            <w:pPr>
              <w:ind w:left="40"/>
              <w:spacing w:after="0"/>
              <w:rPr>
                <w:sz w:val="20"/>
                <w:szCs w:val="20"/>
                <w:color w:val="auto"/>
              </w:rPr>
            </w:pPr>
            <w:r>
              <w:rPr>
                <w:rFonts w:ascii="Arial" w:cs="Arial" w:eastAsia="Arial" w:hAnsi="Arial"/>
                <w:sz w:val="18"/>
                <w:szCs w:val="18"/>
                <w:color w:val="auto"/>
              </w:rPr>
              <w:t xml:space="preserve">Property additions: </w:t>
            </w:r>
            <w:r>
              <w:rPr>
                <w:rFonts w:ascii="Arial" w:cs="Arial" w:eastAsia="Arial" w:hAnsi="Arial"/>
                <w:sz w:val="25"/>
                <w:szCs w:val="25"/>
                <w:color w:val="auto"/>
                <w:vertAlign w:val="superscript"/>
              </w:rPr>
              <w:t>(a)</w:t>
            </w: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vMerge w:val="continue"/>
          </w:tcPr>
          <w:p>
            <w:pPr>
              <w:spacing w:after="0"/>
              <w:rPr>
                <w:sz w:val="22"/>
                <w:szCs w:val="22"/>
                <w:color w:val="auto"/>
              </w:rPr>
            </w:pPr>
          </w:p>
        </w:tc>
        <w:tc>
          <w:tcPr>
            <w:tcW w:w="36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596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(b)</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222,911</w:t>
            </w:r>
          </w:p>
        </w:tc>
        <w:tc>
          <w:tcPr>
            <w:tcW w:w="340" w:type="dxa"/>
            <w:vAlign w:val="bottom"/>
            <w:shd w:val="clear" w:color="auto" w:fill="CEFFE7"/>
          </w:tcPr>
          <w:p>
            <w:pPr>
              <w:spacing w:after="0"/>
              <w:rPr>
                <w:sz w:val="23"/>
                <w:szCs w:val="23"/>
                <w:color w:val="auto"/>
              </w:rPr>
            </w:pP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152,524</w:t>
            </w:r>
          </w:p>
        </w:tc>
        <w:tc>
          <w:tcPr>
            <w:tcW w:w="340" w:type="dxa"/>
            <w:vAlign w:val="bottom"/>
            <w:shd w:val="clear" w:color="auto" w:fill="CEFFE7"/>
          </w:tcPr>
          <w:p>
            <w:pPr>
              <w:spacing w:after="0"/>
              <w:rPr>
                <w:sz w:val="23"/>
                <w:szCs w:val="23"/>
                <w:color w:val="auto"/>
              </w:rPr>
            </w:pPr>
          </w:p>
        </w:tc>
        <w:tc>
          <w:tcPr>
            <w:tcW w:w="38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138,060</w:t>
            </w:r>
          </w:p>
        </w:tc>
        <w:tc>
          <w:tcPr>
            <w:tcW w:w="0" w:type="dxa"/>
            <w:vAlign w:val="bottom"/>
          </w:tcPr>
          <w:p>
            <w:pPr>
              <w:spacing w:after="0"/>
              <w:rPr>
                <w:sz w:val="1"/>
                <w:szCs w:val="1"/>
                <w:color w:val="auto"/>
              </w:rPr>
            </w:pPr>
          </w:p>
        </w:tc>
      </w:tr>
      <w:tr>
        <w:trPr>
          <w:trHeight w:val="270"/>
        </w:trPr>
        <w:tc>
          <w:tcPr>
            <w:tcW w:w="5960" w:type="dxa"/>
            <w:vAlign w:val="bottom"/>
          </w:tcPr>
          <w:p>
            <w:pPr>
              <w:ind w:left="380"/>
              <w:spacing w:after="0" w:line="270" w:lineRule="exact"/>
              <w:rPr>
                <w:sz w:val="20"/>
                <w:szCs w:val="20"/>
                <w:color w:val="auto"/>
              </w:rPr>
            </w:pPr>
            <w:r>
              <w:rPr>
                <w:rFonts w:ascii="Arial" w:cs="Arial" w:eastAsia="Arial" w:hAnsi="Arial"/>
                <w:sz w:val="18"/>
                <w:szCs w:val="18"/>
                <w:color w:val="auto"/>
              </w:rPr>
              <w:t xml:space="preserve">Gas Utilities </w:t>
            </w:r>
            <w:r>
              <w:rPr>
                <w:rFonts w:ascii="Arial" w:cs="Arial" w:eastAsia="Arial" w:hAnsi="Arial"/>
                <w:sz w:val="25"/>
                <w:szCs w:val="25"/>
                <w:color w:val="auto"/>
                <w:vertAlign w:val="superscript"/>
              </w:rPr>
              <w:t>(c)</w:t>
            </w:r>
          </w:p>
        </w:tc>
        <w:tc>
          <w:tcPr>
            <w:tcW w:w="3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512,366</w:t>
            </w:r>
          </w:p>
        </w:tc>
        <w:tc>
          <w:tcPr>
            <w:tcW w:w="3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288,438</w:t>
            </w:r>
          </w:p>
        </w:tc>
        <w:tc>
          <w:tcPr>
            <w:tcW w:w="3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184,389</w:t>
            </w:r>
          </w:p>
        </w:tc>
        <w:tc>
          <w:tcPr>
            <w:tcW w:w="0" w:type="dxa"/>
            <w:vAlign w:val="bottom"/>
          </w:tcPr>
          <w:p>
            <w:pPr>
              <w:spacing w:after="0"/>
              <w:rPr>
                <w:sz w:val="1"/>
                <w:szCs w:val="1"/>
                <w:color w:val="auto"/>
              </w:rPr>
            </w:pPr>
          </w:p>
        </w:tc>
      </w:tr>
      <w:tr>
        <w:trPr>
          <w:trHeight w:val="270"/>
        </w:trPr>
        <w:tc>
          <w:tcPr>
            <w:tcW w:w="5960" w:type="dxa"/>
            <w:vAlign w:val="bottom"/>
            <w:shd w:val="clear" w:color="auto" w:fill="CEFFE7"/>
          </w:tcPr>
          <w:p>
            <w:pPr>
              <w:ind w:left="3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(d)</w:t>
            </w:r>
          </w:p>
        </w:tc>
        <w:tc>
          <w:tcPr>
            <w:tcW w:w="360" w:type="dxa"/>
            <w:vAlign w:val="bottom"/>
            <w:shd w:val="clear" w:color="auto" w:fill="CEFFE7"/>
          </w:tcPr>
          <w:p>
            <w:pPr>
              <w:spacing w:after="0"/>
              <w:rPr>
                <w:sz w:val="23"/>
                <w:szCs w:val="23"/>
                <w:color w:val="auto"/>
              </w:rPr>
            </w:pPr>
          </w:p>
        </w:tc>
        <w:tc>
          <w:tcPr>
            <w:tcW w:w="1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85,346</w:t>
            </w:r>
          </w:p>
        </w:tc>
        <w:tc>
          <w:tcPr>
            <w:tcW w:w="34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30,945</w:t>
            </w:r>
          </w:p>
        </w:tc>
        <w:tc>
          <w:tcPr>
            <w:tcW w:w="340" w:type="dxa"/>
            <w:vAlign w:val="bottom"/>
            <w:shd w:val="clear" w:color="auto" w:fill="CEFFE7"/>
          </w:tcPr>
          <w:p>
            <w:pPr>
              <w:spacing w:after="0"/>
              <w:rPr>
                <w:sz w:val="23"/>
                <w:szCs w:val="23"/>
                <w:color w:val="auto"/>
              </w:rPr>
            </w:pPr>
          </w:p>
        </w:tc>
        <w:tc>
          <w:tcPr>
            <w:tcW w:w="38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1,864</w:t>
            </w:r>
          </w:p>
        </w:tc>
        <w:tc>
          <w:tcPr>
            <w:tcW w:w="0" w:type="dxa"/>
            <w:vAlign w:val="bottom"/>
          </w:tcPr>
          <w:p>
            <w:pPr>
              <w:spacing w:after="0"/>
              <w:rPr>
                <w:sz w:val="1"/>
                <w:szCs w:val="1"/>
                <w:color w:val="auto"/>
              </w:rPr>
            </w:pPr>
          </w:p>
        </w:tc>
      </w:tr>
      <w:tr>
        <w:trPr>
          <w:trHeight w:val="243"/>
        </w:trPr>
        <w:tc>
          <w:tcPr>
            <w:tcW w:w="5960" w:type="dxa"/>
            <w:vAlign w:val="bottom"/>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8,430</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18,794</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6,708</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20,702</w:t>
            </w:r>
          </w:p>
        </w:tc>
        <w:tc>
          <w:tcPr>
            <w:tcW w:w="3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11,723</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6,668</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Capital expenditures before discontinued operations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849,755</w:t>
            </w: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502,424</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337,689</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Discontinued operations</w:t>
            </w:r>
          </w:p>
        </w:tc>
        <w:tc>
          <w:tcPr>
            <w:tcW w:w="36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gridSpan w:val="2"/>
            <w:shd w:val="clear" w:color="auto" w:fill="CEFFE7"/>
          </w:tcPr>
          <w:p>
            <w:pPr>
              <w:jc w:val="right"/>
              <w:ind w:right="4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2,402</w:t>
            </w:r>
          </w:p>
        </w:tc>
        <w:tc>
          <w:tcPr>
            <w:tcW w:w="340" w:type="dxa"/>
            <w:vAlign w:val="bottom"/>
            <w:tcBorders>
              <w:bottom w:val="single" w:sz="8" w:color="CEFFE7"/>
            </w:tcBorders>
            <w:shd w:val="clear" w:color="auto" w:fill="CEFFE7"/>
          </w:tcPr>
          <w:p>
            <w:pPr>
              <w:spacing w:after="0"/>
              <w:rPr>
                <w:sz w:val="23"/>
                <w:szCs w:val="23"/>
                <w:color w:val="auto"/>
              </w:rPr>
            </w:pP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23,222</w:t>
            </w:r>
          </w:p>
        </w:tc>
        <w:tc>
          <w:tcPr>
            <w:tcW w:w="0" w:type="dxa"/>
            <w:vAlign w:val="bottom"/>
          </w:tcPr>
          <w:p>
            <w:pPr>
              <w:spacing w:after="0"/>
              <w:rPr>
                <w:sz w:val="1"/>
                <w:szCs w:val="1"/>
                <w:color w:val="auto"/>
              </w:rPr>
            </w:pPr>
          </w:p>
        </w:tc>
      </w:tr>
      <w:tr>
        <w:trPr>
          <w:trHeight w:val="237"/>
        </w:trPr>
        <w:tc>
          <w:tcPr>
            <w:tcW w:w="5960" w:type="dxa"/>
            <w:vAlign w:val="bottom"/>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849,755</w:t>
            </w:r>
          </w:p>
        </w:tc>
        <w:tc>
          <w:tcPr>
            <w:tcW w:w="3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504,826</w:t>
            </w:r>
          </w:p>
        </w:tc>
        <w:tc>
          <w:tcPr>
            <w:tcW w:w="340" w:type="dxa"/>
            <w:vAlign w:val="bottom"/>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360,911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Common stock dividends</w:t>
            </w:r>
          </w:p>
        </w:tc>
        <w:tc>
          <w:tcPr>
            <w:tcW w:w="36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124,647</w:t>
            </w:r>
          </w:p>
        </w:tc>
        <w:tc>
          <w:tcPr>
            <w:tcW w:w="34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106,591</w:t>
            </w:r>
          </w:p>
        </w:tc>
        <w:tc>
          <w:tcPr>
            <w:tcW w:w="3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96,744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Maturities/redemptions of long-term debt</w:t>
            </w:r>
          </w:p>
        </w:tc>
        <w:tc>
          <w:tcPr>
            <w:tcW w:w="3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905,743</w:t>
            </w: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854,743</w:t>
            </w:r>
          </w:p>
        </w:tc>
        <w:tc>
          <w:tcPr>
            <w:tcW w:w="3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105,743</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40" w:type="dxa"/>
            <w:vAlign w:val="bottom"/>
            <w:tcBorders>
              <w:bottom w:val="single" w:sz="8" w:color="CEFFE7"/>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capital requirements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1,880,145</w:t>
            </w:r>
          </w:p>
        </w:tc>
        <w:tc>
          <w:tcPr>
            <w:tcW w:w="3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1,466,160</w:t>
            </w:r>
          </w:p>
        </w:tc>
        <w:tc>
          <w:tcPr>
            <w:tcW w:w="340" w:type="dxa"/>
            <w:vAlign w:val="bottom"/>
            <w:tcBorders>
              <w:bottom w:val="single" w:sz="8" w:color="CEFFE7"/>
            </w:tcBorders>
            <w:shd w:val="clear" w:color="auto" w:fill="CEFFE7"/>
          </w:tcPr>
          <w:p>
            <w:pPr>
              <w:spacing w:after="0"/>
              <w:rPr>
                <w:sz w:val="22"/>
                <w:szCs w:val="22"/>
                <w:color w:val="auto"/>
              </w:rPr>
            </w:pPr>
          </w:p>
        </w:tc>
        <w:tc>
          <w:tcPr>
            <w:tcW w:w="38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563,398</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8"/>
                <w:szCs w:val="18"/>
                <w:color w:val="auto"/>
              </w:rPr>
              <w:t>____________________________</w:t>
            </w: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9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1"/>
        </w:numPr>
        <w:rPr>
          <w:rFonts w:ascii="Arial" w:cs="Arial" w:eastAsia="Arial" w:hAnsi="Arial"/>
          <w:sz w:val="15"/>
          <w:szCs w:val="15"/>
          <w:color w:val="auto"/>
        </w:rPr>
      </w:pPr>
      <w:r>
        <w:rPr>
          <w:rFonts w:ascii="Arial" w:cs="Arial" w:eastAsia="Arial" w:hAnsi="Arial"/>
          <w:sz w:val="15"/>
          <w:szCs w:val="15"/>
          <w:color w:val="auto"/>
        </w:rPr>
        <w:t xml:space="preserve">Includes accruals for property, plant and equipment as disclosed in </w:t>
      </w:r>
      <w:hyperlink w:anchor="page129">
        <w:r>
          <w:rPr>
            <w:rFonts w:ascii="Arial" w:cs="Arial" w:eastAsia="Arial" w:hAnsi="Arial"/>
            <w:sz w:val="15"/>
            <w:szCs w:val="15"/>
            <w:u w:val="single" w:color="auto"/>
            <w:color w:val="0000EE"/>
          </w:rPr>
          <w:t>Note 17</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 this Annual Report on Form 10-K.</w:t>
      </w:r>
    </w:p>
    <w:p>
      <w:pPr>
        <w:spacing w:after="0" w:line="20" w:lineRule="exact"/>
        <w:rPr>
          <w:rFonts w:ascii="Arial" w:cs="Arial" w:eastAsia="Arial" w:hAnsi="Arial"/>
          <w:sz w:val="15"/>
          <w:szCs w:val="15"/>
          <w:color w:val="auto"/>
        </w:rPr>
      </w:pPr>
    </w:p>
    <w:p>
      <w:pPr>
        <w:ind w:left="340" w:right="34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Current year capital expenditures at our Electric Utilities segment increased due to higher programmatic safety, reliability and integrity spending, the Corriedale wind project and construction of the final segment of the 175-mile transmission line from Rapid City, South Dakota, to Stegall, Nebraska.</w:t>
      </w:r>
    </w:p>
    <w:p>
      <w:pPr>
        <w:ind w:left="340" w:right="380" w:hanging="332"/>
        <w:spacing w:after="0" w:line="246" w:lineRule="auto"/>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Current year capital expenditures at our Gas Utilities segment increased due to higher programmatic safety, reliability and integrity spending and the 35-mile Natural Bridge pipeline project.</w:t>
      </w:r>
    </w:p>
    <w:p>
      <w:pPr>
        <w:ind w:left="340" w:hanging="332"/>
        <w:spacing w:after="0"/>
        <w:tabs>
          <w:tab w:leader="none" w:pos="340" w:val="left"/>
        </w:tabs>
        <w:numPr>
          <w:ilvl w:val="0"/>
          <w:numId w:val="51"/>
        </w:numPr>
        <w:rPr>
          <w:rFonts w:ascii="Arial" w:cs="Arial" w:eastAsia="Arial" w:hAnsi="Arial"/>
          <w:sz w:val="16"/>
          <w:szCs w:val="16"/>
          <w:color w:val="auto"/>
        </w:rPr>
      </w:pPr>
      <w:r>
        <w:rPr>
          <w:rFonts w:ascii="Arial" w:cs="Arial" w:eastAsia="Arial" w:hAnsi="Arial"/>
          <w:sz w:val="16"/>
          <w:szCs w:val="16"/>
          <w:color w:val="auto"/>
        </w:rPr>
        <w:t>Current year capital expenditures at our Power Generation segment increased due to construction of Busch Ranch II.</w:t>
      </w: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RATINGS AND COUNTERPARTIES</w:t>
      </w:r>
    </w:p>
    <w:p>
      <w:pPr>
        <w:spacing w:after="0" w:line="24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Financing for operational needs and capital expenditure requirements, not satisfied by operating cash flows, depends upon the cost and availability of external funds through both short and long-term financing. In order to operate and grow our business, we need to consistently maintain the ability to raise capital on favorable terms. Access to funds is dependent upon factors such as general economic and capital market conditions, regulatory authorizations and policies, the Company’s credit ratings, cash flows from routine operations and the credit ratings of counterparties. After assessing the current operating performance, liquidity and credit ratings of the Company, management believes that the Company will have access to the capital markets at prevailing market rates for companies with comparable credit ratings. BHC notes that credit ratings are not recommendations to buy, sell, or hold securities and may be subject to revision or withdrawal at any time by the assigning rating agency. Each rating should be evaluated independently of any other rating.</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26" w:right="2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184"/>
        </w:trPr>
        <w:tc>
          <w:tcPr>
            <w:tcW w:w="366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720" w:type="dxa"/>
            <w:vAlign w:val="bottom"/>
          </w:tcPr>
          <w:p>
            <w:pPr>
              <w:spacing w:after="0"/>
              <w:rPr>
                <w:sz w:val="16"/>
                <w:szCs w:val="16"/>
                <w:color w:val="auto"/>
              </w:rPr>
            </w:pPr>
          </w:p>
        </w:tc>
        <w:tc>
          <w:tcPr>
            <w:tcW w:w="3040" w:type="dxa"/>
            <w:vAlign w:val="bottom"/>
          </w:tcPr>
          <w:p>
            <w:pPr>
              <w:spacing w:after="0"/>
              <w:rPr>
                <w:sz w:val="16"/>
                <w:szCs w:val="16"/>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r>
      <w:tr>
        <w:trPr>
          <w:trHeight w:val="439"/>
        </w:trPr>
        <w:tc>
          <w:tcPr>
            <w:tcW w:w="8380" w:type="dxa"/>
            <w:vAlign w:val="bottom"/>
            <w:gridSpan w:val="4"/>
          </w:tcPr>
          <w:p>
            <w:pPr>
              <w:spacing w:after="0"/>
              <w:rPr>
                <w:sz w:val="20"/>
                <w:szCs w:val="20"/>
                <w:color w:val="auto"/>
              </w:rPr>
            </w:pPr>
            <w:r>
              <w:rPr>
                <w:rFonts w:ascii="Arial" w:cs="Arial" w:eastAsia="Arial" w:hAnsi="Arial"/>
                <w:sz w:val="18"/>
                <w:szCs w:val="18"/>
                <w:color w:val="auto"/>
              </w:rPr>
              <w:t>The following table represents the credit ratings, outlook and risk profile of BHC at December 31, 2019:</w:t>
            </w:r>
          </w:p>
        </w:tc>
        <w:tc>
          <w:tcPr>
            <w:tcW w:w="304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440" w:type="dxa"/>
            <w:vAlign w:val="bottom"/>
          </w:tcPr>
          <w:p>
            <w:pPr>
              <w:ind w:left="160"/>
              <w:spacing w:after="0"/>
              <w:rPr>
                <w:sz w:val="20"/>
                <w:szCs w:val="20"/>
                <w:color w:val="auto"/>
              </w:rPr>
            </w:pPr>
            <w:r>
              <w:rPr>
                <w:rFonts w:ascii="Arial" w:cs="Arial" w:eastAsia="Arial" w:hAnsi="Arial"/>
                <w:sz w:val="18"/>
                <w:szCs w:val="18"/>
                <w:b w:val="1"/>
                <w:bCs w:val="1"/>
                <w:color w:val="auto"/>
              </w:rPr>
              <w:t>Rating Agency</w:t>
            </w:r>
          </w:p>
        </w:tc>
        <w:tc>
          <w:tcPr>
            <w:tcW w:w="4720" w:type="dxa"/>
            <w:vAlign w:val="bottom"/>
          </w:tcPr>
          <w:p>
            <w:pPr>
              <w:jc w:val="center"/>
              <w:ind w:right="390"/>
              <w:spacing w:after="0"/>
              <w:rPr>
                <w:sz w:val="20"/>
                <w:szCs w:val="20"/>
                <w:color w:val="auto"/>
              </w:rPr>
            </w:pPr>
            <w:r>
              <w:rPr>
                <w:rFonts w:ascii="Arial" w:cs="Arial" w:eastAsia="Arial" w:hAnsi="Arial"/>
                <w:sz w:val="18"/>
                <w:szCs w:val="18"/>
                <w:b w:val="1"/>
                <w:bCs w:val="1"/>
                <w:color w:val="auto"/>
                <w:w w:val="89"/>
              </w:rPr>
              <w:t>Senior Unsecured Rating</w:t>
            </w:r>
          </w:p>
        </w:tc>
        <w:tc>
          <w:tcPr>
            <w:tcW w:w="3040" w:type="dxa"/>
            <w:vAlign w:val="bottom"/>
          </w:tcPr>
          <w:p>
            <w:pPr>
              <w:jc w:val="center"/>
              <w:ind w:right="630"/>
              <w:spacing w:after="0"/>
              <w:rPr>
                <w:sz w:val="20"/>
                <w:szCs w:val="20"/>
                <w:color w:val="auto"/>
              </w:rPr>
            </w:pPr>
            <w:r>
              <w:rPr>
                <w:rFonts w:ascii="Arial" w:cs="Arial" w:eastAsia="Arial" w:hAnsi="Arial"/>
                <w:sz w:val="18"/>
                <w:szCs w:val="18"/>
                <w:b w:val="1"/>
                <w:bCs w:val="1"/>
                <w:color w:val="auto"/>
                <w:w w:val="94"/>
              </w:rPr>
              <w:t>Outlook</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440" w:type="dxa"/>
            <w:vAlign w:val="bottom"/>
            <w:tcBorders>
              <w:bottom w:val="single" w:sz="8" w:color="auto"/>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640" w:type="dxa"/>
            <w:vAlign w:val="bottom"/>
            <w:gridSpan w:val="2"/>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4720" w:type="dxa"/>
            <w:vAlign w:val="bottom"/>
            <w:shd w:val="clear" w:color="auto" w:fill="CEFFE7"/>
          </w:tcPr>
          <w:p>
            <w:pPr>
              <w:jc w:val="center"/>
              <w:ind w:right="410"/>
              <w:spacing w:after="0"/>
              <w:rPr>
                <w:sz w:val="20"/>
                <w:szCs w:val="20"/>
                <w:color w:val="auto"/>
              </w:rPr>
            </w:pPr>
            <w:r>
              <w:rPr>
                <w:rFonts w:ascii="Arial" w:cs="Arial" w:eastAsia="Arial" w:hAnsi="Arial"/>
                <w:sz w:val="18"/>
                <w:szCs w:val="18"/>
                <w:color w:val="auto"/>
                <w:w w:val="98"/>
              </w:rPr>
              <w:t>BBB+</w:t>
            </w:r>
          </w:p>
        </w:tc>
        <w:tc>
          <w:tcPr>
            <w:tcW w:w="3040" w:type="dxa"/>
            <w:vAlign w:val="bottom"/>
            <w:shd w:val="clear" w:color="auto" w:fill="CEFFE7"/>
          </w:tcPr>
          <w:p>
            <w:pPr>
              <w:jc w:val="center"/>
              <w:ind w:right="6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gridSpan w:val="2"/>
          </w:tcPr>
          <w:p>
            <w:pPr>
              <w:ind w:left="2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4720" w:type="dxa"/>
            <w:vAlign w:val="bottom"/>
          </w:tcPr>
          <w:p>
            <w:pPr>
              <w:jc w:val="center"/>
              <w:ind w:right="390"/>
              <w:spacing w:after="0"/>
              <w:rPr>
                <w:sz w:val="20"/>
                <w:szCs w:val="20"/>
                <w:color w:val="auto"/>
              </w:rPr>
            </w:pPr>
            <w:r>
              <w:rPr>
                <w:rFonts w:ascii="Arial" w:cs="Arial" w:eastAsia="Arial" w:hAnsi="Arial"/>
                <w:sz w:val="18"/>
                <w:szCs w:val="18"/>
                <w:color w:val="auto"/>
                <w:w w:val="85"/>
              </w:rPr>
              <w:t>Baa2</w:t>
            </w:r>
          </w:p>
        </w:tc>
        <w:tc>
          <w:tcPr>
            <w:tcW w:w="3040" w:type="dxa"/>
            <w:vAlign w:val="bottom"/>
          </w:tcPr>
          <w:p>
            <w:pPr>
              <w:jc w:val="center"/>
              <w:ind w:right="630"/>
              <w:spacing w:after="0"/>
              <w:rPr>
                <w:sz w:val="20"/>
                <w:szCs w:val="20"/>
                <w:color w:val="auto"/>
              </w:rPr>
            </w:pPr>
            <w:r>
              <w:rPr>
                <w:rFonts w:ascii="Arial" w:cs="Arial" w:eastAsia="Arial" w:hAnsi="Arial"/>
                <w:sz w:val="18"/>
                <w:szCs w:val="18"/>
                <w:color w:val="auto"/>
                <w:w w:val="86"/>
              </w:rPr>
              <w:t>Stable</w:t>
            </w:r>
          </w:p>
        </w:tc>
      </w:tr>
      <w:tr>
        <w:trPr>
          <w:trHeight w:val="270"/>
        </w:trPr>
        <w:tc>
          <w:tcPr>
            <w:tcW w:w="20" w:type="dxa"/>
            <w:vAlign w:val="bottom"/>
          </w:tcPr>
          <w:p>
            <w:pPr>
              <w:spacing w:after="0"/>
              <w:rPr>
                <w:sz w:val="23"/>
                <w:szCs w:val="23"/>
                <w:color w:val="auto"/>
              </w:rPr>
            </w:pPr>
          </w:p>
        </w:tc>
        <w:tc>
          <w:tcPr>
            <w:tcW w:w="3640" w:type="dxa"/>
            <w:vAlign w:val="bottom"/>
            <w:gridSpan w:val="2"/>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4720" w:type="dxa"/>
            <w:vAlign w:val="bottom"/>
            <w:shd w:val="clear" w:color="auto" w:fill="CEFFE7"/>
          </w:tcPr>
          <w:p>
            <w:pPr>
              <w:jc w:val="center"/>
              <w:ind w:right="410"/>
              <w:spacing w:after="0"/>
              <w:rPr>
                <w:sz w:val="20"/>
                <w:szCs w:val="20"/>
                <w:color w:val="auto"/>
              </w:rPr>
            </w:pPr>
            <w:r>
              <w:rPr>
                <w:rFonts w:ascii="Arial" w:cs="Arial" w:eastAsia="Arial" w:hAnsi="Arial"/>
                <w:sz w:val="18"/>
                <w:szCs w:val="18"/>
                <w:color w:val="auto"/>
                <w:w w:val="98"/>
              </w:rPr>
              <w:t>BBB+</w:t>
            </w:r>
          </w:p>
        </w:tc>
        <w:tc>
          <w:tcPr>
            <w:tcW w:w="3040" w:type="dxa"/>
            <w:vAlign w:val="bottom"/>
            <w:shd w:val="clear" w:color="auto" w:fill="CEFFE7"/>
          </w:tcPr>
          <w:p>
            <w:pPr>
              <w:jc w:val="center"/>
              <w:ind w:right="630"/>
              <w:spacing w:after="0"/>
              <w:rPr>
                <w:sz w:val="20"/>
                <w:szCs w:val="20"/>
                <w:color w:val="auto"/>
              </w:rPr>
            </w:pPr>
            <w:r>
              <w:rPr>
                <w:rFonts w:ascii="Arial" w:cs="Arial" w:eastAsia="Arial" w:hAnsi="Arial"/>
                <w:sz w:val="18"/>
                <w:szCs w:val="18"/>
                <w:color w:val="auto"/>
                <w:w w:val="86"/>
              </w:rPr>
              <w:t>Stable</w:t>
            </w:r>
          </w:p>
        </w:tc>
      </w:tr>
      <w:tr>
        <w:trPr>
          <w:trHeight w:val="220"/>
        </w:trPr>
        <w:tc>
          <w:tcPr>
            <w:tcW w:w="20" w:type="dxa"/>
            <w:vAlign w:val="bottom"/>
          </w:tcPr>
          <w:p>
            <w:pPr>
              <w:spacing w:after="0"/>
              <w:rPr>
                <w:sz w:val="19"/>
                <w:szCs w:val="19"/>
                <w:color w:val="auto"/>
              </w:rPr>
            </w:pPr>
          </w:p>
        </w:tc>
        <w:tc>
          <w:tcPr>
            <w:tcW w:w="1200" w:type="dxa"/>
            <w:vAlign w:val="bottom"/>
          </w:tcPr>
          <w:p>
            <w:pPr>
              <w:spacing w:after="0"/>
              <w:rPr>
                <w:sz w:val="20"/>
                <w:szCs w:val="20"/>
                <w:color w:val="auto"/>
              </w:rPr>
            </w:pPr>
            <w:r>
              <w:rPr>
                <w:rFonts w:ascii="Arial" w:cs="Arial" w:eastAsia="Arial" w:hAnsi="Arial"/>
                <w:sz w:val="18"/>
                <w:szCs w:val="18"/>
                <w:color w:val="auto"/>
              </w:rPr>
              <w:t>__________</w:t>
            </w:r>
          </w:p>
        </w:tc>
        <w:tc>
          <w:tcPr>
            <w:tcW w:w="244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3040" w:type="dxa"/>
            <w:vAlign w:val="bottom"/>
          </w:tcPr>
          <w:p>
            <w:pPr>
              <w:spacing w:after="0"/>
              <w:rPr>
                <w:sz w:val="19"/>
                <w:szCs w:val="19"/>
                <w:color w:val="auto"/>
              </w:rPr>
            </w:pPr>
          </w:p>
        </w:tc>
      </w:tr>
    </w:tbl>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February 28, 2019, S&amp;P affirmed our BBB+ rating and maintained a Stable outlook.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December 20, 2019, Moody’s affirmed our Baa2 rating and maintained a Stable outlook.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2"/>
        </w:numPr>
        <w:rPr>
          <w:rFonts w:ascii="Arial" w:cs="Arial" w:eastAsia="Arial" w:hAnsi="Arial"/>
          <w:sz w:val="16"/>
          <w:szCs w:val="16"/>
          <w:color w:val="auto"/>
        </w:rPr>
      </w:pPr>
      <w:r>
        <w:rPr>
          <w:rFonts w:ascii="Arial" w:cs="Arial" w:eastAsia="Arial" w:hAnsi="Arial"/>
          <w:sz w:val="16"/>
          <w:szCs w:val="16"/>
          <w:color w:val="auto"/>
        </w:rPr>
        <w:t>On August 29, 2019, Fitch affirmed our BBB+ rating and maintained a Stable outlook.</w:t>
      </w:r>
    </w:p>
    <w:p>
      <w:pPr>
        <w:spacing w:after="0" w:line="17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Certain of our fees and our interest rates under various bank credit agreements are based on our credit ratings at all three rating agencies. If all of our ratings are at the same level, or if two of our ratings are the same level and one differs, these fees and interest rates will be based on the ratings that are at the same level. If all of our ratings are at different levels, these fees and interest rates will be based on the middle level. Currently, our Fitch and S&amp;P ratings are at the same level, and our Moody’s rating is one level below. Therefore, if Fitch or S&amp;P downgraded our senior unsecured debt, we will be required to pay higher fees and interest rates under these bank credit agreements.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2"/>
          </w:tcPr>
          <w:p>
            <w:pPr>
              <w:spacing w:after="0"/>
              <w:rPr>
                <w:sz w:val="20"/>
                <w:szCs w:val="20"/>
                <w:color w:val="auto"/>
              </w:rPr>
            </w:pPr>
            <w:r>
              <w:rPr>
                <w:rFonts w:ascii="Arial" w:cs="Arial" w:eastAsia="Arial" w:hAnsi="Arial"/>
                <w:sz w:val="18"/>
                <w:szCs w:val="18"/>
                <w:color w:val="auto"/>
                <w:w w:val="95"/>
              </w:rPr>
              <w:t>The following table represents the credit ratings of South Dakota Electric at December 31, 2019:</w:t>
            </w:r>
          </w:p>
        </w:tc>
        <w:tc>
          <w:tcPr>
            <w:tcW w:w="4080" w:type="dxa"/>
            <w:vAlign w:val="bottom"/>
          </w:tcPr>
          <w:p>
            <w:pPr>
              <w:spacing w:after="0"/>
              <w:rPr>
                <w:sz w:val="20"/>
                <w:szCs w:val="20"/>
                <w:color w:val="auto"/>
              </w:rPr>
            </w:pPr>
          </w:p>
        </w:tc>
      </w:tr>
      <w:tr>
        <w:trPr>
          <w:trHeight w:val="378"/>
        </w:trPr>
        <w:tc>
          <w:tcPr>
            <w:tcW w:w="20" w:type="dxa"/>
            <w:vAlign w:val="bottom"/>
          </w:tcPr>
          <w:p>
            <w:pPr>
              <w:spacing w:after="0"/>
              <w:rPr>
                <w:sz w:val="24"/>
                <w:szCs w:val="24"/>
                <w:color w:val="auto"/>
              </w:rPr>
            </w:pPr>
          </w:p>
        </w:tc>
        <w:tc>
          <w:tcPr>
            <w:tcW w:w="7320" w:type="dxa"/>
            <w:vAlign w:val="bottom"/>
          </w:tcPr>
          <w:p>
            <w:pPr>
              <w:ind w:left="2280"/>
              <w:spacing w:after="0"/>
              <w:rPr>
                <w:sz w:val="20"/>
                <w:szCs w:val="20"/>
                <w:color w:val="auto"/>
              </w:rPr>
            </w:pPr>
            <w:r>
              <w:rPr>
                <w:rFonts w:ascii="Arial" w:cs="Arial" w:eastAsia="Arial" w:hAnsi="Arial"/>
                <w:sz w:val="18"/>
                <w:szCs w:val="18"/>
                <w:b w:val="1"/>
                <w:bCs w:val="1"/>
                <w:color w:val="auto"/>
              </w:rPr>
              <w:t>Rating Agency</w:t>
            </w:r>
          </w:p>
        </w:tc>
        <w:tc>
          <w:tcPr>
            <w:tcW w:w="4080" w:type="dxa"/>
            <w:vAlign w:val="bottom"/>
          </w:tcPr>
          <w:p>
            <w:pPr>
              <w:jc w:val="center"/>
              <w:ind w:right="1550"/>
              <w:spacing w:after="0"/>
              <w:rPr>
                <w:sz w:val="20"/>
                <w:szCs w:val="20"/>
                <w:color w:val="auto"/>
              </w:rPr>
            </w:pPr>
            <w:r>
              <w:rPr>
                <w:rFonts w:ascii="Arial" w:cs="Arial" w:eastAsia="Arial" w:hAnsi="Arial"/>
                <w:sz w:val="18"/>
                <w:szCs w:val="18"/>
                <w:b w:val="1"/>
                <w:bCs w:val="1"/>
                <w:color w:val="auto"/>
                <w:w w:val="89"/>
              </w:rPr>
              <w:t>Senior Secured Rating</w:t>
            </w:r>
          </w:p>
        </w:tc>
      </w:tr>
      <w:tr>
        <w:trPr>
          <w:trHeight w:val="27"/>
        </w:trPr>
        <w:tc>
          <w:tcPr>
            <w:tcW w:w="20" w:type="dxa"/>
            <w:vAlign w:val="bottom"/>
          </w:tcPr>
          <w:p>
            <w:pPr>
              <w:spacing w:after="0"/>
              <w:rPr>
                <w:sz w:val="2"/>
                <w:szCs w:val="2"/>
                <w:color w:val="auto"/>
              </w:rPr>
            </w:pPr>
          </w:p>
        </w:tc>
        <w:tc>
          <w:tcPr>
            <w:tcW w:w="73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32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 xml:space="preserve">S&amp;P </w:t>
            </w:r>
            <w:r>
              <w:rPr>
                <w:rFonts w:ascii="Arial" w:cs="Arial" w:eastAsia="Arial" w:hAnsi="Arial"/>
                <w:sz w:val="25"/>
                <w:szCs w:val="25"/>
                <w:color w:val="auto"/>
                <w:vertAlign w:val="superscript"/>
              </w:rPr>
              <w:t>(a)</w:t>
            </w:r>
          </w:p>
        </w:tc>
        <w:tc>
          <w:tcPr>
            <w:tcW w:w="4080" w:type="dxa"/>
            <w:vAlign w:val="bottom"/>
            <w:shd w:val="clear" w:color="auto" w:fill="CEFFE7"/>
          </w:tcPr>
          <w:p>
            <w:pPr>
              <w:jc w:val="center"/>
              <w:ind w:right="1550"/>
              <w:spacing w:after="0"/>
              <w:rPr>
                <w:sz w:val="20"/>
                <w:szCs w:val="20"/>
                <w:color w:val="auto"/>
              </w:rPr>
            </w:pPr>
            <w:r>
              <w:rPr>
                <w:rFonts w:ascii="Arial" w:cs="Arial" w:eastAsia="Arial" w:hAnsi="Arial"/>
                <w:sz w:val="18"/>
                <w:szCs w:val="18"/>
                <w:color w:val="auto"/>
                <w:w w:val="99"/>
              </w:rPr>
              <w:t>A</w:t>
            </w:r>
          </w:p>
        </w:tc>
      </w:tr>
      <w:tr>
        <w:trPr>
          <w:trHeight w:val="270"/>
        </w:trPr>
        <w:tc>
          <w:tcPr>
            <w:tcW w:w="20" w:type="dxa"/>
            <w:vAlign w:val="bottom"/>
          </w:tcPr>
          <w:p>
            <w:pPr>
              <w:spacing w:after="0"/>
              <w:rPr>
                <w:sz w:val="23"/>
                <w:szCs w:val="23"/>
                <w:color w:val="auto"/>
              </w:rPr>
            </w:pPr>
          </w:p>
        </w:tc>
        <w:tc>
          <w:tcPr>
            <w:tcW w:w="732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Moody’s </w:t>
            </w:r>
            <w:r>
              <w:rPr>
                <w:rFonts w:ascii="Arial" w:cs="Arial" w:eastAsia="Arial" w:hAnsi="Arial"/>
                <w:sz w:val="25"/>
                <w:szCs w:val="25"/>
                <w:color w:val="auto"/>
                <w:vertAlign w:val="superscript"/>
              </w:rPr>
              <w:t>(b)</w:t>
            </w:r>
          </w:p>
        </w:tc>
        <w:tc>
          <w:tcPr>
            <w:tcW w:w="4080" w:type="dxa"/>
            <w:vAlign w:val="bottom"/>
          </w:tcPr>
          <w:p>
            <w:pPr>
              <w:jc w:val="center"/>
              <w:ind w:right="1530"/>
              <w:spacing w:after="0"/>
              <w:rPr>
                <w:sz w:val="20"/>
                <w:szCs w:val="20"/>
                <w:color w:val="auto"/>
              </w:rPr>
            </w:pPr>
            <w:r>
              <w:rPr>
                <w:rFonts w:ascii="Arial" w:cs="Arial" w:eastAsia="Arial" w:hAnsi="Arial"/>
                <w:sz w:val="18"/>
                <w:szCs w:val="18"/>
                <w:color w:val="auto"/>
                <w:w w:val="99"/>
              </w:rPr>
              <w:t>A1</w:t>
            </w:r>
          </w:p>
        </w:tc>
      </w:tr>
      <w:tr>
        <w:trPr>
          <w:trHeight w:val="270"/>
        </w:trPr>
        <w:tc>
          <w:tcPr>
            <w:tcW w:w="20" w:type="dxa"/>
            <w:vAlign w:val="bottom"/>
          </w:tcPr>
          <w:p>
            <w:pPr>
              <w:spacing w:after="0"/>
              <w:rPr>
                <w:sz w:val="23"/>
                <w:szCs w:val="23"/>
                <w:color w:val="auto"/>
              </w:rPr>
            </w:pPr>
          </w:p>
        </w:tc>
        <w:tc>
          <w:tcPr>
            <w:tcW w:w="732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Fitch </w:t>
            </w:r>
            <w:r>
              <w:rPr>
                <w:rFonts w:ascii="Arial" w:cs="Arial" w:eastAsia="Arial" w:hAnsi="Arial"/>
                <w:sz w:val="25"/>
                <w:szCs w:val="25"/>
                <w:color w:val="auto"/>
                <w:vertAlign w:val="superscript"/>
              </w:rPr>
              <w:t>(c)</w:t>
            </w:r>
          </w:p>
        </w:tc>
        <w:tc>
          <w:tcPr>
            <w:tcW w:w="4080" w:type="dxa"/>
            <w:vAlign w:val="bottom"/>
            <w:shd w:val="clear" w:color="auto" w:fill="CEFFE7"/>
          </w:tcPr>
          <w:p>
            <w:pPr>
              <w:jc w:val="center"/>
              <w:ind w:right="1550"/>
              <w:spacing w:after="0"/>
              <w:rPr>
                <w:sz w:val="20"/>
                <w:szCs w:val="20"/>
                <w:color w:val="auto"/>
              </w:rPr>
            </w:pPr>
            <w:r>
              <w:rPr>
                <w:rFonts w:ascii="Arial" w:cs="Arial" w:eastAsia="Arial" w:hAnsi="Arial"/>
                <w:sz w:val="18"/>
                <w:szCs w:val="18"/>
                <w:color w:val="auto"/>
                <w:w w:val="99"/>
              </w:rPr>
              <w:t>A</w:t>
            </w:r>
          </w:p>
        </w:tc>
      </w:tr>
      <w:tr>
        <w:trPr>
          <w:trHeight w:val="220"/>
        </w:trPr>
        <w:tc>
          <w:tcPr>
            <w:tcW w:w="20" w:type="dxa"/>
            <w:vAlign w:val="bottom"/>
          </w:tcPr>
          <w:p>
            <w:pPr>
              <w:spacing w:after="0"/>
              <w:rPr>
                <w:sz w:val="19"/>
                <w:szCs w:val="19"/>
                <w:color w:val="auto"/>
              </w:rPr>
            </w:pPr>
          </w:p>
        </w:tc>
        <w:tc>
          <w:tcPr>
            <w:tcW w:w="7320" w:type="dxa"/>
            <w:vAlign w:val="bottom"/>
          </w:tcPr>
          <w:p>
            <w:pPr>
              <w:spacing w:after="0"/>
              <w:rPr>
                <w:sz w:val="20"/>
                <w:szCs w:val="20"/>
                <w:color w:val="auto"/>
              </w:rPr>
            </w:pPr>
            <w:r>
              <w:rPr>
                <w:rFonts w:ascii="Arial" w:cs="Arial" w:eastAsia="Arial" w:hAnsi="Arial"/>
                <w:sz w:val="18"/>
                <w:szCs w:val="18"/>
                <w:color w:val="auto"/>
              </w:rPr>
              <w:t>__________</w:t>
            </w:r>
          </w:p>
        </w:tc>
        <w:tc>
          <w:tcPr>
            <w:tcW w:w="4080" w:type="dxa"/>
            <w:vAlign w:val="bottom"/>
          </w:tcPr>
          <w:p>
            <w:pPr>
              <w:spacing w:after="0"/>
              <w:rPr>
                <w:sz w:val="19"/>
                <w:szCs w:val="19"/>
                <w:color w:val="auto"/>
              </w:rPr>
            </w:pPr>
          </w:p>
        </w:tc>
      </w:tr>
    </w:tbl>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April 30, 2019, S&amp;P affirmed A rating.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December 20, 2019, Moody’s affirmed A1 rating.</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53"/>
        </w:numPr>
        <w:rPr>
          <w:rFonts w:ascii="Arial" w:cs="Arial" w:eastAsia="Arial" w:hAnsi="Arial"/>
          <w:sz w:val="16"/>
          <w:szCs w:val="16"/>
          <w:color w:val="auto"/>
        </w:rPr>
      </w:pPr>
      <w:r>
        <w:rPr>
          <w:rFonts w:ascii="Arial" w:cs="Arial" w:eastAsia="Arial" w:hAnsi="Arial"/>
          <w:sz w:val="16"/>
          <w:szCs w:val="16"/>
          <w:color w:val="auto"/>
        </w:rPr>
        <w:t>On August 29, 2019, Fitch affirmed A rating.</w:t>
      </w:r>
    </w:p>
    <w:p>
      <w:pPr>
        <w:spacing w:after="0" w:line="203"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do not have any trigger events (i.e., an acceleration of repayment of outstanding indebtedness, an increase in interest costs, or the posting of additional cash collateral) tied to our stock price and have not executed any transactions that require us to issue equity based on our credit ratings.</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OTHER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225"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addition to our capital expenditure programs, we have contractual obligations and other commitments that will need to be funded in the future. The following information summarizes our cash obligations and commercial commitments at December 31, 2019. Actual future obligations may differ materially from these estimated amounts (in thousands):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4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60" w:type="dxa"/>
            <w:vAlign w:val="bottom"/>
            <w:gridSpan w:val="4"/>
          </w:tcPr>
          <w:p>
            <w:pPr>
              <w:jc w:val="right"/>
              <w:spacing w:after="0"/>
              <w:rPr>
                <w:sz w:val="20"/>
                <w:szCs w:val="20"/>
                <w:color w:val="auto"/>
              </w:rPr>
            </w:pPr>
            <w:r>
              <w:rPr>
                <w:rFonts w:ascii="Arial" w:cs="Arial" w:eastAsia="Arial" w:hAnsi="Arial"/>
                <w:sz w:val="18"/>
                <w:szCs w:val="18"/>
                <w:color w:val="auto"/>
              </w:rPr>
              <w:t>Payments Due by Period</w:t>
            </w: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440" w:type="dxa"/>
            <w:vAlign w:val="bottom"/>
          </w:tcPr>
          <w:p>
            <w:pPr>
              <w:ind w:left="20"/>
              <w:spacing w:after="0"/>
              <w:rPr>
                <w:sz w:val="20"/>
                <w:szCs w:val="20"/>
                <w:color w:val="auto"/>
              </w:rPr>
            </w:pPr>
            <w:r>
              <w:rPr>
                <w:rFonts w:ascii="Arial" w:cs="Arial" w:eastAsia="Arial" w:hAnsi="Arial"/>
                <w:sz w:val="18"/>
                <w:szCs w:val="18"/>
                <w:color w:val="auto"/>
              </w:rPr>
              <w:t>Contractual Obligations</w:t>
            </w:r>
          </w:p>
        </w:tc>
        <w:tc>
          <w:tcPr>
            <w:tcW w:w="240" w:type="dxa"/>
            <w:vAlign w:val="bottom"/>
          </w:tcPr>
          <w:p>
            <w:pPr>
              <w:spacing w:after="0"/>
              <w:rPr>
                <w:sz w:val="20"/>
                <w:szCs w:val="20"/>
                <w:color w:val="auto"/>
              </w:rPr>
            </w:pPr>
          </w:p>
        </w:tc>
        <w:tc>
          <w:tcPr>
            <w:tcW w:w="860" w:type="dxa"/>
            <w:vAlign w:val="bottom"/>
          </w:tcPr>
          <w:p>
            <w:pPr>
              <w:jc w:val="right"/>
              <w:ind w:right="278"/>
              <w:spacing w:after="0"/>
              <w:rPr>
                <w:sz w:val="20"/>
                <w:szCs w:val="20"/>
                <w:color w:val="auto"/>
              </w:rPr>
            </w:pPr>
            <w:r>
              <w:rPr>
                <w:rFonts w:ascii="Arial" w:cs="Arial" w:eastAsia="Arial" w:hAnsi="Arial"/>
                <w:sz w:val="18"/>
                <w:szCs w:val="18"/>
                <w:color w:val="auto"/>
              </w:rPr>
              <w:t>2020</w:t>
            </w:r>
          </w:p>
        </w:tc>
        <w:tc>
          <w:tcPr>
            <w:tcW w:w="300" w:type="dxa"/>
            <w:vAlign w:val="bottom"/>
          </w:tcPr>
          <w:p>
            <w:pPr>
              <w:spacing w:after="0"/>
              <w:rPr>
                <w:sz w:val="20"/>
                <w:szCs w:val="20"/>
                <w:color w:val="auto"/>
              </w:rPr>
            </w:pPr>
          </w:p>
        </w:tc>
        <w:tc>
          <w:tcPr>
            <w:tcW w:w="860" w:type="dxa"/>
            <w:vAlign w:val="bottom"/>
          </w:tcPr>
          <w:p>
            <w:pPr>
              <w:jc w:val="right"/>
              <w:ind w:right="278"/>
              <w:spacing w:after="0"/>
              <w:rPr>
                <w:sz w:val="20"/>
                <w:szCs w:val="20"/>
                <w:color w:val="auto"/>
              </w:rPr>
            </w:pPr>
            <w:r>
              <w:rPr>
                <w:rFonts w:ascii="Arial" w:cs="Arial" w:eastAsia="Arial" w:hAnsi="Arial"/>
                <w:sz w:val="18"/>
                <w:szCs w:val="18"/>
                <w:color w:val="auto"/>
              </w:rPr>
              <w:t>2021</w:t>
            </w:r>
          </w:p>
        </w:tc>
        <w:tc>
          <w:tcPr>
            <w:tcW w:w="300" w:type="dxa"/>
            <w:vAlign w:val="bottom"/>
          </w:tcPr>
          <w:p>
            <w:pPr>
              <w:spacing w:after="0"/>
              <w:rPr>
                <w:sz w:val="20"/>
                <w:szCs w:val="20"/>
                <w:color w:val="auto"/>
              </w:rPr>
            </w:pPr>
          </w:p>
        </w:tc>
        <w:tc>
          <w:tcPr>
            <w:tcW w:w="860" w:type="dxa"/>
            <w:vAlign w:val="bottom"/>
          </w:tcPr>
          <w:p>
            <w:pPr>
              <w:jc w:val="right"/>
              <w:ind w:right="277"/>
              <w:spacing w:after="0"/>
              <w:rPr>
                <w:sz w:val="20"/>
                <w:szCs w:val="20"/>
                <w:color w:val="auto"/>
              </w:rPr>
            </w:pPr>
            <w:r>
              <w:rPr>
                <w:rFonts w:ascii="Arial" w:cs="Arial" w:eastAsia="Arial" w:hAnsi="Arial"/>
                <w:sz w:val="18"/>
                <w:szCs w:val="18"/>
                <w:color w:val="auto"/>
              </w:rPr>
              <w:t>2022</w:t>
            </w:r>
          </w:p>
        </w:tc>
        <w:tc>
          <w:tcPr>
            <w:tcW w:w="300" w:type="dxa"/>
            <w:vAlign w:val="bottom"/>
          </w:tcPr>
          <w:p>
            <w:pPr>
              <w:spacing w:after="0"/>
              <w:rPr>
                <w:sz w:val="20"/>
                <w:szCs w:val="20"/>
                <w:color w:val="auto"/>
              </w:rPr>
            </w:pPr>
          </w:p>
        </w:tc>
        <w:tc>
          <w:tcPr>
            <w:tcW w:w="820" w:type="dxa"/>
            <w:vAlign w:val="bottom"/>
          </w:tcPr>
          <w:p>
            <w:pPr>
              <w:jc w:val="right"/>
              <w:ind w:right="238"/>
              <w:spacing w:after="0"/>
              <w:rPr>
                <w:sz w:val="20"/>
                <w:szCs w:val="20"/>
                <w:color w:val="auto"/>
              </w:rPr>
            </w:pPr>
            <w:r>
              <w:rPr>
                <w:rFonts w:ascii="Arial" w:cs="Arial" w:eastAsia="Arial" w:hAnsi="Arial"/>
                <w:sz w:val="18"/>
                <w:szCs w:val="18"/>
                <w:color w:val="auto"/>
              </w:rPr>
              <w:t>2023</w:t>
            </w:r>
          </w:p>
        </w:tc>
        <w:tc>
          <w:tcPr>
            <w:tcW w:w="380" w:type="dxa"/>
            <w:vAlign w:val="bottom"/>
          </w:tcPr>
          <w:p>
            <w:pPr>
              <w:spacing w:after="0"/>
              <w:rPr>
                <w:sz w:val="20"/>
                <w:szCs w:val="20"/>
                <w:color w:val="auto"/>
              </w:rPr>
            </w:pPr>
          </w:p>
        </w:tc>
        <w:tc>
          <w:tcPr>
            <w:tcW w:w="760" w:type="dxa"/>
            <w:vAlign w:val="bottom"/>
          </w:tcPr>
          <w:p>
            <w:pPr>
              <w:jc w:val="right"/>
              <w:ind w:right="258"/>
              <w:spacing w:after="0"/>
              <w:rPr>
                <w:sz w:val="20"/>
                <w:szCs w:val="20"/>
                <w:color w:val="auto"/>
              </w:rPr>
            </w:pPr>
            <w:r>
              <w:rPr>
                <w:rFonts w:ascii="Arial" w:cs="Arial" w:eastAsia="Arial" w:hAnsi="Arial"/>
                <w:sz w:val="18"/>
                <w:szCs w:val="18"/>
                <w:color w:val="auto"/>
                <w:w w:val="99"/>
              </w:rPr>
              <w:t>2024</w:t>
            </w:r>
          </w:p>
        </w:tc>
        <w:tc>
          <w:tcPr>
            <w:tcW w:w="180" w:type="dxa"/>
            <w:vAlign w:val="bottom"/>
          </w:tcPr>
          <w:p>
            <w:pPr>
              <w:spacing w:after="0"/>
              <w:rPr>
                <w:sz w:val="20"/>
                <w:szCs w:val="20"/>
                <w:color w:val="auto"/>
              </w:rPr>
            </w:pPr>
          </w:p>
        </w:tc>
        <w:tc>
          <w:tcPr>
            <w:tcW w:w="940" w:type="dxa"/>
            <w:vAlign w:val="bottom"/>
          </w:tcPr>
          <w:p>
            <w:pPr>
              <w:jc w:val="right"/>
              <w:ind w:right="78"/>
              <w:spacing w:after="0"/>
              <w:rPr>
                <w:sz w:val="20"/>
                <w:szCs w:val="20"/>
                <w:color w:val="auto"/>
              </w:rPr>
            </w:pPr>
            <w:r>
              <w:rPr>
                <w:rFonts w:ascii="Arial" w:cs="Arial" w:eastAsia="Arial" w:hAnsi="Arial"/>
                <w:sz w:val="18"/>
                <w:szCs w:val="18"/>
                <w:color w:val="auto"/>
                <w:w w:val="91"/>
              </w:rPr>
              <w:t>Thereafter</w:t>
            </w:r>
          </w:p>
        </w:tc>
        <w:tc>
          <w:tcPr>
            <w:tcW w:w="260" w:type="dxa"/>
            <w:vAlign w:val="bottom"/>
          </w:tcPr>
          <w:p>
            <w:pPr>
              <w:spacing w:after="0"/>
              <w:rPr>
                <w:sz w:val="20"/>
                <w:szCs w:val="20"/>
                <w:color w:val="auto"/>
              </w:rPr>
            </w:pPr>
          </w:p>
        </w:tc>
        <w:tc>
          <w:tcPr>
            <w:tcW w:w="900" w:type="dxa"/>
            <w:vAlign w:val="bottom"/>
          </w:tcPr>
          <w:p>
            <w:pPr>
              <w:jc w:val="right"/>
              <w:ind w:right="298"/>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4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3440" w:type="dxa"/>
            <w:vAlign w:val="bottom"/>
            <w:shd w:val="clear" w:color="auto" w:fill="CEFFE7"/>
          </w:tcPr>
          <w:p>
            <w:pPr>
              <w:ind w:left="20"/>
              <w:spacing w:after="0" w:line="264" w:lineRule="exact"/>
              <w:rPr>
                <w:sz w:val="20"/>
                <w:szCs w:val="20"/>
                <w:color w:val="auto"/>
              </w:rPr>
            </w:pPr>
            <w:r>
              <w:rPr>
                <w:rFonts w:ascii="Arial" w:cs="Arial" w:eastAsia="Arial" w:hAnsi="Arial"/>
                <w:sz w:val="18"/>
                <w:szCs w:val="18"/>
                <w:color w:val="auto"/>
              </w:rPr>
              <w:t>Long-term debt</w:t>
            </w:r>
            <w:r>
              <w:rPr>
                <w:rFonts w:ascii="Arial" w:cs="Arial" w:eastAsia="Arial" w:hAnsi="Arial"/>
                <w:sz w:val="25"/>
                <w:szCs w:val="25"/>
                <w:color w:val="auto"/>
                <w:vertAlign w:val="superscript"/>
              </w:rPr>
              <w:t>(a)</w:t>
            </w:r>
          </w:p>
        </w:tc>
        <w:tc>
          <w:tcPr>
            <w:tcW w:w="24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5,743</w:t>
            </w:r>
          </w:p>
        </w:tc>
        <w:tc>
          <w:tcPr>
            <w:tcW w:w="3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8,435</w:t>
            </w:r>
          </w:p>
        </w:tc>
        <w:tc>
          <w:tcPr>
            <w:tcW w:w="3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525,000</w:t>
            </w:r>
          </w:p>
        </w:tc>
        <w:tc>
          <w:tcPr>
            <w:tcW w:w="380" w:type="dxa"/>
            <w:vAlign w:val="bottom"/>
            <w:shd w:val="clear" w:color="auto" w:fill="CEFFE7"/>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2,855</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2,635,000</w:t>
            </w:r>
          </w:p>
        </w:tc>
        <w:tc>
          <w:tcPr>
            <w:tcW w:w="26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shd w:val="clear" w:color="auto" w:fill="CEFFE7"/>
          </w:tcPr>
          <w:p>
            <w:pPr>
              <w:jc w:val="right"/>
              <w:ind w:right="38"/>
              <w:spacing w:after="0"/>
              <w:rPr>
                <w:sz w:val="20"/>
                <w:szCs w:val="20"/>
                <w:color w:val="auto"/>
              </w:rPr>
            </w:pPr>
            <w:r>
              <w:rPr>
                <w:rFonts w:ascii="Arial" w:cs="Arial" w:eastAsia="Arial" w:hAnsi="Arial"/>
                <w:sz w:val="16"/>
                <w:szCs w:val="16"/>
                <w:color w:val="auto"/>
              </w:rPr>
              <w:t>3,177,033</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tcPr>
          <w:p>
            <w:pPr>
              <w:ind w:left="20"/>
              <w:spacing w:after="0" w:line="270" w:lineRule="exact"/>
              <w:rPr>
                <w:sz w:val="20"/>
                <w:szCs w:val="20"/>
                <w:color w:val="auto"/>
              </w:rPr>
            </w:pPr>
            <w:r>
              <w:rPr>
                <w:rFonts w:ascii="Arial" w:cs="Arial" w:eastAsia="Arial" w:hAnsi="Arial"/>
                <w:sz w:val="18"/>
                <w:szCs w:val="18"/>
                <w:color w:val="auto"/>
              </w:rPr>
              <w:t xml:space="preserve">Interest payments </w:t>
            </w:r>
            <w:r>
              <w:rPr>
                <w:rFonts w:ascii="Arial" w:cs="Arial" w:eastAsia="Arial" w:hAnsi="Arial"/>
                <w:sz w:val="25"/>
                <w:szCs w:val="25"/>
                <w:color w:val="auto"/>
                <w:vertAlign w:val="superscript"/>
              </w:rPr>
              <w:t>(a)</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131,859</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131,842</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131,756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131,756</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109,390</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1,273,648</w:t>
            </w:r>
          </w:p>
        </w:tc>
        <w:tc>
          <w:tcPr>
            <w:tcW w:w="26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1,910,251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Unconditional purchase obligations</w:t>
            </w:r>
            <w:r>
              <w:rPr>
                <w:rFonts w:ascii="Arial" w:cs="Arial" w:eastAsia="Arial" w:hAnsi="Arial"/>
                <w:sz w:val="25"/>
                <w:szCs w:val="25"/>
                <w:color w:val="auto"/>
                <w:vertAlign w:val="superscript"/>
              </w:rPr>
              <w:t>(b)</w:t>
            </w:r>
          </w:p>
        </w:tc>
        <w:tc>
          <w:tcPr>
            <w:tcW w:w="24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181,773</w:t>
            </w:r>
          </w:p>
        </w:tc>
        <w:tc>
          <w:tcPr>
            <w:tcW w:w="30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159,827</w:t>
            </w:r>
          </w:p>
        </w:tc>
        <w:tc>
          <w:tcPr>
            <w:tcW w:w="30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134,018</w:t>
            </w:r>
          </w:p>
        </w:tc>
        <w:tc>
          <w:tcPr>
            <w:tcW w:w="30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105,583</w:t>
            </w:r>
          </w:p>
        </w:tc>
        <w:tc>
          <w:tcPr>
            <w:tcW w:w="380" w:type="dxa"/>
            <w:vAlign w:val="bottom"/>
            <w:shd w:val="clear" w:color="auto" w:fill="CEFFE7"/>
          </w:tcPr>
          <w:p>
            <w:pPr>
              <w:spacing w:after="0"/>
              <w:rPr>
                <w:sz w:val="23"/>
                <w:szCs w:val="23"/>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54,098</w:t>
            </w:r>
          </w:p>
        </w:tc>
        <w:tc>
          <w:tcPr>
            <w:tcW w:w="18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126,147</w:t>
            </w:r>
          </w:p>
        </w:tc>
        <w:tc>
          <w:tcPr>
            <w:tcW w:w="26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38"/>
              <w:spacing w:after="0"/>
              <w:rPr>
                <w:sz w:val="20"/>
                <w:szCs w:val="20"/>
                <w:color w:val="auto"/>
              </w:rPr>
            </w:pPr>
            <w:r>
              <w:rPr>
                <w:rFonts w:ascii="Arial" w:cs="Arial" w:eastAsia="Arial" w:hAnsi="Arial"/>
                <w:sz w:val="16"/>
                <w:szCs w:val="16"/>
                <w:color w:val="auto"/>
              </w:rPr>
              <w:t>761,446</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tcPr>
          <w:p>
            <w:pPr>
              <w:ind w:left="20"/>
              <w:spacing w:after="0" w:line="270" w:lineRule="exact"/>
              <w:rPr>
                <w:sz w:val="20"/>
                <w:szCs w:val="20"/>
                <w:color w:val="auto"/>
              </w:rPr>
            </w:pPr>
            <w:r>
              <w:rPr>
                <w:rFonts w:ascii="Arial" w:cs="Arial" w:eastAsia="Arial" w:hAnsi="Arial"/>
                <w:sz w:val="18"/>
                <w:szCs w:val="18"/>
                <w:color w:val="auto"/>
              </w:rPr>
              <w:t>Lease obligations</w:t>
            </w:r>
            <w:r>
              <w:rPr>
                <w:rFonts w:ascii="Arial" w:cs="Arial" w:eastAsia="Arial" w:hAnsi="Arial"/>
                <w:sz w:val="25"/>
                <w:szCs w:val="25"/>
                <w:color w:val="auto"/>
                <w:vertAlign w:val="superscript"/>
              </w:rPr>
              <w:t>(c)</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1,144</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991</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869</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844</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724</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2,009</w:t>
            </w:r>
          </w:p>
        </w:tc>
        <w:tc>
          <w:tcPr>
            <w:tcW w:w="26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6,581</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AROs </w:t>
            </w:r>
            <w:r>
              <w:rPr>
                <w:rFonts w:ascii="Arial" w:cs="Arial" w:eastAsia="Arial" w:hAnsi="Arial"/>
                <w:sz w:val="25"/>
                <w:szCs w:val="25"/>
                <w:color w:val="auto"/>
                <w:vertAlign w:val="superscript"/>
              </w:rPr>
              <w:t>(d)</w:t>
            </w:r>
          </w:p>
        </w:tc>
        <w:tc>
          <w:tcPr>
            <w:tcW w:w="24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330</w:t>
            </w:r>
          </w:p>
        </w:tc>
        <w:tc>
          <w:tcPr>
            <w:tcW w:w="30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231</w:t>
            </w:r>
          </w:p>
        </w:tc>
        <w:tc>
          <w:tcPr>
            <w:tcW w:w="300" w:type="dxa"/>
            <w:vAlign w:val="bottom"/>
            <w:shd w:val="clear" w:color="auto" w:fill="CEFFE7"/>
          </w:tcPr>
          <w:p>
            <w:pPr>
              <w:spacing w:after="0"/>
              <w:rPr>
                <w:sz w:val="23"/>
                <w:szCs w:val="23"/>
                <w:color w:val="auto"/>
              </w:rPr>
            </w:pPr>
          </w:p>
        </w:tc>
        <w:tc>
          <w:tcPr>
            <w:tcW w:w="8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144</w:t>
            </w:r>
          </w:p>
        </w:tc>
        <w:tc>
          <w:tcPr>
            <w:tcW w:w="30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33</w:t>
            </w:r>
          </w:p>
        </w:tc>
        <w:tc>
          <w:tcPr>
            <w:tcW w:w="380" w:type="dxa"/>
            <w:vAlign w:val="bottom"/>
            <w:shd w:val="clear" w:color="auto" w:fill="CEFFE7"/>
          </w:tcPr>
          <w:p>
            <w:pPr>
              <w:spacing w:after="0"/>
              <w:rPr>
                <w:sz w:val="23"/>
                <w:szCs w:val="23"/>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9,362</w:t>
            </w:r>
          </w:p>
        </w:tc>
        <w:tc>
          <w:tcPr>
            <w:tcW w:w="180" w:type="dxa"/>
            <w:vAlign w:val="bottom"/>
            <w:shd w:val="clear" w:color="auto" w:fill="CEFFE7"/>
          </w:tcPr>
          <w:p>
            <w:pPr>
              <w:spacing w:after="0"/>
              <w:rPr>
                <w:sz w:val="23"/>
                <w:szCs w:val="23"/>
                <w:color w:val="auto"/>
              </w:rPr>
            </w:pPr>
          </w:p>
        </w:tc>
        <w:tc>
          <w:tcPr>
            <w:tcW w:w="9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54,105</w:t>
            </w:r>
          </w:p>
        </w:tc>
        <w:tc>
          <w:tcPr>
            <w:tcW w:w="260" w:type="dxa"/>
            <w:vAlign w:val="bottom"/>
            <w:shd w:val="clear" w:color="auto" w:fill="CEFFE7"/>
          </w:tcPr>
          <w:p>
            <w:pPr>
              <w:spacing w:after="0"/>
              <w:rPr>
                <w:sz w:val="23"/>
                <w:szCs w:val="23"/>
                <w:color w:val="auto"/>
              </w:rPr>
            </w:pPr>
          </w:p>
        </w:tc>
        <w:tc>
          <w:tcPr>
            <w:tcW w:w="900" w:type="dxa"/>
            <w:vAlign w:val="bottom"/>
            <w:shd w:val="clear" w:color="auto" w:fill="CEFFE7"/>
          </w:tcPr>
          <w:p>
            <w:pPr>
              <w:jc w:val="right"/>
              <w:ind w:right="38"/>
              <w:spacing w:after="0"/>
              <w:rPr>
                <w:sz w:val="20"/>
                <w:szCs w:val="20"/>
                <w:color w:val="auto"/>
              </w:rPr>
            </w:pPr>
            <w:r>
              <w:rPr>
                <w:rFonts w:ascii="Arial" w:cs="Arial" w:eastAsia="Arial" w:hAnsi="Arial"/>
                <w:sz w:val="16"/>
                <w:szCs w:val="16"/>
                <w:color w:val="auto"/>
              </w:rPr>
              <w:t>64,205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tcPr>
          <w:p>
            <w:pPr>
              <w:ind w:left="20"/>
              <w:spacing w:after="0" w:line="270" w:lineRule="exact"/>
              <w:rPr>
                <w:sz w:val="20"/>
                <w:szCs w:val="20"/>
                <w:color w:val="auto"/>
              </w:rPr>
            </w:pPr>
            <w:r>
              <w:rPr>
                <w:rFonts w:ascii="Arial" w:cs="Arial" w:eastAsia="Arial" w:hAnsi="Arial"/>
                <w:sz w:val="18"/>
                <w:szCs w:val="18"/>
                <w:color w:val="auto"/>
              </w:rPr>
              <w:t>Employee benefit plans</w:t>
            </w:r>
            <w:r>
              <w:rPr>
                <w:rFonts w:ascii="Arial" w:cs="Arial" w:eastAsia="Arial" w:hAnsi="Arial"/>
                <w:sz w:val="25"/>
                <w:szCs w:val="25"/>
                <w:color w:val="auto"/>
                <w:vertAlign w:val="superscript"/>
              </w:rPr>
              <w:t>(e)</w:t>
            </w:r>
          </w:p>
        </w:tc>
        <w:tc>
          <w:tcPr>
            <w:tcW w:w="24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18,921</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19,678</w:t>
            </w:r>
          </w:p>
        </w:tc>
        <w:tc>
          <w:tcPr>
            <w:tcW w:w="300" w:type="dxa"/>
            <w:vAlign w:val="bottom"/>
          </w:tcPr>
          <w:p>
            <w:pPr>
              <w:spacing w:after="0"/>
              <w:rPr>
                <w:sz w:val="23"/>
                <w:szCs w:val="23"/>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19,736</w:t>
            </w:r>
          </w:p>
        </w:tc>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19,944</w:t>
            </w: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19,896</w:t>
            </w:r>
          </w:p>
        </w:tc>
        <w:tc>
          <w:tcPr>
            <w:tcW w:w="1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35,580</w:t>
            </w:r>
          </w:p>
        </w:tc>
        <w:tc>
          <w:tcPr>
            <w:tcW w:w="260" w:type="dxa"/>
            <w:vAlign w:val="bottom"/>
          </w:tcPr>
          <w:p>
            <w:pPr>
              <w:spacing w:after="0"/>
              <w:rPr>
                <w:sz w:val="23"/>
                <w:szCs w:val="23"/>
                <w:color w:val="auto"/>
              </w:rPr>
            </w:pPr>
          </w:p>
        </w:tc>
        <w:tc>
          <w:tcPr>
            <w:tcW w:w="900" w:type="dxa"/>
            <w:vAlign w:val="bottom"/>
          </w:tcPr>
          <w:p>
            <w:pPr>
              <w:jc w:val="right"/>
              <w:ind w:right="38"/>
              <w:spacing w:after="0"/>
              <w:rPr>
                <w:sz w:val="20"/>
                <w:szCs w:val="20"/>
                <w:color w:val="auto"/>
              </w:rPr>
            </w:pPr>
            <w:r>
              <w:rPr>
                <w:rFonts w:ascii="Arial" w:cs="Arial" w:eastAsia="Arial" w:hAnsi="Arial"/>
                <w:sz w:val="16"/>
                <w:szCs w:val="16"/>
                <w:color w:val="auto"/>
              </w:rPr>
              <w:t>133,755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CP Program</w:t>
            </w:r>
          </w:p>
        </w:tc>
        <w:tc>
          <w:tcPr>
            <w:tcW w:w="24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349,500</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9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ind w:right="38"/>
              <w:spacing w:after="0"/>
              <w:rPr>
                <w:sz w:val="20"/>
                <w:szCs w:val="20"/>
                <w:color w:val="auto"/>
              </w:rPr>
            </w:pPr>
            <w:r>
              <w:rPr>
                <w:rFonts w:ascii="Arial" w:cs="Arial" w:eastAsia="Arial" w:hAnsi="Arial"/>
                <w:sz w:val="16"/>
                <w:szCs w:val="16"/>
                <w:color w:val="auto"/>
              </w:rPr>
              <w:t>349,500</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3440" w:type="dxa"/>
            <w:vAlign w:val="bottom"/>
          </w:tcPr>
          <w:p>
            <w:pPr>
              <w:ind w:left="20"/>
              <w:spacing w:after="0" w:line="250" w:lineRule="exact"/>
              <w:rPr>
                <w:sz w:val="20"/>
                <w:szCs w:val="20"/>
                <w:color w:val="auto"/>
              </w:rPr>
            </w:pPr>
            <w:r>
              <w:rPr>
                <w:rFonts w:ascii="Arial" w:cs="Arial" w:eastAsia="Arial" w:hAnsi="Arial"/>
                <w:sz w:val="18"/>
                <w:szCs w:val="18"/>
                <w:color w:val="auto"/>
              </w:rPr>
              <w:t>Total contractual cash obligations</w:t>
            </w:r>
            <w:r>
              <w:rPr>
                <w:rFonts w:ascii="Arial" w:cs="Arial" w:eastAsia="Arial" w:hAnsi="Arial"/>
                <w:sz w:val="25"/>
                <w:szCs w:val="25"/>
                <w:color w:val="auto"/>
                <w:vertAlign w:val="superscript"/>
              </w:rPr>
              <w:t>(f)</w:t>
            </w: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689,270</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321,004</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286,523</w:t>
            </w:r>
          </w:p>
        </w:tc>
        <w:tc>
          <w:tcPr>
            <w:tcW w:w="30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783,160</w:t>
            </w:r>
          </w:p>
        </w:tc>
        <w:tc>
          <w:tcPr>
            <w:tcW w:w="38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196,325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4,126,489</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6"/>
                <w:szCs w:val="16"/>
                <w:color w:val="auto"/>
              </w:rPr>
              <w:t>6,402,771</w:t>
            </w:r>
          </w:p>
        </w:tc>
        <w:tc>
          <w:tcPr>
            <w:tcW w:w="0" w:type="dxa"/>
            <w:vAlign w:val="bottom"/>
          </w:tcPr>
          <w:p>
            <w:pPr>
              <w:spacing w:after="0"/>
              <w:rPr>
                <w:sz w:val="1"/>
                <w:szCs w:val="1"/>
                <w:color w:val="auto"/>
              </w:rPr>
            </w:pPr>
          </w:p>
        </w:tc>
      </w:tr>
      <w:tr>
        <w:trPr>
          <w:trHeight w:val="20"/>
        </w:trPr>
        <w:tc>
          <w:tcPr>
            <w:tcW w:w="3460" w:type="dxa"/>
            <w:vAlign w:val="bottom"/>
            <w:gridSpan w:val="2"/>
            <w:vMerge w:val="restart"/>
          </w:tcPr>
          <w:p>
            <w:pPr>
              <w:jc w:val="right"/>
              <w:ind w:right="2470"/>
              <w:spacing w:after="0"/>
              <w:rPr>
                <w:sz w:val="20"/>
                <w:szCs w:val="20"/>
                <w:color w:val="auto"/>
              </w:rPr>
            </w:pPr>
            <w:r>
              <w:rPr>
                <w:rFonts w:ascii="Arial" w:cs="Arial" w:eastAsia="Arial" w:hAnsi="Arial"/>
                <w:sz w:val="18"/>
                <w:szCs w:val="18"/>
                <w:color w:val="auto"/>
                <w:w w:val="87"/>
              </w:rPr>
              <w:t>__________</w:t>
            </w: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4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300" w:hanging="332"/>
        <w:spacing w:after="0" w:line="249"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Long-term debt amounts do not include deferred financing costs or discounts or premiums on debt. Estimated interest payments on variable rate debt are calculated by utilizing the applicable rates as of December 31, 2019.</w:t>
      </w:r>
    </w:p>
    <w:p>
      <w:pPr>
        <w:ind w:left="340" w:right="100" w:hanging="332"/>
        <w:spacing w:after="0" w:line="263"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Unconditional purchase obligations include the energy and capacity costs associated with our PPAs, capacity and certain transmission, gas transportation and storage agreements. The energy charges under the PPAs are variable costs, which for purposes of estimating our future obligations, were based on costs incurred during 2019 and price assumptions using existing prices at December 31, 2019. Our transmission obligations are based on filed tariffs as of December 31, 2019.</w:t>
      </w:r>
    </w:p>
    <w:p>
      <w:pPr>
        <w:ind w:left="340" w:hanging="332"/>
        <w:spacing w:after="0"/>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Includes leases associated with several office and operating facilities, communication tower sites, equipment and materials storage.</w:t>
      </w:r>
    </w:p>
    <w:p>
      <w:pPr>
        <w:spacing w:after="0" w:line="5" w:lineRule="exact"/>
        <w:rPr>
          <w:rFonts w:ascii="Arial" w:cs="Arial" w:eastAsia="Arial" w:hAnsi="Arial"/>
          <w:sz w:val="16"/>
          <w:szCs w:val="16"/>
          <w:color w:val="auto"/>
        </w:rPr>
      </w:pPr>
    </w:p>
    <w:p>
      <w:pPr>
        <w:ind w:left="340" w:right="120" w:hanging="332"/>
        <w:spacing w:after="0" w:line="281" w:lineRule="auto"/>
        <w:tabs>
          <w:tab w:leader="none" w:pos="3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 xml:space="preserve">Represents estimated payments for AROs associated with long-lived assets primarily related to retirement and reclamation of natural gas pipelines, mining sites, wind farms and an evaporation pond. See </w:t>
      </w:r>
      <w:hyperlink w:anchor="page83">
        <w:r>
          <w:rPr>
            <w:rFonts w:ascii="Arial" w:cs="Arial" w:eastAsia="Arial" w:hAnsi="Arial"/>
            <w:sz w:val="14"/>
            <w:szCs w:val="14"/>
            <w:u w:val="single" w:color="auto"/>
            <w:color w:val="0000EE"/>
          </w:rPr>
          <w:t>Notes 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 xml:space="preserve">and </w:t>
      </w:r>
      <w:hyperlink w:anchor="page106">
        <w:r>
          <w:rPr>
            <w:rFonts w:ascii="Arial" w:cs="Arial" w:eastAsia="Arial" w:hAnsi="Arial"/>
            <w:sz w:val="14"/>
            <w:szCs w:val="14"/>
            <w:u w:val="single" w:color="auto"/>
            <w:color w:val="0000EE"/>
          </w:rPr>
          <w:t>8</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of the Notes to the Consolidated Financial Statements in this Annual Report on Form 10-K for additional information.</w:t>
      </w:r>
    </w:p>
    <w:p>
      <w:pPr>
        <w:spacing w:after="0" w:line="1" w:lineRule="exact"/>
        <w:rPr>
          <w:rFonts w:ascii="Arial" w:cs="Arial" w:eastAsia="Arial" w:hAnsi="Arial"/>
          <w:sz w:val="14"/>
          <w:szCs w:val="14"/>
          <w:color w:val="auto"/>
        </w:rPr>
      </w:pPr>
    </w:p>
    <w:p>
      <w:pPr>
        <w:jc w:val="both"/>
        <w:ind w:left="340" w:right="60" w:hanging="332"/>
        <w:spacing w:after="0" w:line="246" w:lineRule="auto"/>
        <w:tabs>
          <w:tab w:leader="none" w:pos="340"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Represents estimated employer contributions to the Defined Benefit Pension Plan, the Non-Pension Defined Benefit Postretirement Healthcare Plan and the Supplemental Non-Qualified Defined Benefit Plans through the year 2029 as discussed in </w:t>
      </w:r>
      <w:hyperlink w:anchor="page129">
        <w:r>
          <w:rPr>
            <w:rFonts w:ascii="Arial" w:cs="Arial" w:eastAsia="Arial" w:hAnsi="Arial"/>
            <w:sz w:val="16"/>
            <w:szCs w:val="16"/>
            <w:u w:val="single" w:color="auto"/>
            <w:color w:val="0000EE"/>
          </w:rPr>
          <w:t>Note 18</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w:t>
      </w:r>
    </w:p>
    <w:p>
      <w:pPr>
        <w:spacing w:after="0" w:line="1" w:lineRule="exact"/>
        <w:rPr>
          <w:rFonts w:ascii="Arial" w:cs="Arial" w:eastAsia="Arial" w:hAnsi="Arial"/>
          <w:sz w:val="16"/>
          <w:szCs w:val="16"/>
          <w:color w:val="auto"/>
        </w:rPr>
      </w:pPr>
    </w:p>
    <w:p>
      <w:pPr>
        <w:ind w:left="340" w:right="60" w:hanging="332"/>
        <w:spacing w:after="0" w:line="270" w:lineRule="auto"/>
        <w:tabs>
          <w:tab w:leader="none" w:pos="340" w:val="left"/>
        </w:tabs>
        <w:numPr>
          <w:ilvl w:val="0"/>
          <w:numId w:val="54"/>
        </w:numPr>
        <w:rPr>
          <w:rFonts w:ascii="Arial" w:cs="Arial" w:eastAsia="Arial" w:hAnsi="Arial"/>
          <w:sz w:val="15"/>
          <w:szCs w:val="15"/>
          <w:color w:val="auto"/>
        </w:rPr>
      </w:pPr>
      <w:r>
        <w:rPr>
          <w:rFonts w:ascii="Arial" w:cs="Arial" w:eastAsia="Arial" w:hAnsi="Arial"/>
          <w:sz w:val="15"/>
          <w:szCs w:val="15"/>
          <w:color w:val="auto"/>
        </w:rPr>
        <w:t xml:space="preserve">Amounts in the table exclude: (1) any obligation that may arise from our derivatives, including commodity related contracts that have a negative fair value at December 31, 2019. These amounts have been excluded as it is impractical to reasonably estimate the final amount and/or timing of any associated payments; (2) a portion of our gas purchases are hedged. These hedges are in place to reduce our customers' underlying exposure to commodity price fluctuations. The impact of these hedges is not included in the above table; (3) our $4.2 million liability for unrecognized tax benefits in accordance with accounting guidance for uncertain tax positions as discussed in </w:t>
      </w:r>
      <w:hyperlink w:anchor="page124">
        <w:r>
          <w:rPr>
            <w:rFonts w:ascii="Arial" w:cs="Arial" w:eastAsia="Arial" w:hAnsi="Arial"/>
            <w:sz w:val="15"/>
            <w:szCs w:val="15"/>
            <w:u w:val="single" w:color="auto"/>
            <w:color w:val="0000EE"/>
          </w:rPr>
          <w:t>Note 15</w:t>
        </w:r>
        <w:r>
          <w:rPr>
            <w:rFonts w:ascii="Arial" w:cs="Arial" w:eastAsia="Arial" w:hAnsi="Arial"/>
            <w:sz w:val="15"/>
            <w:szCs w:val="15"/>
            <w:u w:val="single" w:color="auto"/>
            <w:color w:val="auto"/>
          </w:rPr>
          <w:t xml:space="preserve"> </w:t>
        </w:r>
      </w:hyperlink>
      <w:r>
        <w:rPr>
          <w:rFonts w:ascii="Arial" w:cs="Arial" w:eastAsia="Arial" w:hAnsi="Arial"/>
          <w:sz w:val="15"/>
          <w:szCs w:val="15"/>
          <w:color w:val="auto"/>
        </w:rPr>
        <w:t>of the Notes to the Consolidated Financial Statements in this Annual Report on Form 10-K.</w:t>
      </w:r>
    </w:p>
    <w:p>
      <w:pPr>
        <w:spacing w:after="0" w:line="146" w:lineRule="exact"/>
        <w:rPr>
          <w:rFonts w:ascii="Arial" w:cs="Arial" w:eastAsia="Arial" w:hAnsi="Arial"/>
          <w:sz w:val="16"/>
          <w:szCs w:val="16"/>
          <w:color w:val="auto"/>
        </w:rPr>
      </w:pPr>
    </w:p>
    <w:p>
      <w:pPr>
        <w:ind w:right="100"/>
        <w:spacing w:after="0" w:line="259" w:lineRule="auto"/>
        <w:rPr>
          <w:sz w:val="20"/>
          <w:szCs w:val="20"/>
          <w:color w:val="auto"/>
        </w:rPr>
      </w:pPr>
      <w:r>
        <w:rPr>
          <w:rFonts w:ascii="Arial" w:cs="Arial" w:eastAsia="Arial" w:hAnsi="Arial"/>
          <w:sz w:val="18"/>
          <w:szCs w:val="18"/>
          <w:color w:val="auto"/>
        </w:rPr>
        <w:t>Our Gas Utilities have commitments to purchase physical quantities of natural gas under contracts indexed to various forward natural gas price curves. In addition, a portion of our gas purchases are purchased under evergreen contracts and therefore, for purposes of this disclosure, are carried out for 60 days. As of December 31, 2019, we are committed to purchase 3.7 million MMBtu, 3.7 million MMBtu, and 1.8 million MMBtu in each of the years from 2020 to 2022, respectively.</w:t>
      </w:r>
    </w:p>
    <w:p>
      <w:pPr>
        <w:spacing w:after="0" w:line="187"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b w:val="1"/>
          <w:bCs w:val="1"/>
          <w:i w:val="1"/>
          <w:iCs w:val="1"/>
          <w:color w:val="auto"/>
        </w:rPr>
        <w:t>Off-Balance Sheet Commitments</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color w:val="auto"/>
        </w:rPr>
        <w:t>We have entered into various off-balance sheet commitments in the form of guarantees and letters of credit.</w:t>
      </w:r>
    </w:p>
    <w:p>
      <w:pPr>
        <w:spacing w:after="0" w:line="225" w:lineRule="exact"/>
        <w:rPr>
          <w:rFonts w:ascii="Arial" w:cs="Arial" w:eastAsia="Arial" w:hAnsi="Arial"/>
          <w:sz w:val="16"/>
          <w:szCs w:val="16"/>
          <w:color w:val="auto"/>
        </w:rPr>
      </w:pPr>
    </w:p>
    <w:p>
      <w:pPr>
        <w:spacing w:after="0"/>
        <w:rPr>
          <w:sz w:val="20"/>
          <w:szCs w:val="20"/>
          <w:color w:val="auto"/>
        </w:rPr>
      </w:pPr>
      <w:r>
        <w:rPr>
          <w:rFonts w:ascii="Arial" w:cs="Arial" w:eastAsia="Arial" w:hAnsi="Arial"/>
          <w:sz w:val="18"/>
          <w:szCs w:val="18"/>
          <w:i w:val="1"/>
          <w:iCs w:val="1"/>
          <w:u w:val="single" w:color="auto"/>
          <w:color w:val="auto"/>
        </w:rPr>
        <w:t>Guarantees</w:t>
      </w:r>
    </w:p>
    <w:p>
      <w:pPr>
        <w:spacing w:after="0" w:line="225" w:lineRule="exact"/>
        <w:rPr>
          <w:rFonts w:ascii="Arial" w:cs="Arial" w:eastAsia="Arial" w:hAnsi="Arial"/>
          <w:sz w:val="16"/>
          <w:szCs w:val="16"/>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We provide various guarantees supporting certain of our subsidiaries under specified agreements or transactions. For more information on these guarantees, see </w:t>
      </w:r>
      <w:hyperlink w:anchor="page140">
        <w:r>
          <w:rPr>
            <w:rFonts w:ascii="Arial" w:cs="Arial" w:eastAsia="Arial" w:hAnsi="Arial"/>
            <w:sz w:val="18"/>
            <w:szCs w:val="18"/>
            <w:u w:val="single" w:color="auto"/>
            <w:color w:val="0000EE"/>
          </w:rPr>
          <w:t>Note 20</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360"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26" w:right="239" w:bottom="1440" w:gutter="0" w:footer="0" w:header="0"/>
        </w:sectPr>
      </w:pPr>
    </w:p>
    <w:bookmarkStart w:id="66" w:name="page67"/>
    <w:bookmarkEnd w:id="6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Letters of Credit</w:t>
      </w:r>
    </w:p>
    <w:p>
      <w:pPr>
        <w:spacing w:after="0" w:line="225" w:lineRule="exact"/>
        <w:rPr>
          <w:sz w:val="20"/>
          <w:szCs w:val="20"/>
          <w:color w:val="auto"/>
        </w:rPr>
      </w:pPr>
    </w:p>
    <w:p>
      <w:pPr>
        <w:ind w:right="80"/>
        <w:spacing w:after="0" w:line="277" w:lineRule="auto"/>
        <w:rPr>
          <w:rFonts w:ascii="Arial" w:cs="Arial" w:eastAsia="Arial" w:hAnsi="Arial"/>
          <w:sz w:val="18"/>
          <w:szCs w:val="18"/>
          <w:color w:val="0000EE"/>
        </w:rPr>
      </w:pPr>
      <w:hyperlink w:anchor="page105">
        <w:r>
          <w:rPr>
            <w:rFonts w:ascii="Arial" w:cs="Arial" w:eastAsia="Arial" w:hAnsi="Arial"/>
            <w:sz w:val="18"/>
            <w:szCs w:val="18"/>
            <w:color w:val="auto"/>
          </w:rPr>
          <w:t xml:space="preserve">Letters of credit reduce the borrowing capacity available on our corporate Revolving Credit Facility. For more information on these letters of credit,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105">
        <w:r>
          <w:rPr>
            <w:rFonts w:ascii="Arial" w:cs="Arial" w:eastAsia="Arial" w:hAnsi="Arial"/>
            <w:sz w:val="18"/>
            <w:szCs w:val="18"/>
            <w:u w:val="single" w:color="auto"/>
            <w:color w:val="0000EE"/>
          </w:rPr>
          <w:t>7</w:t>
        </w:r>
        <w:r>
          <w:rPr>
            <w:rFonts w:ascii="Arial" w:cs="Arial" w:eastAsia="Arial" w:hAnsi="Arial"/>
            <w:sz w:val="18"/>
            <w:szCs w:val="18"/>
            <w:color w:val="0000EE"/>
          </w:rPr>
          <w:t xml:space="preserve"> </w:t>
        </w:r>
        <w:r>
          <w:rPr>
            <w:rFonts w:ascii="Arial" w:cs="Arial" w:eastAsia="Arial" w:hAnsi="Arial"/>
            <w:sz w:val="18"/>
            <w:szCs w:val="18"/>
            <w:color w:val="000000"/>
          </w:rPr>
          <w:t>of the Notes to the Consolidated Financial Statements in this Annual Report on Form 10-K.</w:t>
        </w:r>
      </w:hyperlink>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Critical Accounting Policies Involving Significant Accounting Estimates</w:t>
      </w:r>
    </w:p>
    <w:p>
      <w:pPr>
        <w:spacing w:after="0" w:line="229"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We prepare our consolidated financial statements in conformity with GAAP. In many cases, the accounting treatment of a particular transaction is specifically dictated by GAAP and does not require management’s judgment in application. There are also areas which require management’s judgment in selecting among available GAAP alternatives. We are required to make certain estimates, judgments and assumptions that we believe are reasonable based upon the information available. These estimates and assumptions affect the reported amounts of assets and liabilities at the date of the financial statements and the reported amounts of revenues and expenses during the periods presented. Actual results may differ from our estimates and to the extent there are material differences between these estimates, judgments, or assumptions and actual results, our financial statements will be affected. We believe the following accounting estimates are the most critical in understanding and evaluating our reported financial results. We have reviewed these critical accounting estimates and related disclosures with our Audit Committee.</w:t>
      </w:r>
    </w:p>
    <w:p>
      <w:pPr>
        <w:spacing w:after="0" w:line="179" w:lineRule="exact"/>
        <w:rPr>
          <w:sz w:val="20"/>
          <w:szCs w:val="20"/>
          <w:color w:val="auto"/>
        </w:rPr>
      </w:pPr>
    </w:p>
    <w:p>
      <w:pPr>
        <w:ind w:right="20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The following discussion of our critical accounting estimates should be read in conjunction with </w:t>
      </w:r>
      <w:hyperlink w:anchor="page83">
        <w:r>
          <w:rPr>
            <w:rFonts w:ascii="Arial" w:cs="Arial" w:eastAsia="Arial" w:hAnsi="Arial"/>
            <w:sz w:val="18"/>
            <w:szCs w:val="18"/>
            <w:u w:val="single" w:color="auto"/>
            <w:color w:val="0000EE"/>
          </w:rPr>
          <w:t>Note 1</w:t>
        </w:r>
      </w:hyperlink>
      <w:r>
        <w:rPr>
          <w:rFonts w:ascii="Arial" w:cs="Arial" w:eastAsia="Arial" w:hAnsi="Arial"/>
          <w:sz w:val="18"/>
          <w:szCs w:val="18"/>
          <w:color w:val="auto"/>
        </w:rPr>
        <w:t>, “Business Description and Significant Accounting Policies” of our Notes to the Consolidated Financial Statements in this Annual Report on Form 10-K.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color w:val="auto"/>
        </w:rPr>
        <w:t>Our regulated Electric and Gas Utilities are subject to cost-of-service regulation and earnings oversight from federal and state utility commissions. This regulatory treatment does not provide any assurance as to achievement of desired earnings levels. Our retail electric and gas utility rates are regulated on a state-by-state basis by the relevant state regulatory commissions based on an analysis of our costs, as reviewed and approved in a regulatory proceeding. The rates that we are allowed to charge may or may not match our related costs and allowed return on invested capital at any given time.</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Management continually assesses the probability of future recoveries associated with regulatory assets and future obligations associated with regulatory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87"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To some degree, each of our Electric and Gas Utilities are permitted to recover certain costs (such as increased fuel and purchased power costs) outside of a base rate review. To the extent we are able to pass through such costs to our customers, and a state public utility commission subsequently determines that such costs should not have been paid by the customers, we may be required to refund such costs. Any such costs not recovered through rates, or any such refund, could adversely affect our results of operations, financial position or cash flows.</w:t>
      </w:r>
    </w:p>
    <w:p>
      <w:pPr>
        <w:spacing w:after="0" w:line="171" w:lineRule="exact"/>
        <w:rPr>
          <w:sz w:val="20"/>
          <w:szCs w:val="20"/>
          <w:color w:val="auto"/>
        </w:rPr>
      </w:pPr>
    </w:p>
    <w:p>
      <w:pPr>
        <w:ind w:right="40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As of December 31, 2019 and 2018, we had total regulatory assets of $271 million and $284 million, respectively, and total regulatory liabilities of $537 million and $541 million, respectively. See </w:t>
      </w:r>
      <w:hyperlink w:anchor="page117">
        <w:r>
          <w:rPr>
            <w:rFonts w:ascii="Arial" w:cs="Arial" w:eastAsia="Arial" w:hAnsi="Arial"/>
            <w:sz w:val="17"/>
            <w:szCs w:val="17"/>
            <w:u w:val="single" w:color="auto"/>
            <w:color w:val="0000EE"/>
          </w:rPr>
          <w:t>Note 13</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for further information.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00"/>
          </w:cols>
          <w:pgMar w:left="240" w:top="126" w:right="259" w:bottom="1440" w:gutter="0" w:footer="0" w:header="0"/>
        </w:sectPr>
      </w:pPr>
    </w:p>
    <w:bookmarkStart w:id="67" w:name="page68"/>
    <w:bookmarkEnd w:id="6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47"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Accounting standards for testing goodwill for impairment require a two-step process be performed to analyze whether or not goodwill has been impaired. Goodwill is tested for impairment at the reporting unit level. The first step of this test, used to identify potential impairment, compares the estimated fair value of a reporting unit with its carrying amount, including goodwill. If the carrying amount exceeds fair value under the first step, then the second step of the impairment test is performed to measure the amount of any impairment loss.</w:t>
      </w:r>
    </w:p>
    <w:p>
      <w:pPr>
        <w:spacing w:after="0" w:line="187"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Application of the goodwill impairment test requires judgment, including the identification of reporting units and determining the fair value of the reporting unit. We have determined that the reporting units for goodwill impairment testing are our operating segments, or components of an operating segment, that constitute a business for which discrete financial information is available and for which segment management regularly reviews the operating results. We estimate the fair value of our reporting units using a combination of an income approach, which estimates fair value based on discounted future cash flows, and a market approach, which estimates fair value based on market comparables within the utility and energy industries. These valuations require significant judgments, including, but not limited to: 1) estimates of future cash flows, based on our internal five-year business plans and adjusted as appropriate for our view of market participant assumptions, with long range cash flows estimated using a terminal value calculation; 2) estimates of long-term growth rates for our businesses; 3) the determination of an appropriate weighted-average cost of capital or discount rate; and 4) the utilization of market information such as recent sales transactions for comparable assets within the utility and energy industries. Varying by reporting unit, weighted average cost of capital in the range of 5% to 6% and long-term growth rate projections in the 1% to 2% range were utilized in the goodwill impairment test performed in the fourth quarter of 2019. Although 1% to 2% was used for a long-term growth rate projection, the short-term projected growth rate is higher with planned recovery of capital investments through rider mechanisms and rate reviews, as well as other improved efficiency and cost reduction initiatives. Under the market approach, we estimate fair value using multiples derived from comparable sales transactions and enterprise value to EBITDA for comparative peer companies for each respective reporting unit. These multiples are applied to operating data for each reporting unit to arrive at an indication of fair value. In addition, we add a reasonable control premium when calculating fair value utilizing the peer multiples, which is estimated as the premium that would be received in a sale in an orderly transaction between market participants.</w:t>
      </w:r>
    </w:p>
    <w:p>
      <w:pPr>
        <w:spacing w:after="0" w:line="178"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The estimates and assumptions used in the impairment assessments are based on available market information and we believe they are reasonable. However, variations in any of the assumptions could result in materially different calculations of fair value and determinations of whether or not an impairment is indicated. For the years ended December 31, 2019, 2018, and 2017, there were no impairment losses recorded. At December 31, 2019, the fair value substantially exceeded the carrying value at all reporting units.</w:t>
      </w:r>
    </w:p>
    <w:p>
      <w:pPr>
        <w:spacing w:after="0" w:line="187" w:lineRule="exact"/>
        <w:rPr>
          <w:sz w:val="20"/>
          <w:szCs w:val="20"/>
          <w:color w:val="auto"/>
        </w:rPr>
      </w:pPr>
    </w:p>
    <w:p>
      <w:pPr>
        <w:ind w:right="4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described in </w:t>
      </w:r>
      <w:hyperlink w:anchor="page8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we have prospectively adopted ASU 2017-04, Simplifying the Test for Goodwill Impairment, on January 1, 2020.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and Other Postretirement Benefits</w:t>
      </w:r>
    </w:p>
    <w:p>
      <w:pPr>
        <w:spacing w:after="0" w:line="229" w:lineRule="exact"/>
        <w:rPr>
          <w:sz w:val="20"/>
          <w:szCs w:val="20"/>
          <w:color w:val="auto"/>
        </w:rPr>
      </w:pPr>
    </w:p>
    <w:p>
      <w:pPr>
        <w:ind w:right="1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As described in </w:t>
      </w:r>
      <w:hyperlink w:anchor="page129">
        <w:r>
          <w:rPr>
            <w:rFonts w:ascii="Arial" w:cs="Arial" w:eastAsia="Arial" w:hAnsi="Arial"/>
            <w:sz w:val="18"/>
            <w:szCs w:val="18"/>
            <w:u w:val="single" w:color="auto"/>
            <w:color w:val="0000EE"/>
          </w:rPr>
          <w:t>Note 18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we have one defined benefit pension plan, one defined post-retirement healthcare plan and several non-qualified retirement plans. A Master Trust holds the assets for the pension plan. A trust for the funded portion of the post-retirement healthcare plan has also been established.</w:t>
      </w:r>
    </w:p>
    <w:p>
      <w:pPr>
        <w:spacing w:after="0" w:line="181"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Accounting for pension and other postretirement benefit obligations involves numerous assumptions, the most significant of which relate to the discount rates, healthcare cost trend rates, expected return on plan assets, compensation increases, retirement rates and mortality rates. The determination of our obligation and expenses for pension and other postretirement benefits is dependent on the assumptions determined by management and used by actuaries in calculating the amounts. Although we believe our assumptions are appropriate, significant differences in our actual experience or significant changes in our assumptions may materially affect our pension and other postretirement obligations and our future expense.</w:t>
      </w:r>
    </w:p>
    <w:p>
      <w:pPr>
        <w:spacing w:after="0" w:line="173"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2020 pension benefit cost for our non-contributory funded pension plan is expected to be $10.2 million compared to $2.1 million in 2019. The increase in pension benefit cost is driven primarily by a decrease in the discount rate and lower expected return on assets.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126" w:right="239" w:bottom="1440" w:gutter="0" w:footer="0" w:header="0"/>
        </w:sectPr>
      </w:pPr>
    </w:p>
    <w:bookmarkStart w:id="68" w:name="page69"/>
    <w:bookmarkEnd w:id="6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effect of hypothetical changes to selected assumptions on the pension and other postretirement benefit plans would be as follows in thousands of dollars:</w:t>
      </w:r>
    </w:p>
    <w:p>
      <w:pPr>
        <w:spacing w:after="0" w:line="194" w:lineRule="exact"/>
        <w:rPr>
          <w:sz w:val="20"/>
          <w:szCs w:val="20"/>
          <w:color w:val="auto"/>
        </w:rPr>
      </w:pPr>
    </w:p>
    <w:p>
      <w:pPr>
        <w:ind w:left="8540"/>
        <w:spacing w:after="0"/>
        <w:rPr>
          <w:sz w:val="20"/>
          <w:szCs w:val="20"/>
          <w:color w:val="auto"/>
        </w:rPr>
      </w:pPr>
      <w:r>
        <w:rPr>
          <w:rFonts w:ascii="Arial" w:cs="Arial" w:eastAsia="Arial" w:hAnsi="Arial"/>
          <w:sz w:val="18"/>
          <w:szCs w:val="18"/>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0751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075170" cy="8890"/>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9"/>
              </w:rPr>
              <w:t>2019</w:t>
            </w:r>
          </w:p>
        </w:tc>
        <w:tc>
          <w:tcPr>
            <w:tcW w:w="2080" w:type="dxa"/>
            <w:vAlign w:val="bottom"/>
          </w:tcPr>
          <w:p>
            <w:pPr>
              <w:jc w:val="center"/>
              <w:ind w:left="30"/>
              <w:spacing w:after="0"/>
              <w:rPr>
                <w:sz w:val="20"/>
                <w:szCs w:val="20"/>
                <w:color w:val="auto"/>
              </w:rPr>
            </w:pPr>
            <w:r>
              <w:rPr>
                <w:rFonts w:ascii="Arial" w:cs="Arial" w:eastAsia="Arial" w:hAnsi="Arial"/>
                <w:sz w:val="18"/>
                <w:szCs w:val="18"/>
                <w:color w:val="auto"/>
                <w:w w:val="89"/>
              </w:rPr>
              <w:t>2020</w:t>
            </w:r>
          </w:p>
        </w:tc>
      </w:tr>
      <w:tr>
        <w:trPr>
          <w:trHeight w:val="216"/>
        </w:trPr>
        <w:tc>
          <w:tcPr>
            <w:tcW w:w="390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w w:val="88"/>
              </w:rPr>
              <w:t>Increase/(Decrease)</w:t>
            </w:r>
          </w:p>
        </w:tc>
        <w:tc>
          <w:tcPr>
            <w:tcW w:w="2080" w:type="dxa"/>
            <w:vAlign w:val="bottom"/>
          </w:tcPr>
          <w:p>
            <w:pPr>
              <w:ind w:left="400"/>
              <w:spacing w:after="0"/>
              <w:rPr>
                <w:sz w:val="20"/>
                <w:szCs w:val="20"/>
                <w:color w:val="auto"/>
              </w:rPr>
            </w:pPr>
            <w:r>
              <w:rPr>
                <w:rFonts w:ascii="Arial" w:cs="Arial" w:eastAsia="Arial" w:hAnsi="Arial"/>
                <w:sz w:val="18"/>
                <w:szCs w:val="18"/>
                <w:color w:val="auto"/>
              </w:rPr>
              <w:t>Increase/(Decrease)</w:t>
            </w:r>
          </w:p>
        </w:tc>
      </w:tr>
      <w:tr>
        <w:trPr>
          <w:trHeight w:val="257"/>
        </w:trPr>
        <w:tc>
          <w:tcPr>
            <w:tcW w:w="390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Assumptions</w:t>
            </w:r>
          </w:p>
        </w:tc>
        <w:tc>
          <w:tcPr>
            <w:tcW w:w="3140" w:type="dxa"/>
            <w:vAlign w:val="bottom"/>
            <w:tcBorders>
              <w:bottom w:val="single" w:sz="8" w:color="auto"/>
            </w:tcBorders>
          </w:tcPr>
          <w:p>
            <w:pPr>
              <w:jc w:val="center"/>
              <w:ind w:left="1270"/>
              <w:spacing w:after="0"/>
              <w:rPr>
                <w:sz w:val="20"/>
                <w:szCs w:val="20"/>
                <w:color w:val="auto"/>
              </w:rPr>
            </w:pPr>
            <w:r>
              <w:rPr>
                <w:rFonts w:ascii="Arial" w:cs="Arial" w:eastAsia="Arial" w:hAnsi="Arial"/>
                <w:sz w:val="18"/>
                <w:szCs w:val="18"/>
                <w:color w:val="auto"/>
                <w:w w:val="86"/>
              </w:rPr>
              <w:t>Percentage Change</w:t>
            </w:r>
          </w:p>
        </w:tc>
        <w:tc>
          <w:tcPr>
            <w:tcW w:w="2020" w:type="dxa"/>
            <w:vAlign w:val="bottom"/>
            <w:tcBorders>
              <w:bottom w:val="single" w:sz="8" w:color="auto"/>
            </w:tcBorders>
          </w:tcPr>
          <w:p>
            <w:pPr>
              <w:jc w:val="center"/>
              <w:ind w:right="150"/>
              <w:spacing w:after="0" w:line="257" w:lineRule="exact"/>
              <w:rPr>
                <w:sz w:val="20"/>
                <w:szCs w:val="20"/>
                <w:color w:val="auto"/>
              </w:rPr>
            </w:pPr>
            <w:r>
              <w:rPr>
                <w:rFonts w:ascii="Arial" w:cs="Arial" w:eastAsia="Arial" w:hAnsi="Arial"/>
                <w:sz w:val="18"/>
                <w:szCs w:val="18"/>
                <w:color w:val="auto"/>
                <w:w w:val="89"/>
              </w:rPr>
              <w:t xml:space="preserve">PBO/APBO </w:t>
            </w:r>
            <w:r>
              <w:rPr>
                <w:rFonts w:ascii="Arial" w:cs="Arial" w:eastAsia="Arial" w:hAnsi="Arial"/>
                <w:sz w:val="25"/>
                <w:szCs w:val="25"/>
                <w:color w:val="auto"/>
                <w:w w:val="89"/>
                <w:vertAlign w:val="superscript"/>
              </w:rPr>
              <w:t>(a)</w:t>
            </w:r>
          </w:p>
        </w:tc>
        <w:tc>
          <w:tcPr>
            <w:tcW w:w="2080" w:type="dxa"/>
            <w:vAlign w:val="bottom"/>
            <w:tcBorders>
              <w:bottom w:val="single" w:sz="8" w:color="auto"/>
            </w:tcBorders>
          </w:tcPr>
          <w:p>
            <w:pPr>
              <w:ind w:left="480"/>
              <w:spacing w:after="0"/>
              <w:rPr>
                <w:sz w:val="20"/>
                <w:szCs w:val="20"/>
                <w:color w:val="auto"/>
              </w:rPr>
            </w:pPr>
            <w:r>
              <w:rPr>
                <w:rFonts w:ascii="Arial" w:cs="Arial" w:eastAsia="Arial" w:hAnsi="Arial"/>
                <w:sz w:val="18"/>
                <w:szCs w:val="18"/>
                <w:color w:val="auto"/>
              </w:rPr>
              <w:t>Expense - Pretax</w:t>
            </w:r>
          </w:p>
        </w:tc>
      </w:tr>
      <w:tr>
        <w:trPr>
          <w:trHeight w:val="561"/>
        </w:trPr>
        <w:tc>
          <w:tcPr>
            <w:tcW w:w="3900" w:type="dxa"/>
            <w:vAlign w:val="bottom"/>
          </w:tcPr>
          <w:p>
            <w:pPr>
              <w:ind w:left="40"/>
              <w:spacing w:after="0"/>
              <w:rPr>
                <w:sz w:val="20"/>
                <w:szCs w:val="20"/>
                <w:color w:val="auto"/>
              </w:rPr>
            </w:pPr>
            <w:r>
              <w:rPr>
                <w:rFonts w:ascii="Arial" w:cs="Arial" w:eastAsia="Arial" w:hAnsi="Arial"/>
                <w:sz w:val="18"/>
                <w:szCs w:val="18"/>
                <w:color w:val="auto"/>
              </w:rPr>
              <w:t>Pension</w:t>
            </w:r>
          </w:p>
        </w:tc>
        <w:tc>
          <w:tcPr>
            <w:tcW w:w="314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080" w:type="dxa"/>
            <w:vAlign w:val="bottom"/>
          </w:tcPr>
          <w:p>
            <w:pPr>
              <w:spacing w:after="0"/>
              <w:rPr>
                <w:sz w:val="24"/>
                <w:szCs w:val="24"/>
                <w:color w:val="auto"/>
              </w:rPr>
            </w:pP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shd w:val="clear" w:color="auto" w:fill="CEFFE7"/>
          </w:tcPr>
          <w:p>
            <w:pPr>
              <w:ind w:left="44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140" w:type="dxa"/>
            <w:vAlign w:val="bottom"/>
            <w:shd w:val="clear" w:color="auto" w:fill="CEFFE7"/>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shd w:val="clear" w:color="auto" w:fill="CEFFE7"/>
          </w:tcPr>
          <w:p>
            <w:pPr>
              <w:jc w:val="center"/>
              <w:ind w:right="130"/>
              <w:spacing w:after="0"/>
              <w:rPr>
                <w:sz w:val="20"/>
                <w:szCs w:val="20"/>
                <w:color w:val="auto"/>
              </w:rPr>
            </w:pPr>
            <w:r>
              <w:rPr>
                <w:rFonts w:ascii="Arial" w:cs="Arial" w:eastAsia="Arial" w:hAnsi="Arial"/>
                <w:sz w:val="18"/>
                <w:szCs w:val="18"/>
                <w:color w:val="auto"/>
                <w:w w:val="91"/>
              </w:rPr>
              <w:t>(28,998)/31,912</w:t>
            </w:r>
          </w:p>
        </w:tc>
        <w:tc>
          <w:tcPr>
            <w:tcW w:w="208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1"/>
              </w:rPr>
              <w:t>(3,965)/4,311</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140" w:type="dxa"/>
            <w:vAlign w:val="bottom"/>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1"/>
              </w:rPr>
              <w:t>(2,036)/2,036</w:t>
            </w: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324"/>
        </w:trPr>
        <w:tc>
          <w:tcPr>
            <w:tcW w:w="3900" w:type="dxa"/>
            <w:vAlign w:val="bottom"/>
            <w:shd w:val="clear" w:color="auto" w:fill="CEFFE7"/>
          </w:tcPr>
          <w:p>
            <w:pPr>
              <w:spacing w:after="0"/>
              <w:rPr>
                <w:sz w:val="24"/>
                <w:szCs w:val="24"/>
                <w:color w:val="auto"/>
              </w:rPr>
            </w:pPr>
          </w:p>
        </w:tc>
        <w:tc>
          <w:tcPr>
            <w:tcW w:w="3140" w:type="dxa"/>
            <w:vAlign w:val="bottom"/>
            <w:shd w:val="clear" w:color="auto" w:fill="CEFFE7"/>
          </w:tcPr>
          <w:p>
            <w:pPr>
              <w:spacing w:after="0"/>
              <w:rPr>
                <w:sz w:val="24"/>
                <w:szCs w:val="24"/>
                <w:color w:val="auto"/>
              </w:rPr>
            </w:pPr>
          </w:p>
        </w:tc>
        <w:tc>
          <w:tcPr>
            <w:tcW w:w="2020" w:type="dxa"/>
            <w:vAlign w:val="bottom"/>
            <w:shd w:val="clear" w:color="auto" w:fill="CEFFE7"/>
          </w:tcPr>
          <w:p>
            <w:pPr>
              <w:spacing w:after="0"/>
              <w:rPr>
                <w:sz w:val="24"/>
                <w:szCs w:val="24"/>
                <w:color w:val="auto"/>
              </w:rPr>
            </w:pPr>
          </w:p>
        </w:tc>
        <w:tc>
          <w:tcPr>
            <w:tcW w:w="2080" w:type="dxa"/>
            <w:vAlign w:val="bottom"/>
            <w:shd w:val="clear" w:color="auto" w:fill="CEFFE7"/>
          </w:tcPr>
          <w:p>
            <w:pPr>
              <w:spacing w:after="0"/>
              <w:rPr>
                <w:sz w:val="24"/>
                <w:szCs w:val="24"/>
                <w:color w:val="auto"/>
              </w:rPr>
            </w:pP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OPEB</w:t>
            </w:r>
          </w:p>
        </w:tc>
        <w:tc>
          <w:tcPr>
            <w:tcW w:w="3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390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02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3900" w:type="dxa"/>
            <w:vAlign w:val="bottom"/>
            <w:shd w:val="clear" w:color="auto" w:fill="CEFFE7"/>
          </w:tcPr>
          <w:p>
            <w:pPr>
              <w:ind w:left="44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(b)</w:t>
            </w:r>
          </w:p>
        </w:tc>
        <w:tc>
          <w:tcPr>
            <w:tcW w:w="3140" w:type="dxa"/>
            <w:vAlign w:val="bottom"/>
            <w:shd w:val="clear" w:color="auto" w:fill="CEFFE7"/>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w w:val="91"/>
              </w:rPr>
              <w:t>(2,836)/3,095</w:t>
            </w:r>
          </w:p>
        </w:tc>
        <w:tc>
          <w:tcPr>
            <w:tcW w:w="2080" w:type="dxa"/>
            <w:vAlign w:val="bottom"/>
            <w:shd w:val="clear" w:color="auto" w:fill="CEFFE7"/>
          </w:tcPr>
          <w:p>
            <w:pPr>
              <w:jc w:val="center"/>
              <w:ind w:left="10"/>
              <w:spacing w:after="0"/>
              <w:rPr>
                <w:sz w:val="20"/>
                <w:szCs w:val="20"/>
                <w:color w:val="auto"/>
              </w:rPr>
            </w:pPr>
            <w:r>
              <w:rPr>
                <w:rFonts w:ascii="Arial" w:cs="Arial" w:eastAsia="Arial" w:hAnsi="Arial"/>
                <w:sz w:val="18"/>
                <w:szCs w:val="18"/>
                <w:color w:val="auto"/>
                <w:w w:val="90"/>
              </w:rPr>
              <w:t>90/116</w:t>
            </w:r>
          </w:p>
        </w:tc>
      </w:tr>
      <w:tr>
        <w:trPr>
          <w:trHeight w:val="243"/>
        </w:trPr>
        <w:tc>
          <w:tcPr>
            <w:tcW w:w="3900" w:type="dxa"/>
            <w:vAlign w:val="bottom"/>
          </w:tcPr>
          <w:p>
            <w:pPr>
              <w:ind w:left="440"/>
              <w:spacing w:after="0"/>
              <w:rPr>
                <w:sz w:val="20"/>
                <w:szCs w:val="20"/>
                <w:color w:val="auto"/>
              </w:rPr>
            </w:pPr>
            <w:r>
              <w:rPr>
                <w:rFonts w:ascii="Arial" w:cs="Arial" w:eastAsia="Arial" w:hAnsi="Arial"/>
                <w:sz w:val="18"/>
                <w:szCs w:val="18"/>
                <w:color w:val="auto"/>
              </w:rPr>
              <w:t>Expected return on assets</w:t>
            </w:r>
          </w:p>
        </w:tc>
        <w:tc>
          <w:tcPr>
            <w:tcW w:w="3140" w:type="dxa"/>
            <w:vAlign w:val="bottom"/>
          </w:tcPr>
          <w:p>
            <w:pPr>
              <w:jc w:val="center"/>
              <w:ind w:left="1330"/>
              <w:spacing w:after="0"/>
              <w:rPr>
                <w:sz w:val="20"/>
                <w:szCs w:val="20"/>
                <w:color w:val="auto"/>
              </w:rPr>
            </w:pPr>
            <w:r>
              <w:rPr>
                <w:rFonts w:ascii="Arial" w:cs="Arial" w:eastAsia="Arial" w:hAnsi="Arial"/>
                <w:sz w:val="18"/>
                <w:szCs w:val="18"/>
                <w:color w:val="auto"/>
                <w:w w:val="93"/>
              </w:rPr>
              <w:t>+/- 0.5</w:t>
            </w:r>
          </w:p>
        </w:tc>
        <w:tc>
          <w:tcPr>
            <w:tcW w:w="2020" w:type="dxa"/>
            <w:vAlign w:val="bottom"/>
          </w:tcPr>
          <w:p>
            <w:pPr>
              <w:jc w:val="center"/>
              <w:ind w:right="130"/>
              <w:spacing w:after="0"/>
              <w:rPr>
                <w:sz w:val="20"/>
                <w:szCs w:val="20"/>
                <w:color w:val="auto"/>
              </w:rPr>
            </w:pPr>
            <w:r>
              <w:rPr>
                <w:rFonts w:ascii="Arial" w:cs="Arial" w:eastAsia="Arial" w:hAnsi="Arial"/>
                <w:sz w:val="18"/>
                <w:szCs w:val="18"/>
                <w:color w:val="auto"/>
              </w:rPr>
              <w:t>N/A</w:t>
            </w:r>
          </w:p>
        </w:tc>
        <w:tc>
          <w:tcPr>
            <w:tcW w:w="2080" w:type="dxa"/>
            <w:vAlign w:val="bottom"/>
          </w:tcPr>
          <w:p>
            <w:pPr>
              <w:jc w:val="center"/>
              <w:ind w:left="10"/>
              <w:spacing w:after="0"/>
              <w:rPr>
                <w:sz w:val="20"/>
                <w:szCs w:val="20"/>
                <w:color w:val="auto"/>
              </w:rPr>
            </w:pPr>
            <w:r>
              <w:rPr>
                <w:rFonts w:ascii="Arial" w:cs="Arial" w:eastAsia="Arial" w:hAnsi="Arial"/>
                <w:sz w:val="18"/>
                <w:szCs w:val="18"/>
                <w:color w:val="auto"/>
                <w:w w:val="94"/>
              </w:rPr>
              <w:t>(39)/39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__________________________</w:t>
            </w:r>
          </w:p>
        </w:tc>
        <w:tc>
          <w:tcPr>
            <w:tcW w:w="3140" w:type="dxa"/>
            <w:vAlign w:val="bottom"/>
          </w:tcPr>
          <w:p>
            <w:pPr>
              <w:spacing w:after="0"/>
              <w:rPr>
                <w:sz w:val="21"/>
                <w:szCs w:val="21"/>
                <w:color w:val="auto"/>
              </w:rPr>
            </w:pPr>
          </w:p>
        </w:tc>
        <w:tc>
          <w:tcPr>
            <w:tcW w:w="2020" w:type="dxa"/>
            <w:vAlign w:val="bottom"/>
          </w:tcPr>
          <w:p>
            <w:pPr>
              <w:spacing w:after="0"/>
              <w:rPr>
                <w:sz w:val="21"/>
                <w:szCs w:val="21"/>
                <w:color w:val="auto"/>
              </w:rPr>
            </w:pPr>
          </w:p>
        </w:tc>
        <w:tc>
          <w:tcPr>
            <w:tcW w:w="2080" w:type="dxa"/>
            <w:vAlign w:val="bottom"/>
          </w:tcPr>
          <w:p>
            <w:pPr>
              <w:spacing w:after="0"/>
              <w:rPr>
                <w:sz w:val="21"/>
                <w:szCs w:val="21"/>
                <w:color w:val="auto"/>
              </w:rPr>
            </w:pPr>
          </w:p>
        </w:tc>
      </w:tr>
    </w:tbl>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Projected benefit obligation (PBO) for the pension plan and accumulated postretirement benefit obligation (APBO) for OPEB plans.</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Impact on service cost, interest cost and amortization of gains or losses.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The Company and its subsidiaries file consolidated federal income tax returns. Each entity records income taxes as if it were a separate taxpayer for both federal and state income tax purposes and consolidating adjustments are allocated to the subsidiaries based on separate company computations of taxable income or loss.</w:t>
      </w:r>
    </w:p>
    <w:p>
      <w:pPr>
        <w:spacing w:after="0" w:line="181"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The Company uses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of December 31, 2019, we have a regulatory liability associated with TCJA related items of $285 million, completing our accounting for the revaluation of deferred taxes pursuant to the TCJA. A significant portion of the excess deferred taxes are subject to the average rate assumption method, as prescribed by the IRS, and will generally be amortized as a reduction of customer rates over the remaining lives of the related assets.</w:t>
      </w:r>
    </w:p>
    <w:p>
      <w:pPr>
        <w:spacing w:after="0" w:line="16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2019, the Company has amortized $6.5 million of regulatory liability associated with TCJA related items. The portion that was eligible for amortization under the average rate assumption method in 2019,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187" w:lineRule="exact"/>
        <w:rPr>
          <w:sz w:val="20"/>
          <w:szCs w:val="20"/>
          <w:color w:val="auto"/>
        </w:rPr>
      </w:pPr>
    </w:p>
    <w:p>
      <w:pPr>
        <w:jc w:val="both"/>
        <w:ind w:right="120"/>
        <w:spacing w:after="0" w:line="297" w:lineRule="auto"/>
        <w:rPr>
          <w:sz w:val="20"/>
          <w:szCs w:val="20"/>
          <w:color w:val="auto"/>
        </w:rPr>
      </w:pPr>
      <w:r>
        <w:rPr>
          <w:rFonts w:ascii="Arial" w:cs="Arial" w:eastAsia="Arial" w:hAnsi="Arial"/>
          <w:sz w:val="16"/>
          <w:szCs w:val="16"/>
          <w:color w:val="auto"/>
        </w:rPr>
        <w:t>In assessing the realization of deferred tax assets, management considers whether it is more likely than not that some portion or all of the deferred tax assets will not be realized and provides any necessary valuation allowances as required. If we determine that we will be unable to realize all or part of our deferred tax assets in the future, an adjustment to the deferred tax asset would be charged to income in the period such determination was made. Although we believe our assumptions, judgments and estimates are reasonable, changes in tax laws or our interpretations of tax laws and the resolution of current and any future tax audits could significantly impact the amounts provided for income taxes in our consolidated financial statements.</w:t>
      </w:r>
    </w:p>
    <w:p>
      <w:pPr>
        <w:spacing w:after="0" w:line="15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4">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for additional information.</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00"/>
          </w:cols>
          <w:pgMar w:left="240" w:top="126" w:right="259" w:bottom="1440" w:gutter="0" w:footer="0" w:header="0"/>
        </w:sectPr>
      </w:pPr>
    </w:p>
    <w:bookmarkStart w:id="69" w:name="page70"/>
    <w:bookmarkEnd w:id="6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Market Risk Disclosures</w:t>
      </w:r>
    </w:p>
    <w:p>
      <w:pPr>
        <w:spacing w:after="0" w:line="229" w:lineRule="exact"/>
        <w:rPr>
          <w:sz w:val="20"/>
          <w:szCs w:val="20"/>
          <w:color w:val="auto"/>
        </w:rPr>
      </w:pPr>
    </w:p>
    <w:p>
      <w:pPr>
        <w:ind w:right="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market risk disclosures are detailed in </w:t>
      </w:r>
      <w:hyperlink w:anchor="page107">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with additional information provided in the following paragraphs.</w:t>
      </w:r>
    </w:p>
    <w:p>
      <w:pPr>
        <w:spacing w:after="0" w:line="170" w:lineRule="exact"/>
        <w:rPr>
          <w:sz w:val="20"/>
          <w:szCs w:val="20"/>
          <w:color w:val="auto"/>
        </w:rPr>
      </w:pPr>
    </w:p>
    <w:p>
      <w:pPr>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Our exposure to the market risks detailed in </w:t>
      </w:r>
      <w:hyperlink w:anchor="page107">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is also affected by other factors including the size, duration and composition of our energy portfolio, the absolute and relative levels of interest rates and commodity prices, the volatility of these prices and rates and the liquidity of the related interest rate and commodity markets.</w:t>
      </w:r>
    </w:p>
    <w:p>
      <w:pPr>
        <w:spacing w:after="0" w:line="181"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Black Hills Corporation Risk Policies and Procedures have been approved by our Executive Risk Committee. These policies relate to numerous matters including governance, control infrastructure, authorized commodities and trading instruments, prohibited activities and employee conduct. We report any issues or concerns pertaining to the Risk Policies and Procedures to the Audit Committee of our Board of Directors. The Executive Risk Committee, which includes senior level executives, meets at least quarterly and as necessary, appropriate or desirable, to review our business and credit activities and to ensure that these activities are conducted within the authorized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and Gas Utilities</w:t>
      </w:r>
    </w:p>
    <w:p>
      <w:pPr>
        <w:spacing w:after="0" w:line="229" w:lineRule="exact"/>
        <w:rPr>
          <w:sz w:val="20"/>
          <w:szCs w:val="20"/>
          <w:color w:val="auto"/>
        </w:rPr>
      </w:pPr>
    </w:p>
    <w:p>
      <w:pPr>
        <w:spacing w:after="0" w:line="272" w:lineRule="auto"/>
        <w:rPr>
          <w:rFonts w:ascii="Arial" w:cs="Arial" w:eastAsia="Arial" w:hAnsi="Arial"/>
          <w:sz w:val="17"/>
          <w:szCs w:val="17"/>
          <w:color w:val="auto"/>
        </w:rPr>
      </w:pPr>
      <w:r>
        <w:rPr>
          <w:rFonts w:ascii="Arial" w:cs="Arial" w:eastAsia="Arial" w:hAnsi="Arial"/>
          <w:sz w:val="17"/>
          <w:szCs w:val="17"/>
          <w:color w:val="auto"/>
        </w:rPr>
        <w:t xml:space="preserve">We produce, purchase and distribute power in four states, and purchase and distribute natural gas in six states. Our utilities have various provisions that allow them to pass the prudently-incurred cost of energy through to the customer. To the extent energy prices are higher or lower than amounts in our current billing rates, adjustments are made on a periodic basis to “true-up” billed amounts to match the actual energy cost we incurred. In Colorado, South Dakota and Wyoming, we have ECA or PCA provisions that adjust electric rates when energy costs are higher or lower than the costs included in our tariffs. In Arkansas, Colorado, Iowa, Kansas, Nebraska and Wyoming, we have GCA provisions that adjust natural gas rates when our natural gas costs are higher or lower than the energy cost included in our tariffs. These adjustments are subject to periodic prudence reviews by the state utility commissions. See additional information in </w:t>
      </w:r>
      <w:hyperlink w:anchor="page107">
        <w:r>
          <w:rPr>
            <w:rFonts w:ascii="Arial" w:cs="Arial" w:eastAsia="Arial" w:hAnsi="Arial"/>
            <w:sz w:val="17"/>
            <w:szCs w:val="17"/>
            <w:u w:val="single" w:color="auto"/>
            <w:color w:val="0000EE"/>
          </w:rPr>
          <w:t>Note 9</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the Notes to the Consolidated Financial Statements in this Annual Report on Form 10-K.</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Wholesale Power</w:t>
      </w:r>
    </w:p>
    <w:p>
      <w:pPr>
        <w:spacing w:after="0" w:line="225"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A potential risk related to power sales is the price risk arising from the sale of wholesale power that exceeds our generating capacity. These potential short positions can arise from unplanned plant outages or from unanticipated load demands. To manage such risk, we restrict wholesale off-system sales to amounts by which our anticipated generating capabilities and purchased power resources exceed our anticipated load requirements plus a required reserve margin.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Financing Activities</w:t>
      </w:r>
    </w:p>
    <w:p>
      <w:pPr>
        <w:spacing w:after="0" w:line="229" w:lineRule="exact"/>
        <w:rPr>
          <w:sz w:val="20"/>
          <w:szCs w:val="20"/>
          <w:color w:val="auto"/>
        </w:rPr>
      </w:pPr>
    </w:p>
    <w:p>
      <w:pPr>
        <w:ind w:right="4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Periodically, we have engaged in activities to manage risks associated with changes in interest rates. We have utilized pay-fixed interest rate swap agreements to reduce exposure to interest rate fluctuations associated with floating rate debt obligations and anticipated debt refinancings. At December 31, 2019, we had no interest rate swaps in place. As discussed in </w:t>
      </w:r>
      <w:hyperlink w:anchor="page57">
        <w:r>
          <w:rPr>
            <w:rFonts w:ascii="Arial" w:cs="Arial" w:eastAsia="Arial" w:hAnsi="Arial"/>
            <w:sz w:val="18"/>
            <w:szCs w:val="18"/>
            <w:u w:val="single" w:color="auto"/>
            <w:color w:val="0000EE"/>
          </w:rPr>
          <w:t>Item 7 - Liquidity and Capital Resources</w:t>
        </w:r>
      </w:hyperlink>
      <w:r>
        <w:rPr>
          <w:rFonts w:ascii="Arial" w:cs="Arial" w:eastAsia="Arial" w:hAnsi="Arial"/>
          <w:sz w:val="18"/>
          <w:szCs w:val="18"/>
          <w:color w:val="auto"/>
        </w:rPr>
        <w:t>, 90% of our variable interest rate exposure has been mitigated through issuing fixed rate debt.</w:t>
      </w:r>
    </w:p>
    <w:p>
      <w:pPr>
        <w:spacing w:after="0" w:line="187"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Further details of past swap agreements are set forth in </w:t>
      </w:r>
      <w:hyperlink w:anchor="page107">
        <w:r>
          <w:rPr>
            <w:rFonts w:ascii="Arial" w:cs="Arial" w:eastAsia="Arial" w:hAnsi="Arial"/>
            <w:sz w:val="16"/>
            <w:szCs w:val="16"/>
            <w:u w:val="single" w:color="auto"/>
            <w:color w:val="0000EE"/>
          </w:rPr>
          <w:t>Note 9</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of the Notes to the Consolidated Financial Statements in this Annual Report on Form 10-K.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Risk</w:t>
      </w:r>
    </w:p>
    <w:p>
      <w:pPr>
        <w:spacing w:after="0" w:line="229" w:lineRule="exact"/>
        <w:rPr>
          <w:sz w:val="20"/>
          <w:szCs w:val="20"/>
          <w:color w:val="auto"/>
        </w:rPr>
      </w:pPr>
    </w:p>
    <w:p>
      <w:pPr>
        <w:ind w:right="14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Our credit risk disclosures are detailed in </w:t>
      </w:r>
      <w:hyperlink w:anchor="page107">
        <w:r>
          <w:rPr>
            <w:rFonts w:ascii="Arial" w:cs="Arial" w:eastAsia="Arial" w:hAnsi="Arial"/>
            <w:sz w:val="18"/>
            <w:szCs w:val="18"/>
            <w:u w:val="single" w:color="auto"/>
            <w:color w:val="0000EE"/>
          </w:rPr>
          <w:t>Note 9</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with additional information provided below.</w:t>
      </w:r>
    </w:p>
    <w:p>
      <w:pPr>
        <w:spacing w:after="0" w:line="170"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We have adopted the Black Hills Corporation Credit Policy that establishes guidelines, controls and limits to manage and mitigate credit risk within risk tolerances established by the Board of Directors. In addition, our Executive Risk Committee, which includes senior executives, meets on a regular basis to review our credit activities and to monitor compliance with the adopted policies.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126" w:right="259" w:bottom="1440" w:gutter="0" w:footer="0" w:header="0"/>
        </w:sectPr>
      </w:pPr>
    </w:p>
    <w:bookmarkStart w:id="70" w:name="page71"/>
    <w:bookmarkEnd w:id="70"/>
    <w:p>
      <w:pPr>
        <w:jc w:val="center"/>
        <w:ind w:right="-139"/>
        <w:spacing w:after="0"/>
        <w:rPr>
          <w:sz w:val="20"/>
          <w:szCs w:val="20"/>
          <w:color w:val="auto"/>
        </w:rPr>
      </w:pPr>
      <w:r>
        <w:rPr>
          <w:rFonts w:ascii="Arial" w:cs="Arial" w:eastAsia="Arial" w:hAnsi="Arial"/>
          <w:sz w:val="18"/>
          <w:szCs w:val="18"/>
          <w:b w:val="1"/>
          <w:bCs w:val="1"/>
          <w:color w:val="auto"/>
        </w:rPr>
        <w:t>New Accounting Pronouncements</w:t>
      </w:r>
    </w:p>
    <w:p>
      <w:pPr>
        <w:spacing w:after="0" w:line="229" w:lineRule="exact"/>
        <w:rPr>
          <w:sz w:val="20"/>
          <w:szCs w:val="20"/>
          <w:color w:val="auto"/>
        </w:rPr>
      </w:pPr>
    </w:p>
    <w:p>
      <w:pPr>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8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 for information on new accounting standards adopted in 2019 or pending adoption.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80"/>
          </w:cols>
          <w:pgMar w:left="240" w:top="553" w:right="379" w:bottom="1440" w:gutter="0" w:footer="0" w:header="0"/>
        </w:sectPr>
      </w:pPr>
    </w:p>
    <w:bookmarkStart w:id="71" w:name="page72"/>
    <w:bookmarkEnd w:id="7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7"/>
          <w:szCs w:val="17"/>
          <w:b w:val="1"/>
          <w:bCs w:val="1"/>
          <w:color w:val="auto"/>
        </w:rPr>
        <w:t>FINANCIAL STATEMENTS AND SUPPLEMENTARY DATA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0" w:lineRule="exact"/>
        <w:rPr>
          <w:sz w:val="20"/>
          <w:szCs w:val="20"/>
          <w:color w:val="auto"/>
        </w:rPr>
      </w:pP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20" w:type="dxa"/>
            <w:vAlign w:val="bottom"/>
            <w:gridSpan w:val="31"/>
            <w:shd w:val="clear" w:color="auto" w:fill="CEFFE7"/>
          </w:tcPr>
          <w:p>
            <w:pPr>
              <w:ind w:left="40"/>
              <w:spacing w:after="0"/>
              <w:rPr>
                <w:rFonts w:ascii="Arial" w:cs="Arial" w:eastAsia="Arial" w:hAnsi="Arial"/>
                <w:sz w:val="18"/>
                <w:szCs w:val="18"/>
                <w:color w:val="0000EE"/>
                <w:w w:val="96"/>
              </w:rPr>
            </w:pPr>
            <w:hyperlink w:anchor="page73">
              <w:r>
                <w:rPr>
                  <w:rFonts w:ascii="Arial" w:cs="Arial" w:eastAsia="Arial" w:hAnsi="Arial"/>
                  <w:sz w:val="18"/>
                  <w:szCs w:val="18"/>
                  <w:color w:val="0000EE"/>
                  <w:w w:val="96"/>
                </w:rPr>
                <w:t>Management’s Report on Internal Controls Over Financial Reporting</w:t>
              </w:r>
            </w:hyperlink>
          </w:p>
        </w:tc>
        <w:tc>
          <w:tcPr>
            <w:tcW w:w="5560" w:type="dxa"/>
            <w:vAlign w:val="bottom"/>
            <w:gridSpan w:val="3"/>
            <w:shd w:val="clear" w:color="auto" w:fill="CEFFE7"/>
          </w:tcPr>
          <w:p>
            <w:pPr>
              <w:jc w:val="center"/>
              <w:ind w:left="5290"/>
              <w:spacing w:after="0"/>
              <w:rPr>
                <w:rFonts w:ascii="Arial" w:cs="Arial" w:eastAsia="Arial" w:hAnsi="Arial"/>
                <w:sz w:val="18"/>
                <w:szCs w:val="18"/>
                <w:color w:val="0000EE"/>
                <w:w w:val="89"/>
              </w:rPr>
            </w:pPr>
            <w:hyperlink w:anchor="page73">
              <w:r>
                <w:rPr>
                  <w:rFonts w:ascii="Arial" w:cs="Arial" w:eastAsia="Arial" w:hAnsi="Arial"/>
                  <w:sz w:val="18"/>
                  <w:szCs w:val="18"/>
                  <w:color w:val="0000EE"/>
                  <w:w w:val="89"/>
                </w:rPr>
                <w:t>73</w:t>
              </w:r>
            </w:hyperlink>
          </w:p>
        </w:tc>
        <w:tc>
          <w:tcPr>
            <w:tcW w:w="60" w:type="dxa"/>
            <w:vAlign w:val="bottom"/>
            <w:shd w:val="clear" w:color="auto" w:fill="CEFFE7"/>
          </w:tcPr>
          <w:p>
            <w:pPr>
              <w:spacing w:after="0"/>
              <w:rPr>
                <w:sz w:val="17"/>
                <w:szCs w:val="17"/>
                <w:color w:val="auto"/>
              </w:rPr>
            </w:pPr>
          </w:p>
        </w:tc>
        <w:tc>
          <w:tcPr>
            <w:tcW w:w="480" w:type="dxa"/>
            <w:vAlign w:val="bottom"/>
            <w:shd w:val="clear" w:color="auto" w:fill="CEFFE7"/>
          </w:tcPr>
          <w:p>
            <w:pPr>
              <w:spacing w:after="0"/>
              <w:rPr>
                <w:sz w:val="17"/>
                <w:szCs w:val="17"/>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0000EE"/>
            </w:tcBorders>
            <w:shd w:val="clear" w:color="auto" w:fill="CEFFE7"/>
          </w:tcPr>
          <w:p>
            <w:pPr>
              <w:spacing w:after="0"/>
              <w:rPr>
                <w:sz w:val="4"/>
                <w:szCs w:val="4"/>
                <w:color w:val="auto"/>
              </w:rPr>
            </w:pPr>
          </w:p>
        </w:tc>
        <w:tc>
          <w:tcPr>
            <w:tcW w:w="58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5320" w:type="dxa"/>
            <w:vAlign w:val="bottom"/>
            <w:gridSpan w:val="31"/>
          </w:tcPr>
          <w:p>
            <w:pPr>
              <w:ind w:left="40"/>
              <w:spacing w:after="0" w:line="202" w:lineRule="exact"/>
              <w:rPr>
                <w:rFonts w:ascii="Arial" w:cs="Arial" w:eastAsia="Arial" w:hAnsi="Arial"/>
                <w:sz w:val="18"/>
                <w:szCs w:val="18"/>
                <w:color w:val="0000EE"/>
              </w:rPr>
            </w:pPr>
            <w:hyperlink w:anchor="page74">
              <w:r>
                <w:rPr>
                  <w:rFonts w:ascii="Arial" w:cs="Arial" w:eastAsia="Arial" w:hAnsi="Arial"/>
                  <w:sz w:val="18"/>
                  <w:szCs w:val="18"/>
                  <w:color w:val="0000EE"/>
                </w:rPr>
                <w:t>Reports of Independent Registered Public Accounting Firm</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74">
              <w:r>
                <w:rPr>
                  <w:rFonts w:ascii="Arial" w:cs="Arial" w:eastAsia="Arial" w:hAnsi="Arial"/>
                  <w:sz w:val="18"/>
                  <w:szCs w:val="18"/>
                  <w:color w:val="0000EE"/>
                  <w:w w:val="89"/>
                </w:rPr>
                <w:t>74</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324"/>
        </w:trPr>
        <w:tc>
          <w:tcPr>
            <w:tcW w:w="4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14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22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8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120" w:type="dxa"/>
            <w:vAlign w:val="bottom"/>
            <w:shd w:val="clear" w:color="auto" w:fill="CEFFE7"/>
          </w:tcPr>
          <w:p>
            <w:pPr>
              <w:spacing w:after="0"/>
              <w:rPr>
                <w:sz w:val="24"/>
                <w:szCs w:val="24"/>
                <w:color w:val="auto"/>
              </w:rPr>
            </w:pPr>
          </w:p>
        </w:tc>
        <w:tc>
          <w:tcPr>
            <w:tcW w:w="8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54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0" w:type="dxa"/>
            <w:vAlign w:val="bottom"/>
            <w:shd w:val="clear" w:color="auto" w:fill="CEFFE7"/>
          </w:tcPr>
          <w:p>
            <w:pPr>
              <w:spacing w:after="0"/>
              <w:rPr>
                <w:sz w:val="24"/>
                <w:szCs w:val="24"/>
                <w:color w:val="auto"/>
              </w:rPr>
            </w:pPr>
          </w:p>
        </w:tc>
        <w:tc>
          <w:tcPr>
            <w:tcW w:w="320" w:type="dxa"/>
            <w:vAlign w:val="bottom"/>
            <w:shd w:val="clear" w:color="auto" w:fill="CEFFE7"/>
          </w:tcPr>
          <w:p>
            <w:pPr>
              <w:spacing w:after="0"/>
              <w:rPr>
                <w:sz w:val="24"/>
                <w:szCs w:val="24"/>
                <w:color w:val="auto"/>
              </w:rPr>
            </w:pPr>
          </w:p>
        </w:tc>
        <w:tc>
          <w:tcPr>
            <w:tcW w:w="5340" w:type="dxa"/>
            <w:vAlign w:val="bottom"/>
            <w:shd w:val="clear" w:color="auto" w:fill="CEFFE7"/>
          </w:tcPr>
          <w:p>
            <w:pPr>
              <w:spacing w:after="0"/>
              <w:rPr>
                <w:sz w:val="24"/>
                <w:szCs w:val="24"/>
                <w:color w:val="auto"/>
              </w:rPr>
            </w:pPr>
          </w:p>
        </w:tc>
        <w:tc>
          <w:tcPr>
            <w:tcW w:w="4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60" w:type="dxa"/>
            <w:vAlign w:val="bottom"/>
            <w:shd w:val="clear" w:color="auto" w:fill="CEFFE7"/>
          </w:tcPr>
          <w:p>
            <w:pPr>
              <w:spacing w:after="0"/>
              <w:rPr>
                <w:sz w:val="24"/>
                <w:szCs w:val="24"/>
                <w:color w:val="auto"/>
              </w:rPr>
            </w:pPr>
          </w:p>
        </w:tc>
        <w:tc>
          <w:tcPr>
            <w:tcW w:w="480" w:type="dxa"/>
            <w:vAlign w:val="bottom"/>
            <w:shd w:val="clear" w:color="auto" w:fill="CEFFE7"/>
          </w:tcPr>
          <w:p>
            <w:pPr>
              <w:spacing w:after="0"/>
              <w:rPr>
                <w:sz w:val="24"/>
                <w:szCs w:val="24"/>
                <w:color w:val="auto"/>
              </w:rPr>
            </w:pPr>
          </w:p>
        </w:tc>
      </w:tr>
      <w:tr>
        <w:trPr>
          <w:trHeight w:val="203"/>
        </w:trPr>
        <w:tc>
          <w:tcPr>
            <w:tcW w:w="5320" w:type="dxa"/>
            <w:vAlign w:val="bottom"/>
            <w:gridSpan w:val="31"/>
          </w:tcPr>
          <w:p>
            <w:pPr>
              <w:ind w:left="40"/>
              <w:spacing w:after="0" w:line="202" w:lineRule="exact"/>
              <w:rPr>
                <w:rFonts w:ascii="Arial" w:cs="Arial" w:eastAsia="Arial" w:hAnsi="Arial"/>
                <w:sz w:val="18"/>
                <w:szCs w:val="18"/>
                <w:color w:val="0000EE"/>
              </w:rPr>
            </w:pPr>
            <w:hyperlink w:anchor="page77">
              <w:r>
                <w:rPr>
                  <w:rFonts w:ascii="Arial" w:cs="Arial" w:eastAsia="Arial" w:hAnsi="Arial"/>
                  <w:sz w:val="18"/>
                  <w:szCs w:val="18"/>
                  <w:color w:val="0000EE"/>
                </w:rPr>
                <w:t>Consolidated Statements of Income</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77</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5320" w:type="dxa"/>
            <w:vAlign w:val="bottom"/>
            <w:gridSpan w:val="31"/>
            <w:shd w:val="clear" w:color="auto" w:fill="CEFFE7"/>
          </w:tcPr>
          <w:p>
            <w:pPr>
              <w:ind w:left="40"/>
              <w:spacing w:after="0" w:line="202" w:lineRule="exact"/>
              <w:rPr>
                <w:rFonts w:ascii="Arial" w:cs="Arial" w:eastAsia="Arial" w:hAnsi="Arial"/>
                <w:sz w:val="18"/>
                <w:szCs w:val="18"/>
                <w:color w:val="0000EE"/>
              </w:rPr>
            </w:pPr>
            <w:hyperlink w:anchor="page78">
              <w:r>
                <w:rPr>
                  <w:rFonts w:ascii="Arial" w:cs="Arial" w:eastAsia="Arial" w:hAnsi="Arial"/>
                  <w:sz w:val="18"/>
                  <w:szCs w:val="18"/>
                  <w:color w:val="0000EE"/>
                </w:rPr>
                <w:t>Consolidated Statements of Comprehensive Income</w:t>
              </w:r>
            </w:hyperlink>
          </w:p>
        </w:tc>
        <w:tc>
          <w:tcPr>
            <w:tcW w:w="5560" w:type="dxa"/>
            <w:vAlign w:val="bottom"/>
            <w:gridSpan w:val="3"/>
            <w:shd w:val="clear" w:color="auto" w:fill="CEFFE7"/>
          </w:tcPr>
          <w:p>
            <w:pPr>
              <w:jc w:val="center"/>
              <w:ind w:left="5290"/>
              <w:spacing w:after="0" w:line="202" w:lineRule="exact"/>
              <w:rPr>
                <w:rFonts w:ascii="Arial" w:cs="Arial" w:eastAsia="Arial" w:hAnsi="Arial"/>
                <w:sz w:val="18"/>
                <w:szCs w:val="18"/>
                <w:color w:val="0000EE"/>
                <w:w w:val="89"/>
              </w:rPr>
            </w:pPr>
            <w:hyperlink w:anchor="page78">
              <w:r>
                <w:rPr>
                  <w:rFonts w:ascii="Arial" w:cs="Arial" w:eastAsia="Arial" w:hAnsi="Arial"/>
                  <w:sz w:val="18"/>
                  <w:szCs w:val="18"/>
                  <w:color w:val="0000EE"/>
                  <w:w w:val="89"/>
                </w:rPr>
                <w:t>78</w:t>
              </w:r>
            </w:hyperlink>
          </w:p>
        </w:tc>
        <w:tc>
          <w:tcPr>
            <w:tcW w:w="60" w:type="dxa"/>
            <w:vAlign w:val="bottom"/>
            <w:shd w:val="clear" w:color="auto" w:fill="CEFFE7"/>
          </w:tcPr>
          <w:p>
            <w:pPr>
              <w:spacing w:after="0"/>
              <w:rPr>
                <w:sz w:val="17"/>
                <w:szCs w:val="17"/>
                <w:color w:val="auto"/>
              </w:rPr>
            </w:pPr>
          </w:p>
        </w:tc>
        <w:tc>
          <w:tcPr>
            <w:tcW w:w="480" w:type="dxa"/>
            <w:vAlign w:val="bottom"/>
            <w:shd w:val="clear" w:color="auto" w:fill="CEFFE7"/>
          </w:tcPr>
          <w:p>
            <w:pPr>
              <w:spacing w:after="0"/>
              <w:rPr>
                <w:sz w:val="17"/>
                <w:szCs w:val="17"/>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0000EE"/>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5320" w:type="dxa"/>
            <w:vAlign w:val="bottom"/>
            <w:gridSpan w:val="31"/>
          </w:tcPr>
          <w:p>
            <w:pPr>
              <w:ind w:left="40"/>
              <w:spacing w:after="0" w:line="202" w:lineRule="exact"/>
              <w:rPr>
                <w:rFonts w:ascii="Arial" w:cs="Arial" w:eastAsia="Arial" w:hAnsi="Arial"/>
                <w:sz w:val="18"/>
                <w:szCs w:val="18"/>
                <w:color w:val="0000EE"/>
              </w:rPr>
            </w:pPr>
            <w:hyperlink w:anchor="page79">
              <w:r>
                <w:rPr>
                  <w:rFonts w:ascii="Arial" w:cs="Arial" w:eastAsia="Arial" w:hAnsi="Arial"/>
                  <w:sz w:val="18"/>
                  <w:szCs w:val="18"/>
                  <w:color w:val="0000EE"/>
                </w:rPr>
                <w:t>Consolidated Balance Sheets</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79</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5320" w:type="dxa"/>
            <w:vAlign w:val="bottom"/>
            <w:gridSpan w:val="31"/>
            <w:shd w:val="clear" w:color="auto" w:fill="CEFFE7"/>
          </w:tcPr>
          <w:p>
            <w:pPr>
              <w:ind w:left="40"/>
              <w:spacing w:after="0" w:line="202" w:lineRule="exact"/>
              <w:rPr>
                <w:rFonts w:ascii="Arial" w:cs="Arial" w:eastAsia="Arial" w:hAnsi="Arial"/>
                <w:sz w:val="18"/>
                <w:szCs w:val="18"/>
                <w:color w:val="0000EE"/>
              </w:rPr>
            </w:pPr>
            <w:hyperlink w:anchor="page81">
              <w:r>
                <w:rPr>
                  <w:rFonts w:ascii="Arial" w:cs="Arial" w:eastAsia="Arial" w:hAnsi="Arial"/>
                  <w:sz w:val="18"/>
                  <w:szCs w:val="18"/>
                  <w:color w:val="0000EE"/>
                </w:rPr>
                <w:t>Consolidated Statements of Cash Flows</w:t>
              </w:r>
            </w:hyperlink>
          </w:p>
        </w:tc>
        <w:tc>
          <w:tcPr>
            <w:tcW w:w="5560" w:type="dxa"/>
            <w:vAlign w:val="bottom"/>
            <w:gridSpan w:val="3"/>
            <w:shd w:val="clear" w:color="auto" w:fill="CEFFE7"/>
          </w:tcPr>
          <w:p>
            <w:pPr>
              <w:jc w:val="center"/>
              <w:ind w:left="5290"/>
              <w:spacing w:after="0" w:line="202" w:lineRule="exact"/>
              <w:rPr>
                <w:rFonts w:ascii="Arial" w:cs="Arial" w:eastAsia="Arial" w:hAnsi="Arial"/>
                <w:sz w:val="18"/>
                <w:szCs w:val="18"/>
                <w:color w:val="0000EE"/>
                <w:w w:val="89"/>
              </w:rPr>
            </w:pPr>
            <w:hyperlink w:anchor="page81">
              <w:r>
                <w:rPr>
                  <w:rFonts w:ascii="Arial" w:cs="Arial" w:eastAsia="Arial" w:hAnsi="Arial"/>
                  <w:sz w:val="18"/>
                  <w:szCs w:val="18"/>
                  <w:color w:val="0000EE"/>
                  <w:w w:val="89"/>
                </w:rPr>
                <w:t>81</w:t>
              </w:r>
            </w:hyperlink>
          </w:p>
        </w:tc>
        <w:tc>
          <w:tcPr>
            <w:tcW w:w="60" w:type="dxa"/>
            <w:vAlign w:val="bottom"/>
            <w:shd w:val="clear" w:color="auto" w:fill="CEFFE7"/>
          </w:tcPr>
          <w:p>
            <w:pPr>
              <w:spacing w:after="0"/>
              <w:rPr>
                <w:sz w:val="17"/>
                <w:szCs w:val="17"/>
                <w:color w:val="auto"/>
              </w:rPr>
            </w:pPr>
          </w:p>
        </w:tc>
        <w:tc>
          <w:tcPr>
            <w:tcW w:w="480" w:type="dxa"/>
            <w:vAlign w:val="bottom"/>
            <w:shd w:val="clear" w:color="auto" w:fill="CEFFE7"/>
          </w:tcPr>
          <w:p>
            <w:pPr>
              <w:spacing w:after="0"/>
              <w:rPr>
                <w:sz w:val="17"/>
                <w:szCs w:val="17"/>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5320" w:type="dxa"/>
            <w:vAlign w:val="bottom"/>
            <w:gridSpan w:val="31"/>
          </w:tcPr>
          <w:p>
            <w:pPr>
              <w:ind w:left="40"/>
              <w:spacing w:after="0" w:line="202" w:lineRule="exact"/>
              <w:rPr>
                <w:rFonts w:ascii="Arial" w:cs="Arial" w:eastAsia="Arial" w:hAnsi="Arial"/>
                <w:sz w:val="18"/>
                <w:szCs w:val="18"/>
                <w:color w:val="0000EE"/>
              </w:rPr>
            </w:pPr>
            <w:hyperlink w:anchor="page82">
              <w:r>
                <w:rPr>
                  <w:rFonts w:ascii="Arial" w:cs="Arial" w:eastAsia="Arial" w:hAnsi="Arial"/>
                  <w:sz w:val="18"/>
                  <w:szCs w:val="18"/>
                  <w:color w:val="0000EE"/>
                </w:rPr>
                <w:t>Consolidated Statements of Equity</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82">
              <w:r>
                <w:rPr>
                  <w:rFonts w:ascii="Arial" w:cs="Arial" w:eastAsia="Arial" w:hAnsi="Arial"/>
                  <w:sz w:val="18"/>
                  <w:szCs w:val="18"/>
                  <w:color w:val="0000EE"/>
                  <w:w w:val="89"/>
                </w:rPr>
                <w:t>82</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5320" w:type="dxa"/>
            <w:vAlign w:val="bottom"/>
            <w:gridSpan w:val="31"/>
            <w:shd w:val="clear" w:color="auto" w:fill="CEFFE7"/>
          </w:tcPr>
          <w:p>
            <w:pPr>
              <w:ind w:left="40"/>
              <w:spacing w:after="0" w:line="202" w:lineRule="exact"/>
              <w:rPr>
                <w:rFonts w:ascii="Arial" w:cs="Arial" w:eastAsia="Arial" w:hAnsi="Arial"/>
                <w:sz w:val="18"/>
                <w:szCs w:val="18"/>
                <w:color w:val="0000EE"/>
              </w:rPr>
            </w:pPr>
            <w:hyperlink w:anchor="page83">
              <w:r>
                <w:rPr>
                  <w:rFonts w:ascii="Arial" w:cs="Arial" w:eastAsia="Arial" w:hAnsi="Arial"/>
                  <w:sz w:val="18"/>
                  <w:szCs w:val="18"/>
                  <w:color w:val="0000EE"/>
                </w:rPr>
                <w:t>Notes to the Consolidated Financial Statements</w:t>
              </w:r>
            </w:hyperlink>
          </w:p>
        </w:tc>
        <w:tc>
          <w:tcPr>
            <w:tcW w:w="5560" w:type="dxa"/>
            <w:vAlign w:val="bottom"/>
            <w:gridSpan w:val="3"/>
            <w:shd w:val="clear" w:color="auto" w:fill="CEFFE7"/>
          </w:tcPr>
          <w:p>
            <w:pPr>
              <w:jc w:val="center"/>
              <w:ind w:left="5290"/>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60" w:type="dxa"/>
            <w:vAlign w:val="bottom"/>
            <w:shd w:val="clear" w:color="auto" w:fill="CEFFE7"/>
          </w:tcPr>
          <w:p>
            <w:pPr>
              <w:spacing w:after="0"/>
              <w:rPr>
                <w:sz w:val="17"/>
                <w:szCs w:val="17"/>
                <w:color w:val="auto"/>
              </w:rPr>
            </w:pPr>
          </w:p>
        </w:tc>
        <w:tc>
          <w:tcPr>
            <w:tcW w:w="480" w:type="dxa"/>
            <w:vAlign w:val="bottom"/>
            <w:shd w:val="clear" w:color="auto" w:fill="CEFFE7"/>
          </w:tcPr>
          <w:p>
            <w:pPr>
              <w:spacing w:after="0"/>
              <w:rPr>
                <w:sz w:val="17"/>
                <w:szCs w:val="17"/>
                <w:color w:val="auto"/>
              </w:rPr>
            </w:pPr>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w w:val="99"/>
              </w:rPr>
            </w:pPr>
            <w:hyperlink w:anchor="page83">
              <w:r>
                <w:rPr>
                  <w:rFonts w:ascii="Arial" w:cs="Arial" w:eastAsia="Arial" w:hAnsi="Arial"/>
                  <w:sz w:val="18"/>
                  <w:szCs w:val="18"/>
                  <w:color w:val="0000EE"/>
                  <w:w w:val="99"/>
                </w:rPr>
                <w:t>Note 1. Business Description and Significant Accounting Policies</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83</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540" w:type="dxa"/>
            <w:vAlign w:val="bottom"/>
            <w:tcBorders>
              <w:top w:val="single" w:sz="8" w:color="0000EE"/>
            </w:tcBorders>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0000EE"/>
            </w:tcBorders>
            <w:gridSpan w:val="2"/>
            <w:shd w:val="clear" w:color="auto" w:fill="CEFFE7"/>
          </w:tcPr>
          <w:p>
            <w:pPr>
              <w:spacing w:after="0" w:line="202" w:lineRule="exact"/>
              <w:rPr>
                <w:rFonts w:ascii="Arial" w:cs="Arial" w:eastAsia="Arial" w:hAnsi="Arial"/>
                <w:sz w:val="18"/>
                <w:szCs w:val="18"/>
                <w:color w:val="0000EE"/>
                <w:w w:val="87"/>
              </w:rPr>
            </w:pPr>
            <w:hyperlink w:anchor="page92">
              <w:r>
                <w:rPr>
                  <w:rFonts w:ascii="Arial" w:cs="Arial" w:eastAsia="Arial" w:hAnsi="Arial"/>
                  <w:sz w:val="18"/>
                  <w:szCs w:val="18"/>
                  <w:color w:val="0000EE"/>
                  <w:w w:val="87"/>
                </w:rPr>
                <w:t>Note 2. Revenue</w:t>
              </w:r>
            </w:hyperlink>
          </w:p>
        </w:tc>
        <w:tc>
          <w:tcPr>
            <w:tcW w:w="3940" w:type="dxa"/>
            <w:vAlign w:val="bottom"/>
            <w:tcBorders>
              <w:bottom w:val="single" w:sz="8" w:color="CEFFE7"/>
            </w:tcBorders>
            <w:gridSpan w:val="27"/>
            <w:shd w:val="clear" w:color="auto" w:fill="CEFFE7"/>
          </w:tcPr>
          <w:p>
            <w:pPr>
              <w:spacing w:after="0"/>
              <w:rPr>
                <w:sz w:val="21"/>
                <w:szCs w:val="21"/>
                <w:color w:val="auto"/>
              </w:rPr>
            </w:pPr>
          </w:p>
        </w:tc>
        <w:tc>
          <w:tcPr>
            <w:tcW w:w="5380" w:type="dxa"/>
            <w:vAlign w:val="bottom"/>
            <w:tcBorders>
              <w:bottom w:val="single" w:sz="8" w:color="CEFFE7"/>
            </w:tcBorders>
            <w:gridSpan w:val="2"/>
            <w:shd w:val="clear" w:color="auto" w:fill="CEFFE7"/>
          </w:tcPr>
          <w:p>
            <w:pPr>
              <w:spacing w:after="0"/>
              <w:rPr>
                <w:sz w:val="21"/>
                <w:szCs w:val="21"/>
                <w:color w:val="auto"/>
              </w:rPr>
            </w:pPr>
          </w:p>
        </w:tc>
        <w:tc>
          <w:tcPr>
            <w:tcW w:w="180" w:type="dxa"/>
            <w:vAlign w:val="bottom"/>
            <w:tcBorders>
              <w:bottom w:val="single" w:sz="8" w:color="0000EE"/>
            </w:tcBorders>
            <w:shd w:val="clear" w:color="auto" w:fill="CEFFE7"/>
          </w:tcPr>
          <w:p>
            <w:pPr>
              <w:jc w:val="center"/>
              <w:spacing w:after="0" w:line="202"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92</w:t>
              </w:r>
            </w:hyperlink>
          </w:p>
        </w:tc>
        <w:tc>
          <w:tcPr>
            <w:tcW w:w="60" w:type="dxa"/>
            <w:vAlign w:val="bottom"/>
            <w:tcBorders>
              <w:bottom w:val="single" w:sz="8" w:color="CEFFE7"/>
            </w:tcBorders>
            <w:shd w:val="clear" w:color="auto" w:fill="CEFFE7"/>
          </w:tcPr>
          <w:p>
            <w:pPr>
              <w:spacing w:after="0"/>
              <w:rPr>
                <w:sz w:val="21"/>
                <w:szCs w:val="21"/>
                <w:color w:val="auto"/>
              </w:rPr>
            </w:pPr>
          </w:p>
        </w:tc>
        <w:tc>
          <w:tcPr>
            <w:tcW w:w="480" w:type="dxa"/>
            <w:vAlign w:val="bottom"/>
            <w:tcBorders>
              <w:bottom w:val="single" w:sz="8" w:color="CEFFE7"/>
            </w:tcBorders>
            <w:shd w:val="clear" w:color="auto" w:fill="CEFFE7"/>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94">
              <w:r>
                <w:rPr>
                  <w:rFonts w:ascii="Arial" w:cs="Arial" w:eastAsia="Arial" w:hAnsi="Arial"/>
                  <w:sz w:val="18"/>
                  <w:szCs w:val="18"/>
                  <w:color w:val="0000EE"/>
                </w:rPr>
                <w:t>Note 3. Property, Plant and Equipment</w:t>
              </w:r>
            </w:hyperlink>
          </w:p>
        </w:tc>
        <w:tc>
          <w:tcPr>
            <w:tcW w:w="5560" w:type="dxa"/>
            <w:vAlign w:val="bottom"/>
            <w:gridSpan w:val="3"/>
          </w:tcPr>
          <w:p>
            <w:pPr>
              <w:jc w:val="center"/>
              <w:ind w:left="5290"/>
              <w:spacing w:after="0" w:line="202" w:lineRule="exact"/>
              <w:rPr>
                <w:rFonts w:ascii="Arial" w:cs="Arial" w:eastAsia="Arial" w:hAnsi="Arial"/>
                <w:sz w:val="18"/>
                <w:szCs w:val="18"/>
                <w:color w:val="0000EE"/>
                <w:w w:val="89"/>
              </w:rPr>
            </w:pPr>
            <w:hyperlink w:anchor="page94">
              <w:r>
                <w:rPr>
                  <w:rFonts w:ascii="Arial" w:cs="Arial" w:eastAsia="Arial" w:hAnsi="Arial"/>
                  <w:sz w:val="18"/>
                  <w:szCs w:val="18"/>
                  <w:color w:val="0000EE"/>
                  <w:w w:val="89"/>
                </w:rPr>
                <w:t>94</w:t>
              </w:r>
            </w:hyperlink>
          </w:p>
        </w:tc>
        <w:tc>
          <w:tcPr>
            <w:tcW w:w="60" w:type="dxa"/>
            <w:vAlign w:val="bottom"/>
          </w:tcPr>
          <w:p>
            <w:pPr>
              <w:spacing w:after="0"/>
              <w:rPr>
                <w:sz w:val="17"/>
                <w:szCs w:val="17"/>
                <w:color w:val="auto"/>
              </w:rPr>
            </w:pPr>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97">
              <w:r>
                <w:rPr>
                  <w:rFonts w:ascii="Arial" w:cs="Arial" w:eastAsia="Arial" w:hAnsi="Arial"/>
                  <w:sz w:val="18"/>
                  <w:szCs w:val="18"/>
                  <w:color w:val="0000EE"/>
                </w:rPr>
                <w:t>Note 4. Jointly Owned Facilities</w:t>
              </w:r>
            </w:hyperlink>
          </w:p>
        </w:tc>
        <w:tc>
          <w:tcPr>
            <w:tcW w:w="5560" w:type="dxa"/>
            <w:vAlign w:val="bottom"/>
            <w:gridSpan w:val="3"/>
            <w:shd w:val="clear" w:color="auto" w:fill="CEFFE7"/>
          </w:tcPr>
          <w:p>
            <w:pPr>
              <w:jc w:val="center"/>
              <w:ind w:left="5290"/>
              <w:spacing w:after="0" w:line="202" w:lineRule="exact"/>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60" w:type="dxa"/>
            <w:vAlign w:val="bottom"/>
            <w:shd w:val="clear" w:color="auto" w:fill="CEFFE7"/>
          </w:tcPr>
          <w:p>
            <w:pPr>
              <w:spacing w:after="0"/>
              <w:rPr>
                <w:sz w:val="21"/>
                <w:szCs w:val="21"/>
                <w:color w:val="auto"/>
              </w:rPr>
            </w:pPr>
          </w:p>
        </w:tc>
        <w:tc>
          <w:tcPr>
            <w:tcW w:w="480" w:type="dxa"/>
            <w:vAlign w:val="bottom"/>
            <w:shd w:val="clear" w:color="auto" w:fill="CEFFE7"/>
          </w:tcPr>
          <w:p>
            <w:pPr>
              <w:spacing w:after="0"/>
              <w:rPr>
                <w:sz w:val="21"/>
                <w:szCs w:val="21"/>
                <w:color w:val="auto"/>
              </w:rPr>
            </w:pPr>
          </w:p>
        </w:tc>
      </w:tr>
      <w:tr>
        <w:trPr>
          <w:trHeight w:val="203"/>
        </w:trPr>
        <w:tc>
          <w:tcPr>
            <w:tcW w:w="40" w:type="dxa"/>
            <w:vAlign w:val="bottom"/>
            <w:tcBorders>
              <w:top w:val="single" w:sz="8" w:color="CEFFE7"/>
            </w:tcBorders>
          </w:tcPr>
          <w:p>
            <w:pPr>
              <w:spacing w:after="0"/>
              <w:rPr>
                <w:sz w:val="17"/>
                <w:szCs w:val="17"/>
                <w:color w:val="auto"/>
              </w:rPr>
            </w:pPr>
          </w:p>
        </w:tc>
        <w:tc>
          <w:tcPr>
            <w:tcW w:w="140" w:type="dxa"/>
            <w:vAlign w:val="bottom"/>
            <w:tcBorders>
              <w:top w:val="single" w:sz="8" w:color="CEFFE7"/>
            </w:tcBorders>
          </w:tcPr>
          <w:p>
            <w:pPr>
              <w:spacing w:after="0"/>
              <w:rPr>
                <w:sz w:val="17"/>
                <w:szCs w:val="17"/>
                <w:color w:val="auto"/>
              </w:rPr>
            </w:pPr>
          </w:p>
        </w:tc>
        <w:tc>
          <w:tcPr>
            <w:tcW w:w="2320" w:type="dxa"/>
            <w:vAlign w:val="bottom"/>
            <w:tcBorders>
              <w:top w:val="single" w:sz="8" w:color="0000EE"/>
            </w:tcBorders>
            <w:gridSpan w:val="10"/>
          </w:tcPr>
          <w:p>
            <w:pPr>
              <w:spacing w:after="0" w:line="202" w:lineRule="exact"/>
              <w:rPr>
                <w:rFonts w:ascii="Arial" w:cs="Arial" w:eastAsia="Arial" w:hAnsi="Arial"/>
                <w:sz w:val="18"/>
                <w:szCs w:val="18"/>
                <w:color w:val="0000EE"/>
              </w:rPr>
            </w:pPr>
            <w:hyperlink w:anchor="page98">
              <w:r>
                <w:rPr>
                  <w:rFonts w:ascii="Arial" w:cs="Arial" w:eastAsia="Arial" w:hAnsi="Arial"/>
                  <w:sz w:val="18"/>
                  <w:szCs w:val="18"/>
                  <w:color w:val="0000EE"/>
                </w:rPr>
                <w:t>Note 5. Business Segments</w:t>
              </w:r>
            </w:hyperlink>
          </w:p>
        </w:tc>
        <w:tc>
          <w:tcPr>
            <w:tcW w:w="2820" w:type="dxa"/>
            <w:vAlign w:val="bottom"/>
            <w:tcBorders>
              <w:top w:val="single" w:sz="8" w:color="CEFFE7"/>
            </w:tcBorders>
            <w:gridSpan w:val="19"/>
          </w:tcPr>
          <w:p>
            <w:pPr>
              <w:spacing w:after="0"/>
              <w:rPr>
                <w:sz w:val="17"/>
                <w:szCs w:val="17"/>
                <w:color w:val="auto"/>
              </w:rPr>
            </w:pPr>
          </w:p>
        </w:tc>
        <w:tc>
          <w:tcPr>
            <w:tcW w:w="5380" w:type="dxa"/>
            <w:vAlign w:val="bottom"/>
            <w:tcBorders>
              <w:top w:val="single" w:sz="8" w:color="CEFFE7"/>
            </w:tcBorders>
            <w:gridSpan w:val="2"/>
          </w:tcPr>
          <w:p>
            <w:pPr>
              <w:spacing w:after="0"/>
              <w:rPr>
                <w:sz w:val="17"/>
                <w:szCs w:val="17"/>
                <w:color w:val="auto"/>
              </w:rPr>
            </w:pPr>
          </w:p>
        </w:tc>
        <w:tc>
          <w:tcPr>
            <w:tcW w:w="180" w:type="dxa"/>
            <w:vAlign w:val="bottom"/>
            <w:tcBorders>
              <w:top w:val="single" w:sz="8" w:color="0000EE"/>
            </w:tcBorders>
          </w:tcPr>
          <w:p>
            <w:pPr>
              <w:jc w:val="center"/>
              <w:spacing w:after="0" w:line="202" w:lineRule="exact"/>
              <w:rPr>
                <w:rFonts w:ascii="Arial" w:cs="Arial" w:eastAsia="Arial" w:hAnsi="Arial"/>
                <w:sz w:val="18"/>
                <w:szCs w:val="18"/>
                <w:color w:val="0000EE"/>
                <w:w w:val="89"/>
              </w:rPr>
            </w:pPr>
            <w:hyperlink w:anchor="page98">
              <w:r>
                <w:rPr>
                  <w:rFonts w:ascii="Arial" w:cs="Arial" w:eastAsia="Arial" w:hAnsi="Arial"/>
                  <w:sz w:val="18"/>
                  <w:szCs w:val="18"/>
                  <w:color w:val="0000EE"/>
                  <w:w w:val="89"/>
                </w:rPr>
                <w:t>97</w:t>
              </w:r>
            </w:hyperlink>
          </w:p>
        </w:tc>
        <w:tc>
          <w:tcPr>
            <w:tcW w:w="60" w:type="dxa"/>
            <w:vAlign w:val="bottom"/>
            <w:tcBorders>
              <w:top w:val="single" w:sz="8" w:color="CEFFE7"/>
            </w:tcBorders>
          </w:tcPr>
          <w:p>
            <w:pPr>
              <w:spacing w:after="0"/>
              <w:rPr>
                <w:sz w:val="17"/>
                <w:szCs w:val="17"/>
                <w:color w:val="auto"/>
              </w:rPr>
            </w:pPr>
          </w:p>
        </w:tc>
        <w:tc>
          <w:tcPr>
            <w:tcW w:w="480" w:type="dxa"/>
            <w:vAlign w:val="bottom"/>
            <w:tcBorders>
              <w:top w:val="single" w:sz="8" w:color="CEFFE7"/>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103">
              <w:r>
                <w:rPr>
                  <w:rFonts w:ascii="Arial" w:cs="Arial" w:eastAsia="Arial" w:hAnsi="Arial"/>
                  <w:sz w:val="18"/>
                  <w:szCs w:val="18"/>
                  <w:color w:val="0000EE"/>
                </w:rPr>
                <w:t>Note 6. Long-term Debt</w:t>
              </w:r>
            </w:hyperlink>
          </w:p>
        </w:tc>
        <w:tc>
          <w:tcPr>
            <w:tcW w:w="6100" w:type="dxa"/>
            <w:vAlign w:val="bottom"/>
            <w:gridSpan w:val="5"/>
            <w:shd w:val="clear" w:color="auto" w:fill="CEFFE7"/>
          </w:tcPr>
          <w:p>
            <w:pPr>
              <w:jc w:val="center"/>
              <w:ind w:left="4770"/>
              <w:spacing w:after="0" w:line="202" w:lineRule="exact"/>
              <w:rPr>
                <w:rFonts w:ascii="Arial" w:cs="Arial" w:eastAsia="Arial" w:hAnsi="Arial"/>
                <w:sz w:val="18"/>
                <w:szCs w:val="18"/>
                <w:color w:val="0000EE"/>
                <w:w w:val="93"/>
              </w:rPr>
            </w:pPr>
            <w:hyperlink w:anchor="page103">
              <w:r>
                <w:rPr>
                  <w:rFonts w:ascii="Arial" w:cs="Arial" w:eastAsia="Arial" w:hAnsi="Arial"/>
                  <w:sz w:val="18"/>
                  <w:szCs w:val="18"/>
                  <w:color w:val="0000EE"/>
                  <w:w w:val="93"/>
                </w:rPr>
                <w:t>102</w:t>
              </w:r>
            </w:hyperlink>
          </w:p>
        </w:tc>
      </w:tr>
      <w:tr>
        <w:trPr>
          <w:trHeight w:val="203"/>
        </w:trPr>
        <w:tc>
          <w:tcPr>
            <w:tcW w:w="40" w:type="dxa"/>
            <w:vAlign w:val="bottom"/>
            <w:tcBorders>
              <w:top w:val="single" w:sz="8" w:color="CEFFE7"/>
            </w:tcBorders>
          </w:tcPr>
          <w:p>
            <w:pPr>
              <w:spacing w:after="0"/>
              <w:rPr>
                <w:sz w:val="17"/>
                <w:szCs w:val="17"/>
                <w:color w:val="auto"/>
              </w:rPr>
            </w:pPr>
          </w:p>
        </w:tc>
        <w:tc>
          <w:tcPr>
            <w:tcW w:w="140" w:type="dxa"/>
            <w:vAlign w:val="bottom"/>
            <w:tcBorders>
              <w:top w:val="single" w:sz="8" w:color="CEFFE7"/>
            </w:tcBorders>
          </w:tcPr>
          <w:p>
            <w:pPr>
              <w:spacing w:after="0"/>
              <w:rPr>
                <w:sz w:val="17"/>
                <w:szCs w:val="17"/>
                <w:color w:val="auto"/>
              </w:rPr>
            </w:pPr>
          </w:p>
        </w:tc>
        <w:tc>
          <w:tcPr>
            <w:tcW w:w="1720" w:type="dxa"/>
            <w:vAlign w:val="bottom"/>
            <w:tcBorders>
              <w:top w:val="single" w:sz="8" w:color="0000EE"/>
            </w:tcBorders>
            <w:gridSpan w:val="6"/>
          </w:tcPr>
          <w:p>
            <w:pPr>
              <w:spacing w:after="0" w:line="202" w:lineRule="exact"/>
              <w:rPr>
                <w:rFonts w:ascii="Arial" w:cs="Arial" w:eastAsia="Arial" w:hAnsi="Arial"/>
                <w:sz w:val="18"/>
                <w:szCs w:val="18"/>
                <w:color w:val="0000EE"/>
                <w:w w:val="94"/>
              </w:rPr>
            </w:pPr>
            <w:hyperlink w:anchor="page105">
              <w:r>
                <w:rPr>
                  <w:rFonts w:ascii="Arial" w:cs="Arial" w:eastAsia="Arial" w:hAnsi="Arial"/>
                  <w:sz w:val="18"/>
                  <w:szCs w:val="18"/>
                  <w:color w:val="0000EE"/>
                  <w:w w:val="94"/>
                </w:rPr>
                <w:t>Note 7. Notes Payable</w:t>
              </w:r>
            </w:hyperlink>
          </w:p>
        </w:tc>
        <w:tc>
          <w:tcPr>
            <w:tcW w:w="3420" w:type="dxa"/>
            <w:vAlign w:val="bottom"/>
            <w:tcBorders>
              <w:top w:val="single" w:sz="8" w:color="CEFFE7"/>
            </w:tcBorders>
            <w:gridSpan w:val="23"/>
          </w:tcPr>
          <w:p>
            <w:pPr>
              <w:spacing w:after="0"/>
              <w:rPr>
                <w:sz w:val="17"/>
                <w:szCs w:val="17"/>
                <w:color w:val="auto"/>
              </w:rPr>
            </w:pPr>
          </w:p>
        </w:tc>
        <w:tc>
          <w:tcPr>
            <w:tcW w:w="5340" w:type="dxa"/>
            <w:vAlign w:val="bottom"/>
            <w:tcBorders>
              <w:top w:val="single" w:sz="8" w:color="CEFFE7"/>
            </w:tcBorders>
          </w:tcPr>
          <w:p>
            <w:pPr>
              <w:spacing w:after="0"/>
              <w:rPr>
                <w:sz w:val="17"/>
                <w:szCs w:val="17"/>
                <w:color w:val="auto"/>
              </w:rPr>
            </w:pPr>
          </w:p>
        </w:tc>
        <w:tc>
          <w:tcPr>
            <w:tcW w:w="280" w:type="dxa"/>
            <w:vAlign w:val="bottom"/>
            <w:tcBorders>
              <w:top w:val="single" w:sz="8" w:color="0000EE"/>
            </w:tcBorders>
            <w:gridSpan w:val="3"/>
          </w:tcPr>
          <w:p>
            <w:pPr>
              <w:jc w:val="center"/>
              <w:spacing w:after="0" w:line="202" w:lineRule="exact"/>
              <w:rPr>
                <w:rFonts w:ascii="Arial" w:cs="Arial" w:eastAsia="Arial" w:hAnsi="Arial"/>
                <w:sz w:val="18"/>
                <w:szCs w:val="18"/>
                <w:color w:val="0000EE"/>
                <w:w w:val="93"/>
              </w:rPr>
            </w:pPr>
            <w:hyperlink w:anchor="page105">
              <w:r>
                <w:rPr>
                  <w:rFonts w:ascii="Arial" w:cs="Arial" w:eastAsia="Arial" w:hAnsi="Arial"/>
                  <w:sz w:val="18"/>
                  <w:szCs w:val="18"/>
                  <w:color w:val="0000EE"/>
                  <w:w w:val="93"/>
                </w:rPr>
                <w:t>104</w:t>
              </w:r>
            </w:hyperlink>
          </w:p>
        </w:tc>
        <w:tc>
          <w:tcPr>
            <w:tcW w:w="480" w:type="dxa"/>
            <w:vAlign w:val="bottom"/>
            <w:tcBorders>
              <w:top w:val="single" w:sz="8" w:color="CEFFE7"/>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2700" w:type="dxa"/>
            <w:vAlign w:val="bottom"/>
            <w:tcBorders>
              <w:bottom w:val="single" w:sz="8" w:color="0000EE"/>
            </w:tcBorders>
            <w:gridSpan w:val="17"/>
            <w:shd w:val="clear" w:color="auto" w:fill="CEFFE7"/>
          </w:tcPr>
          <w:p>
            <w:pPr>
              <w:spacing w:after="0" w:line="202" w:lineRule="exact"/>
              <w:rPr>
                <w:rFonts w:ascii="Arial" w:cs="Arial" w:eastAsia="Arial" w:hAnsi="Arial"/>
                <w:sz w:val="18"/>
                <w:szCs w:val="18"/>
                <w:color w:val="0000EE"/>
                <w:w w:val="90"/>
              </w:rPr>
            </w:pPr>
            <w:hyperlink w:anchor="page106">
              <w:r>
                <w:rPr>
                  <w:rFonts w:ascii="Arial" w:cs="Arial" w:eastAsia="Arial" w:hAnsi="Arial"/>
                  <w:sz w:val="18"/>
                  <w:szCs w:val="18"/>
                  <w:color w:val="0000EE"/>
                  <w:w w:val="90"/>
                </w:rPr>
                <w:t>Note 8. Asset Retirement Obligations</w:t>
              </w:r>
            </w:hyperlink>
          </w:p>
        </w:tc>
        <w:tc>
          <w:tcPr>
            <w:tcW w:w="2440" w:type="dxa"/>
            <w:vAlign w:val="bottom"/>
            <w:tcBorders>
              <w:bottom w:val="single" w:sz="8" w:color="CEFFE7"/>
            </w:tcBorders>
            <w:gridSpan w:val="12"/>
            <w:shd w:val="clear" w:color="auto" w:fill="CEFFE7"/>
          </w:tcPr>
          <w:p>
            <w:pPr>
              <w:spacing w:after="0"/>
              <w:rPr>
                <w:sz w:val="21"/>
                <w:szCs w:val="21"/>
                <w:color w:val="auto"/>
              </w:rPr>
            </w:pPr>
          </w:p>
        </w:tc>
        <w:tc>
          <w:tcPr>
            <w:tcW w:w="5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0000EE"/>
            </w:tcBorders>
            <w:gridSpan w:val="3"/>
            <w:shd w:val="clear" w:color="auto" w:fill="CEFFE7"/>
          </w:tcPr>
          <w:p>
            <w:pPr>
              <w:jc w:val="center"/>
              <w:spacing w:after="0" w:line="202" w:lineRule="exact"/>
              <w:rPr>
                <w:rFonts w:ascii="Arial" w:cs="Arial" w:eastAsia="Arial" w:hAnsi="Arial"/>
                <w:sz w:val="18"/>
                <w:szCs w:val="18"/>
                <w:color w:val="0000EE"/>
                <w:w w:val="93"/>
              </w:rPr>
            </w:pPr>
            <w:hyperlink w:anchor="page106">
              <w:r>
                <w:rPr>
                  <w:rFonts w:ascii="Arial" w:cs="Arial" w:eastAsia="Arial" w:hAnsi="Arial"/>
                  <w:sz w:val="18"/>
                  <w:szCs w:val="18"/>
                  <w:color w:val="0000EE"/>
                  <w:w w:val="93"/>
                </w:rPr>
                <w:t>105</w:t>
              </w:r>
            </w:hyperlink>
          </w:p>
        </w:tc>
        <w:tc>
          <w:tcPr>
            <w:tcW w:w="480" w:type="dxa"/>
            <w:vAlign w:val="bottom"/>
            <w:tcBorders>
              <w:bottom w:val="single" w:sz="8" w:color="CEFFE7"/>
            </w:tcBorders>
            <w:shd w:val="clear" w:color="auto" w:fill="CEFFE7"/>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07">
              <w:r>
                <w:rPr>
                  <w:rFonts w:ascii="Arial" w:cs="Arial" w:eastAsia="Arial" w:hAnsi="Arial"/>
                  <w:sz w:val="18"/>
                  <w:szCs w:val="18"/>
                  <w:color w:val="0000EE"/>
                </w:rPr>
                <w:t>Note 9. Risk Management Activities</w:t>
              </w:r>
            </w:hyperlink>
          </w:p>
        </w:tc>
        <w:tc>
          <w:tcPr>
            <w:tcW w:w="6100" w:type="dxa"/>
            <w:vAlign w:val="bottom"/>
            <w:gridSpan w:val="5"/>
          </w:tcPr>
          <w:p>
            <w:pPr>
              <w:jc w:val="center"/>
              <w:ind w:left="4770"/>
              <w:spacing w:after="0" w:line="202" w:lineRule="exact"/>
              <w:rPr>
                <w:rFonts w:ascii="Arial" w:cs="Arial" w:eastAsia="Arial" w:hAnsi="Arial"/>
                <w:sz w:val="18"/>
                <w:szCs w:val="18"/>
                <w:color w:val="0000EE"/>
                <w:w w:val="93"/>
              </w:rPr>
            </w:pPr>
            <w:hyperlink w:anchor="page107">
              <w:r>
                <w:rPr>
                  <w:rFonts w:ascii="Arial" w:cs="Arial" w:eastAsia="Arial" w:hAnsi="Arial"/>
                  <w:sz w:val="18"/>
                  <w:szCs w:val="18"/>
                  <w:color w:val="0000EE"/>
                  <w:w w:val="93"/>
                </w:rPr>
                <w:t>106</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2500" w:type="dxa"/>
            <w:vAlign w:val="bottom"/>
            <w:tcBorders>
              <w:bottom w:val="single" w:sz="8" w:color="0000EE"/>
            </w:tcBorders>
            <w:gridSpan w:val="15"/>
            <w:shd w:val="clear" w:color="auto" w:fill="CEFFE7"/>
          </w:tcPr>
          <w:p>
            <w:pPr>
              <w:spacing w:after="0" w:line="202" w:lineRule="exact"/>
              <w:rPr>
                <w:rFonts w:ascii="Arial" w:cs="Arial" w:eastAsia="Arial" w:hAnsi="Arial"/>
                <w:sz w:val="18"/>
                <w:szCs w:val="18"/>
                <w:color w:val="0000EE"/>
                <w:w w:val="88"/>
              </w:rPr>
            </w:pPr>
            <w:hyperlink w:anchor="page110">
              <w:r>
                <w:rPr>
                  <w:rFonts w:ascii="Arial" w:cs="Arial" w:eastAsia="Arial" w:hAnsi="Arial"/>
                  <w:sz w:val="18"/>
                  <w:szCs w:val="18"/>
                  <w:color w:val="0000EE"/>
                  <w:w w:val="88"/>
                </w:rPr>
                <w:t>Note 10. Fair Value Measurements</w:t>
              </w:r>
            </w:hyperlink>
          </w:p>
        </w:tc>
        <w:tc>
          <w:tcPr>
            <w:tcW w:w="2640" w:type="dxa"/>
            <w:vAlign w:val="bottom"/>
            <w:tcBorders>
              <w:bottom w:val="single" w:sz="8" w:color="CEFFE7"/>
            </w:tcBorders>
            <w:gridSpan w:val="14"/>
            <w:shd w:val="clear" w:color="auto" w:fill="CEFFE7"/>
          </w:tcPr>
          <w:p>
            <w:pPr>
              <w:spacing w:after="0"/>
              <w:rPr>
                <w:sz w:val="21"/>
                <w:szCs w:val="21"/>
                <w:color w:val="auto"/>
              </w:rPr>
            </w:pPr>
          </w:p>
        </w:tc>
        <w:tc>
          <w:tcPr>
            <w:tcW w:w="5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0000EE"/>
            </w:tcBorders>
            <w:gridSpan w:val="3"/>
            <w:shd w:val="clear" w:color="auto" w:fill="CEFFE7"/>
          </w:tcPr>
          <w:p>
            <w:pPr>
              <w:jc w:val="center"/>
              <w:spacing w:after="0" w:line="202" w:lineRule="exact"/>
              <w:rPr>
                <w:rFonts w:ascii="Arial" w:cs="Arial" w:eastAsia="Arial" w:hAnsi="Arial"/>
                <w:sz w:val="18"/>
                <w:szCs w:val="18"/>
                <w:color w:val="0000EE"/>
                <w:w w:val="93"/>
              </w:rPr>
            </w:pPr>
            <w:hyperlink w:anchor="page110">
              <w:r>
                <w:rPr>
                  <w:rFonts w:ascii="Arial" w:cs="Arial" w:eastAsia="Arial" w:hAnsi="Arial"/>
                  <w:sz w:val="18"/>
                  <w:szCs w:val="18"/>
                  <w:color w:val="0000EE"/>
                  <w:w w:val="93"/>
                </w:rPr>
                <w:t>109</w:t>
              </w:r>
            </w:hyperlink>
          </w:p>
        </w:tc>
        <w:tc>
          <w:tcPr>
            <w:tcW w:w="480" w:type="dxa"/>
            <w:vAlign w:val="bottom"/>
            <w:tcBorders>
              <w:bottom w:val="single" w:sz="8" w:color="CEFFE7"/>
            </w:tcBorders>
            <w:shd w:val="clear" w:color="auto" w:fill="CEFFE7"/>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13">
              <w:r>
                <w:rPr>
                  <w:rFonts w:ascii="Arial" w:cs="Arial" w:eastAsia="Arial" w:hAnsi="Arial"/>
                  <w:sz w:val="18"/>
                  <w:szCs w:val="18"/>
                  <w:color w:val="0000EE"/>
                </w:rPr>
                <w:t>Note 11. Fair Value of Financial Instruments</w:t>
              </w:r>
            </w:hyperlink>
          </w:p>
        </w:tc>
        <w:tc>
          <w:tcPr>
            <w:tcW w:w="5620" w:type="dxa"/>
            <w:vAlign w:val="bottom"/>
            <w:gridSpan w:val="4"/>
          </w:tcPr>
          <w:p>
            <w:pPr>
              <w:jc w:val="center"/>
              <w:ind w:left="5250"/>
              <w:spacing w:after="0" w:line="202"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112</w:t>
              </w:r>
            </w:hyperlink>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0000EE"/>
            </w:tcBorders>
            <w:shd w:val="clear" w:color="auto" w:fill="CEFFE7"/>
          </w:tcPr>
          <w:p>
            <w:pPr>
              <w:spacing w:after="0" w:line="202" w:lineRule="exact"/>
              <w:rPr>
                <w:rFonts w:ascii="Arial" w:cs="Arial" w:eastAsia="Arial" w:hAnsi="Arial"/>
                <w:sz w:val="18"/>
                <w:szCs w:val="18"/>
                <w:color w:val="0000EE"/>
                <w:w w:val="90"/>
              </w:rPr>
            </w:pPr>
            <w:hyperlink w:anchor="page113">
              <w:r>
                <w:rPr>
                  <w:rFonts w:ascii="Arial" w:cs="Arial" w:eastAsia="Arial" w:hAnsi="Arial"/>
                  <w:sz w:val="18"/>
                  <w:szCs w:val="18"/>
                  <w:color w:val="0000EE"/>
                  <w:w w:val="90"/>
                </w:rPr>
                <w:t>Note 12. Equity</w:t>
              </w:r>
            </w:hyperlink>
          </w:p>
        </w:tc>
        <w:tc>
          <w:tcPr>
            <w:tcW w:w="4000" w:type="dxa"/>
            <w:vAlign w:val="bottom"/>
            <w:tcBorders>
              <w:bottom w:val="single" w:sz="8" w:color="CEFFE7"/>
            </w:tcBorders>
            <w:gridSpan w:val="28"/>
            <w:shd w:val="clear" w:color="auto" w:fill="CEFFE7"/>
          </w:tcPr>
          <w:p>
            <w:pPr>
              <w:spacing w:after="0"/>
              <w:rPr>
                <w:sz w:val="21"/>
                <w:szCs w:val="21"/>
                <w:color w:val="auto"/>
              </w:rPr>
            </w:pPr>
          </w:p>
        </w:tc>
        <w:tc>
          <w:tcPr>
            <w:tcW w:w="5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0000EE"/>
            </w:tcBorders>
            <w:gridSpan w:val="3"/>
            <w:shd w:val="clear" w:color="auto" w:fill="CEFFE7"/>
          </w:tcPr>
          <w:p>
            <w:pPr>
              <w:jc w:val="center"/>
              <w:spacing w:after="0" w:line="202" w:lineRule="exact"/>
              <w:rPr>
                <w:rFonts w:ascii="Arial" w:cs="Arial" w:eastAsia="Arial" w:hAnsi="Arial"/>
                <w:sz w:val="18"/>
                <w:szCs w:val="18"/>
                <w:color w:val="0000EE"/>
                <w:w w:val="93"/>
              </w:rPr>
            </w:pPr>
            <w:hyperlink w:anchor="page113">
              <w:r>
                <w:rPr>
                  <w:rFonts w:ascii="Arial" w:cs="Arial" w:eastAsia="Arial" w:hAnsi="Arial"/>
                  <w:sz w:val="18"/>
                  <w:szCs w:val="18"/>
                  <w:color w:val="0000EE"/>
                  <w:w w:val="93"/>
                </w:rPr>
                <w:t>112</w:t>
              </w:r>
            </w:hyperlink>
          </w:p>
        </w:tc>
        <w:tc>
          <w:tcPr>
            <w:tcW w:w="480" w:type="dxa"/>
            <w:vAlign w:val="bottom"/>
            <w:tcBorders>
              <w:bottom w:val="single" w:sz="8" w:color="CEFFE7"/>
            </w:tcBorders>
            <w:shd w:val="clear" w:color="auto" w:fill="CEFFE7"/>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17">
              <w:r>
                <w:rPr>
                  <w:rFonts w:ascii="Arial" w:cs="Arial" w:eastAsia="Arial" w:hAnsi="Arial"/>
                  <w:sz w:val="18"/>
                  <w:szCs w:val="18"/>
                  <w:color w:val="0000EE"/>
                </w:rPr>
                <w:t>Note 13. Regulatory Matters</w:t>
              </w:r>
            </w:hyperlink>
          </w:p>
        </w:tc>
        <w:tc>
          <w:tcPr>
            <w:tcW w:w="5620" w:type="dxa"/>
            <w:vAlign w:val="bottom"/>
            <w:gridSpan w:val="4"/>
          </w:tcPr>
          <w:p>
            <w:pPr>
              <w:jc w:val="center"/>
              <w:ind w:left="5250"/>
              <w:spacing w:after="0" w:line="202" w:lineRule="exact"/>
              <w:rPr>
                <w:rFonts w:ascii="Arial" w:cs="Arial" w:eastAsia="Arial" w:hAnsi="Arial"/>
                <w:sz w:val="18"/>
                <w:szCs w:val="18"/>
                <w:color w:val="0000EE"/>
                <w:w w:val="93"/>
              </w:rPr>
            </w:pPr>
            <w:hyperlink w:anchor="page117">
              <w:r>
                <w:rPr>
                  <w:rFonts w:ascii="Arial" w:cs="Arial" w:eastAsia="Arial" w:hAnsi="Arial"/>
                  <w:sz w:val="18"/>
                  <w:szCs w:val="18"/>
                  <w:color w:val="0000EE"/>
                  <w:w w:val="93"/>
                </w:rPr>
                <w:t>116</w:t>
              </w:r>
            </w:hyperlink>
          </w:p>
        </w:tc>
        <w:tc>
          <w:tcPr>
            <w:tcW w:w="4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121">
              <w:r>
                <w:rPr>
                  <w:rFonts w:ascii="Arial" w:cs="Arial" w:eastAsia="Arial" w:hAnsi="Arial"/>
                  <w:sz w:val="18"/>
                  <w:szCs w:val="18"/>
                  <w:color w:val="0000EE"/>
                </w:rPr>
                <w:t>Note 14. Leases</w:t>
              </w:r>
            </w:hyperlink>
          </w:p>
        </w:tc>
        <w:tc>
          <w:tcPr>
            <w:tcW w:w="6100" w:type="dxa"/>
            <w:vAlign w:val="bottom"/>
            <w:gridSpan w:val="5"/>
            <w:shd w:val="clear" w:color="auto" w:fill="CEFFE7"/>
          </w:tcPr>
          <w:p>
            <w:pPr>
              <w:jc w:val="center"/>
              <w:ind w:left="4770"/>
              <w:spacing w:after="0" w:line="202" w:lineRule="exact"/>
              <w:rPr>
                <w:rFonts w:ascii="Arial" w:cs="Arial" w:eastAsia="Arial" w:hAnsi="Arial"/>
                <w:sz w:val="18"/>
                <w:szCs w:val="18"/>
                <w:color w:val="0000EE"/>
                <w:w w:val="93"/>
              </w:rPr>
            </w:pPr>
            <w:hyperlink w:anchor="page121">
              <w:r>
                <w:rPr>
                  <w:rFonts w:ascii="Arial" w:cs="Arial" w:eastAsia="Arial" w:hAnsi="Arial"/>
                  <w:sz w:val="18"/>
                  <w:szCs w:val="18"/>
                  <w:color w:val="0000EE"/>
                  <w:w w:val="93"/>
                </w:rPr>
                <w:t>120</w:t>
              </w:r>
            </w:hyperlink>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6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24">
              <w:r>
                <w:rPr>
                  <w:rFonts w:ascii="Arial" w:cs="Arial" w:eastAsia="Arial" w:hAnsi="Arial"/>
                  <w:sz w:val="18"/>
                  <w:szCs w:val="18"/>
                  <w:color w:val="0000EE"/>
                </w:rPr>
                <w:t>Note 15. Income Taxes</w:t>
              </w:r>
            </w:hyperlink>
          </w:p>
        </w:tc>
        <w:tc>
          <w:tcPr>
            <w:tcW w:w="6100" w:type="dxa"/>
            <w:vAlign w:val="bottom"/>
            <w:gridSpan w:val="5"/>
          </w:tcPr>
          <w:p>
            <w:pPr>
              <w:jc w:val="center"/>
              <w:ind w:left="4770"/>
              <w:spacing w:after="0" w:line="202" w:lineRule="exact"/>
              <w:rPr>
                <w:rFonts w:ascii="Arial" w:cs="Arial" w:eastAsia="Arial" w:hAnsi="Arial"/>
                <w:sz w:val="18"/>
                <w:szCs w:val="18"/>
                <w:color w:val="0000EE"/>
                <w:w w:val="93"/>
              </w:rPr>
            </w:pPr>
            <w:hyperlink w:anchor="page124">
              <w:r>
                <w:rPr>
                  <w:rFonts w:ascii="Arial" w:cs="Arial" w:eastAsia="Arial" w:hAnsi="Arial"/>
                  <w:sz w:val="18"/>
                  <w:szCs w:val="18"/>
                  <w:color w:val="0000EE"/>
                  <w:w w:val="93"/>
                </w:rPr>
                <w:t>123</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127">
              <w:r>
                <w:rPr>
                  <w:rFonts w:ascii="Arial" w:cs="Arial" w:eastAsia="Arial" w:hAnsi="Arial"/>
                  <w:sz w:val="18"/>
                  <w:szCs w:val="18"/>
                  <w:color w:val="0000EE"/>
                </w:rPr>
                <w:t>Note 16. Other Comprehensive Income</w:t>
              </w:r>
            </w:hyperlink>
          </w:p>
        </w:tc>
        <w:tc>
          <w:tcPr>
            <w:tcW w:w="6100" w:type="dxa"/>
            <w:vAlign w:val="bottom"/>
            <w:gridSpan w:val="5"/>
            <w:shd w:val="clear" w:color="auto" w:fill="CEFFE7"/>
          </w:tcPr>
          <w:p>
            <w:pPr>
              <w:jc w:val="center"/>
              <w:ind w:left="4770"/>
              <w:spacing w:after="0" w:line="202" w:lineRule="exact"/>
              <w:rPr>
                <w:rFonts w:ascii="Arial" w:cs="Arial" w:eastAsia="Arial" w:hAnsi="Arial"/>
                <w:sz w:val="18"/>
                <w:szCs w:val="18"/>
                <w:color w:val="0000EE"/>
                <w:w w:val="93"/>
              </w:rPr>
            </w:pPr>
            <w:hyperlink w:anchor="page127">
              <w:r>
                <w:rPr>
                  <w:rFonts w:ascii="Arial" w:cs="Arial" w:eastAsia="Arial" w:hAnsi="Arial"/>
                  <w:sz w:val="18"/>
                  <w:szCs w:val="18"/>
                  <w:color w:val="0000EE"/>
                  <w:w w:val="93"/>
                </w:rPr>
                <w:t>126</w:t>
              </w:r>
            </w:hyperlink>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8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120" w:type="dxa"/>
            <w:vAlign w:val="bottom"/>
            <w:tcBorders>
              <w:top w:val="single" w:sz="8" w:color="0000EE"/>
            </w:tcBorders>
            <w:shd w:val="clear" w:color="auto" w:fill="CEFFE7"/>
          </w:tcPr>
          <w:p>
            <w:pPr>
              <w:spacing w:after="0"/>
              <w:rPr>
                <w:sz w:val="4"/>
                <w:szCs w:val="4"/>
                <w:color w:val="auto"/>
              </w:rPr>
            </w:pPr>
          </w:p>
        </w:tc>
        <w:tc>
          <w:tcPr>
            <w:tcW w:w="80" w:type="dxa"/>
            <w:vAlign w:val="bottom"/>
            <w:tcBorders>
              <w:top w:val="single" w:sz="8" w:color="0000EE"/>
            </w:tcBorders>
            <w:shd w:val="clear" w:color="auto" w:fill="CEFFE7"/>
          </w:tcPr>
          <w:p>
            <w:pPr>
              <w:spacing w:after="0"/>
              <w:rPr>
                <w:sz w:val="4"/>
                <w:szCs w:val="4"/>
                <w:color w:val="auto"/>
              </w:rPr>
            </w:pPr>
          </w:p>
        </w:tc>
        <w:tc>
          <w:tcPr>
            <w:tcW w:w="2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29">
              <w:r>
                <w:rPr>
                  <w:rFonts w:ascii="Arial" w:cs="Arial" w:eastAsia="Arial" w:hAnsi="Arial"/>
                  <w:sz w:val="18"/>
                  <w:szCs w:val="18"/>
                  <w:color w:val="0000EE"/>
                </w:rPr>
                <w:t>Note 17. Supplemental Cash Flow Information</w:t>
              </w:r>
            </w:hyperlink>
          </w:p>
        </w:tc>
        <w:tc>
          <w:tcPr>
            <w:tcW w:w="6100" w:type="dxa"/>
            <w:vAlign w:val="bottom"/>
            <w:gridSpan w:val="5"/>
          </w:tcPr>
          <w:p>
            <w:pPr>
              <w:jc w:val="center"/>
              <w:ind w:left="4770"/>
              <w:spacing w:after="0" w:line="202"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128</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00" w:type="dxa"/>
            <w:vAlign w:val="bottom"/>
            <w:tcBorders>
              <w:top w:val="single" w:sz="8" w:color="0000EE"/>
            </w:tcBorders>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2400" w:type="dxa"/>
            <w:vAlign w:val="bottom"/>
            <w:tcBorders>
              <w:bottom w:val="single" w:sz="8" w:color="0000EE"/>
            </w:tcBorders>
            <w:gridSpan w:val="12"/>
            <w:shd w:val="clear" w:color="auto" w:fill="CEFFE7"/>
          </w:tcPr>
          <w:p>
            <w:pPr>
              <w:spacing w:after="0" w:line="202" w:lineRule="exact"/>
              <w:rPr>
                <w:rFonts w:ascii="Arial" w:cs="Arial" w:eastAsia="Arial" w:hAnsi="Arial"/>
                <w:sz w:val="18"/>
                <w:szCs w:val="18"/>
                <w:color w:val="0000EE"/>
                <w:w w:val="90"/>
              </w:rPr>
            </w:pPr>
            <w:hyperlink w:anchor="page129">
              <w:r>
                <w:rPr>
                  <w:rFonts w:ascii="Arial" w:cs="Arial" w:eastAsia="Arial" w:hAnsi="Arial"/>
                  <w:sz w:val="18"/>
                  <w:szCs w:val="18"/>
                  <w:color w:val="0000EE"/>
                  <w:w w:val="90"/>
                </w:rPr>
                <w:t>Note 18. Employee Benefit Plans</w:t>
              </w:r>
            </w:hyperlink>
          </w:p>
        </w:tc>
        <w:tc>
          <w:tcPr>
            <w:tcW w:w="2740" w:type="dxa"/>
            <w:vAlign w:val="bottom"/>
            <w:tcBorders>
              <w:bottom w:val="single" w:sz="8" w:color="CEFFE7"/>
            </w:tcBorders>
            <w:gridSpan w:val="17"/>
            <w:shd w:val="clear" w:color="auto" w:fill="CEFFE7"/>
          </w:tcPr>
          <w:p>
            <w:pPr>
              <w:spacing w:after="0"/>
              <w:rPr>
                <w:sz w:val="21"/>
                <w:szCs w:val="21"/>
                <w:color w:val="auto"/>
              </w:rPr>
            </w:pPr>
          </w:p>
        </w:tc>
        <w:tc>
          <w:tcPr>
            <w:tcW w:w="53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0000EE"/>
            </w:tcBorders>
            <w:gridSpan w:val="3"/>
            <w:shd w:val="clear" w:color="auto" w:fill="CEFFE7"/>
          </w:tcPr>
          <w:p>
            <w:pPr>
              <w:jc w:val="center"/>
              <w:spacing w:after="0" w:line="202" w:lineRule="exact"/>
              <w:rPr>
                <w:rFonts w:ascii="Arial" w:cs="Arial" w:eastAsia="Arial" w:hAnsi="Arial"/>
                <w:sz w:val="18"/>
                <w:szCs w:val="18"/>
                <w:color w:val="0000EE"/>
                <w:w w:val="93"/>
              </w:rPr>
            </w:pPr>
            <w:hyperlink w:anchor="page129">
              <w:r>
                <w:rPr>
                  <w:rFonts w:ascii="Arial" w:cs="Arial" w:eastAsia="Arial" w:hAnsi="Arial"/>
                  <w:sz w:val="18"/>
                  <w:szCs w:val="18"/>
                  <w:color w:val="0000EE"/>
                  <w:w w:val="93"/>
                </w:rPr>
                <w:t>128</w:t>
              </w:r>
            </w:hyperlink>
          </w:p>
        </w:tc>
        <w:tc>
          <w:tcPr>
            <w:tcW w:w="480" w:type="dxa"/>
            <w:vAlign w:val="bottom"/>
            <w:tcBorders>
              <w:bottom w:val="single" w:sz="8" w:color="CEFFE7"/>
            </w:tcBorders>
            <w:shd w:val="clear" w:color="auto" w:fill="CEFFE7"/>
          </w:tcPr>
          <w:p>
            <w:pPr>
              <w:spacing w:after="0"/>
              <w:rPr>
                <w:sz w:val="21"/>
                <w:szCs w:val="21"/>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36">
              <w:r>
                <w:rPr>
                  <w:rFonts w:ascii="Arial" w:cs="Arial" w:eastAsia="Arial" w:hAnsi="Arial"/>
                  <w:sz w:val="18"/>
                  <w:szCs w:val="18"/>
                  <w:color w:val="0000EE"/>
                </w:rPr>
                <w:t>Note 19. Commitments and Contingencies</w:t>
              </w:r>
            </w:hyperlink>
          </w:p>
        </w:tc>
        <w:tc>
          <w:tcPr>
            <w:tcW w:w="6100" w:type="dxa"/>
            <w:vAlign w:val="bottom"/>
            <w:gridSpan w:val="5"/>
          </w:tcPr>
          <w:p>
            <w:pPr>
              <w:jc w:val="center"/>
              <w:ind w:left="4770"/>
              <w:spacing w:after="0" w:line="202" w:lineRule="exact"/>
              <w:rPr>
                <w:rFonts w:ascii="Arial" w:cs="Arial" w:eastAsia="Arial" w:hAnsi="Arial"/>
                <w:sz w:val="18"/>
                <w:szCs w:val="18"/>
                <w:color w:val="0000EE"/>
                <w:w w:val="93"/>
              </w:rPr>
            </w:pPr>
            <w:hyperlink w:anchor="page136">
              <w:r>
                <w:rPr>
                  <w:rFonts w:ascii="Arial" w:cs="Arial" w:eastAsia="Arial" w:hAnsi="Arial"/>
                  <w:sz w:val="18"/>
                  <w:szCs w:val="18"/>
                  <w:color w:val="0000EE"/>
                  <w:w w:val="93"/>
                </w:rPr>
                <w:t>135</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40" w:type="dxa"/>
            <w:vAlign w:val="bottom"/>
            <w:tcBorders>
              <w:top w:val="single" w:sz="8" w:color="0000EE"/>
            </w:tcBorders>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03"/>
        </w:trPr>
        <w:tc>
          <w:tcPr>
            <w:tcW w:w="40" w:type="dxa"/>
            <w:vAlign w:val="bottom"/>
            <w:shd w:val="clear" w:color="auto" w:fill="CEFFE7"/>
          </w:tcPr>
          <w:p>
            <w:pPr>
              <w:spacing w:after="0"/>
              <w:rPr>
                <w:sz w:val="17"/>
                <w:szCs w:val="17"/>
                <w:color w:val="auto"/>
              </w:rPr>
            </w:pPr>
          </w:p>
        </w:tc>
        <w:tc>
          <w:tcPr>
            <w:tcW w:w="140" w:type="dxa"/>
            <w:vAlign w:val="bottom"/>
            <w:shd w:val="clear" w:color="auto" w:fill="CEFFE7"/>
          </w:tcPr>
          <w:p>
            <w:pPr>
              <w:spacing w:after="0"/>
              <w:rPr>
                <w:sz w:val="17"/>
                <w:szCs w:val="17"/>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140">
              <w:r>
                <w:rPr>
                  <w:rFonts w:ascii="Arial" w:cs="Arial" w:eastAsia="Arial" w:hAnsi="Arial"/>
                  <w:sz w:val="18"/>
                  <w:szCs w:val="18"/>
                  <w:color w:val="0000EE"/>
                </w:rPr>
                <w:t>Note 20. Guarantees</w:t>
              </w:r>
            </w:hyperlink>
          </w:p>
        </w:tc>
        <w:tc>
          <w:tcPr>
            <w:tcW w:w="6100" w:type="dxa"/>
            <w:vAlign w:val="bottom"/>
            <w:gridSpan w:val="5"/>
            <w:shd w:val="clear" w:color="auto" w:fill="CEFFE7"/>
          </w:tcPr>
          <w:p>
            <w:pPr>
              <w:jc w:val="center"/>
              <w:ind w:left="4770"/>
              <w:spacing w:after="0" w:line="202" w:lineRule="exact"/>
              <w:rPr>
                <w:rFonts w:ascii="Arial" w:cs="Arial" w:eastAsia="Arial" w:hAnsi="Arial"/>
                <w:sz w:val="18"/>
                <w:szCs w:val="18"/>
                <w:color w:val="0000EE"/>
                <w:w w:val="93"/>
              </w:rPr>
            </w:pPr>
            <w:hyperlink w:anchor="page140">
              <w:r>
                <w:rPr>
                  <w:rFonts w:ascii="Arial" w:cs="Arial" w:eastAsia="Arial" w:hAnsi="Arial"/>
                  <w:sz w:val="18"/>
                  <w:szCs w:val="18"/>
                  <w:color w:val="0000EE"/>
                  <w:w w:val="93"/>
                </w:rPr>
                <w:t>139</w:t>
              </w:r>
            </w:hyperlink>
          </w:p>
        </w:tc>
      </w:tr>
      <w:tr>
        <w:trPr>
          <w:trHeight w:val="48"/>
        </w:trPr>
        <w:tc>
          <w:tcPr>
            <w:tcW w:w="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114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260" w:type="dxa"/>
            <w:vAlign w:val="bottom"/>
            <w:tcBorders>
              <w:top w:val="single" w:sz="8" w:color="0000EE"/>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2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8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20" w:type="dxa"/>
            <w:vAlign w:val="bottom"/>
            <w:tcBorders>
              <w:top w:val="single" w:sz="8" w:color="CEFFE7"/>
            </w:tcBorders>
            <w:shd w:val="clear" w:color="auto" w:fill="CEFFE7"/>
          </w:tcPr>
          <w:p>
            <w:pPr>
              <w:spacing w:after="0"/>
              <w:rPr>
                <w:sz w:val="4"/>
                <w:szCs w:val="4"/>
                <w:color w:val="auto"/>
              </w:rPr>
            </w:pPr>
          </w:p>
        </w:tc>
        <w:tc>
          <w:tcPr>
            <w:tcW w:w="80" w:type="dxa"/>
            <w:vAlign w:val="bottom"/>
            <w:tcBorders>
              <w:top w:val="single" w:sz="8" w:color="CEFFE7"/>
            </w:tcBorders>
            <w:shd w:val="clear" w:color="auto" w:fill="CEFFE7"/>
          </w:tcPr>
          <w:p>
            <w:pPr>
              <w:spacing w:after="0"/>
              <w:rPr>
                <w:sz w:val="4"/>
                <w:szCs w:val="4"/>
                <w:color w:val="auto"/>
              </w:rPr>
            </w:pPr>
          </w:p>
        </w:tc>
        <w:tc>
          <w:tcPr>
            <w:tcW w:w="2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140" w:type="dxa"/>
            <w:vAlign w:val="bottom"/>
            <w:tcBorders>
              <w:top w:val="single" w:sz="8" w:color="CEFFE7"/>
            </w:tcBorders>
            <w:shd w:val="clear" w:color="auto" w:fill="CEFFE7"/>
          </w:tcPr>
          <w:p>
            <w:pPr>
              <w:spacing w:after="0"/>
              <w:rPr>
                <w:sz w:val="4"/>
                <w:szCs w:val="4"/>
                <w:color w:val="auto"/>
              </w:rPr>
            </w:pPr>
          </w:p>
        </w:tc>
        <w:tc>
          <w:tcPr>
            <w:tcW w:w="6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240" w:type="dxa"/>
            <w:vAlign w:val="bottom"/>
            <w:tcBorders>
              <w:top w:val="single" w:sz="8" w:color="CEFFE7"/>
            </w:tcBorders>
            <w:shd w:val="clear" w:color="auto" w:fill="CEFFE7"/>
          </w:tcPr>
          <w:p>
            <w:pPr>
              <w:spacing w:after="0"/>
              <w:rPr>
                <w:sz w:val="4"/>
                <w:szCs w:val="4"/>
                <w:color w:val="auto"/>
              </w:rPr>
            </w:pPr>
          </w:p>
        </w:tc>
        <w:tc>
          <w:tcPr>
            <w:tcW w:w="540" w:type="dxa"/>
            <w:vAlign w:val="bottom"/>
            <w:tcBorders>
              <w:top w:val="single" w:sz="8" w:color="CEFFE7"/>
            </w:tcBorders>
            <w:shd w:val="clear" w:color="auto" w:fill="CEFFE7"/>
          </w:tcPr>
          <w:p>
            <w:pPr>
              <w:spacing w:after="0"/>
              <w:rPr>
                <w:sz w:val="4"/>
                <w:szCs w:val="4"/>
                <w:color w:val="auto"/>
              </w:rPr>
            </w:pPr>
          </w:p>
        </w:tc>
        <w:tc>
          <w:tcPr>
            <w:tcW w:w="58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320" w:type="dxa"/>
            <w:vAlign w:val="bottom"/>
            <w:tcBorders>
              <w:top w:val="single" w:sz="8" w:color="CEFFE7"/>
            </w:tcBorders>
            <w:shd w:val="clear" w:color="auto" w:fill="CEFFE7"/>
          </w:tcPr>
          <w:p>
            <w:pPr>
              <w:spacing w:after="0"/>
              <w:rPr>
                <w:sz w:val="4"/>
                <w:szCs w:val="4"/>
                <w:color w:val="auto"/>
              </w:rPr>
            </w:pPr>
          </w:p>
        </w:tc>
        <w:tc>
          <w:tcPr>
            <w:tcW w:w="5340" w:type="dxa"/>
            <w:vAlign w:val="bottom"/>
            <w:tcBorders>
              <w:top w:val="single" w:sz="8" w:color="CEFFE7"/>
            </w:tcBorders>
            <w:shd w:val="clear" w:color="auto" w:fill="CEFFE7"/>
          </w:tcPr>
          <w:p>
            <w:pPr>
              <w:spacing w:after="0"/>
              <w:rPr>
                <w:sz w:val="4"/>
                <w:szCs w:val="4"/>
                <w:color w:val="auto"/>
              </w:rPr>
            </w:pPr>
          </w:p>
        </w:tc>
        <w:tc>
          <w:tcPr>
            <w:tcW w:w="40" w:type="dxa"/>
            <w:vAlign w:val="bottom"/>
            <w:tcBorders>
              <w:top w:val="single" w:sz="8" w:color="0000EE"/>
            </w:tcBorders>
            <w:shd w:val="clear" w:color="auto" w:fill="CEFFE7"/>
          </w:tcPr>
          <w:p>
            <w:pPr>
              <w:spacing w:after="0"/>
              <w:rPr>
                <w:sz w:val="4"/>
                <w:szCs w:val="4"/>
                <w:color w:val="auto"/>
              </w:rPr>
            </w:pPr>
          </w:p>
        </w:tc>
        <w:tc>
          <w:tcPr>
            <w:tcW w:w="180" w:type="dxa"/>
            <w:vAlign w:val="bottom"/>
            <w:tcBorders>
              <w:top w:val="single" w:sz="8" w:color="0000EE"/>
            </w:tcBorders>
            <w:shd w:val="clear" w:color="auto" w:fill="CEFFE7"/>
          </w:tcPr>
          <w:p>
            <w:pPr>
              <w:spacing w:after="0"/>
              <w:rPr>
                <w:sz w:val="4"/>
                <w:szCs w:val="4"/>
                <w:color w:val="auto"/>
              </w:rPr>
            </w:pPr>
          </w:p>
        </w:tc>
        <w:tc>
          <w:tcPr>
            <w:tcW w:w="60" w:type="dxa"/>
            <w:vAlign w:val="bottom"/>
            <w:tcBorders>
              <w:top w:val="single" w:sz="8" w:color="0000EE"/>
            </w:tcBorders>
            <w:shd w:val="clear" w:color="auto" w:fill="CEFFE7"/>
          </w:tcPr>
          <w:p>
            <w:pPr>
              <w:spacing w:after="0"/>
              <w:rPr>
                <w:sz w:val="4"/>
                <w:szCs w:val="4"/>
                <w:color w:val="auto"/>
              </w:rPr>
            </w:pPr>
          </w:p>
        </w:tc>
        <w:tc>
          <w:tcPr>
            <w:tcW w:w="480" w:type="dxa"/>
            <w:vAlign w:val="bottom"/>
            <w:tcBorders>
              <w:top w:val="single" w:sz="8" w:color="CEFFE7"/>
            </w:tcBorders>
            <w:shd w:val="clear" w:color="auto" w:fill="CEFFE7"/>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140" w:type="dxa"/>
            <w:vAlign w:val="bottom"/>
            <w:gridSpan w:val="29"/>
          </w:tcPr>
          <w:p>
            <w:pPr>
              <w:spacing w:after="0" w:line="202" w:lineRule="exact"/>
              <w:rPr>
                <w:rFonts w:ascii="Arial" w:cs="Arial" w:eastAsia="Arial" w:hAnsi="Arial"/>
                <w:sz w:val="18"/>
                <w:szCs w:val="18"/>
                <w:color w:val="0000EE"/>
              </w:rPr>
            </w:pPr>
            <w:hyperlink w:anchor="page141">
              <w:r>
                <w:rPr>
                  <w:rFonts w:ascii="Arial" w:cs="Arial" w:eastAsia="Arial" w:hAnsi="Arial"/>
                  <w:sz w:val="18"/>
                  <w:szCs w:val="18"/>
                  <w:color w:val="0000EE"/>
                </w:rPr>
                <w:t>Note 21. Discontinued Operations</w:t>
              </w:r>
            </w:hyperlink>
          </w:p>
        </w:tc>
        <w:tc>
          <w:tcPr>
            <w:tcW w:w="6100" w:type="dxa"/>
            <w:vAlign w:val="bottom"/>
            <w:gridSpan w:val="5"/>
          </w:tcPr>
          <w:p>
            <w:pPr>
              <w:jc w:val="center"/>
              <w:ind w:left="4770"/>
              <w:spacing w:after="0" w:line="202" w:lineRule="exact"/>
              <w:rPr>
                <w:rFonts w:ascii="Arial" w:cs="Arial" w:eastAsia="Arial" w:hAnsi="Arial"/>
                <w:sz w:val="18"/>
                <w:szCs w:val="18"/>
                <w:color w:val="0000EE"/>
                <w:w w:val="93"/>
              </w:rPr>
            </w:pPr>
            <w:hyperlink w:anchor="page141">
              <w:r>
                <w:rPr>
                  <w:rFonts w:ascii="Arial" w:cs="Arial" w:eastAsia="Arial" w:hAnsi="Arial"/>
                  <w:sz w:val="18"/>
                  <w:szCs w:val="18"/>
                  <w:color w:val="0000EE"/>
                  <w:w w:val="93"/>
                </w:rPr>
                <w:t>140</w:t>
              </w:r>
            </w:hyperlink>
          </w:p>
        </w:tc>
      </w:tr>
      <w:tr>
        <w:trPr>
          <w:trHeight w:val="48"/>
        </w:trPr>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8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540" w:type="dxa"/>
            <w:vAlign w:val="bottom"/>
          </w:tcPr>
          <w:p>
            <w:pPr>
              <w:spacing w:after="0"/>
              <w:rPr>
                <w:sz w:val="4"/>
                <w:szCs w:val="4"/>
                <w:color w:val="auto"/>
              </w:rPr>
            </w:pPr>
          </w:p>
        </w:tc>
        <w:tc>
          <w:tcPr>
            <w:tcW w:w="5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20" w:type="dxa"/>
            <w:vAlign w:val="bottom"/>
          </w:tcPr>
          <w:p>
            <w:pPr>
              <w:spacing w:after="0"/>
              <w:rPr>
                <w:sz w:val="4"/>
                <w:szCs w:val="4"/>
                <w:color w:val="auto"/>
              </w:rPr>
            </w:pPr>
          </w:p>
        </w:tc>
        <w:tc>
          <w:tcPr>
            <w:tcW w:w="5340" w:type="dxa"/>
            <w:vAlign w:val="bottom"/>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18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480" w:type="dxa"/>
            <w:vAlign w:val="bottom"/>
          </w:tcPr>
          <w:p>
            <w:pPr>
              <w:spacing w:after="0"/>
              <w:rPr>
                <w:sz w:val="4"/>
                <w:szCs w:val="4"/>
                <w:color w:val="auto"/>
              </w:rPr>
            </w:pPr>
          </w:p>
        </w:tc>
      </w:tr>
      <w:tr>
        <w:trPr>
          <w:trHeight w:val="250"/>
        </w:trPr>
        <w:tc>
          <w:tcPr>
            <w:tcW w:w="40" w:type="dxa"/>
            <w:vAlign w:val="bottom"/>
            <w:shd w:val="clear" w:color="auto" w:fill="CEFFE7"/>
          </w:tcPr>
          <w:p>
            <w:pPr>
              <w:spacing w:after="0"/>
              <w:rPr>
                <w:sz w:val="21"/>
                <w:szCs w:val="21"/>
                <w:color w:val="auto"/>
              </w:rPr>
            </w:pPr>
          </w:p>
        </w:tc>
        <w:tc>
          <w:tcPr>
            <w:tcW w:w="140" w:type="dxa"/>
            <w:vAlign w:val="bottom"/>
            <w:shd w:val="clear" w:color="auto" w:fill="CEFFE7"/>
          </w:tcPr>
          <w:p>
            <w:pPr>
              <w:spacing w:after="0"/>
              <w:rPr>
                <w:sz w:val="21"/>
                <w:szCs w:val="21"/>
                <w:color w:val="auto"/>
              </w:rPr>
            </w:pPr>
          </w:p>
        </w:tc>
        <w:tc>
          <w:tcPr>
            <w:tcW w:w="5140" w:type="dxa"/>
            <w:vAlign w:val="bottom"/>
            <w:gridSpan w:val="29"/>
            <w:shd w:val="clear" w:color="auto" w:fill="CEFFE7"/>
          </w:tcPr>
          <w:p>
            <w:pPr>
              <w:spacing w:after="0" w:line="202" w:lineRule="exact"/>
              <w:rPr>
                <w:rFonts w:ascii="Arial" w:cs="Arial" w:eastAsia="Arial" w:hAnsi="Arial"/>
                <w:sz w:val="18"/>
                <w:szCs w:val="18"/>
                <w:color w:val="0000EE"/>
              </w:rPr>
            </w:pPr>
            <w:hyperlink w:anchor="page142">
              <w:r>
                <w:rPr>
                  <w:rFonts w:ascii="Arial" w:cs="Arial" w:eastAsia="Arial" w:hAnsi="Arial"/>
                  <w:sz w:val="18"/>
                  <w:szCs w:val="18"/>
                  <w:color w:val="0000EE"/>
                </w:rPr>
                <w:t>Note 22. Quarterly Historical Data (unaudited)</w:t>
              </w:r>
            </w:hyperlink>
          </w:p>
        </w:tc>
        <w:tc>
          <w:tcPr>
            <w:tcW w:w="6100" w:type="dxa"/>
            <w:vAlign w:val="bottom"/>
            <w:gridSpan w:val="5"/>
            <w:shd w:val="clear" w:color="auto" w:fill="CEFFE7"/>
          </w:tcPr>
          <w:p>
            <w:pPr>
              <w:jc w:val="center"/>
              <w:ind w:left="4770"/>
              <w:spacing w:after="0" w:line="202" w:lineRule="exact"/>
              <w:rPr>
                <w:rFonts w:ascii="Arial" w:cs="Arial" w:eastAsia="Arial" w:hAnsi="Arial"/>
                <w:sz w:val="18"/>
                <w:szCs w:val="18"/>
                <w:color w:val="0000EE"/>
                <w:w w:val="93"/>
              </w:rPr>
            </w:pPr>
            <w:hyperlink w:anchor="page142">
              <w:r>
                <w:rPr>
                  <w:rFonts w:ascii="Arial" w:cs="Arial" w:eastAsia="Arial" w:hAnsi="Arial"/>
                  <w:sz w:val="18"/>
                  <w:szCs w:val="18"/>
                  <w:color w:val="0000EE"/>
                  <w:w w:val="93"/>
                </w:rPr>
                <w:t>141</w:t>
              </w:r>
            </w:hyperlink>
          </w:p>
        </w:tc>
      </w:tr>
      <w:tr>
        <w:trPr>
          <w:trHeight w:val="864"/>
        </w:trPr>
        <w:tc>
          <w:tcPr>
            <w:tcW w:w="40" w:type="dxa"/>
            <w:vAlign w:val="bottom"/>
            <w:tcBorders>
              <w:top w:val="single" w:sz="8" w:color="CEFFE7"/>
            </w:tcBorders>
          </w:tcPr>
          <w:p>
            <w:pPr>
              <w:spacing w:after="0"/>
              <w:rPr>
                <w:sz w:val="24"/>
                <w:szCs w:val="24"/>
                <w:color w:val="auto"/>
              </w:rPr>
            </w:pPr>
          </w:p>
        </w:tc>
        <w:tc>
          <w:tcPr>
            <w:tcW w:w="140" w:type="dxa"/>
            <w:vAlign w:val="bottom"/>
            <w:tcBorders>
              <w:top w:val="single" w:sz="8" w:color="CEFFE7"/>
            </w:tcBorders>
          </w:tcPr>
          <w:p>
            <w:pPr>
              <w:spacing w:after="0"/>
              <w:rPr>
                <w:sz w:val="24"/>
                <w:szCs w:val="24"/>
                <w:color w:val="auto"/>
              </w:rPr>
            </w:pPr>
          </w:p>
        </w:tc>
        <w:tc>
          <w:tcPr>
            <w:tcW w:w="1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CEFFE7"/>
            </w:tcBorders>
          </w:tcPr>
          <w:p>
            <w:pPr>
              <w:spacing w:after="0"/>
              <w:rPr>
                <w:sz w:val="24"/>
                <w:szCs w:val="24"/>
                <w:color w:val="auto"/>
              </w:rPr>
            </w:pPr>
          </w:p>
        </w:tc>
        <w:tc>
          <w:tcPr>
            <w:tcW w:w="540" w:type="dxa"/>
            <w:vAlign w:val="bottom"/>
            <w:tcBorders>
              <w:top w:val="single" w:sz="8" w:color="CEFFE7"/>
            </w:tcBorders>
          </w:tcPr>
          <w:p>
            <w:pPr>
              <w:spacing w:after="0"/>
              <w:rPr>
                <w:sz w:val="24"/>
                <w:szCs w:val="24"/>
                <w:color w:val="auto"/>
              </w:rPr>
            </w:pPr>
          </w:p>
        </w:tc>
        <w:tc>
          <w:tcPr>
            <w:tcW w:w="580" w:type="dxa"/>
            <w:vAlign w:val="bottom"/>
            <w:tcBorders>
              <w:top w:val="single" w:sz="8" w:color="CEFFE7"/>
            </w:tcBorders>
          </w:tcPr>
          <w:p>
            <w:pPr>
              <w:spacing w:after="0"/>
              <w:rPr>
                <w:sz w:val="24"/>
                <w:szCs w:val="24"/>
                <w:color w:val="auto"/>
              </w:rPr>
            </w:pPr>
          </w:p>
        </w:tc>
        <w:tc>
          <w:tcPr>
            <w:tcW w:w="100" w:type="dxa"/>
            <w:vAlign w:val="bottom"/>
            <w:tcBorders>
              <w:top w:val="single" w:sz="8" w:color="CEFFE7"/>
            </w:tcBorders>
          </w:tcPr>
          <w:p>
            <w:pPr>
              <w:spacing w:after="0"/>
              <w:rPr>
                <w:sz w:val="24"/>
                <w:szCs w:val="24"/>
                <w:color w:val="auto"/>
              </w:rPr>
            </w:pPr>
          </w:p>
        </w:tc>
        <w:tc>
          <w:tcPr>
            <w:tcW w:w="320" w:type="dxa"/>
            <w:vAlign w:val="bottom"/>
            <w:tcBorders>
              <w:top w:val="single" w:sz="8" w:color="CEFFE7"/>
            </w:tcBorders>
          </w:tcPr>
          <w:p>
            <w:pPr>
              <w:spacing w:after="0"/>
              <w:rPr>
                <w:sz w:val="24"/>
                <w:szCs w:val="24"/>
                <w:color w:val="auto"/>
              </w:rPr>
            </w:pPr>
          </w:p>
        </w:tc>
        <w:tc>
          <w:tcPr>
            <w:tcW w:w="5340" w:type="dxa"/>
            <w:vAlign w:val="bottom"/>
            <w:tcBorders>
              <w:top w:val="single" w:sz="8" w:color="CEFFE7"/>
            </w:tcBorders>
          </w:tcPr>
          <w:p>
            <w:pPr>
              <w:jc w:val="right"/>
              <w:ind w:right="4770"/>
              <w:spacing w:after="0"/>
              <w:rPr>
                <w:sz w:val="20"/>
                <w:szCs w:val="20"/>
                <w:color w:val="auto"/>
              </w:rPr>
            </w:pPr>
            <w:r>
              <w:rPr>
                <w:rFonts w:ascii="Arial" w:cs="Arial" w:eastAsia="Arial" w:hAnsi="Arial"/>
                <w:sz w:val="18"/>
                <w:szCs w:val="18"/>
                <w:color w:val="auto"/>
              </w:rPr>
              <w:t>72</w:t>
            </w:r>
          </w:p>
        </w:tc>
        <w:tc>
          <w:tcPr>
            <w:tcW w:w="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80" w:type="dxa"/>
            <w:vAlign w:val="bottom"/>
            <w:tcBorders>
              <w:top w:val="single" w:sz="8" w:color="CEFFE7"/>
            </w:tcBorders>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72" w:name="page73"/>
    <w:bookmarkEnd w:id="7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Management’s Report on Internal Control over Financial Reporting</w:t>
      </w:r>
    </w:p>
    <w:p>
      <w:pPr>
        <w:spacing w:after="0" w:line="229"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We are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financial reporting and the preparation of financial statements for external purposes in accordance with generally accepted accounting principles.</w:t>
      </w:r>
    </w:p>
    <w:p>
      <w:pPr>
        <w:spacing w:after="0" w:line="187"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All internal control systems, no matter how well designed, have inherent limitations. Therefore, even those systems determined to be effective can provide only reasonable assurance with respect to financial statement preparation and presentation.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14"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 xml:space="preserve">Under the supervision and with the participation of management, including our Chief Executive Officer and Chief Financial Officer, we conducted an evaluation of the effectiveness of our internal control over financial reporting as of December 31, 2019, based on the criteria set forth in </w:t>
      </w:r>
      <w:r>
        <w:rPr>
          <w:rFonts w:ascii="Arial" w:cs="Arial" w:eastAsia="Arial" w:hAnsi="Arial"/>
          <w:sz w:val="16"/>
          <w:szCs w:val="16"/>
          <w:i w:val="1"/>
          <w:iCs w:val="1"/>
          <w:color w:val="auto"/>
        </w:rPr>
        <w:t>Internal Control -</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Integrated Framework (2013) </w:t>
      </w:r>
      <w:r>
        <w:rPr>
          <w:rFonts w:ascii="Arial" w:cs="Arial" w:eastAsia="Arial" w:hAnsi="Arial"/>
          <w:sz w:val="16"/>
          <w:szCs w:val="16"/>
          <w:color w:val="auto"/>
        </w:rPr>
        <w:t>issued by the Committee of Sponsoring Organizations of the Treadway Commission “COSO”. This evaluation included review</w:t>
      </w:r>
      <w:r>
        <w:rPr>
          <w:rFonts w:ascii="Arial" w:cs="Arial" w:eastAsia="Arial" w:hAnsi="Arial"/>
          <w:sz w:val="16"/>
          <w:szCs w:val="16"/>
          <w:i w:val="1"/>
          <w:iCs w:val="1"/>
          <w:color w:val="auto"/>
        </w:rPr>
        <w:t xml:space="preserve"> </w:t>
      </w:r>
      <w:r>
        <w:rPr>
          <w:rFonts w:ascii="Arial" w:cs="Arial" w:eastAsia="Arial" w:hAnsi="Arial"/>
          <w:sz w:val="16"/>
          <w:szCs w:val="16"/>
          <w:color w:val="auto"/>
        </w:rPr>
        <w:t>of the documentation of controls, evaluation of the design effectiveness of controls, testing of the operating effectiveness of controls and a conclusion on this evaluation. Based on our evaluation, we have concluded that our internal control over financial reporting was effective as of December 31, 2019.</w:t>
      </w:r>
    </w:p>
    <w:p>
      <w:pPr>
        <w:spacing w:after="0" w:line="158"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Deloitte &amp; Touche LLP, an independent registered public accounting firm, as auditors of Black Hills Corporation’s financial statements, has issued an attestation report on the effectiveness of Black Hills Corporation's internal control over financial reporting as of December 31, 2019. Deloitte &amp; Touche LLP's report on Black Hills Corporation's internal control over financial reporting is included herein.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Black Hills Corporation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126" w:right="25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348615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340"/>
          </w:cols>
          <w:pgMar w:left="240" w:top="126"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91"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 Black Hills Corporation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We have audited the accompanying consolidated balance sheets of Black Hills Corporation and subsidiaries (the “Company”) as of December 31, 2019 and 2018, the related consolidated statements of income, comprehensive income, cash flows, and equity, for each of the three years in the period ended December 31, 2019, and the related notes and the schedule listed in the Index at Item 15 (collectively referred to as the “financial statements”). In our opinion, the financial statements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w:t>
      </w:r>
    </w:p>
    <w:p>
      <w:pPr>
        <w:spacing w:after="0" w:line="13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We have also audited, in accordance with the standards of the Public Company Accounting Oversight Board (United States) (PCAOB), the Company’s internal control over financial reporting as of December 31, 2019, based on criteria established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xml:space="preserve"> issued by the Committee of Sponsoring Organizations of the Treadway Commission and our report dated February 14, 2020, expressed an unqualified opinion on the Company’s internal control over financial reporting.</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40"/>
        <w:spacing w:after="0" w:line="312"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93"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Audit Matter</w:t>
      </w:r>
    </w:p>
    <w:p>
      <w:pPr>
        <w:spacing w:after="0" w:line="17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critical audit matter communicated below is a matter arising from the current-period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critical audit matters does not alter in any way our opinion on the financial statements, taken as a whole, and we are not, by communicating the critical audit matter below, providing a separate opinion on the critical audit matter or on the accounts or disclosures to which it relates.</w:t>
      </w:r>
    </w:p>
    <w:p>
      <w:pPr>
        <w:spacing w:after="0" w:line="134" w:lineRule="exact"/>
        <w:rPr>
          <w:sz w:val="20"/>
          <w:szCs w:val="20"/>
          <w:color w:val="auto"/>
        </w:rPr>
      </w:pPr>
    </w:p>
    <w:p>
      <w:pPr>
        <w:ind w:right="1200"/>
        <w:spacing w:after="0" w:line="465" w:lineRule="auto"/>
        <w:rPr>
          <w:sz w:val="20"/>
          <w:szCs w:val="20"/>
          <w:color w:val="auto"/>
        </w:rPr>
      </w:pPr>
      <w:r>
        <w:rPr>
          <w:rFonts w:ascii="Arial" w:cs="Arial" w:eastAsia="Arial" w:hAnsi="Arial"/>
          <w:sz w:val="18"/>
          <w:szCs w:val="18"/>
          <w:b w:val="1"/>
          <w:bCs w:val="1"/>
          <w:i w:val="1"/>
          <w:iCs w:val="1"/>
          <w:color w:val="auto"/>
        </w:rPr>
        <w:t xml:space="preserve">Regulatory Accounting--Impact of Rate Regulation on the Financial Statements--Refer to Note 1 and Note 13 to the financial statements </w:t>
      </w:r>
      <w:r>
        <w:rPr>
          <w:rFonts w:ascii="Arial" w:cs="Arial" w:eastAsia="Arial" w:hAnsi="Arial"/>
          <w:sz w:val="18"/>
          <w:szCs w:val="18"/>
          <w:i w:val="1"/>
          <w:iCs w:val="1"/>
          <w:color w:val="auto"/>
        </w:rPr>
        <w:t>Critical Audit Matter Description</w:t>
      </w:r>
    </w:p>
    <w:p>
      <w:pPr>
        <w:spacing w:after="0" w:line="62"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 is subject to cost-of-service regulation and earnings oversight by federal and state utility commissions (collectively, the “Commissions”), which have jurisdiction over the Company’s electric rates in Colorado, Montana, South Dakota and Wyoming and natural gas rates in Arkansas, Colorado, Iowa, Kansas, Nebraska and Wyoming. Management has determined it meets the requirements under accounting principles generally accepted in the United States of America to prepare its financial statements applying the specialized rules to account for the effects of cost-based rate regulation. Accounting for the economics of rate regulation impacts multiple financial statement line items and disclosures, such as property, plant, and equipment; regulatory assets and liabilities; revenue; operating expenses; and income tax benefit (expense).</w:t>
      </w:r>
    </w:p>
    <w:p>
      <w:pPr>
        <w:spacing w:after="0" w:line="28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340"/>
          </w:cols>
          <w:pgMar w:left="240" w:top="126" w:right="319" w:bottom="1440" w:gutter="0" w:footer="0" w:header="0"/>
          <w:type w:val="continuous"/>
        </w:sectPr>
      </w:pPr>
    </w:p>
    <w:bookmarkStart w:id="74" w:name="page75"/>
    <w:bookmarkEnd w:id="7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29"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Rates are regulated on a state-by-state basis by the relevant state regulatory commissions based on an analysis of the costs, as reviewed and approved in a regulatory proceeding. Rate regulation is premised on the full recovery of prudently incurred costs and a reasonable rate of return on invested capital. Decisions to be made by the Commissions in the future will impact the accounting for regulated operations, including decisions about the amount of allowable costs and return on invested capital included in rates and any refunds that may be required. While the Company has indicated its regulatory assets are probable of recovery in current rates or in future proceedings, there is a risk that the Commissions will not judge all costs to have been prudently incurred or that the rate regulation process in which rates are determined will always result in rates that produce a full recovery of costs and the return on invested capital.</w:t>
      </w:r>
    </w:p>
    <w:p>
      <w:pPr>
        <w:spacing w:after="0" w:line="189"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We identified the impact of rate regulation as a critical audit matter due to the significant judgments made by management to support its assertions about impacted account balances and disclosures and the high degree of subjectivity involved in assessing the impact of future regulatory orders on the financial statements. Management judgments include assessing the likelihood of (1) recovery in future rates of incurred costs, and (2) a refund or future rate reduction to be provided to customers. Given the uncertainty of future decisions by the Commissions, auditing these judgments required specialized knowledge of accounting for rate regulation and the rate setting process due to its inherent complexities.</w:t>
      </w:r>
    </w:p>
    <w:p>
      <w:pPr>
        <w:spacing w:after="0" w:line="6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How the Critical Audit Matter Was Addressed in the Audit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Our audit procedures related to the uncertainty of future decisions by the Commissions included the following, among others:</w:t>
      </w:r>
    </w:p>
    <w:p>
      <w:pPr>
        <w:spacing w:after="0" w:line="117" w:lineRule="exact"/>
        <w:rPr>
          <w:sz w:val="20"/>
          <w:szCs w:val="20"/>
          <w:color w:val="auto"/>
        </w:rPr>
      </w:pPr>
    </w:p>
    <w:p>
      <w:pPr>
        <w:ind w:left="660" w:right="40" w:hanging="328"/>
        <w:spacing w:after="0" w:line="253"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tested the effectiveness of management’s controls over the evaluation of the likelihood of (1) the recovery in future rates of costs incurred as property, plant, and equipment and deferred as regulatory assets, and (2) a refund or a future reduction in rates that should be reported as regulatory liabilities. We tested the effectiveness of management’s controls over the initial recognition of amounts as property, plant, and equipment; regulatory assets or liabilities; and the monitoring and evaluation of regulatory developments that may affect the likelihood of recovering costs in future rates or of a future reduction in rates.</w:t>
      </w:r>
    </w:p>
    <w:p>
      <w:pPr>
        <w:spacing w:after="0" w:line="3" w:lineRule="exact"/>
        <w:rPr>
          <w:rFonts w:ascii="Arial" w:cs="Arial" w:eastAsia="Arial" w:hAnsi="Arial"/>
          <w:sz w:val="18"/>
          <w:szCs w:val="18"/>
          <w:color w:val="auto"/>
        </w:rPr>
      </w:pPr>
    </w:p>
    <w:p>
      <w:pPr>
        <w:ind w:left="660" w:hanging="328"/>
        <w:spacing w:after="0"/>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evaluated the Company’s disclosures related to the impacts of rate regulation, including the balances recorded and regulatory developments.</w:t>
      </w:r>
    </w:p>
    <w:p>
      <w:pPr>
        <w:spacing w:after="0" w:line="32" w:lineRule="exact"/>
        <w:rPr>
          <w:rFonts w:ascii="Arial" w:cs="Arial" w:eastAsia="Arial" w:hAnsi="Arial"/>
          <w:sz w:val="16"/>
          <w:szCs w:val="16"/>
          <w:color w:val="auto"/>
        </w:rPr>
      </w:pPr>
    </w:p>
    <w:p>
      <w:pPr>
        <w:ind w:left="660" w:right="160" w:hanging="328"/>
        <w:spacing w:after="0" w:line="281" w:lineRule="auto"/>
        <w:tabs>
          <w:tab w:leader="none" w:pos="660" w:val="left"/>
        </w:tabs>
        <w:numPr>
          <w:ilvl w:val="0"/>
          <w:numId w:val="56"/>
        </w:numPr>
        <w:rPr>
          <w:rFonts w:ascii="Arial" w:cs="Arial" w:eastAsia="Arial" w:hAnsi="Arial"/>
          <w:sz w:val="16"/>
          <w:szCs w:val="16"/>
          <w:color w:val="auto"/>
        </w:rPr>
      </w:pPr>
      <w:r>
        <w:rPr>
          <w:rFonts w:ascii="Arial" w:cs="Arial" w:eastAsia="Arial" w:hAnsi="Arial"/>
          <w:sz w:val="16"/>
          <w:szCs w:val="16"/>
          <w:color w:val="auto"/>
        </w:rPr>
        <w:t>We read relevant regulatory orders issued by the Commissions, procedural memorandums, filings made by the Company, and other publicly available information, as appropriate, to assess the likelihood of recovery in future rates or of a future reduction in rates based on precedence of the Commissions’ treatment of similar costs under similar circumstances. We evaluated the external information and compared to the Company’s recorded regulatory asset and liability balances for completeness and for any evidence that might contradict management’s assertions.</w:t>
      </w:r>
    </w:p>
    <w:p>
      <w:pPr>
        <w:spacing w:after="0" w:line="2" w:lineRule="exact"/>
        <w:rPr>
          <w:rFonts w:ascii="Arial" w:cs="Arial" w:eastAsia="Arial" w:hAnsi="Arial"/>
          <w:sz w:val="16"/>
          <w:szCs w:val="16"/>
          <w:color w:val="auto"/>
        </w:rPr>
      </w:pPr>
    </w:p>
    <w:p>
      <w:pPr>
        <w:ind w:left="660" w:hanging="328"/>
        <w:spacing w:after="0" w:line="255" w:lineRule="auto"/>
        <w:tabs>
          <w:tab w:leader="none" w:pos="660" w:val="left"/>
        </w:tabs>
        <w:numPr>
          <w:ilvl w:val="0"/>
          <w:numId w:val="56"/>
        </w:numPr>
        <w:rPr>
          <w:rFonts w:ascii="Arial" w:cs="Arial" w:eastAsia="Arial" w:hAnsi="Arial"/>
          <w:sz w:val="18"/>
          <w:szCs w:val="18"/>
          <w:color w:val="auto"/>
        </w:rPr>
      </w:pPr>
      <w:r>
        <w:rPr>
          <w:rFonts w:ascii="Arial" w:cs="Arial" w:eastAsia="Arial" w:hAnsi="Arial"/>
          <w:sz w:val="18"/>
          <w:szCs w:val="18"/>
          <w:color w:val="auto"/>
        </w:rPr>
        <w:t>We obtained an analysis from management regarding probability of recovery for regulatory assets or refund or future reduction in rates for regulatory liabilities not yet addressed in a regulatory order to assess management’s assertion that amounts are probable of recovery or a future reduction in rates.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2002.</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126" w:right="239" w:bottom="1440" w:gutter="0" w:footer="0" w:header="0"/>
        </w:sectPr>
      </w:pPr>
    </w:p>
    <w:bookmarkStart w:id="75" w:name="page76"/>
    <w:bookmarkEnd w:id="7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ind w:right="5240"/>
        <w:spacing w:after="0" w:line="438"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To the shareholders and the Board of Directors of Black Hills Corporation</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We have audited the internal control over financial reporting of Black Hills Corporation and subsidiaries (the "Company")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the Committee of Sponsoring Organizations of the Treadway Commission (COSO).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 (2013)</w:t>
      </w:r>
      <w:r>
        <w:rPr>
          <w:rFonts w:ascii="Arial" w:cs="Arial" w:eastAsia="Arial" w:hAnsi="Arial"/>
          <w:sz w:val="18"/>
          <w:szCs w:val="18"/>
          <w:color w:val="auto"/>
        </w:rPr>
        <w:t xml:space="preserve"> issued by COSO.</w:t>
      </w:r>
    </w:p>
    <w:p>
      <w:pPr>
        <w:spacing w:after="0" w:line="106" w:lineRule="exact"/>
        <w:rPr>
          <w:sz w:val="20"/>
          <w:szCs w:val="20"/>
          <w:color w:val="auto"/>
        </w:rPr>
      </w:pPr>
    </w:p>
    <w:p>
      <w:pPr>
        <w:jc w:val="both"/>
        <w:ind w:right="380"/>
        <w:spacing w:after="0" w:line="286" w:lineRule="auto"/>
        <w:rPr>
          <w:sz w:val="20"/>
          <w:szCs w:val="20"/>
          <w:color w:val="auto"/>
        </w:rPr>
      </w:pPr>
      <w:r>
        <w:rPr>
          <w:rFonts w:ascii="Arial" w:cs="Arial" w:eastAsia="Arial" w:hAnsi="Arial"/>
          <w:sz w:val="17"/>
          <w:szCs w:val="17"/>
          <w:color w:val="auto"/>
        </w:rPr>
        <w:t>We have also audited, in accordance with the standards of the Public Company Accounting Oversight Board (United States) (PCAOB), the consolidated financial statements and financial statement schedule of the Company as of and for the year ended December 31, 2019, and our report dated February 14, 2020 expressed an unqualified opinion on those consolidated financial statements and financial statement schedule.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0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14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86"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14,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20"/>
          </w:cols>
          <w:pgMar w:left="240" w:top="126" w:right="2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184"/>
        </w:trPr>
        <w:tc>
          <w:tcPr>
            <w:tcW w:w="428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398"/>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3720" w:type="dxa"/>
            <w:vAlign w:val="bottom"/>
            <w:gridSpan w:val="3"/>
          </w:tcPr>
          <w:p>
            <w:pPr>
              <w:jc w:val="right"/>
              <w:ind w:right="1019"/>
              <w:spacing w:after="0"/>
              <w:rPr>
                <w:sz w:val="20"/>
                <w:szCs w:val="20"/>
                <w:color w:val="auto"/>
              </w:rPr>
            </w:pPr>
            <w:r>
              <w:rPr>
                <w:rFonts w:ascii="Arial" w:cs="Arial" w:eastAsia="Arial" w:hAnsi="Arial"/>
                <w:sz w:val="16"/>
                <w:szCs w:val="16"/>
                <w:b w:val="1"/>
                <w:bCs w:val="1"/>
                <w:color w:val="auto"/>
              </w:rPr>
              <w:t>BLACK HILLS CORPORATION</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780" w:type="dxa"/>
            <w:vAlign w:val="bottom"/>
            <w:gridSpan w:val="4"/>
          </w:tcPr>
          <w:p>
            <w:pPr>
              <w:jc w:val="right"/>
              <w:ind w:right="499"/>
              <w:spacing w:after="0"/>
              <w:rPr>
                <w:sz w:val="20"/>
                <w:szCs w:val="20"/>
                <w:color w:val="auto"/>
              </w:rPr>
            </w:pPr>
            <w:r>
              <w:rPr>
                <w:rFonts w:ascii="Arial" w:cs="Arial" w:eastAsia="Arial" w:hAnsi="Arial"/>
                <w:sz w:val="16"/>
                <w:szCs w:val="16"/>
                <w:b w:val="1"/>
                <w:bCs w:val="1"/>
                <w:color w:val="auto"/>
              </w:rPr>
              <w:t>CONSOLIDATED STATEMENTS OF INCOME</w:t>
            </w: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351"/>
        </w:trPr>
        <w:tc>
          <w:tcPr>
            <w:tcW w:w="20" w:type="dxa"/>
            <w:vAlign w:val="bottom"/>
          </w:tcPr>
          <w:p>
            <w:pPr>
              <w:spacing w:after="0"/>
              <w:rPr>
                <w:sz w:val="24"/>
                <w:szCs w:val="24"/>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Year ended</w:t>
            </w: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39"/>
              <w:spacing w:after="0"/>
              <w:rPr>
                <w:sz w:val="20"/>
                <w:szCs w:val="20"/>
                <w:color w:val="auto"/>
              </w:rPr>
            </w:pPr>
            <w:r>
              <w:rPr>
                <w:rFonts w:ascii="Arial" w:cs="Arial" w:eastAsia="Arial" w:hAnsi="Arial"/>
                <w:sz w:val="16"/>
                <w:szCs w:val="16"/>
                <w:color w:val="auto"/>
                <w:w w:val="92"/>
              </w:rPr>
              <w:t>December 31, 2019</w:t>
            </w:r>
          </w:p>
        </w:tc>
        <w:tc>
          <w:tcPr>
            <w:tcW w:w="180" w:type="dxa"/>
            <w:vAlign w:val="bottom"/>
          </w:tcPr>
          <w:p>
            <w:pPr>
              <w:spacing w:after="0"/>
              <w:rPr>
                <w:sz w:val="24"/>
                <w:szCs w:val="24"/>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2018</w:t>
            </w:r>
          </w:p>
        </w:tc>
        <w:tc>
          <w:tcPr>
            <w:tcW w:w="180" w:type="dxa"/>
            <w:vAlign w:val="bottom"/>
          </w:tcPr>
          <w:p>
            <w:pPr>
              <w:spacing w:after="0"/>
              <w:rPr>
                <w:sz w:val="24"/>
                <w:szCs w:val="24"/>
                <w:color w:val="auto"/>
              </w:rPr>
            </w:pPr>
          </w:p>
        </w:tc>
        <w:tc>
          <w:tcPr>
            <w:tcW w:w="1520" w:type="dxa"/>
            <w:vAlign w:val="bottom"/>
          </w:tcPr>
          <w:p>
            <w:pPr>
              <w:jc w:val="right"/>
              <w:ind w:right="119"/>
              <w:spacing w:after="0"/>
              <w:rPr>
                <w:sz w:val="20"/>
                <w:szCs w:val="20"/>
                <w:color w:val="auto"/>
              </w:rPr>
            </w:pPr>
            <w:r>
              <w:rPr>
                <w:rFonts w:ascii="Arial" w:cs="Arial" w:eastAsia="Arial" w:hAnsi="Arial"/>
                <w:sz w:val="16"/>
                <w:szCs w:val="16"/>
                <w:color w:val="auto"/>
                <w:w w:val="92"/>
              </w:rPr>
              <w:t>December 31, 2017</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940" w:type="dxa"/>
            <w:vAlign w:val="bottom"/>
            <w:tcBorders>
              <w:bottom w:val="single" w:sz="8" w:color="auto"/>
            </w:tcBorders>
            <w:gridSpan w:val="5"/>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940" w:type="dxa"/>
            <w:vAlign w:val="bottom"/>
            <w:gridSpan w:val="5"/>
          </w:tcPr>
          <w:p>
            <w:pPr>
              <w:jc w:val="right"/>
              <w:ind w:right="1139"/>
              <w:spacing w:after="0"/>
              <w:rPr>
                <w:sz w:val="20"/>
                <w:szCs w:val="20"/>
                <w:color w:val="auto"/>
              </w:rPr>
            </w:pPr>
            <w:r>
              <w:rPr>
                <w:rFonts w:ascii="Arial" w:cs="Arial" w:eastAsia="Arial" w:hAnsi="Arial"/>
                <w:sz w:val="16"/>
                <w:szCs w:val="16"/>
                <w:color w:val="auto"/>
              </w:rPr>
              <w:t>(in thousands, except per share amounts)</w:t>
            </w:r>
          </w:p>
        </w:tc>
      </w:tr>
      <w:tr>
        <w:trPr>
          <w:trHeight w:val="317"/>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21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1,734,900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1,754,268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1,680,266</w:t>
            </w:r>
          </w:p>
        </w:tc>
      </w:tr>
      <w:tr>
        <w:trPr>
          <w:trHeight w:val="18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Operating expenses:</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570,829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625,610</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563,288</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Operations and maintenance</w:t>
            </w:r>
          </w:p>
        </w:tc>
        <w:tc>
          <w:tcPr>
            <w:tcW w:w="20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495,994</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481,706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454,605</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209,120</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196,328</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188,246</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Taxes - property and production</w:t>
            </w:r>
          </w:p>
        </w:tc>
        <w:tc>
          <w:tcPr>
            <w:tcW w:w="20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52,915</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51,746</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51,578</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Other operating expenses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1,841</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5,813</w:t>
            </w:r>
          </w:p>
        </w:tc>
      </w:tr>
      <w:tr>
        <w:trPr>
          <w:trHeight w:val="33"/>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operating expenses</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1,328,858</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1,357,231</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1,263,530</w:t>
            </w:r>
          </w:p>
        </w:tc>
      </w:tr>
      <w:tr>
        <w:trPr>
          <w:trHeight w:val="18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Operating income</w:t>
            </w:r>
          </w:p>
        </w:tc>
        <w:tc>
          <w:tcPr>
            <w:tcW w:w="20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406,042</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397,037</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416,736</w:t>
            </w:r>
          </w:p>
        </w:tc>
      </w:tr>
      <w:tr>
        <w:trPr>
          <w:trHeight w:val="183"/>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4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520" w:type="dxa"/>
            <w:vAlign w:val="bottom"/>
            <w:tcBorders>
              <w:top w:val="single" w:sz="8" w:color="auto"/>
            </w:tcBorders>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Other income (expense):</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37"/>
        </w:trPr>
        <w:tc>
          <w:tcPr>
            <w:tcW w:w="2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Interest charges -</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5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20"/>
        </w:trPr>
        <w:tc>
          <w:tcPr>
            <w:tcW w:w="20" w:type="dxa"/>
            <w:vAlign w:val="bottom"/>
          </w:tcPr>
          <w:p>
            <w:pPr>
              <w:spacing w:after="0"/>
              <w:rPr>
                <w:sz w:val="19"/>
                <w:szCs w:val="19"/>
                <w:color w:val="auto"/>
              </w:rPr>
            </w:pPr>
          </w:p>
        </w:tc>
        <w:tc>
          <w:tcPr>
            <w:tcW w:w="6440" w:type="dxa"/>
            <w:vAlign w:val="bottom"/>
            <w:gridSpan w:val="4"/>
            <w:shd w:val="clear" w:color="auto" w:fill="CEFFE7"/>
          </w:tcPr>
          <w:p>
            <w:pPr>
              <w:ind w:left="280"/>
              <w:spacing w:after="0"/>
              <w:rPr>
                <w:sz w:val="20"/>
                <w:szCs w:val="20"/>
                <w:color w:val="auto"/>
              </w:rPr>
            </w:pPr>
            <w:r>
              <w:rPr>
                <w:rFonts w:ascii="Arial" w:cs="Arial" w:eastAsia="Arial" w:hAnsi="Arial"/>
                <w:sz w:val="16"/>
                <w:szCs w:val="16"/>
                <w:color w:val="auto"/>
              </w:rPr>
              <w:t>Interest expense incurred net of amounts capitalized (including amortization of debt</w:t>
            </w:r>
          </w:p>
        </w:tc>
        <w:tc>
          <w:tcPr>
            <w:tcW w:w="154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c>
          <w:tcPr>
            <w:tcW w:w="180" w:type="dxa"/>
            <w:vAlign w:val="bottom"/>
            <w:shd w:val="clear" w:color="auto" w:fill="CEFFE7"/>
          </w:tcPr>
          <w:p>
            <w:pPr>
              <w:spacing w:after="0"/>
              <w:rPr>
                <w:sz w:val="19"/>
                <w:szCs w:val="19"/>
                <w:color w:val="auto"/>
              </w:rPr>
            </w:pPr>
          </w:p>
        </w:tc>
        <w:tc>
          <w:tcPr>
            <w:tcW w:w="1520" w:type="dxa"/>
            <w:vAlign w:val="bottom"/>
            <w:shd w:val="clear" w:color="auto" w:fill="CEFFE7"/>
          </w:tcPr>
          <w:p>
            <w:pPr>
              <w:spacing w:after="0"/>
              <w:rPr>
                <w:sz w:val="19"/>
                <w:szCs w:val="19"/>
                <w:color w:val="auto"/>
              </w:rPr>
            </w:pPr>
          </w:p>
        </w:tc>
      </w:tr>
      <w:tr>
        <w:trPr>
          <w:trHeight w:val="219"/>
        </w:trPr>
        <w:tc>
          <w:tcPr>
            <w:tcW w:w="20" w:type="dxa"/>
            <w:vAlign w:val="bottom"/>
          </w:tcPr>
          <w:p>
            <w:pPr>
              <w:spacing w:after="0"/>
              <w:rPr>
                <w:sz w:val="19"/>
                <w:szCs w:val="19"/>
                <w:color w:val="auto"/>
              </w:rPr>
            </w:pPr>
          </w:p>
        </w:tc>
        <w:tc>
          <w:tcPr>
            <w:tcW w:w="426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6"/>
                <w:szCs w:val="16"/>
                <w:color w:val="auto"/>
              </w:rPr>
              <w:t>issuance costs, premiums and discounts)</w:t>
            </w:r>
          </w:p>
        </w:tc>
        <w:tc>
          <w:tcPr>
            <w:tcW w:w="2000" w:type="dxa"/>
            <w:vAlign w:val="bottom"/>
            <w:tcBorders>
              <w:bottom w:val="single" w:sz="8" w:color="CEFFE7"/>
            </w:tcBorders>
            <w:shd w:val="clear" w:color="auto" w:fill="CEFFE7"/>
          </w:tcPr>
          <w:p>
            <w:pPr>
              <w:spacing w:after="0"/>
              <w:rPr>
                <w:sz w:val="19"/>
                <w:szCs w:val="19"/>
                <w:color w:val="auto"/>
              </w:rPr>
            </w:pPr>
          </w:p>
        </w:tc>
        <w:tc>
          <w:tcPr>
            <w:tcW w:w="180" w:type="dxa"/>
            <w:vAlign w:val="bottom"/>
            <w:tcBorders>
              <w:bottom w:val="single" w:sz="8" w:color="CEFFE7"/>
            </w:tcBorders>
            <w:shd w:val="clear" w:color="auto" w:fill="CEFFE7"/>
          </w:tcPr>
          <w:p>
            <w:pPr>
              <w:spacing w:after="0"/>
              <w:rPr>
                <w:sz w:val="19"/>
                <w:szCs w:val="19"/>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(145,847)</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(143,720)</w:t>
            </w:r>
          </w:p>
        </w:tc>
        <w:tc>
          <w:tcPr>
            <w:tcW w:w="180" w:type="dxa"/>
            <w:vAlign w:val="bottom"/>
            <w:tcBorders>
              <w:bottom w:val="single" w:sz="8" w:color="CEFFE7"/>
            </w:tcBorders>
            <w:shd w:val="clear" w:color="auto" w:fill="CEFFE7"/>
          </w:tcPr>
          <w:p>
            <w:pPr>
              <w:spacing w:after="0"/>
              <w:rPr>
                <w:sz w:val="19"/>
                <w:szCs w:val="19"/>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(140,533)</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280"/>
              <w:spacing w:after="0"/>
              <w:rPr>
                <w:sz w:val="20"/>
                <w:szCs w:val="20"/>
                <w:color w:val="auto"/>
              </w:rPr>
            </w:pPr>
            <w:r>
              <w:rPr>
                <w:rFonts w:ascii="Arial" w:cs="Arial" w:eastAsia="Arial" w:hAnsi="Arial"/>
                <w:sz w:val="16"/>
                <w:szCs w:val="16"/>
                <w:color w:val="auto"/>
                <w:w w:val="99"/>
              </w:rPr>
              <w:t>Allowance for funds used during construction - borrowed</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6,556</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2,104</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2,415</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Interest income</w:t>
            </w:r>
          </w:p>
        </w:tc>
        <w:tc>
          <w:tcPr>
            <w:tcW w:w="20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1,632</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1,641</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1,016</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Allowance for funds used during construction - equity</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472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619</w:t>
            </w:r>
          </w:p>
        </w:tc>
        <w:tc>
          <w:tcPr>
            <w:tcW w:w="18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2,321</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Impairment of investment</w:t>
            </w:r>
          </w:p>
        </w:tc>
        <w:tc>
          <w:tcPr>
            <w:tcW w:w="20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(19,741)</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6"/>
                <w:szCs w:val="16"/>
                <w:color w:val="auto"/>
              </w:rPr>
              <w:t>(6,212)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(1,799)</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(213)</w:t>
            </w:r>
          </w:p>
        </w:tc>
      </w:tr>
      <w:tr>
        <w:trPr>
          <w:trHeight w:val="33"/>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other income (expense)</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(163,140)</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(141,155)</w:t>
            </w: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(134,994)</w:t>
            </w:r>
          </w:p>
        </w:tc>
      </w:tr>
      <w:tr>
        <w:trPr>
          <w:trHeight w:val="217"/>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before income taxes</w:t>
            </w: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242,902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255,882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281,742</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20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(29,580)</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23,667</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(73,367)</w:t>
            </w:r>
          </w:p>
        </w:tc>
      </w:tr>
      <w:tr>
        <w:trPr>
          <w:trHeight w:val="217"/>
        </w:trPr>
        <w:tc>
          <w:tcPr>
            <w:tcW w:w="20" w:type="dxa"/>
            <w:vAlign w:val="bottom"/>
          </w:tcPr>
          <w:p>
            <w:pPr>
              <w:spacing w:after="0"/>
              <w:rPr>
                <w:sz w:val="18"/>
                <w:szCs w:val="18"/>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Income from continuing operations</w:t>
            </w: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213,322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279,549</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208,375</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Net (loss) from discontinued operations</w:t>
            </w:r>
          </w:p>
        </w:tc>
        <w:tc>
          <w:tcPr>
            <w:tcW w:w="20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(6,887)</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(17,099)</w:t>
            </w:r>
          </w:p>
        </w:tc>
      </w:tr>
      <w:tr>
        <w:trPr>
          <w:trHeight w:val="217"/>
        </w:trPr>
        <w:tc>
          <w:tcPr>
            <w:tcW w:w="20" w:type="dxa"/>
            <w:vAlign w:val="bottom"/>
          </w:tcPr>
          <w:p>
            <w:pPr>
              <w:spacing w:after="0"/>
              <w:rPr>
                <w:sz w:val="18"/>
                <w:szCs w:val="18"/>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20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5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213,322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272,662</w:t>
            </w:r>
          </w:p>
        </w:tc>
        <w:tc>
          <w:tcPr>
            <w:tcW w:w="18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191,276</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20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(14,012)</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(14,220)</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(14,242)</w:t>
            </w:r>
          </w:p>
        </w:tc>
      </w:tr>
      <w:tr>
        <w:trPr>
          <w:trHeight w:val="284"/>
        </w:trPr>
        <w:tc>
          <w:tcPr>
            <w:tcW w:w="20" w:type="dxa"/>
            <w:vAlign w:val="bottom"/>
          </w:tcPr>
          <w:p>
            <w:pPr>
              <w:spacing w:after="0"/>
              <w:rPr>
                <w:sz w:val="24"/>
                <w:szCs w:val="24"/>
                <w:color w:val="auto"/>
              </w:rPr>
            </w:pPr>
          </w:p>
        </w:tc>
        <w:tc>
          <w:tcPr>
            <w:tcW w:w="42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Net income available for common stock</w:t>
            </w:r>
          </w:p>
        </w:tc>
        <w:tc>
          <w:tcPr>
            <w:tcW w:w="2000" w:type="dxa"/>
            <w:vAlign w:val="bottom"/>
            <w:tcBorders>
              <w:bottom w:val="single" w:sz="8" w:color="CEFFE7"/>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199,310</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258,442</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177,034</w:t>
            </w:r>
          </w:p>
        </w:tc>
      </w:tr>
      <w:tr>
        <w:trPr>
          <w:trHeight w:val="176"/>
        </w:trPr>
        <w:tc>
          <w:tcPr>
            <w:tcW w:w="20" w:type="dxa"/>
            <w:vAlign w:val="bottom"/>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3060" w:type="dxa"/>
            <w:vAlign w:val="bottom"/>
            <w:shd w:val="clear" w:color="auto" w:fill="CEFFE7"/>
          </w:tcPr>
          <w:p>
            <w:pPr>
              <w:spacing w:after="0"/>
              <w:rPr>
                <w:sz w:val="15"/>
                <w:szCs w:val="15"/>
                <w:color w:val="auto"/>
              </w:rPr>
            </w:pPr>
          </w:p>
        </w:tc>
        <w:tc>
          <w:tcPr>
            <w:tcW w:w="200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2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20" w:type="dxa"/>
            <w:vAlign w:val="bottom"/>
            <w:shd w:val="clear" w:color="auto" w:fill="CEFFE7"/>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Amounts attributable to common shareholders:</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Net income from continuing operations</w:t>
            </w:r>
          </w:p>
        </w:tc>
        <w:tc>
          <w:tcPr>
            <w:tcW w:w="21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199,310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265,329</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194,133</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color w:val="auto"/>
              </w:rPr>
              <w:t>Net (loss) from discontinued operations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(6,887)</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(17,099)</w:t>
            </w:r>
          </w:p>
        </w:tc>
      </w:tr>
      <w:tr>
        <w:trPr>
          <w:trHeight w:val="33"/>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2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Net income available for common stock</w:t>
            </w:r>
          </w:p>
        </w:tc>
        <w:tc>
          <w:tcPr>
            <w:tcW w:w="21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199,310</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258,442</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177,034</w:t>
            </w: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EFFE7"/>
            </w:tcBorders>
          </w:tcPr>
          <w:p>
            <w:pPr>
              <w:spacing w:after="0" w:line="20" w:lineRule="exact"/>
              <w:rPr>
                <w:sz w:val="1"/>
                <w:szCs w:val="1"/>
                <w:color w:val="auto"/>
              </w:rPr>
            </w:pPr>
          </w:p>
        </w:tc>
        <w:tc>
          <w:tcPr>
            <w:tcW w:w="3060" w:type="dxa"/>
            <w:vAlign w:val="bottom"/>
            <w:tcBorders>
              <w:top w:val="single" w:sz="8" w:color="CEFFE7"/>
            </w:tcBorders>
          </w:tcPr>
          <w:p>
            <w:pPr>
              <w:spacing w:after="0" w:line="20" w:lineRule="exact"/>
              <w:rPr>
                <w:sz w:val="1"/>
                <w:szCs w:val="1"/>
                <w:color w:val="auto"/>
              </w:rPr>
            </w:pPr>
          </w:p>
        </w:tc>
        <w:tc>
          <w:tcPr>
            <w:tcW w:w="20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Earnings (loss) per share of common stock, Basic -</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24"/>
        </w:trPr>
        <w:tc>
          <w:tcPr>
            <w:tcW w:w="20" w:type="dxa"/>
            <w:vAlign w:val="bottom"/>
          </w:tcPr>
          <w:p>
            <w:pPr>
              <w:spacing w:after="0"/>
              <w:rPr>
                <w:sz w:val="19"/>
                <w:szCs w:val="19"/>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color w:val="auto"/>
              </w:rPr>
              <w:t>Earnings from continuing operations</w:t>
            </w:r>
          </w:p>
        </w:tc>
        <w:tc>
          <w:tcPr>
            <w:tcW w:w="2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3.29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spacing w:after="0"/>
              <w:rPr>
                <w:sz w:val="20"/>
                <w:szCs w:val="20"/>
                <w:color w:val="auto"/>
              </w:rPr>
            </w:pPr>
            <w:r>
              <w:rPr>
                <w:rFonts w:ascii="Arial" w:cs="Arial" w:eastAsia="Arial" w:hAnsi="Arial"/>
                <w:sz w:val="16"/>
                <w:szCs w:val="16"/>
                <w:color w:val="auto"/>
              </w:rPr>
              <w:t>4.88</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20" w:type="dxa"/>
            <w:vAlign w:val="bottom"/>
          </w:tcPr>
          <w:p>
            <w:pPr>
              <w:jc w:val="right"/>
              <w:ind w:right="19"/>
              <w:spacing w:after="0"/>
              <w:rPr>
                <w:sz w:val="20"/>
                <w:szCs w:val="20"/>
                <w:color w:val="auto"/>
              </w:rPr>
            </w:pPr>
            <w:r>
              <w:rPr>
                <w:rFonts w:ascii="Arial" w:cs="Arial" w:eastAsia="Arial" w:hAnsi="Arial"/>
                <w:sz w:val="16"/>
                <w:szCs w:val="16"/>
                <w:color w:val="auto"/>
              </w:rPr>
              <w:t>3.65</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26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(Loss) from discontinued operations</w:t>
            </w:r>
          </w:p>
        </w:tc>
        <w:tc>
          <w:tcPr>
            <w:tcW w:w="2000" w:type="dxa"/>
            <w:vAlign w:val="bottom"/>
            <w:tcBorders>
              <w:bottom w:val="single" w:sz="8" w:color="CEFFE7"/>
            </w:tcBorders>
            <w:shd w:val="clear" w:color="auto" w:fill="CEFFE7"/>
          </w:tcPr>
          <w:p>
            <w:pPr>
              <w:spacing w:after="0"/>
              <w:rPr>
                <w:sz w:val="22"/>
                <w:szCs w:val="22"/>
                <w:color w:val="auto"/>
              </w:rPr>
            </w:pPr>
          </w:p>
        </w:tc>
        <w:tc>
          <w:tcPr>
            <w:tcW w:w="180" w:type="dxa"/>
            <w:vAlign w:val="bottom"/>
            <w:tcBorders>
              <w:bottom w:val="single" w:sz="8" w:color="CEFFE7"/>
            </w:tcBorders>
            <w:shd w:val="clear" w:color="auto" w:fill="CEFFE7"/>
          </w:tcPr>
          <w:p>
            <w:pPr>
              <w:spacing w:after="0"/>
              <w:rPr>
                <w:sz w:val="22"/>
                <w:szCs w:val="22"/>
                <w:color w:val="auto"/>
              </w:rPr>
            </w:pP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(0.13)</w:t>
            </w:r>
          </w:p>
        </w:tc>
        <w:tc>
          <w:tcPr>
            <w:tcW w:w="180" w:type="dxa"/>
            <w:vAlign w:val="bottom"/>
            <w:tcBorders>
              <w:bottom w:val="single" w:sz="8" w:color="CEFFE7"/>
            </w:tcBorders>
            <w:shd w:val="clear" w:color="auto" w:fill="CEFFE7"/>
          </w:tcPr>
          <w:p>
            <w:pPr>
              <w:spacing w:after="0"/>
              <w:rPr>
                <w:sz w:val="22"/>
                <w:szCs w:val="22"/>
                <w:color w:val="auto"/>
              </w:rPr>
            </w:pP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(0.32)</w:t>
            </w:r>
          </w:p>
        </w:tc>
      </w:tr>
      <w:tr>
        <w:trPr>
          <w:trHeight w:val="284"/>
        </w:trPr>
        <w:tc>
          <w:tcPr>
            <w:tcW w:w="20" w:type="dxa"/>
            <w:vAlign w:val="bottom"/>
          </w:tcPr>
          <w:p>
            <w:pPr>
              <w:spacing w:after="0"/>
              <w:rPr>
                <w:sz w:val="24"/>
                <w:szCs w:val="24"/>
                <w:color w:val="auto"/>
              </w:rPr>
            </w:pPr>
          </w:p>
        </w:tc>
        <w:tc>
          <w:tcPr>
            <w:tcW w:w="426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Total earnings per share of common stock, Basic</w:t>
            </w:r>
          </w:p>
        </w:tc>
        <w:tc>
          <w:tcPr>
            <w:tcW w:w="2000" w:type="dxa"/>
            <w:vAlign w:val="bottom"/>
            <w:tcBorders>
              <w:bottom w:val="single" w:sz="8" w:color="CEFFE7"/>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3.29</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4.75</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3.33</w:t>
            </w:r>
          </w:p>
        </w:tc>
      </w:tr>
      <w:tr>
        <w:trPr>
          <w:trHeight w:val="176"/>
        </w:trPr>
        <w:tc>
          <w:tcPr>
            <w:tcW w:w="20" w:type="dxa"/>
            <w:vAlign w:val="bottom"/>
          </w:tcPr>
          <w:p>
            <w:pPr>
              <w:spacing w:after="0"/>
              <w:rPr>
                <w:sz w:val="15"/>
                <w:szCs w:val="15"/>
                <w:color w:val="auto"/>
              </w:rPr>
            </w:pPr>
          </w:p>
        </w:tc>
        <w:tc>
          <w:tcPr>
            <w:tcW w:w="1200" w:type="dxa"/>
            <w:vAlign w:val="bottom"/>
            <w:shd w:val="clear" w:color="auto" w:fill="CEFFE7"/>
          </w:tcPr>
          <w:p>
            <w:pPr>
              <w:spacing w:after="0"/>
              <w:rPr>
                <w:sz w:val="15"/>
                <w:szCs w:val="15"/>
                <w:color w:val="auto"/>
              </w:rPr>
            </w:pPr>
          </w:p>
        </w:tc>
        <w:tc>
          <w:tcPr>
            <w:tcW w:w="3060" w:type="dxa"/>
            <w:vAlign w:val="bottom"/>
            <w:shd w:val="clear" w:color="auto" w:fill="CEFFE7"/>
          </w:tcPr>
          <w:p>
            <w:pPr>
              <w:spacing w:after="0"/>
              <w:rPr>
                <w:sz w:val="15"/>
                <w:szCs w:val="15"/>
                <w:color w:val="auto"/>
              </w:rPr>
            </w:pPr>
          </w:p>
        </w:tc>
        <w:tc>
          <w:tcPr>
            <w:tcW w:w="200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4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20" w:type="dxa"/>
            <w:vAlign w:val="bottom"/>
            <w:shd w:val="clear" w:color="auto" w:fill="CEFFE7"/>
          </w:tcPr>
          <w:p>
            <w:pPr>
              <w:spacing w:after="0"/>
              <w:rPr>
                <w:sz w:val="15"/>
                <w:szCs w:val="15"/>
                <w:color w:val="auto"/>
              </w:rPr>
            </w:pPr>
          </w:p>
        </w:tc>
        <w:tc>
          <w:tcPr>
            <w:tcW w:w="180" w:type="dxa"/>
            <w:vAlign w:val="bottom"/>
            <w:shd w:val="clear" w:color="auto" w:fill="CEFFE7"/>
          </w:tcPr>
          <w:p>
            <w:pPr>
              <w:spacing w:after="0"/>
              <w:rPr>
                <w:sz w:val="15"/>
                <w:szCs w:val="15"/>
                <w:color w:val="auto"/>
              </w:rPr>
            </w:pPr>
          </w:p>
        </w:tc>
        <w:tc>
          <w:tcPr>
            <w:tcW w:w="1520" w:type="dxa"/>
            <w:vAlign w:val="bottom"/>
            <w:shd w:val="clear" w:color="auto" w:fill="CEFFE7"/>
          </w:tcPr>
          <w:p>
            <w:pPr>
              <w:spacing w:after="0"/>
              <w:rPr>
                <w:sz w:val="15"/>
                <w:szCs w:val="15"/>
                <w:color w:val="auto"/>
              </w:rPr>
            </w:pPr>
          </w:p>
        </w:tc>
      </w:tr>
      <w:tr>
        <w:trPr>
          <w:trHeight w:val="237"/>
        </w:trPr>
        <w:tc>
          <w:tcPr>
            <w:tcW w:w="20" w:type="dxa"/>
            <w:vAlign w:val="bottom"/>
          </w:tcPr>
          <w:p>
            <w:pPr>
              <w:spacing w:after="0"/>
              <w:rPr>
                <w:sz w:val="20"/>
                <w:szCs w:val="20"/>
                <w:color w:val="auto"/>
              </w:rPr>
            </w:pPr>
          </w:p>
        </w:tc>
        <w:tc>
          <w:tcPr>
            <w:tcW w:w="4260" w:type="dxa"/>
            <w:vAlign w:val="bottom"/>
            <w:gridSpan w:val="2"/>
          </w:tcPr>
          <w:p>
            <w:pPr>
              <w:ind w:left="20"/>
              <w:spacing w:after="0"/>
              <w:rPr>
                <w:sz w:val="20"/>
                <w:szCs w:val="20"/>
                <w:color w:val="auto"/>
              </w:rPr>
            </w:pPr>
            <w:r>
              <w:rPr>
                <w:rFonts w:ascii="Arial" w:cs="Arial" w:eastAsia="Arial" w:hAnsi="Arial"/>
                <w:sz w:val="16"/>
                <w:szCs w:val="16"/>
                <w:color w:val="auto"/>
              </w:rPr>
              <w:t>Earnings (loss) per share of common stock, Diluted -</w:t>
            </w:r>
          </w:p>
        </w:tc>
        <w:tc>
          <w:tcPr>
            <w:tcW w:w="20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3060" w:type="dxa"/>
            <w:vAlign w:val="bottom"/>
          </w:tcPr>
          <w:p>
            <w:pPr>
              <w:spacing w:after="0"/>
              <w:rPr>
                <w:sz w:val="2"/>
                <w:szCs w:val="2"/>
                <w:color w:val="auto"/>
              </w:rPr>
            </w:pPr>
          </w:p>
        </w:tc>
        <w:tc>
          <w:tcPr>
            <w:tcW w:w="20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Earnings from continuing operations</w:t>
            </w:r>
          </w:p>
        </w:tc>
        <w:tc>
          <w:tcPr>
            <w:tcW w:w="21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3.28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3.52</w:t>
            </w:r>
          </w:p>
        </w:tc>
      </w:tr>
      <w:tr>
        <w:trPr>
          <w:trHeight w:val="224"/>
        </w:trPr>
        <w:tc>
          <w:tcPr>
            <w:tcW w:w="20" w:type="dxa"/>
            <w:vAlign w:val="bottom"/>
          </w:tcPr>
          <w:p>
            <w:pPr>
              <w:spacing w:after="0"/>
              <w:rPr>
                <w:sz w:val="19"/>
                <w:szCs w:val="19"/>
                <w:color w:val="auto"/>
              </w:rPr>
            </w:pPr>
          </w:p>
        </w:tc>
        <w:tc>
          <w:tcPr>
            <w:tcW w:w="4260" w:type="dxa"/>
            <w:vAlign w:val="bottom"/>
            <w:gridSpan w:val="2"/>
          </w:tcPr>
          <w:p>
            <w:pPr>
              <w:ind w:left="160"/>
              <w:spacing w:after="0"/>
              <w:rPr>
                <w:sz w:val="20"/>
                <w:szCs w:val="20"/>
                <w:color w:val="auto"/>
              </w:rPr>
            </w:pPr>
            <w:r>
              <w:rPr>
                <w:rFonts w:ascii="Arial" w:cs="Arial" w:eastAsia="Arial" w:hAnsi="Arial"/>
                <w:sz w:val="16"/>
                <w:szCs w:val="16"/>
                <w:color w:val="auto"/>
              </w:rPr>
              <w:t>(Loss) from discontinued operations</w:t>
            </w: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(0.12)</w:t>
            </w:r>
          </w:p>
        </w:tc>
        <w:tc>
          <w:tcPr>
            <w:tcW w:w="18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6"/>
                <w:szCs w:val="16"/>
                <w:color w:val="auto"/>
              </w:rPr>
              <w:t>(0.31)</w:t>
            </w:r>
          </w:p>
        </w:tc>
      </w:tr>
      <w:tr>
        <w:trPr>
          <w:trHeight w:val="33"/>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200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26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Total earnings per share of common stock, Diluted</w:t>
            </w:r>
          </w:p>
        </w:tc>
        <w:tc>
          <w:tcPr>
            <w:tcW w:w="2180" w:type="dxa"/>
            <w:vAlign w:val="bottom"/>
            <w:gridSpan w:val="2"/>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4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3.28</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4.66</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5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3.21</w:t>
            </w:r>
          </w:p>
        </w:tc>
      </w:tr>
      <w:tr>
        <w:trPr>
          <w:trHeight w:val="20"/>
        </w:trPr>
        <w:tc>
          <w:tcPr>
            <w:tcW w:w="20" w:type="dxa"/>
            <w:vAlign w:val="bottom"/>
          </w:tcPr>
          <w:p>
            <w:pPr>
              <w:spacing w:after="0" w:line="20" w:lineRule="exact"/>
              <w:rPr>
                <w:sz w:val="1"/>
                <w:szCs w:val="1"/>
                <w:color w:val="auto"/>
              </w:rPr>
            </w:pPr>
          </w:p>
        </w:tc>
        <w:tc>
          <w:tcPr>
            <w:tcW w:w="1200" w:type="dxa"/>
            <w:vAlign w:val="bottom"/>
            <w:tcBorders>
              <w:top w:val="single" w:sz="8" w:color="CEFFE7"/>
            </w:tcBorders>
          </w:tcPr>
          <w:p>
            <w:pPr>
              <w:spacing w:after="0" w:line="20" w:lineRule="exact"/>
              <w:rPr>
                <w:sz w:val="1"/>
                <w:szCs w:val="1"/>
                <w:color w:val="auto"/>
              </w:rPr>
            </w:pPr>
          </w:p>
        </w:tc>
        <w:tc>
          <w:tcPr>
            <w:tcW w:w="3060" w:type="dxa"/>
            <w:vAlign w:val="bottom"/>
            <w:tcBorders>
              <w:top w:val="single" w:sz="8" w:color="CEFFE7"/>
            </w:tcBorders>
          </w:tcPr>
          <w:p>
            <w:pPr>
              <w:spacing w:after="0" w:line="20" w:lineRule="exact"/>
              <w:rPr>
                <w:sz w:val="1"/>
                <w:szCs w:val="1"/>
                <w:color w:val="auto"/>
              </w:rPr>
            </w:pPr>
          </w:p>
        </w:tc>
        <w:tc>
          <w:tcPr>
            <w:tcW w:w="200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r>
        <w:trPr>
          <w:trHeight w:val="176"/>
        </w:trPr>
        <w:tc>
          <w:tcPr>
            <w:tcW w:w="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250"/>
        </w:trPr>
        <w:tc>
          <w:tcPr>
            <w:tcW w:w="20" w:type="dxa"/>
            <w:vAlign w:val="bottom"/>
          </w:tcPr>
          <w:p>
            <w:pPr>
              <w:spacing w:after="0"/>
              <w:rPr>
                <w:sz w:val="21"/>
                <w:szCs w:val="21"/>
                <w:color w:val="auto"/>
              </w:rPr>
            </w:pPr>
          </w:p>
        </w:tc>
        <w:tc>
          <w:tcPr>
            <w:tcW w:w="426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Weighted average common shares outstanding:</w:t>
            </w:r>
          </w:p>
        </w:tc>
        <w:tc>
          <w:tcPr>
            <w:tcW w:w="20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1520" w:type="dxa"/>
            <w:vAlign w:val="bottom"/>
            <w:tcBorders>
              <w:bottom w:val="single" w:sz="8" w:color="CEFFE7"/>
            </w:tcBorders>
            <w:shd w:val="clear" w:color="auto" w:fill="CEFFE7"/>
          </w:tcPr>
          <w:p>
            <w:pPr>
              <w:spacing w:after="0"/>
              <w:rPr>
                <w:sz w:val="21"/>
                <w:szCs w:val="21"/>
                <w:color w:val="auto"/>
              </w:rPr>
            </w:pPr>
          </w:p>
        </w:tc>
      </w:tr>
      <w:tr>
        <w:trPr>
          <w:trHeight w:val="290"/>
        </w:trPr>
        <w:tc>
          <w:tcPr>
            <w:tcW w:w="20" w:type="dxa"/>
            <w:vAlign w:val="bottom"/>
          </w:tcPr>
          <w:p>
            <w:pPr>
              <w:spacing w:after="0"/>
              <w:rPr>
                <w:sz w:val="24"/>
                <w:szCs w:val="24"/>
                <w:color w:val="auto"/>
              </w:rPr>
            </w:pPr>
          </w:p>
        </w:tc>
        <w:tc>
          <w:tcPr>
            <w:tcW w:w="4260" w:type="dxa"/>
            <w:vAlign w:val="bottom"/>
            <w:tcBorders>
              <w:bottom w:val="single" w:sz="8" w:color="CEFFE7"/>
            </w:tcBorders>
            <w:gridSpan w:val="2"/>
          </w:tcPr>
          <w:p>
            <w:pPr>
              <w:ind w:left="160"/>
              <w:spacing w:after="0"/>
              <w:rPr>
                <w:sz w:val="20"/>
                <w:szCs w:val="20"/>
                <w:color w:val="auto"/>
              </w:rPr>
            </w:pPr>
            <w:r>
              <w:rPr>
                <w:rFonts w:ascii="Arial" w:cs="Arial" w:eastAsia="Arial" w:hAnsi="Arial"/>
                <w:sz w:val="16"/>
                <w:szCs w:val="16"/>
                <w:color w:val="auto"/>
              </w:rPr>
              <w:t>Basic</w:t>
            </w:r>
          </w:p>
        </w:tc>
        <w:tc>
          <w:tcPr>
            <w:tcW w:w="2000" w:type="dxa"/>
            <w:vAlign w:val="bottom"/>
            <w:tcBorders>
              <w:bottom w:val="single" w:sz="8" w:color="CEFFE7"/>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60,662</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54,420</w:t>
            </w:r>
          </w:p>
        </w:tc>
        <w:tc>
          <w:tcPr>
            <w:tcW w:w="18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53,221</w:t>
            </w:r>
          </w:p>
        </w:tc>
      </w:tr>
      <w:tr>
        <w:trPr>
          <w:trHeight w:val="237"/>
        </w:trPr>
        <w:tc>
          <w:tcPr>
            <w:tcW w:w="20" w:type="dxa"/>
            <w:vAlign w:val="bottom"/>
          </w:tcPr>
          <w:p>
            <w:pPr>
              <w:spacing w:after="0"/>
              <w:rPr>
                <w:sz w:val="20"/>
                <w:szCs w:val="20"/>
                <w:color w:val="auto"/>
              </w:rPr>
            </w:pPr>
          </w:p>
        </w:tc>
        <w:tc>
          <w:tcPr>
            <w:tcW w:w="426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Diluted</w:t>
            </w:r>
          </w:p>
        </w:tc>
        <w:tc>
          <w:tcPr>
            <w:tcW w:w="20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auto"/>
            </w:tcBorders>
            <w:shd w:val="clear" w:color="auto" w:fill="CEFFE7"/>
          </w:tcPr>
          <w:p>
            <w:pPr>
              <w:spacing w:after="0"/>
              <w:rPr>
                <w:sz w:val="20"/>
                <w:szCs w:val="20"/>
                <w:color w:val="auto"/>
              </w:rPr>
            </w:pPr>
          </w:p>
        </w:tc>
        <w:tc>
          <w:tcPr>
            <w:tcW w:w="154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60,798</w:t>
            </w:r>
          </w:p>
        </w:tc>
        <w:tc>
          <w:tcPr>
            <w:tcW w:w="180" w:type="dxa"/>
            <w:vAlign w:val="bottom"/>
            <w:tcBorders>
              <w:bottom w:val="single" w:sz="8" w:color="auto"/>
            </w:tcBorders>
            <w:shd w:val="clear" w:color="auto" w:fill="CEFFE7"/>
          </w:tcPr>
          <w:p>
            <w:pPr>
              <w:spacing w:after="0"/>
              <w:rPr>
                <w:sz w:val="20"/>
                <w:szCs w:val="20"/>
                <w:color w:val="auto"/>
              </w:rPr>
            </w:pPr>
          </w:p>
        </w:tc>
        <w:tc>
          <w:tcPr>
            <w:tcW w:w="15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55,486</w:t>
            </w:r>
          </w:p>
        </w:tc>
        <w:tc>
          <w:tcPr>
            <w:tcW w:w="180" w:type="dxa"/>
            <w:vAlign w:val="bottom"/>
            <w:tcBorders>
              <w:bottom w:val="single" w:sz="8" w:color="auto"/>
            </w:tcBorders>
            <w:shd w:val="clear" w:color="auto" w:fill="CEFFE7"/>
          </w:tcPr>
          <w:p>
            <w:pPr>
              <w:spacing w:after="0"/>
              <w:rPr>
                <w:sz w:val="20"/>
                <w:szCs w:val="20"/>
                <w:color w:val="auto"/>
              </w:rPr>
            </w:pPr>
          </w:p>
        </w:tc>
        <w:tc>
          <w:tcPr>
            <w:tcW w:w="152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55,120</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43" w:lineRule="exact"/>
        <w:rPr>
          <w:sz w:val="20"/>
          <w:szCs w:val="20"/>
          <w:color w:val="auto"/>
        </w:rPr>
      </w:pPr>
    </w:p>
    <w:p>
      <w:pPr>
        <w:jc w:val="center"/>
        <w:ind w:right="-19"/>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83">
        <w:r>
          <w:rPr>
            <w:rFonts w:ascii="Arial" w:cs="Arial" w:eastAsia="Arial" w:hAnsi="Arial"/>
            <w:sz w:val="14"/>
            <w:szCs w:val="14"/>
            <w:u w:val="single" w:color="auto"/>
            <w:color w:val="0000EE"/>
          </w:rPr>
          <w:t>Notes to the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ectPr>
          <w:pgSz w:w="11900" w:h="16838" w:orient="portrait"/>
          <w:cols w:equalWidth="0" w:num="1">
            <w:col w:w="11400"/>
          </w:cols>
          <w:pgMar w:left="240" w:top="117" w:right="259"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400"/>
          </w:cols>
          <w:pgMar w:left="240" w:top="117" w:right="259" w:bottom="1440" w:gutter="0" w:footer="0" w:header="0"/>
          <w:type w:val="continuous"/>
        </w:sectPr>
      </w:pPr>
    </w:p>
    <w:bookmarkStart w:id="77" w:name="page78"/>
    <w:bookmarkEnd w:id="77"/>
    <w:tbl>
      <w:tblPr>
        <w:tblLayout w:type="fixed"/>
        <w:tblInd w:w="0" w:type="dxa"/>
        <w:tblCellMar>
          <w:top w:w="0" w:type="dxa"/>
          <w:left w:w="0" w:type="dxa"/>
          <w:bottom w:w="0" w:type="dxa"/>
          <w:right w:w="0" w:type="dxa"/>
        </w:tblCellMar>
      </w:tblPr>
      <w:tr>
        <w:trPr>
          <w:trHeight w:val="184"/>
        </w:trPr>
        <w:tc>
          <w:tcPr>
            <w:tcW w:w="628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98"/>
        </w:trPr>
        <w:tc>
          <w:tcPr>
            <w:tcW w:w="1220" w:type="dxa"/>
            <w:vAlign w:val="bottom"/>
            <w:tcBorders>
              <w:top w:val="single" w:sz="8" w:color="0000EE"/>
            </w:tcBorders>
          </w:tcPr>
          <w:p>
            <w:pPr>
              <w:spacing w:after="0"/>
              <w:rPr>
                <w:sz w:val="24"/>
                <w:szCs w:val="24"/>
                <w:color w:val="auto"/>
              </w:rPr>
            </w:pPr>
          </w:p>
        </w:tc>
        <w:tc>
          <w:tcPr>
            <w:tcW w:w="6780" w:type="dxa"/>
            <w:vAlign w:val="bottom"/>
            <w:gridSpan w:val="3"/>
          </w:tcPr>
          <w:p>
            <w:pPr>
              <w:jc w:val="right"/>
              <w:ind w:right="1010"/>
              <w:spacing w:after="0"/>
              <w:rPr>
                <w:sz w:val="20"/>
                <w:szCs w:val="20"/>
                <w:color w:val="auto"/>
              </w:rPr>
            </w:pPr>
            <w:r>
              <w:rPr>
                <w:rFonts w:ascii="Arial" w:cs="Arial" w:eastAsia="Arial" w:hAnsi="Arial"/>
                <w:sz w:val="16"/>
                <w:szCs w:val="16"/>
                <w:b w:val="1"/>
                <w:bCs w:val="1"/>
                <w:color w:val="auto"/>
              </w:rPr>
              <w:t>BLACK HILLS CORPORATION</w:t>
            </w:r>
          </w:p>
        </w:tc>
        <w:tc>
          <w:tcPr>
            <w:tcW w:w="1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10"/>
        </w:trPr>
        <w:tc>
          <w:tcPr>
            <w:tcW w:w="1220" w:type="dxa"/>
            <w:vAlign w:val="bottom"/>
          </w:tcPr>
          <w:p>
            <w:pPr>
              <w:spacing w:after="0"/>
              <w:rPr>
                <w:sz w:val="18"/>
                <w:szCs w:val="18"/>
                <w:color w:val="auto"/>
              </w:rPr>
            </w:pPr>
          </w:p>
        </w:tc>
        <w:tc>
          <w:tcPr>
            <w:tcW w:w="8480" w:type="dxa"/>
            <w:vAlign w:val="bottom"/>
            <w:gridSpan w:val="5"/>
          </w:tcPr>
          <w:p>
            <w:pPr>
              <w:jc w:val="right"/>
              <w:ind w:right="1450"/>
              <w:spacing w:after="0"/>
              <w:rPr>
                <w:sz w:val="20"/>
                <w:szCs w:val="20"/>
                <w:color w:val="auto"/>
              </w:rPr>
            </w:pPr>
            <w:r>
              <w:rPr>
                <w:rFonts w:ascii="Arial" w:cs="Arial" w:eastAsia="Arial" w:hAnsi="Arial"/>
                <w:sz w:val="16"/>
                <w:szCs w:val="16"/>
                <w:b w:val="1"/>
                <w:bCs w:val="1"/>
                <w:color w:val="auto"/>
              </w:rPr>
              <w:t>CONSOLIDATED STATEMENTS OF COMPREHENSIVE INCOME</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71"/>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Year ended</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4"/>
                <w:szCs w:val="24"/>
                <w:color w:val="auto"/>
              </w:rPr>
            </w:pPr>
          </w:p>
        </w:tc>
        <w:tc>
          <w:tcPr>
            <w:tcW w:w="1560" w:type="dxa"/>
            <w:vAlign w:val="bottom"/>
          </w:tcPr>
          <w:p>
            <w:pPr>
              <w:jc w:val="right"/>
              <w:ind w:right="30"/>
              <w:spacing w:after="0"/>
              <w:rPr>
                <w:sz w:val="20"/>
                <w:szCs w:val="20"/>
                <w:color w:val="auto"/>
              </w:rPr>
            </w:pPr>
            <w:r>
              <w:rPr>
                <w:rFonts w:ascii="Arial" w:cs="Arial" w:eastAsia="Arial" w:hAnsi="Arial"/>
                <w:sz w:val="18"/>
                <w:szCs w:val="18"/>
                <w:color w:val="auto"/>
                <w:w w:val="89"/>
              </w:rPr>
              <w:t>December 31, 2018</w:t>
            </w:r>
          </w:p>
        </w:tc>
        <w:tc>
          <w:tcPr>
            <w:tcW w:w="140" w:type="dxa"/>
            <w:vAlign w:val="bottom"/>
          </w:tcPr>
          <w:p>
            <w:pPr>
              <w:spacing w:after="0"/>
              <w:rPr>
                <w:sz w:val="24"/>
                <w:szCs w:val="24"/>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2017</w:t>
            </w:r>
          </w:p>
        </w:tc>
      </w:tr>
      <w:tr>
        <w:trPr>
          <w:trHeight w:val="27"/>
        </w:trPr>
        <w:tc>
          <w:tcPr>
            <w:tcW w:w="1220" w:type="dxa"/>
            <w:vAlign w:val="bottom"/>
            <w:tcBorders>
              <w:bottom w:val="single" w:sz="8" w:color="auto"/>
            </w:tcBorders>
          </w:tcPr>
          <w:p>
            <w:pPr>
              <w:spacing w:after="0"/>
              <w:rPr>
                <w:sz w:val="2"/>
                <w:szCs w:val="2"/>
                <w:color w:val="auto"/>
              </w:rPr>
            </w:pPr>
          </w:p>
        </w:tc>
        <w:tc>
          <w:tcPr>
            <w:tcW w:w="50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tcPr>
          <w:p>
            <w:pPr>
              <w:jc w:val="right"/>
              <w:ind w:right="23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213,322</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272,662</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191,276</w:t>
            </w:r>
          </w:p>
        </w:tc>
      </w:tr>
      <w:tr>
        <w:trPr>
          <w:trHeight w:val="318"/>
        </w:trPr>
        <w:tc>
          <w:tcPr>
            <w:tcW w:w="12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60" w:type="dxa"/>
            <w:vAlign w:val="bottom"/>
            <w:tcBorders>
              <w:top w:val="single" w:sz="8" w:color="auto"/>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62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29"/>
        </w:trPr>
        <w:tc>
          <w:tcPr>
            <w:tcW w:w="6280" w:type="dxa"/>
            <w:vAlign w:val="bottom"/>
            <w:gridSpan w:val="2"/>
          </w:tcPr>
          <w:p>
            <w:pPr>
              <w:ind w:left="380"/>
              <w:spacing w:after="0"/>
              <w:rPr>
                <w:sz w:val="20"/>
                <w:szCs w:val="20"/>
                <w:color w:val="auto"/>
              </w:rPr>
            </w:pPr>
            <w:r>
              <w:rPr>
                <w:rFonts w:ascii="Arial" w:cs="Arial" w:eastAsia="Arial" w:hAnsi="Arial"/>
                <w:sz w:val="18"/>
                <w:szCs w:val="18"/>
                <w:color w:val="auto"/>
                <w:w w:val="96"/>
              </w:rPr>
              <w:t>Benefit plan liability adjustments - net gain (loss) (net of tax of $1,886, $(660)</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and $1,030, respectively)</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(6,253)</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2,155</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(1,890)</w:t>
            </w: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gridSpan w:val="2"/>
            <w:shd w:val="clear" w:color="auto" w:fill="CEFFE7"/>
          </w:tcPr>
          <w:p>
            <w:pPr>
              <w:ind w:left="380"/>
              <w:spacing w:after="0"/>
              <w:rPr>
                <w:sz w:val="20"/>
                <w:szCs w:val="20"/>
                <w:color w:val="auto"/>
              </w:rPr>
            </w:pPr>
            <w:r>
              <w:rPr>
                <w:rFonts w:ascii="Arial" w:cs="Arial" w:eastAsia="Arial" w:hAnsi="Arial"/>
                <w:sz w:val="18"/>
                <w:szCs w:val="18"/>
                <w:color w:val="auto"/>
                <w:w w:val="96"/>
              </w:rPr>
              <w:t>Benefit plan liability adjustments - prior service costs (net of tax of $2, $0 and</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8"/>
                <w:szCs w:val="18"/>
                <w:color w:val="auto"/>
              </w:rPr>
              <w:t>$0,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29"/>
        </w:trPr>
        <w:tc>
          <w:tcPr>
            <w:tcW w:w="6280" w:type="dxa"/>
            <w:vAlign w:val="bottom"/>
            <w:gridSpan w:val="2"/>
          </w:tcPr>
          <w:p>
            <w:pPr>
              <w:ind w:left="380"/>
              <w:spacing w:after="0"/>
              <w:rPr>
                <w:sz w:val="20"/>
                <w:szCs w:val="20"/>
                <w:color w:val="auto"/>
              </w:rPr>
            </w:pPr>
            <w:r>
              <w:rPr>
                <w:rFonts w:ascii="Arial" w:cs="Arial" w:eastAsia="Arial" w:hAnsi="Arial"/>
                <w:sz w:val="18"/>
                <w:szCs w:val="18"/>
                <w:color w:val="auto"/>
                <w:w w:val="93"/>
              </w:rPr>
              <w:t>Reclassification adjustment of benefit plan liability - net loss (net of tax of $434,</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$(586) and $(585), respectively)</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1,179</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1,901</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1,072</w:t>
            </w: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gridSpan w:val="2"/>
            <w:shd w:val="clear" w:color="auto" w:fill="CEFFE7"/>
          </w:tcPr>
          <w:p>
            <w:pPr>
              <w:ind w:left="380"/>
              <w:spacing w:after="0"/>
              <w:rPr>
                <w:sz w:val="20"/>
                <w:szCs w:val="20"/>
                <w:color w:val="auto"/>
              </w:rPr>
            </w:pPr>
            <w:r>
              <w:rPr>
                <w:rFonts w:ascii="Arial" w:cs="Arial" w:eastAsia="Arial" w:hAnsi="Arial"/>
                <w:sz w:val="18"/>
                <w:szCs w:val="18"/>
                <w:color w:val="auto"/>
                <w:w w:val="92"/>
              </w:rPr>
              <w:t>Reclassification adjustment of benefit plan liability - prior service cost (net of tax</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8"/>
                <w:szCs w:val="18"/>
                <w:color w:val="auto"/>
              </w:rPr>
              <w:t>of $19, $43 and $69,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(135)</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w:t>
            </w:r>
          </w:p>
        </w:tc>
      </w:tr>
      <w:tr>
        <w:trPr>
          <w:trHeight w:val="243"/>
        </w:trPr>
        <w:tc>
          <w:tcPr>
            <w:tcW w:w="6280" w:type="dxa"/>
            <w:vAlign w:val="bottom"/>
            <w:gridSpan w:val="2"/>
          </w:tcPr>
          <w:p>
            <w:pPr>
              <w:ind w:left="280"/>
              <w:spacing w:after="0"/>
              <w:rPr>
                <w:sz w:val="20"/>
                <w:szCs w:val="20"/>
                <w:color w:val="auto"/>
              </w:rPr>
            </w:pPr>
            <w:r>
              <w:rPr>
                <w:rFonts w:ascii="Arial" w:cs="Arial" w:eastAsia="Arial" w:hAnsi="Arial"/>
                <w:sz w:val="18"/>
                <w:szCs w:val="18"/>
                <w:color w:val="auto"/>
              </w:rPr>
              <w:t>Derivative instruments designated as cash flow hedges:</w:t>
            </w: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gridSpan w:val="2"/>
            <w:shd w:val="clear" w:color="auto" w:fill="CEFFE7"/>
          </w:tcPr>
          <w:p>
            <w:pPr>
              <w:ind w:left="380"/>
              <w:spacing w:after="0"/>
              <w:rPr>
                <w:sz w:val="20"/>
                <w:szCs w:val="20"/>
                <w:color w:val="auto"/>
              </w:rPr>
            </w:pPr>
            <w:r>
              <w:rPr>
                <w:rFonts w:ascii="Arial" w:cs="Arial" w:eastAsia="Arial" w:hAnsi="Arial"/>
                <w:sz w:val="18"/>
                <w:szCs w:val="18"/>
                <w:color w:val="auto"/>
                <w:w w:val="93"/>
              </w:rPr>
              <w:t>Reclassification of net realized (gains) losses on settled/amortized interest rate</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37"/>
        </w:trPr>
        <w:tc>
          <w:tcPr>
            <w:tcW w:w="628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8"/>
                <w:szCs w:val="18"/>
                <w:color w:val="auto"/>
              </w:rPr>
              <w:t>swaps (net of tax of $(666), $(599) and$(1,029) , respectively)</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2,185</w:t>
            </w:r>
          </w:p>
        </w:tc>
        <w:tc>
          <w:tcPr>
            <w:tcW w:w="140" w:type="dxa"/>
            <w:vAlign w:val="bottom"/>
            <w:tcBorders>
              <w:bottom w:val="single" w:sz="8" w:color="CEFFE7"/>
            </w:tcBorders>
            <w:shd w:val="clear" w:color="auto" w:fill="CEFFE7"/>
          </w:tcPr>
          <w:p>
            <w:pPr>
              <w:spacing w:after="0"/>
              <w:rPr>
                <w:sz w:val="20"/>
                <w:szCs w:val="20"/>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2,252</w:t>
            </w:r>
          </w:p>
        </w:tc>
        <w:tc>
          <w:tcPr>
            <w:tcW w:w="140" w:type="dxa"/>
            <w:vAlign w:val="bottom"/>
            <w:tcBorders>
              <w:bottom w:val="single" w:sz="8" w:color="CEFFE7"/>
            </w:tcBorders>
            <w:shd w:val="clear" w:color="auto" w:fill="CEFFE7"/>
          </w:tcPr>
          <w:p>
            <w:pPr>
              <w:spacing w:after="0"/>
              <w:rPr>
                <w:sz w:val="20"/>
                <w:szCs w:val="20"/>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1,912</w:t>
            </w:r>
          </w:p>
        </w:tc>
      </w:tr>
      <w:tr>
        <w:trPr>
          <w:trHeight w:val="229"/>
        </w:trPr>
        <w:tc>
          <w:tcPr>
            <w:tcW w:w="6280" w:type="dxa"/>
            <w:vAlign w:val="bottom"/>
            <w:gridSpan w:val="2"/>
          </w:tcPr>
          <w:p>
            <w:pPr>
              <w:ind w:left="380"/>
              <w:spacing w:after="0"/>
              <w:rPr>
                <w:sz w:val="20"/>
                <w:szCs w:val="20"/>
                <w:color w:val="auto"/>
              </w:rPr>
            </w:pPr>
            <w:r>
              <w:rPr>
                <w:rFonts w:ascii="Arial" w:cs="Arial" w:eastAsia="Arial" w:hAnsi="Arial"/>
                <w:sz w:val="18"/>
                <w:szCs w:val="18"/>
                <w:color w:val="auto"/>
                <w:w w:val="98"/>
              </w:rPr>
              <w:t>Net unrealized gains (losses) on commodity derivatives (net of tax of $126,</w:t>
            </w: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80" w:type="dxa"/>
            <w:vAlign w:val="bottom"/>
          </w:tcPr>
          <w:p>
            <w:pPr>
              <w:spacing w:after="0"/>
              <w:rPr>
                <w:sz w:val="19"/>
                <w:szCs w:val="19"/>
                <w:color w:val="auto"/>
              </w:rPr>
            </w:pPr>
          </w:p>
        </w:tc>
      </w:tr>
      <w:tr>
        <w:trPr>
          <w:trHeight w:val="230"/>
        </w:trPr>
        <w:tc>
          <w:tcPr>
            <w:tcW w:w="6280" w:type="dxa"/>
            <w:vAlign w:val="bottom"/>
            <w:gridSpan w:val="2"/>
          </w:tcPr>
          <w:p>
            <w:pPr>
              <w:ind w:left="380"/>
              <w:spacing w:after="0"/>
              <w:rPr>
                <w:sz w:val="20"/>
                <w:szCs w:val="20"/>
                <w:color w:val="auto"/>
              </w:rPr>
            </w:pPr>
            <w:r>
              <w:rPr>
                <w:rFonts w:ascii="Arial" w:cs="Arial" w:eastAsia="Arial" w:hAnsi="Arial"/>
                <w:sz w:val="18"/>
                <w:szCs w:val="18"/>
                <w:color w:val="auto"/>
              </w:rPr>
              <w:t>$(228) and $(135), respectively)</w:t>
            </w:r>
          </w:p>
        </w:tc>
        <w:tc>
          <w:tcPr>
            <w:tcW w:w="140" w:type="dxa"/>
            <w:vAlign w:val="bottom"/>
          </w:tcPr>
          <w:p>
            <w:pPr>
              <w:spacing w:after="0"/>
              <w:rPr>
                <w:sz w:val="20"/>
                <w:szCs w:val="20"/>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(422)</w:t>
            </w:r>
          </w:p>
        </w:tc>
        <w:tc>
          <w:tcPr>
            <w:tcW w:w="1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755</w:t>
            </w:r>
          </w:p>
        </w:tc>
        <w:tc>
          <w:tcPr>
            <w:tcW w:w="140" w:type="dxa"/>
            <w:vAlign w:val="bottom"/>
          </w:tcPr>
          <w:p>
            <w:pPr>
              <w:spacing w:after="0"/>
              <w:rPr>
                <w:sz w:val="20"/>
                <w:szCs w:val="20"/>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231</w:t>
            </w: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29"/>
        </w:trPr>
        <w:tc>
          <w:tcPr>
            <w:tcW w:w="6280" w:type="dxa"/>
            <w:vAlign w:val="bottom"/>
            <w:gridSpan w:val="2"/>
            <w:shd w:val="clear" w:color="auto" w:fill="CEFFE7"/>
          </w:tcPr>
          <w:p>
            <w:pPr>
              <w:ind w:left="380"/>
              <w:spacing w:after="0"/>
              <w:rPr>
                <w:sz w:val="20"/>
                <w:szCs w:val="20"/>
                <w:color w:val="auto"/>
              </w:rPr>
            </w:pPr>
            <w:r>
              <w:rPr>
                <w:rFonts w:ascii="Arial" w:cs="Arial" w:eastAsia="Arial" w:hAnsi="Arial"/>
                <w:sz w:val="18"/>
                <w:szCs w:val="18"/>
                <w:color w:val="auto"/>
                <w:w w:val="94"/>
              </w:rPr>
              <w:t>Reclassification of net realized (gains) losses on settled commodity derivatives</w:t>
            </w: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6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580" w:type="dxa"/>
            <w:vAlign w:val="bottom"/>
            <w:shd w:val="clear" w:color="auto" w:fill="CEFFE7"/>
          </w:tcPr>
          <w:p>
            <w:pPr>
              <w:spacing w:after="0"/>
              <w:rPr>
                <w:sz w:val="19"/>
                <w:szCs w:val="19"/>
                <w:color w:val="auto"/>
              </w:rPr>
            </w:pPr>
          </w:p>
        </w:tc>
      </w:tr>
      <w:tr>
        <w:trPr>
          <w:trHeight w:val="257"/>
        </w:trPr>
        <w:tc>
          <w:tcPr>
            <w:tcW w:w="6280" w:type="dxa"/>
            <w:vAlign w:val="bottom"/>
            <w:tcBorders>
              <w:bottom w:val="single" w:sz="8" w:color="CEFFE7"/>
            </w:tcBorders>
            <w:gridSpan w:val="2"/>
            <w:shd w:val="clear" w:color="auto" w:fill="CEFFE7"/>
          </w:tcPr>
          <w:p>
            <w:pPr>
              <w:ind w:left="380"/>
              <w:spacing w:after="0"/>
              <w:rPr>
                <w:sz w:val="20"/>
                <w:szCs w:val="20"/>
                <w:color w:val="auto"/>
              </w:rPr>
            </w:pPr>
            <w:r>
              <w:rPr>
                <w:rFonts w:ascii="Arial" w:cs="Arial" w:eastAsia="Arial" w:hAnsi="Arial"/>
                <w:sz w:val="18"/>
                <w:szCs w:val="18"/>
                <w:color w:val="auto"/>
              </w:rPr>
              <w:t>(net of tax of $55, $(31) and $154, respectively)</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(362)</w:t>
            </w:r>
          </w:p>
        </w:tc>
        <w:tc>
          <w:tcPr>
            <w:tcW w:w="140" w:type="dxa"/>
            <w:vAlign w:val="bottom"/>
            <w:tcBorders>
              <w:bottom w:val="single" w:sz="8" w:color="CEFFE7"/>
            </w:tcBorders>
            <w:shd w:val="clear" w:color="auto" w:fill="CEFFE7"/>
          </w:tcPr>
          <w:p>
            <w:pPr>
              <w:spacing w:after="0"/>
              <w:rPr>
                <w:sz w:val="22"/>
                <w:szCs w:val="22"/>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w:t>
            </w:r>
          </w:p>
        </w:tc>
        <w:tc>
          <w:tcPr>
            <w:tcW w:w="1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(516)</w:t>
            </w:r>
          </w:p>
        </w:tc>
      </w:tr>
      <w:tr>
        <w:trPr>
          <w:trHeight w:val="23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(3,739)</w:t>
            </w:r>
          </w:p>
        </w:tc>
        <w:tc>
          <w:tcPr>
            <w:tcW w:w="140" w:type="dxa"/>
            <w:vAlign w:val="bottom"/>
            <w:tcBorders>
              <w:top w:val="single" w:sz="8" w:color="auto"/>
            </w:tcBorders>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7,027</w:t>
            </w:r>
          </w:p>
        </w:tc>
        <w:tc>
          <w:tcPr>
            <w:tcW w:w="1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1220" w:type="dxa"/>
            <w:vAlign w:val="bottom"/>
            <w:tcBorders>
              <w:bottom w:val="single" w:sz="8" w:color="CEFFE7"/>
            </w:tcBorders>
          </w:tcPr>
          <w:p>
            <w:pPr>
              <w:spacing w:after="0"/>
              <w:rPr>
                <w:sz w:val="2"/>
                <w:szCs w:val="2"/>
                <w:color w:val="auto"/>
              </w:rPr>
            </w:pPr>
          </w:p>
        </w:tc>
        <w:tc>
          <w:tcPr>
            <w:tcW w:w="506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318"/>
        </w:trPr>
        <w:tc>
          <w:tcPr>
            <w:tcW w:w="1220" w:type="dxa"/>
            <w:vAlign w:val="bottom"/>
            <w:shd w:val="clear" w:color="auto" w:fill="CEFFE7"/>
          </w:tcPr>
          <w:p>
            <w:pPr>
              <w:spacing w:after="0"/>
              <w:rPr>
                <w:sz w:val="24"/>
                <w:szCs w:val="24"/>
                <w:color w:val="auto"/>
              </w:rPr>
            </w:pPr>
          </w:p>
        </w:tc>
        <w:tc>
          <w:tcPr>
            <w:tcW w:w="506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560" w:type="dxa"/>
            <w:vAlign w:val="bottom"/>
            <w:shd w:val="clear" w:color="auto" w:fill="CEFFE7"/>
          </w:tcPr>
          <w:p>
            <w:pPr>
              <w:spacing w:after="0"/>
              <w:rPr>
                <w:sz w:val="24"/>
                <w:szCs w:val="24"/>
                <w:color w:val="auto"/>
              </w:rPr>
            </w:pPr>
          </w:p>
        </w:tc>
        <w:tc>
          <w:tcPr>
            <w:tcW w:w="1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43"/>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Comprehensive income</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209,583</w:t>
            </w:r>
          </w:p>
        </w:tc>
        <w:tc>
          <w:tcPr>
            <w:tcW w:w="14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279,689</w:t>
            </w: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191,957</w:t>
            </w:r>
          </w:p>
        </w:tc>
      </w:tr>
      <w:tr>
        <w:trPr>
          <w:trHeight w:val="27"/>
        </w:trPr>
        <w:tc>
          <w:tcPr>
            <w:tcW w:w="1220" w:type="dxa"/>
            <w:vAlign w:val="bottom"/>
          </w:tcPr>
          <w:p>
            <w:pPr>
              <w:spacing w:after="0"/>
              <w:rPr>
                <w:sz w:val="2"/>
                <w:szCs w:val="2"/>
                <w:color w:val="auto"/>
              </w:rPr>
            </w:pPr>
          </w:p>
        </w:tc>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62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Less: comprehensive income attributable to non-controlling interest</w:t>
            </w: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(14,012)</w:t>
            </w:r>
          </w:p>
        </w:tc>
        <w:tc>
          <w:tcPr>
            <w:tcW w:w="14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(14,220)</w:t>
            </w: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(14,242)</w:t>
            </w:r>
          </w:p>
        </w:tc>
      </w:tr>
      <w:tr>
        <w:trPr>
          <w:trHeight w:val="257"/>
        </w:trPr>
        <w:tc>
          <w:tcPr>
            <w:tcW w:w="6280" w:type="dxa"/>
            <w:vAlign w:val="bottom"/>
            <w:gridSpan w:val="2"/>
          </w:tcPr>
          <w:p>
            <w:pPr>
              <w:ind w:left="40"/>
              <w:spacing w:after="0"/>
              <w:rPr>
                <w:sz w:val="20"/>
                <w:szCs w:val="20"/>
                <w:color w:val="auto"/>
              </w:rPr>
            </w:pPr>
            <w:r>
              <w:rPr>
                <w:rFonts w:ascii="Arial" w:cs="Arial" w:eastAsia="Arial" w:hAnsi="Arial"/>
                <w:sz w:val="18"/>
                <w:szCs w:val="18"/>
                <w:color w:val="auto"/>
              </w:rPr>
              <w:t>Comprehensive income available for common stock</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195,571</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265,469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177,715</w:t>
            </w:r>
          </w:p>
        </w:tc>
      </w:tr>
      <w:tr>
        <w:trPr>
          <w:trHeight w:val="20"/>
        </w:trPr>
        <w:tc>
          <w:tcPr>
            <w:tcW w:w="12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jc w:val="center"/>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27">
        <w:r>
          <w:rPr>
            <w:rFonts w:ascii="Arial" w:cs="Arial" w:eastAsia="Arial" w:hAnsi="Arial"/>
            <w:sz w:val="16"/>
            <w:szCs w:val="16"/>
            <w:u w:val="single" w:color="auto"/>
            <w:color w:val="0000EE"/>
          </w:rPr>
          <w:t>Note 16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disclosures related to Comprehensive Income.</w:t>
      </w:r>
    </w:p>
    <w:p>
      <w:pPr>
        <w:spacing w:after="0" w:line="221" w:lineRule="exact"/>
        <w:rPr>
          <w:sz w:val="20"/>
          <w:szCs w:val="20"/>
          <w:color w:val="auto"/>
        </w:rPr>
      </w:pPr>
    </w:p>
    <w:p>
      <w:pPr>
        <w:jc w:val="center"/>
        <w:spacing w:after="0"/>
        <w:rPr>
          <w:rFonts w:ascii="Arial" w:cs="Arial" w:eastAsia="Arial" w:hAnsi="Arial"/>
          <w:sz w:val="16"/>
          <w:szCs w:val="16"/>
          <w:color w:val="auto"/>
        </w:rPr>
      </w:pPr>
      <w:r>
        <w:rPr>
          <w:rFonts w:ascii="Arial" w:cs="Arial" w:eastAsia="Arial" w:hAnsi="Arial"/>
          <w:sz w:val="16"/>
          <w:szCs w:val="16"/>
          <w:color w:val="auto"/>
        </w:rPr>
        <w:t xml:space="preserve">The accompanying </w:t>
      </w:r>
      <w:hyperlink w:anchor="page83">
        <w:r>
          <w:rPr>
            <w:rFonts w:ascii="Arial" w:cs="Arial" w:eastAsia="Arial" w:hAnsi="Arial"/>
            <w:sz w:val="16"/>
            <w:szCs w:val="16"/>
            <w:u w:val="single" w:color="auto"/>
            <w:color w:val="0000EE"/>
          </w:rPr>
          <w:t>Notes to the Consolidated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an integral part of these Consolidated Financial Statements.</w:t>
      </w: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118" w:right="239" w:bottom="1440" w:gutter="0" w:footer="0" w:header="0"/>
        </w:sectPr>
      </w:pPr>
    </w:p>
    <w:bookmarkStart w:id="78" w:name="page79"/>
    <w:bookmarkEnd w:id="78"/>
    <w:tbl>
      <w:tblPr>
        <w:tblLayout w:type="fixed"/>
        <w:tblInd w:w="0" w:type="dxa"/>
        <w:tblCellMar>
          <w:top w:w="0" w:type="dxa"/>
          <w:left w:w="0" w:type="dxa"/>
          <w:bottom w:w="0" w:type="dxa"/>
          <w:right w:w="0" w:type="dxa"/>
        </w:tblCellMar>
      </w:tblPr>
      <w:tr>
        <w:trPr>
          <w:trHeight w:val="184"/>
        </w:trPr>
        <w:tc>
          <w:tcPr>
            <w:tcW w:w="34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700" w:type="dxa"/>
            <w:vAlign w:val="bottom"/>
          </w:tcPr>
          <w:p>
            <w:pPr>
              <w:spacing w:after="0"/>
              <w:rPr>
                <w:sz w:val="16"/>
                <w:szCs w:val="16"/>
                <w:color w:val="auto"/>
              </w:rPr>
            </w:pPr>
          </w:p>
        </w:tc>
      </w:tr>
      <w:tr>
        <w:trPr>
          <w:trHeight w:val="398"/>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2220" w:type="dxa"/>
            <w:vAlign w:val="bottom"/>
          </w:tcPr>
          <w:p>
            <w:pPr>
              <w:spacing w:after="0"/>
              <w:rPr>
                <w:sz w:val="24"/>
                <w:szCs w:val="24"/>
                <w:color w:val="auto"/>
              </w:rPr>
            </w:pPr>
          </w:p>
        </w:tc>
        <w:tc>
          <w:tcPr>
            <w:tcW w:w="4300" w:type="dxa"/>
            <w:vAlign w:val="bottom"/>
            <w:gridSpan w:val="2"/>
          </w:tcPr>
          <w:p>
            <w:pPr>
              <w:jc w:val="right"/>
              <w:ind w:right="750"/>
              <w:spacing w:after="0"/>
              <w:rPr>
                <w:sz w:val="20"/>
                <w:szCs w:val="20"/>
                <w:color w:val="auto"/>
              </w:rPr>
            </w:pPr>
            <w:r>
              <w:rPr>
                <w:rFonts w:ascii="Arial" w:cs="Arial" w:eastAsia="Arial" w:hAnsi="Arial"/>
                <w:sz w:val="16"/>
                <w:szCs w:val="16"/>
                <w:b w:val="1"/>
                <w:bCs w:val="1"/>
                <w:color w:val="auto"/>
              </w:rPr>
              <w:t>BLACK HILLS CORPORATION</w:t>
            </w:r>
          </w:p>
        </w:tc>
        <w:tc>
          <w:tcPr>
            <w:tcW w:w="17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300" w:type="dxa"/>
            <w:vAlign w:val="bottom"/>
            <w:gridSpan w:val="2"/>
          </w:tcPr>
          <w:p>
            <w:pPr>
              <w:jc w:val="right"/>
              <w:ind w:right="530"/>
              <w:spacing w:after="0"/>
              <w:rPr>
                <w:sz w:val="20"/>
                <w:szCs w:val="20"/>
                <w:color w:val="auto"/>
              </w:rPr>
            </w:pPr>
            <w:r>
              <w:rPr>
                <w:rFonts w:ascii="Arial" w:cs="Arial" w:eastAsia="Arial" w:hAnsi="Arial"/>
                <w:sz w:val="16"/>
                <w:szCs w:val="16"/>
                <w:b w:val="1"/>
                <w:bCs w:val="1"/>
                <w:color w:val="auto"/>
              </w:rPr>
              <w:t>CONSOLIDATED BALANCE SHEETS</w:t>
            </w:r>
          </w:p>
        </w:tc>
        <w:tc>
          <w:tcPr>
            <w:tcW w:w="17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tcPr>
          <w:p>
            <w:pPr>
              <w:spacing w:after="0"/>
              <w:rPr>
                <w:sz w:val="18"/>
                <w:szCs w:val="18"/>
                <w:color w:val="auto"/>
              </w:rPr>
            </w:pPr>
          </w:p>
        </w:tc>
      </w:tr>
      <w:tr>
        <w:trPr>
          <w:trHeight w:val="37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60" w:type="dxa"/>
            <w:vAlign w:val="bottom"/>
            <w:gridSpan w:val="2"/>
          </w:tcPr>
          <w:p>
            <w:pPr>
              <w:jc w:val="right"/>
              <w:spacing w:after="0"/>
              <w:rPr>
                <w:sz w:val="20"/>
                <w:szCs w:val="20"/>
                <w:color w:val="auto"/>
              </w:rPr>
            </w:pPr>
            <w:r>
              <w:rPr>
                <w:rFonts w:ascii="Arial" w:cs="Arial" w:eastAsia="Arial" w:hAnsi="Arial"/>
                <w:sz w:val="18"/>
                <w:szCs w:val="18"/>
                <w:color w:val="auto"/>
              </w:rPr>
              <w:t>As of</w:t>
            </w:r>
          </w:p>
        </w:tc>
        <w:tc>
          <w:tcPr>
            <w:tcW w:w="17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2019</w:t>
            </w:r>
          </w:p>
        </w:tc>
        <w:tc>
          <w:tcPr>
            <w:tcW w:w="240" w:type="dxa"/>
            <w:vAlign w:val="bottom"/>
          </w:tcPr>
          <w:p>
            <w:pPr>
              <w:spacing w:after="0"/>
              <w:rPr>
                <w:sz w:val="23"/>
                <w:szCs w:val="23"/>
                <w:color w:val="auto"/>
              </w:rPr>
            </w:pPr>
          </w:p>
        </w:tc>
        <w:tc>
          <w:tcPr>
            <w:tcW w:w="1700" w:type="dxa"/>
            <w:vAlign w:val="bottom"/>
          </w:tcPr>
          <w:p>
            <w:pPr>
              <w:jc w:val="right"/>
              <w:ind w:right="170"/>
              <w:spacing w:after="0"/>
              <w:rPr>
                <w:sz w:val="20"/>
                <w:szCs w:val="20"/>
                <w:color w:val="auto"/>
              </w:rPr>
            </w:pPr>
            <w:r>
              <w:rPr>
                <w:rFonts w:ascii="Arial" w:cs="Arial" w:eastAsia="Arial" w:hAnsi="Arial"/>
                <w:sz w:val="18"/>
                <w:szCs w:val="18"/>
                <w:color w:val="auto"/>
                <w:w w:val="89"/>
              </w:rPr>
              <w:t>December 31, 2018</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660" w:type="dxa"/>
            <w:vAlign w:val="bottom"/>
            <w:tcBorders>
              <w:bottom w:val="single" w:sz="8" w:color="auto"/>
            </w:tcBorders>
            <w:gridSpan w:val="3"/>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60" w:type="dxa"/>
            <w:vAlign w:val="bottom"/>
            <w:gridSpan w:val="3"/>
          </w:tcPr>
          <w:p>
            <w:pPr>
              <w:jc w:val="right"/>
              <w:ind w:right="1310"/>
              <w:spacing w:after="0"/>
              <w:rPr>
                <w:sz w:val="20"/>
                <w:szCs w:val="20"/>
                <w:color w:val="auto"/>
              </w:rPr>
            </w:pPr>
            <w:r>
              <w:rPr>
                <w:rFonts w:ascii="Arial" w:cs="Arial" w:eastAsia="Arial" w:hAnsi="Arial"/>
                <w:sz w:val="18"/>
                <w:szCs w:val="18"/>
                <w:color w:val="auto"/>
              </w:rPr>
              <w:t>(in thousands)</w:t>
            </w: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2220" w:type="dxa"/>
            <w:vAlign w:val="bottom"/>
          </w:tcPr>
          <w:p>
            <w:pPr>
              <w:spacing w:after="0"/>
              <w:rPr>
                <w:sz w:val="23"/>
                <w:szCs w:val="23"/>
                <w:color w:val="auto"/>
              </w:rPr>
            </w:pPr>
          </w:p>
        </w:tc>
        <w:tc>
          <w:tcPr>
            <w:tcW w:w="4300" w:type="dxa"/>
            <w:vAlign w:val="bottom"/>
            <w:gridSpan w:val="2"/>
          </w:tcPr>
          <w:p>
            <w:pPr>
              <w:jc w:val="right"/>
              <w:ind w:right="3530"/>
              <w:spacing w:after="0"/>
              <w:rPr>
                <w:sz w:val="20"/>
                <w:szCs w:val="20"/>
                <w:color w:val="auto"/>
              </w:rPr>
            </w:pPr>
            <w:r>
              <w:rPr>
                <w:rFonts w:ascii="Arial" w:cs="Arial" w:eastAsia="Arial" w:hAnsi="Arial"/>
                <w:sz w:val="18"/>
                <w:szCs w:val="18"/>
                <w:b w:val="1"/>
                <w:bCs w:val="1"/>
                <w:color w:val="auto"/>
                <w:w w:val="91"/>
              </w:rPr>
              <w:t>ASSETS</w:t>
            </w:r>
          </w:p>
        </w:tc>
        <w:tc>
          <w:tcPr>
            <w:tcW w:w="1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7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Current assets: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4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9,777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20,776</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Restricted cash and equivalents</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3,881</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3,369</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Accounts receivable, net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255,805</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269,153</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Materials, supplies and fuel</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117,172</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117,299</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Derivative assets, 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342</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Income tax receivable, net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16,446</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12,978</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Regulatory assets, 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43,282</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48,776</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Other current assets</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26,479</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29,982</w:t>
            </w:r>
          </w:p>
        </w:tc>
      </w:tr>
      <w:tr>
        <w:trPr>
          <w:trHeight w:val="237"/>
        </w:trPr>
        <w:tc>
          <w:tcPr>
            <w:tcW w:w="20" w:type="dxa"/>
            <w:vAlign w:val="bottom"/>
          </w:tcPr>
          <w:p>
            <w:pPr>
              <w:spacing w:after="0"/>
              <w:rPr>
                <w:sz w:val="20"/>
                <w:szCs w:val="20"/>
                <w:color w:val="auto"/>
              </w:rPr>
            </w:pPr>
          </w:p>
        </w:tc>
        <w:tc>
          <w:tcPr>
            <w:tcW w:w="3420" w:type="dxa"/>
            <w:vAlign w:val="bottom"/>
            <w:gridSpan w:val="2"/>
          </w:tcPr>
          <w:p>
            <w:pPr>
              <w:ind w:left="480"/>
              <w:spacing w:after="0"/>
              <w:rPr>
                <w:sz w:val="20"/>
                <w:szCs w:val="20"/>
                <w:color w:val="auto"/>
              </w:rPr>
            </w:pPr>
            <w:r>
              <w:rPr>
                <w:rFonts w:ascii="Arial" w:cs="Arial" w:eastAsia="Arial" w:hAnsi="Arial"/>
                <w:sz w:val="18"/>
                <w:szCs w:val="18"/>
                <w:color w:val="auto"/>
              </w:rPr>
              <w:t>Total current assets</w:t>
            </w:r>
          </w:p>
        </w:tc>
        <w:tc>
          <w:tcPr>
            <w:tcW w:w="4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473,184</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503,833</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22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Investments</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21,929</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41,013</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22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Property, plant and equipment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6,784,679</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6,000,015</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w w:val="89"/>
              </w:rPr>
              <w:t>Less accumulated depreciation and depletion</w:t>
            </w:r>
          </w:p>
        </w:tc>
        <w:tc>
          <w:tcPr>
            <w:tcW w:w="4100" w:type="dxa"/>
            <w:vAlign w:val="bottom"/>
            <w:tcBorders>
              <w:bottom w:val="single" w:sz="8" w:color="CEFFE7"/>
            </w:tcBorders>
            <w:shd w:val="clear" w:color="auto" w:fill="CEFFE7"/>
          </w:tcPr>
          <w:p>
            <w:pPr>
              <w:spacing w:after="0"/>
              <w:rPr>
                <w:sz w:val="23"/>
                <w:szCs w:val="23"/>
                <w:color w:val="auto"/>
              </w:rPr>
            </w:pPr>
          </w:p>
        </w:tc>
        <w:tc>
          <w:tcPr>
            <w:tcW w:w="200" w:type="dxa"/>
            <w:vAlign w:val="bottom"/>
            <w:tcBorders>
              <w:bottom w:val="single" w:sz="8" w:color="CEFFE7"/>
            </w:tcBorders>
            <w:shd w:val="clear" w:color="auto" w:fill="CEFFE7"/>
          </w:tcPr>
          <w:p>
            <w:pPr>
              <w:spacing w:after="0"/>
              <w:rPr>
                <w:sz w:val="23"/>
                <w:szCs w:val="23"/>
                <w:color w:val="auto"/>
              </w:rPr>
            </w:pPr>
          </w:p>
        </w:tc>
        <w:tc>
          <w:tcPr>
            <w:tcW w:w="1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(1,281,493)</w:t>
            </w:r>
          </w:p>
        </w:tc>
        <w:tc>
          <w:tcPr>
            <w:tcW w:w="240" w:type="dxa"/>
            <w:vAlign w:val="bottom"/>
            <w:tcBorders>
              <w:bottom w:val="single" w:sz="8" w:color="CEFFE7"/>
            </w:tcBorders>
            <w:shd w:val="clear" w:color="auto" w:fill="CEFFE7"/>
          </w:tcPr>
          <w:p>
            <w:pPr>
              <w:spacing w:after="0"/>
              <w:rPr>
                <w:sz w:val="23"/>
                <w:szCs w:val="23"/>
                <w:color w:val="auto"/>
              </w:rPr>
            </w:pPr>
          </w:p>
        </w:tc>
        <w:tc>
          <w:tcPr>
            <w:tcW w:w="1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(1,145,136)</w:t>
            </w:r>
          </w:p>
        </w:tc>
      </w:tr>
      <w:tr>
        <w:trPr>
          <w:trHeight w:val="237"/>
        </w:trPr>
        <w:tc>
          <w:tcPr>
            <w:tcW w:w="20" w:type="dxa"/>
            <w:vAlign w:val="bottom"/>
          </w:tcPr>
          <w:p>
            <w:pPr>
              <w:spacing w:after="0"/>
              <w:rPr>
                <w:sz w:val="20"/>
                <w:szCs w:val="20"/>
                <w:color w:val="auto"/>
              </w:rPr>
            </w:pPr>
          </w:p>
        </w:tc>
        <w:tc>
          <w:tcPr>
            <w:tcW w:w="3420" w:type="dxa"/>
            <w:vAlign w:val="bottom"/>
            <w:gridSpan w:val="2"/>
          </w:tcPr>
          <w:p>
            <w:pPr>
              <w:ind w:left="480"/>
              <w:spacing w:after="0"/>
              <w:rPr>
                <w:sz w:val="20"/>
                <w:szCs w:val="20"/>
                <w:color w:val="auto"/>
              </w:rPr>
            </w:pPr>
            <w:r>
              <w:rPr>
                <w:rFonts w:ascii="Arial" w:cs="Arial" w:eastAsia="Arial" w:hAnsi="Arial"/>
                <w:sz w:val="18"/>
                <w:szCs w:val="18"/>
                <w:color w:val="auto"/>
                <w:w w:val="91"/>
              </w:rPr>
              <w:t>Total property, plant and equipment, net</w:t>
            </w:r>
          </w:p>
        </w:tc>
        <w:tc>
          <w:tcPr>
            <w:tcW w:w="4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5,503,186</w:t>
            </w:r>
          </w:p>
        </w:tc>
        <w:tc>
          <w:tcPr>
            <w:tcW w:w="240" w:type="dxa"/>
            <w:vAlign w:val="bottom"/>
            <w:tcBorders>
              <w:top w:val="single" w:sz="8" w:color="auto"/>
            </w:tcBorders>
          </w:tcPr>
          <w:p>
            <w:pPr>
              <w:spacing w:after="0"/>
              <w:rPr>
                <w:sz w:val="20"/>
                <w:szCs w:val="20"/>
                <w:color w:val="auto"/>
              </w:rPr>
            </w:pPr>
          </w:p>
        </w:tc>
        <w:tc>
          <w:tcPr>
            <w:tcW w:w="17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4,854,879</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2220" w:type="dxa"/>
            <w:vAlign w:val="bottom"/>
            <w:shd w:val="clear" w:color="auto" w:fill="CEFFE7"/>
          </w:tcPr>
          <w:p>
            <w:pPr>
              <w:spacing w:after="0"/>
              <w:rPr>
                <w:sz w:val="24"/>
                <w:szCs w:val="24"/>
                <w:color w:val="auto"/>
              </w:rPr>
            </w:pPr>
          </w:p>
        </w:tc>
        <w:tc>
          <w:tcPr>
            <w:tcW w:w="410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7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700" w:type="dxa"/>
            <w:vAlign w:val="bottom"/>
            <w:shd w:val="clear" w:color="auto" w:fill="CEFFE7"/>
          </w:tcPr>
          <w:p>
            <w:pPr>
              <w:spacing w:after="0"/>
              <w:rPr>
                <w:sz w:val="24"/>
                <w:szCs w:val="24"/>
                <w:color w:val="auto"/>
              </w:rPr>
            </w:pPr>
          </w:p>
        </w:tc>
      </w:tr>
      <w:tr>
        <w:trPr>
          <w:trHeight w:val="243"/>
        </w:trPr>
        <w:tc>
          <w:tcPr>
            <w:tcW w:w="20" w:type="dxa"/>
            <w:vAlign w:val="bottom"/>
          </w:tcPr>
          <w:p>
            <w:pPr>
              <w:spacing w:after="0"/>
              <w:rPr>
                <w:sz w:val="21"/>
                <w:szCs w:val="21"/>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70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Goodwill</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1,299,454</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Intangible assets, net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13,266</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14,337</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220" w:type="dxa"/>
            <w:vAlign w:val="bottom"/>
          </w:tcPr>
          <w:p>
            <w:pPr>
              <w:spacing w:after="0"/>
              <w:rPr>
                <w:sz w:val="2"/>
                <w:szCs w:val="2"/>
                <w:color w:val="auto"/>
              </w:rPr>
            </w:pPr>
          </w:p>
        </w:tc>
        <w:tc>
          <w:tcPr>
            <w:tcW w:w="4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4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Regulatory assets, non-current</w:t>
            </w:r>
          </w:p>
        </w:tc>
        <w:tc>
          <w:tcPr>
            <w:tcW w:w="4100" w:type="dxa"/>
            <w:vAlign w:val="bottom"/>
            <w:tcBorders>
              <w:bottom w:val="single" w:sz="8" w:color="CEFFE7"/>
            </w:tcBorders>
            <w:shd w:val="clear" w:color="auto" w:fill="CEFFE7"/>
          </w:tcPr>
          <w:p>
            <w:pPr>
              <w:spacing w:after="0"/>
              <w:rPr>
                <w:sz w:val="21"/>
                <w:szCs w:val="21"/>
                <w:color w:val="auto"/>
              </w:rPr>
            </w:pPr>
          </w:p>
        </w:tc>
        <w:tc>
          <w:tcPr>
            <w:tcW w:w="200" w:type="dxa"/>
            <w:vAlign w:val="bottom"/>
            <w:tcBorders>
              <w:bottom w:val="single" w:sz="8" w:color="CEFFE7"/>
            </w:tcBorders>
            <w:shd w:val="clear" w:color="auto" w:fill="CEFFE7"/>
          </w:tcPr>
          <w:p>
            <w:pPr>
              <w:spacing w:after="0"/>
              <w:rPr>
                <w:sz w:val="21"/>
                <w:szCs w:val="21"/>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228,062</w:t>
            </w:r>
          </w:p>
        </w:tc>
        <w:tc>
          <w:tcPr>
            <w:tcW w:w="240" w:type="dxa"/>
            <w:vAlign w:val="bottom"/>
            <w:tcBorders>
              <w:bottom w:val="single" w:sz="8" w:color="CEFFE7"/>
            </w:tcBorders>
            <w:shd w:val="clear" w:color="auto" w:fill="CEFFE7"/>
          </w:tcPr>
          <w:p>
            <w:pPr>
              <w:spacing w:after="0"/>
              <w:rPr>
                <w:sz w:val="21"/>
                <w:szCs w:val="21"/>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235,459</w:t>
            </w:r>
          </w:p>
        </w:tc>
      </w:tr>
      <w:tr>
        <w:trPr>
          <w:trHeight w:val="243"/>
        </w:trPr>
        <w:tc>
          <w:tcPr>
            <w:tcW w:w="20" w:type="dxa"/>
            <w:vAlign w:val="bottom"/>
          </w:tcPr>
          <w:p>
            <w:pPr>
              <w:spacing w:after="0"/>
              <w:rPr>
                <w:sz w:val="21"/>
                <w:szCs w:val="21"/>
                <w:color w:val="auto"/>
              </w:rPr>
            </w:pPr>
          </w:p>
        </w:tc>
        <w:tc>
          <w:tcPr>
            <w:tcW w:w="3420" w:type="dxa"/>
            <w:vAlign w:val="bottom"/>
            <w:gridSpan w:val="2"/>
          </w:tcPr>
          <w:p>
            <w:pPr>
              <w:ind w:left="160"/>
              <w:spacing w:after="0"/>
              <w:rPr>
                <w:sz w:val="20"/>
                <w:szCs w:val="20"/>
                <w:color w:val="auto"/>
              </w:rPr>
            </w:pPr>
            <w:r>
              <w:rPr>
                <w:rFonts w:ascii="Arial" w:cs="Arial" w:eastAsia="Arial" w:hAnsi="Arial"/>
                <w:sz w:val="18"/>
                <w:szCs w:val="18"/>
                <w:color w:val="auto"/>
              </w:rPr>
              <w:t>Other assets, non-current</w:t>
            </w:r>
          </w:p>
        </w:tc>
        <w:tc>
          <w:tcPr>
            <w:tcW w:w="4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19,376</w:t>
            </w:r>
          </w:p>
        </w:tc>
        <w:tc>
          <w:tcPr>
            <w:tcW w:w="24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14,352</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220" w:type="dxa"/>
            <w:vAlign w:val="bottom"/>
            <w:tcBorders>
              <w:bottom w:val="single" w:sz="8" w:color="CEFFE7"/>
            </w:tcBorders>
          </w:tcPr>
          <w:p>
            <w:pPr>
              <w:spacing w:after="0"/>
              <w:rPr>
                <w:sz w:val="2"/>
                <w:szCs w:val="2"/>
                <w:color w:val="auto"/>
              </w:rPr>
            </w:pPr>
          </w:p>
        </w:tc>
        <w:tc>
          <w:tcPr>
            <w:tcW w:w="410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342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8"/>
                <w:szCs w:val="18"/>
                <w:color w:val="auto"/>
              </w:rPr>
              <w:t>Total other assets, non-current</w:t>
            </w:r>
          </w:p>
        </w:tc>
        <w:tc>
          <w:tcPr>
            <w:tcW w:w="410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CEFFE7"/>
            </w:tcBorders>
            <w:shd w:val="clear" w:color="auto" w:fill="CEFFE7"/>
          </w:tcPr>
          <w:p>
            <w:pPr>
              <w:spacing w:after="0"/>
              <w:rPr>
                <w:sz w:val="22"/>
                <w:szCs w:val="22"/>
                <w:color w:val="auto"/>
              </w:rPr>
            </w:pPr>
          </w:p>
        </w:tc>
        <w:tc>
          <w:tcPr>
            <w:tcW w:w="1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1,560,158</w:t>
            </w:r>
          </w:p>
        </w:tc>
        <w:tc>
          <w:tcPr>
            <w:tcW w:w="240" w:type="dxa"/>
            <w:vAlign w:val="bottom"/>
            <w:tcBorders>
              <w:bottom w:val="single" w:sz="8" w:color="CEFFE7"/>
            </w:tcBorders>
            <w:shd w:val="clear" w:color="auto" w:fill="CEFFE7"/>
          </w:tcPr>
          <w:p>
            <w:pPr>
              <w:spacing w:after="0"/>
              <w:rPr>
                <w:sz w:val="22"/>
                <w:szCs w:val="22"/>
                <w:color w:val="auto"/>
              </w:rPr>
            </w:pPr>
          </w:p>
        </w:tc>
        <w:tc>
          <w:tcPr>
            <w:tcW w:w="1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1,563,602</w:t>
            </w:r>
          </w:p>
        </w:tc>
      </w:tr>
      <w:tr>
        <w:trPr>
          <w:trHeight w:val="257"/>
        </w:trPr>
        <w:tc>
          <w:tcPr>
            <w:tcW w:w="20" w:type="dxa"/>
            <w:vAlign w:val="bottom"/>
          </w:tcPr>
          <w:p>
            <w:pPr>
              <w:spacing w:after="0"/>
              <w:rPr>
                <w:sz w:val="22"/>
                <w:szCs w:val="22"/>
                <w:color w:val="auto"/>
              </w:rPr>
            </w:pPr>
          </w:p>
        </w:tc>
        <w:tc>
          <w:tcPr>
            <w:tcW w:w="3420" w:type="dxa"/>
            <w:vAlign w:val="bottom"/>
            <w:gridSpan w:val="2"/>
          </w:tcPr>
          <w:p>
            <w:pPr>
              <w:ind w:left="20"/>
              <w:spacing w:after="0"/>
              <w:rPr>
                <w:sz w:val="20"/>
                <w:szCs w:val="20"/>
                <w:color w:val="auto"/>
              </w:rPr>
            </w:pPr>
            <w:r>
              <w:rPr>
                <w:rFonts w:ascii="Arial" w:cs="Arial" w:eastAsia="Arial" w:hAnsi="Arial"/>
                <w:sz w:val="18"/>
                <w:szCs w:val="18"/>
                <w:color w:val="auto"/>
              </w:rPr>
              <w:t>TOTAL ASSETS</w:t>
            </w:r>
          </w:p>
        </w:tc>
        <w:tc>
          <w:tcPr>
            <w:tcW w:w="41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7,558,457</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79" w:lineRule="exact"/>
        <w:rPr>
          <w:sz w:val="20"/>
          <w:szCs w:val="20"/>
          <w:color w:val="auto"/>
        </w:rPr>
      </w:pPr>
    </w:p>
    <w:p>
      <w:pPr>
        <w:jc w:val="center"/>
        <w:ind w:right="-19"/>
        <w:spacing w:after="0"/>
        <w:rPr>
          <w:rFonts w:ascii="Arial" w:cs="Arial" w:eastAsia="Arial" w:hAnsi="Arial"/>
          <w:sz w:val="16"/>
          <w:szCs w:val="16"/>
          <w:color w:val="auto"/>
        </w:rPr>
      </w:pPr>
      <w:r>
        <w:rPr>
          <w:rFonts w:ascii="Arial" w:cs="Arial" w:eastAsia="Arial" w:hAnsi="Arial"/>
          <w:sz w:val="16"/>
          <w:szCs w:val="16"/>
          <w:color w:val="auto"/>
        </w:rPr>
        <w:t xml:space="preserve">The accompanying </w:t>
      </w:r>
      <w:hyperlink w:anchor="page83">
        <w:r>
          <w:rPr>
            <w:rFonts w:ascii="Arial" w:cs="Arial" w:eastAsia="Arial" w:hAnsi="Arial"/>
            <w:sz w:val="16"/>
            <w:szCs w:val="16"/>
            <w:u w:val="single" w:color="auto"/>
            <w:color w:val="0000EE"/>
          </w:rPr>
          <w:t>Notes to the Consolidated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an integral part of these Consolidated Financial Statements.</w:t>
      </w:r>
    </w:p>
    <w:p>
      <w:pPr>
        <w:spacing w:after="0" w:line="200" w:lineRule="exact"/>
        <w:rPr>
          <w:sz w:val="20"/>
          <w:szCs w:val="20"/>
          <w:color w:val="auto"/>
        </w:rPr>
      </w:pPr>
    </w:p>
    <w:p>
      <w:pPr>
        <w:spacing w:after="0" w:line="3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00"/>
          </w:cols>
          <w:pgMar w:left="240" w:top="117" w:right="259" w:bottom="1440" w:gutter="0" w:footer="0" w:header="0"/>
        </w:sectPr>
      </w:pPr>
    </w:p>
    <w:bookmarkStart w:id="79" w:name="page80"/>
    <w:bookmarkEnd w:id="79"/>
    <w:tbl>
      <w:tblPr>
        <w:tblLayout w:type="fixed"/>
        <w:tblInd w:w="0" w:type="dxa"/>
        <w:tblCellMar>
          <w:top w:w="0" w:type="dxa"/>
          <w:left w:w="0" w:type="dxa"/>
          <w:bottom w:w="0" w:type="dxa"/>
          <w:right w:w="0" w:type="dxa"/>
        </w:tblCellMar>
      </w:tblPr>
      <w:tr>
        <w:trPr>
          <w:trHeight w:val="184"/>
        </w:trPr>
        <w:tc>
          <w:tcPr>
            <w:tcW w:w="776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398"/>
        </w:trPr>
        <w:tc>
          <w:tcPr>
            <w:tcW w:w="20" w:type="dxa"/>
            <w:vAlign w:val="bottom"/>
            <w:tcBorders>
              <w:top w:val="single" w:sz="8" w:color="0000EE"/>
            </w:tcBorders>
          </w:tcPr>
          <w:p>
            <w:pPr>
              <w:spacing w:after="0"/>
              <w:rPr>
                <w:sz w:val="24"/>
                <w:szCs w:val="24"/>
                <w:color w:val="auto"/>
              </w:rPr>
            </w:pPr>
          </w:p>
        </w:tc>
        <w:tc>
          <w:tcPr>
            <w:tcW w:w="1200" w:type="dxa"/>
            <w:vAlign w:val="bottom"/>
            <w:tcBorders>
              <w:top w:val="single" w:sz="8" w:color="0000EE"/>
            </w:tcBorders>
          </w:tcPr>
          <w:p>
            <w:pPr>
              <w:spacing w:after="0"/>
              <w:rPr>
                <w:sz w:val="24"/>
                <w:szCs w:val="24"/>
                <w:color w:val="auto"/>
              </w:rPr>
            </w:pPr>
          </w:p>
        </w:tc>
        <w:tc>
          <w:tcPr>
            <w:tcW w:w="6540" w:type="dxa"/>
            <w:vAlign w:val="bottom"/>
          </w:tcPr>
          <w:p>
            <w:pPr>
              <w:jc w:val="center"/>
              <w:ind w:left="2359"/>
              <w:spacing w:after="0"/>
              <w:rPr>
                <w:sz w:val="20"/>
                <w:szCs w:val="20"/>
                <w:color w:val="auto"/>
              </w:rPr>
            </w:pPr>
            <w:r>
              <w:rPr>
                <w:rFonts w:ascii="Arial" w:cs="Arial" w:eastAsia="Arial" w:hAnsi="Arial"/>
                <w:sz w:val="16"/>
                <w:szCs w:val="16"/>
                <w:b w:val="1"/>
                <w:bCs w:val="1"/>
                <w:color w:val="auto"/>
              </w:rPr>
              <w:t>BLACK HILLS CORPORATION</w:t>
            </w:r>
          </w:p>
        </w:tc>
        <w:tc>
          <w:tcPr>
            <w:tcW w:w="2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189"/>
        </w:trPr>
        <w:tc>
          <w:tcPr>
            <w:tcW w:w="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6540" w:type="dxa"/>
            <w:vAlign w:val="bottom"/>
          </w:tcPr>
          <w:p>
            <w:pPr>
              <w:jc w:val="center"/>
              <w:ind w:left="2379"/>
              <w:spacing w:after="0"/>
              <w:rPr>
                <w:sz w:val="20"/>
                <w:szCs w:val="20"/>
                <w:color w:val="auto"/>
              </w:rPr>
            </w:pPr>
            <w:r>
              <w:rPr>
                <w:rFonts w:ascii="Arial" w:cs="Arial" w:eastAsia="Arial" w:hAnsi="Arial"/>
                <w:sz w:val="16"/>
                <w:szCs w:val="16"/>
                <w:b w:val="1"/>
                <w:bCs w:val="1"/>
                <w:color w:val="auto"/>
              </w:rPr>
              <w:t>CONSOLIDATED BALANCE SHEETS</w:t>
            </w:r>
          </w:p>
        </w:tc>
        <w:tc>
          <w:tcPr>
            <w:tcW w:w="2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80" w:type="dxa"/>
            <w:vAlign w:val="bottom"/>
          </w:tcPr>
          <w:p>
            <w:pPr>
              <w:spacing w:after="0"/>
              <w:rPr>
                <w:sz w:val="16"/>
                <w:szCs w:val="16"/>
                <w:color w:val="auto"/>
              </w:rPr>
            </w:pPr>
          </w:p>
        </w:tc>
      </w:tr>
      <w:tr>
        <w:trPr>
          <w:trHeight w:val="210"/>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40" w:type="dxa"/>
            <w:vAlign w:val="bottom"/>
          </w:tcPr>
          <w:p>
            <w:pPr>
              <w:jc w:val="center"/>
              <w:ind w:left="2379"/>
              <w:spacing w:after="0"/>
              <w:rPr>
                <w:sz w:val="20"/>
                <w:szCs w:val="20"/>
                <w:color w:val="auto"/>
              </w:rPr>
            </w:pPr>
            <w:r>
              <w:rPr>
                <w:rFonts w:ascii="Arial" w:cs="Arial" w:eastAsia="Arial" w:hAnsi="Arial"/>
                <w:sz w:val="16"/>
                <w:szCs w:val="16"/>
                <w:b w:val="1"/>
                <w:bCs w:val="1"/>
                <w:color w:val="auto"/>
                <w:w w:val="93"/>
              </w:rPr>
              <w:t>(Continued)</w:t>
            </w:r>
          </w:p>
        </w:tc>
        <w:tc>
          <w:tcPr>
            <w:tcW w:w="2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spacing w:after="0"/>
              <w:rPr>
                <w:sz w:val="18"/>
                <w:szCs w:val="18"/>
                <w:color w:val="auto"/>
              </w:rPr>
            </w:pPr>
          </w:p>
        </w:tc>
      </w:tr>
      <w:tr>
        <w:trPr>
          <w:trHeight w:val="365"/>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60" w:type="dxa"/>
            <w:vAlign w:val="bottom"/>
            <w:gridSpan w:val="2"/>
          </w:tcPr>
          <w:p>
            <w:pPr>
              <w:jc w:val="right"/>
              <w:spacing w:after="0"/>
              <w:rPr>
                <w:sz w:val="20"/>
                <w:szCs w:val="20"/>
                <w:color w:val="auto"/>
              </w:rPr>
            </w:pPr>
            <w:r>
              <w:rPr>
                <w:rFonts w:ascii="Arial" w:cs="Arial" w:eastAsia="Arial" w:hAnsi="Arial"/>
                <w:sz w:val="16"/>
                <w:szCs w:val="16"/>
                <w:color w:val="auto"/>
              </w:rPr>
              <w:t>As of</w:t>
            </w:r>
          </w:p>
        </w:tc>
        <w:tc>
          <w:tcPr>
            <w:tcW w:w="158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620" w:type="dxa"/>
            <w:vAlign w:val="bottom"/>
          </w:tcPr>
          <w:p>
            <w:pPr>
              <w:jc w:val="right"/>
              <w:ind w:right="191"/>
              <w:spacing w:after="0"/>
              <w:rPr>
                <w:sz w:val="20"/>
                <w:szCs w:val="20"/>
                <w:color w:val="auto"/>
              </w:rPr>
            </w:pPr>
            <w:r>
              <w:rPr>
                <w:rFonts w:ascii="Arial" w:cs="Arial" w:eastAsia="Arial" w:hAnsi="Arial"/>
                <w:sz w:val="16"/>
                <w:szCs w:val="16"/>
                <w:color w:val="auto"/>
                <w:w w:val="93"/>
              </w:rPr>
              <w:t>December 31, 2019</w:t>
            </w:r>
          </w:p>
        </w:tc>
        <w:tc>
          <w:tcPr>
            <w:tcW w:w="240" w:type="dxa"/>
            <w:vAlign w:val="bottom"/>
          </w:tcPr>
          <w:p>
            <w:pPr>
              <w:spacing w:after="0"/>
              <w:rPr>
                <w:sz w:val="23"/>
                <w:szCs w:val="23"/>
                <w:color w:val="auto"/>
              </w:rPr>
            </w:pPr>
          </w:p>
        </w:tc>
        <w:tc>
          <w:tcPr>
            <w:tcW w:w="1580" w:type="dxa"/>
            <w:vAlign w:val="bottom"/>
          </w:tcPr>
          <w:p>
            <w:pPr>
              <w:jc w:val="right"/>
              <w:ind w:right="170"/>
              <w:spacing w:after="0"/>
              <w:rPr>
                <w:sz w:val="20"/>
                <w:szCs w:val="20"/>
                <w:color w:val="auto"/>
              </w:rPr>
            </w:pPr>
            <w:r>
              <w:rPr>
                <w:rFonts w:ascii="Arial" w:cs="Arial" w:eastAsia="Arial" w:hAnsi="Arial"/>
                <w:sz w:val="16"/>
                <w:szCs w:val="16"/>
                <w:color w:val="auto"/>
                <w:w w:val="92"/>
              </w:rPr>
              <w:t>December 31, 2018</w:t>
            </w: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40" w:type="dxa"/>
            <w:vAlign w:val="bottom"/>
            <w:tcBorders>
              <w:bottom w:val="single" w:sz="8" w:color="auto"/>
            </w:tcBorders>
            <w:gridSpan w:val="3"/>
          </w:tcPr>
          <w:p>
            <w:pPr>
              <w:spacing w:after="0"/>
              <w:rPr>
                <w:sz w:val="2"/>
                <w:szCs w:val="2"/>
                <w:color w:val="auto"/>
              </w:rPr>
            </w:pPr>
          </w:p>
        </w:tc>
      </w:tr>
      <w:tr>
        <w:trPr>
          <w:trHeight w:val="217"/>
        </w:trPr>
        <w:tc>
          <w:tcPr>
            <w:tcW w:w="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6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40" w:type="dxa"/>
            <w:vAlign w:val="bottom"/>
            <w:gridSpan w:val="3"/>
          </w:tcPr>
          <w:p>
            <w:pPr>
              <w:jc w:val="right"/>
              <w:ind w:right="510"/>
              <w:spacing w:after="0"/>
              <w:rPr>
                <w:sz w:val="20"/>
                <w:szCs w:val="20"/>
                <w:color w:val="auto"/>
              </w:rPr>
            </w:pPr>
            <w:r>
              <w:rPr>
                <w:rFonts w:ascii="Arial" w:cs="Arial" w:eastAsia="Arial" w:hAnsi="Arial"/>
                <w:sz w:val="16"/>
                <w:szCs w:val="16"/>
                <w:color w:val="auto"/>
              </w:rPr>
              <w:t>(in thousands, except share amounts)</w:t>
            </w:r>
          </w:p>
        </w:tc>
      </w:tr>
      <w:tr>
        <w:trPr>
          <w:trHeight w:val="270"/>
        </w:trPr>
        <w:tc>
          <w:tcPr>
            <w:tcW w:w="2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6540" w:type="dxa"/>
            <w:vAlign w:val="bottom"/>
          </w:tcPr>
          <w:p>
            <w:pPr>
              <w:ind w:left="1640"/>
              <w:spacing w:after="0"/>
              <w:rPr>
                <w:sz w:val="20"/>
                <w:szCs w:val="20"/>
                <w:color w:val="auto"/>
              </w:rPr>
            </w:pPr>
            <w:r>
              <w:rPr>
                <w:rFonts w:ascii="Arial" w:cs="Arial" w:eastAsia="Arial" w:hAnsi="Arial"/>
                <w:sz w:val="16"/>
                <w:szCs w:val="16"/>
                <w:b w:val="1"/>
                <w:bCs w:val="1"/>
                <w:color w:val="auto"/>
              </w:rPr>
              <w:t>LIABILITIES AND EQUITY</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270"/>
        </w:trPr>
        <w:tc>
          <w:tcPr>
            <w:tcW w:w="20" w:type="dxa"/>
            <w:vAlign w:val="bottom"/>
          </w:tcPr>
          <w:p>
            <w:pPr>
              <w:spacing w:after="0"/>
              <w:rPr>
                <w:sz w:val="23"/>
                <w:szCs w:val="23"/>
                <w:color w:val="auto"/>
              </w:rPr>
            </w:pPr>
          </w:p>
        </w:tc>
        <w:tc>
          <w:tcPr>
            <w:tcW w:w="7740" w:type="dxa"/>
            <w:vAlign w:val="bottom"/>
            <w:gridSpan w:val="2"/>
          </w:tcPr>
          <w:p>
            <w:pPr>
              <w:ind w:left="20"/>
              <w:spacing w:after="0"/>
              <w:rPr>
                <w:sz w:val="20"/>
                <w:szCs w:val="20"/>
                <w:color w:val="auto"/>
              </w:rPr>
            </w:pPr>
            <w:r>
              <w:rPr>
                <w:rFonts w:ascii="Arial" w:cs="Arial" w:eastAsia="Arial" w:hAnsi="Arial"/>
                <w:sz w:val="16"/>
                <w:szCs w:val="16"/>
                <w:color w:val="auto"/>
              </w:rPr>
              <w:t>Current liabilities:</w:t>
            </w:r>
          </w:p>
        </w:tc>
        <w:tc>
          <w:tcPr>
            <w:tcW w:w="200" w:type="dxa"/>
            <w:vAlign w:val="bottom"/>
          </w:tcPr>
          <w:p>
            <w:pPr>
              <w:spacing w:after="0"/>
              <w:rPr>
                <w:sz w:val="23"/>
                <w:szCs w:val="23"/>
                <w:color w:val="auto"/>
              </w:rPr>
            </w:pPr>
          </w:p>
        </w:tc>
        <w:tc>
          <w:tcPr>
            <w:tcW w:w="16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80" w:type="dxa"/>
            <w:vAlign w:val="bottom"/>
          </w:tcPr>
          <w:p>
            <w:pPr>
              <w:spacing w:after="0"/>
              <w:rPr>
                <w:sz w:val="23"/>
                <w:szCs w:val="23"/>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Accounts payable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193,523</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210,609</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Accrued liabilities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226,767</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215,501</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Derivative liabilities, current</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2,254</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947</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Regulatory liabilities, current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33,507</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29,810</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Notes payable</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349,500</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Current maturities of long-term debt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5,743</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5,743</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6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4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current liabilities</w:t>
            </w:r>
          </w:p>
        </w:tc>
        <w:tc>
          <w:tcPr>
            <w:tcW w:w="20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811,294</w:t>
            </w:r>
          </w:p>
        </w:tc>
        <w:tc>
          <w:tcPr>
            <w:tcW w:w="2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648,230</w:t>
            </w:r>
          </w:p>
        </w:tc>
      </w:tr>
      <w:tr>
        <w:trPr>
          <w:trHeight w:val="29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77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Long-term debt, net of current maturities</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3,140,096</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2,950,835</w:t>
            </w:r>
          </w:p>
        </w:tc>
      </w:tr>
      <w:tr>
        <w:trPr>
          <w:trHeight w:val="29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Deferred credits and other liabilities:</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Deferred income tax liabilities, net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360,719</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311,331</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Regulatory liabilities, non-current</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503,145</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510,984</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Benefit plan liabilities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154,472</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145,147</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20" w:type="dxa"/>
            <w:vAlign w:val="bottom"/>
          </w:tcPr>
          <w:p>
            <w:pPr>
              <w:spacing w:after="0"/>
              <w:rPr>
                <w:sz w:val="23"/>
                <w:szCs w:val="23"/>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Other deferred credits and other liabilities</w:t>
            </w:r>
          </w:p>
        </w:tc>
        <w:tc>
          <w:tcPr>
            <w:tcW w:w="20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124,662</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109,377</w:t>
            </w:r>
          </w:p>
        </w:tc>
      </w:tr>
      <w:tr>
        <w:trPr>
          <w:trHeight w:val="237"/>
        </w:trPr>
        <w:tc>
          <w:tcPr>
            <w:tcW w:w="20" w:type="dxa"/>
            <w:vAlign w:val="bottom"/>
          </w:tcPr>
          <w:p>
            <w:pPr>
              <w:spacing w:after="0"/>
              <w:rPr>
                <w:sz w:val="20"/>
                <w:szCs w:val="20"/>
                <w:color w:val="auto"/>
              </w:rPr>
            </w:pPr>
          </w:p>
        </w:tc>
        <w:tc>
          <w:tcPr>
            <w:tcW w:w="7740" w:type="dxa"/>
            <w:vAlign w:val="bottom"/>
            <w:gridSpan w:val="2"/>
          </w:tcPr>
          <w:p>
            <w:pPr>
              <w:ind w:left="480"/>
              <w:spacing w:after="0"/>
              <w:rPr>
                <w:sz w:val="20"/>
                <w:szCs w:val="20"/>
                <w:color w:val="auto"/>
              </w:rPr>
            </w:pPr>
            <w:r>
              <w:rPr>
                <w:rFonts w:ascii="Arial" w:cs="Arial" w:eastAsia="Arial" w:hAnsi="Arial"/>
                <w:sz w:val="16"/>
                <w:szCs w:val="16"/>
                <w:color w:val="auto"/>
              </w:rPr>
              <w:t>Total deferred credits and other liabilities</w:t>
            </w:r>
          </w:p>
        </w:tc>
        <w:tc>
          <w:tcPr>
            <w:tcW w:w="200" w:type="dxa"/>
            <w:vAlign w:val="bottom"/>
            <w:tcBorders>
              <w:top w:val="single" w:sz="8" w:color="auto"/>
            </w:tcBorders>
          </w:tcPr>
          <w:p>
            <w:pPr>
              <w:spacing w:after="0"/>
              <w:rPr>
                <w:sz w:val="20"/>
                <w:szCs w:val="20"/>
                <w:color w:val="auto"/>
              </w:rPr>
            </w:pPr>
          </w:p>
        </w:tc>
        <w:tc>
          <w:tcPr>
            <w:tcW w:w="16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1,142,998</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1,076,839</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6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91"/>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65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6"/>
                <w:szCs w:val="16"/>
                <w:color w:val="auto"/>
              </w:rPr>
              <w:t>Commitments and contingencies (See Notes 6, 7, 8, 9, 14, 18, 19, and 20)</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97"/>
        </w:trPr>
        <w:tc>
          <w:tcPr>
            <w:tcW w:w="20" w:type="dxa"/>
            <w:vAlign w:val="bottom"/>
          </w:tcPr>
          <w:p>
            <w:pPr>
              <w:spacing w:after="0"/>
              <w:rPr>
                <w:sz w:val="24"/>
                <w:szCs w:val="24"/>
                <w:color w:val="auto"/>
              </w:rPr>
            </w:pPr>
          </w:p>
        </w:tc>
        <w:tc>
          <w:tcPr>
            <w:tcW w:w="1200" w:type="dxa"/>
            <w:vAlign w:val="bottom"/>
            <w:shd w:val="clear" w:color="auto" w:fill="CEFFE7"/>
          </w:tcPr>
          <w:p>
            <w:pPr>
              <w:spacing w:after="0"/>
              <w:rPr>
                <w:sz w:val="24"/>
                <w:szCs w:val="24"/>
                <w:color w:val="auto"/>
              </w:rPr>
            </w:pPr>
          </w:p>
        </w:tc>
        <w:tc>
          <w:tcPr>
            <w:tcW w:w="654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162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1580" w:type="dxa"/>
            <w:vAlign w:val="bottom"/>
            <w:shd w:val="clear" w:color="auto" w:fill="CEFFE7"/>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7740" w:type="dxa"/>
            <w:vAlign w:val="bottom"/>
            <w:gridSpan w:val="2"/>
          </w:tcPr>
          <w:p>
            <w:pPr>
              <w:ind w:left="20"/>
              <w:spacing w:after="0"/>
              <w:rPr>
                <w:sz w:val="20"/>
                <w:szCs w:val="20"/>
                <w:color w:val="auto"/>
              </w:rPr>
            </w:pPr>
            <w:r>
              <w:rPr>
                <w:rFonts w:ascii="Arial" w:cs="Arial" w:eastAsia="Arial" w:hAnsi="Arial"/>
                <w:sz w:val="16"/>
                <w:szCs w:val="16"/>
                <w:color w:val="auto"/>
              </w:rPr>
              <w:t>Equity:</w:t>
            </w:r>
          </w:p>
        </w:tc>
        <w:tc>
          <w:tcPr>
            <w:tcW w:w="2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33"/>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Stockholders’ equity -</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w w:val="96"/>
              </w:rPr>
              <w:t>Common stock $1 par value; 100,000,000 shares authorized; issued: 61,480,658 and 60,048,567, respectively</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61,481</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60,049</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Additional paid-in capital</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1,552,788</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1,450,569</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Retained earnings</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778,776</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700,396</w:t>
            </w: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6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Treasury stock at cost - 3,956 and 44,253, respectively</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(267)</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(2,510)</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160"/>
              <w:spacing w:after="0"/>
              <w:rPr>
                <w:sz w:val="20"/>
                <w:szCs w:val="20"/>
                <w:color w:val="auto"/>
              </w:rPr>
            </w:pPr>
            <w:r>
              <w:rPr>
                <w:rFonts w:ascii="Arial" w:cs="Arial" w:eastAsia="Arial" w:hAnsi="Arial"/>
                <w:sz w:val="16"/>
                <w:szCs w:val="16"/>
                <w:color w:val="auto"/>
              </w:rPr>
              <w:t>Accumulated other comprehensive income (loss)</w:t>
            </w:r>
          </w:p>
        </w:tc>
        <w:tc>
          <w:tcPr>
            <w:tcW w:w="20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(30,655)</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(26,916)</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6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774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stockholders’ equity</w:t>
            </w:r>
          </w:p>
        </w:tc>
        <w:tc>
          <w:tcPr>
            <w:tcW w:w="20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2,362,123</w:t>
            </w:r>
          </w:p>
        </w:tc>
        <w:tc>
          <w:tcPr>
            <w:tcW w:w="2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2,181,588</w:t>
            </w:r>
          </w:p>
        </w:tc>
      </w:tr>
      <w:tr>
        <w:trPr>
          <w:trHeight w:val="243"/>
        </w:trPr>
        <w:tc>
          <w:tcPr>
            <w:tcW w:w="20" w:type="dxa"/>
            <w:vAlign w:val="bottom"/>
          </w:tcPr>
          <w:p>
            <w:pPr>
              <w:spacing w:after="0"/>
              <w:rPr>
                <w:sz w:val="21"/>
                <w:szCs w:val="21"/>
                <w:color w:val="auto"/>
              </w:rPr>
            </w:pPr>
          </w:p>
        </w:tc>
        <w:tc>
          <w:tcPr>
            <w:tcW w:w="7740" w:type="dxa"/>
            <w:vAlign w:val="bottom"/>
            <w:gridSpan w:val="2"/>
          </w:tcPr>
          <w:p>
            <w:pPr>
              <w:ind w:left="20"/>
              <w:spacing w:after="0"/>
              <w:rPr>
                <w:sz w:val="20"/>
                <w:szCs w:val="20"/>
                <w:color w:val="auto"/>
              </w:rPr>
            </w:pPr>
            <w:r>
              <w:rPr>
                <w:rFonts w:ascii="Arial" w:cs="Arial" w:eastAsia="Arial" w:hAnsi="Arial"/>
                <w:sz w:val="16"/>
                <w:szCs w:val="16"/>
                <w:color w:val="auto"/>
              </w:rPr>
              <w:t>Noncontrolling interest</w:t>
            </w:r>
          </w:p>
        </w:tc>
        <w:tc>
          <w:tcPr>
            <w:tcW w:w="200" w:type="dxa"/>
            <w:vAlign w:val="bottom"/>
          </w:tcPr>
          <w:p>
            <w:pPr>
              <w:spacing w:after="0"/>
              <w:rPr>
                <w:sz w:val="21"/>
                <w:szCs w:val="21"/>
                <w:color w:val="auto"/>
              </w:rPr>
            </w:pPr>
          </w:p>
        </w:tc>
        <w:tc>
          <w:tcPr>
            <w:tcW w:w="1620" w:type="dxa"/>
            <w:vAlign w:val="bottom"/>
          </w:tcPr>
          <w:p>
            <w:pPr>
              <w:jc w:val="right"/>
              <w:ind w:right="11"/>
              <w:spacing w:after="0"/>
              <w:rPr>
                <w:sz w:val="20"/>
                <w:szCs w:val="20"/>
                <w:color w:val="auto"/>
              </w:rPr>
            </w:pPr>
            <w:r>
              <w:rPr>
                <w:rFonts w:ascii="Arial" w:cs="Arial" w:eastAsia="Arial" w:hAnsi="Arial"/>
                <w:sz w:val="18"/>
                <w:szCs w:val="18"/>
                <w:color w:val="auto"/>
              </w:rPr>
              <w:t>101,946</w:t>
            </w:r>
          </w:p>
        </w:tc>
        <w:tc>
          <w:tcPr>
            <w:tcW w:w="2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105,835</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65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20" w:type="dxa"/>
            <w:vAlign w:val="bottom"/>
          </w:tcPr>
          <w:p>
            <w:pPr>
              <w:spacing w:after="0"/>
              <w:rPr>
                <w:sz w:val="22"/>
                <w:szCs w:val="22"/>
                <w:color w:val="auto"/>
              </w:rPr>
            </w:pPr>
          </w:p>
        </w:tc>
        <w:tc>
          <w:tcPr>
            <w:tcW w:w="7740" w:type="dxa"/>
            <w:vAlign w:val="bottom"/>
            <w:tcBorders>
              <w:bottom w:val="single" w:sz="8" w:color="CEFFE7"/>
            </w:tcBorders>
            <w:gridSpan w:val="2"/>
            <w:shd w:val="clear" w:color="auto" w:fill="CEFFE7"/>
          </w:tcPr>
          <w:p>
            <w:pPr>
              <w:ind w:left="480"/>
              <w:spacing w:after="0"/>
              <w:rPr>
                <w:sz w:val="20"/>
                <w:szCs w:val="20"/>
                <w:color w:val="auto"/>
              </w:rPr>
            </w:pPr>
            <w:r>
              <w:rPr>
                <w:rFonts w:ascii="Arial" w:cs="Arial" w:eastAsia="Arial" w:hAnsi="Arial"/>
                <w:sz w:val="16"/>
                <w:szCs w:val="16"/>
                <w:color w:val="auto"/>
              </w:rPr>
              <w:t>Total equity</w:t>
            </w:r>
          </w:p>
        </w:tc>
        <w:tc>
          <w:tcPr>
            <w:tcW w:w="200" w:type="dxa"/>
            <w:vAlign w:val="bottom"/>
            <w:tcBorders>
              <w:bottom w:val="single" w:sz="8" w:color="CEFFE7"/>
            </w:tcBorders>
            <w:shd w:val="clear" w:color="auto" w:fill="CEFFE7"/>
          </w:tcPr>
          <w:p>
            <w:pPr>
              <w:spacing w:after="0"/>
              <w:rPr>
                <w:sz w:val="22"/>
                <w:szCs w:val="22"/>
                <w:color w:val="auto"/>
              </w:rPr>
            </w:pPr>
          </w:p>
        </w:tc>
        <w:tc>
          <w:tcPr>
            <w:tcW w:w="1620" w:type="dxa"/>
            <w:vAlign w:val="bottom"/>
            <w:tcBorders>
              <w:bottom w:val="single" w:sz="8" w:color="CEFFE7"/>
            </w:tcBorders>
            <w:shd w:val="clear" w:color="auto" w:fill="CEFFE7"/>
          </w:tcPr>
          <w:p>
            <w:pPr>
              <w:jc w:val="right"/>
              <w:ind w:right="11"/>
              <w:spacing w:after="0"/>
              <w:rPr>
                <w:sz w:val="20"/>
                <w:szCs w:val="20"/>
                <w:color w:val="auto"/>
              </w:rPr>
            </w:pPr>
            <w:r>
              <w:rPr>
                <w:rFonts w:ascii="Arial" w:cs="Arial" w:eastAsia="Arial" w:hAnsi="Arial"/>
                <w:sz w:val="18"/>
                <w:szCs w:val="18"/>
                <w:color w:val="auto"/>
              </w:rPr>
              <w:t>2,464,069</w:t>
            </w:r>
          </w:p>
        </w:tc>
        <w:tc>
          <w:tcPr>
            <w:tcW w:w="240" w:type="dxa"/>
            <w:vAlign w:val="bottom"/>
            <w:tcBorders>
              <w:bottom w:val="single" w:sz="8" w:color="CEFFE7"/>
            </w:tcBorders>
            <w:shd w:val="clear" w:color="auto" w:fill="CEFFE7"/>
          </w:tcPr>
          <w:p>
            <w:pPr>
              <w:spacing w:after="0"/>
              <w:rPr>
                <w:sz w:val="22"/>
                <w:szCs w:val="22"/>
                <w:color w:val="auto"/>
              </w:rPr>
            </w:pPr>
          </w:p>
        </w:tc>
        <w:tc>
          <w:tcPr>
            <w:tcW w:w="15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2,287,423</w:t>
            </w:r>
          </w:p>
        </w:tc>
      </w:tr>
      <w:tr>
        <w:trPr>
          <w:trHeight w:val="291"/>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54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6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580" w:type="dxa"/>
            <w:vAlign w:val="bottom"/>
            <w:tcBorders>
              <w:top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77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LIABILITIES AND TOTAL EQUITY</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shd w:val="clear" w:color="auto" w:fill="CEFFE7"/>
          </w:tcPr>
          <w:p>
            <w:pPr>
              <w:jc w:val="right"/>
              <w:ind w:right="11"/>
              <w:spacing w:after="0"/>
              <w:rPr>
                <w:sz w:val="20"/>
                <w:szCs w:val="20"/>
                <w:color w:val="auto"/>
              </w:rPr>
            </w:pPr>
            <w:r>
              <w:rPr>
                <w:rFonts w:ascii="Arial" w:cs="Arial" w:eastAsia="Arial" w:hAnsi="Arial"/>
                <w:sz w:val="18"/>
                <w:szCs w:val="18"/>
                <w:color w:val="auto"/>
              </w:rPr>
              <w:t>7,558,457</w:t>
            </w:r>
          </w:p>
        </w:tc>
        <w:tc>
          <w:tcPr>
            <w:tcW w:w="2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6,963,327</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2" w:lineRule="exact"/>
        <w:rPr>
          <w:sz w:val="20"/>
          <w:szCs w:val="20"/>
          <w:color w:val="auto"/>
        </w:rPr>
      </w:pPr>
    </w:p>
    <w:p>
      <w:pPr>
        <w:jc w:val="center"/>
        <w:ind w:right="-19"/>
        <w:spacing w:after="0"/>
        <w:rPr>
          <w:rFonts w:ascii="Arial" w:cs="Arial" w:eastAsia="Arial" w:hAnsi="Arial"/>
          <w:sz w:val="16"/>
          <w:szCs w:val="16"/>
          <w:color w:val="auto"/>
        </w:rPr>
      </w:pPr>
      <w:r>
        <w:rPr>
          <w:rFonts w:ascii="Arial" w:cs="Arial" w:eastAsia="Arial" w:hAnsi="Arial"/>
          <w:sz w:val="16"/>
          <w:szCs w:val="16"/>
          <w:color w:val="auto"/>
        </w:rPr>
        <w:t xml:space="preserve">The accompanying </w:t>
      </w:r>
      <w:hyperlink w:anchor="page83">
        <w:r>
          <w:rPr>
            <w:rFonts w:ascii="Arial" w:cs="Arial" w:eastAsia="Arial" w:hAnsi="Arial"/>
            <w:sz w:val="16"/>
            <w:szCs w:val="16"/>
            <w:u w:val="single" w:color="auto"/>
            <w:color w:val="0000EE"/>
          </w:rPr>
          <w:t>Notes to the Consolidated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an integral part of these Consolidated Financial Statements.</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00"/>
          </w:cols>
          <w:pgMar w:left="240" w:top="118" w:right="259" w:bottom="1440" w:gutter="0" w:footer="0" w:header="0"/>
        </w:sectPr>
      </w:pPr>
    </w:p>
    <w:bookmarkStart w:id="80" w:name="page81"/>
    <w:bookmarkEnd w:id="8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STATEMENTS OF CASH FLOWS</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8"/>
        </w:trPr>
        <w:tc>
          <w:tcPr>
            <w:tcW w:w="6600" w:type="dxa"/>
            <w:vAlign w:val="bottom"/>
          </w:tcPr>
          <w:p>
            <w:pPr>
              <w:ind w:left="20"/>
              <w:spacing w:after="0"/>
              <w:rPr>
                <w:sz w:val="20"/>
                <w:szCs w:val="20"/>
                <w:color w:val="auto"/>
              </w:rPr>
            </w:pPr>
            <w:r>
              <w:rPr>
                <w:rFonts w:ascii="Arial" w:cs="Arial" w:eastAsia="Arial" w:hAnsi="Arial"/>
                <w:sz w:val="14"/>
                <w:szCs w:val="14"/>
                <w:color w:val="auto"/>
              </w:rPr>
              <w:t>Year ended</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2019</w:t>
            </w:r>
          </w:p>
        </w:tc>
        <w:tc>
          <w:tcPr>
            <w:tcW w:w="1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w w:val="95"/>
              </w:rPr>
              <w:t>December 31, 2018</w:t>
            </w: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w w:val="95"/>
              </w:rPr>
              <w:t>December 31, 2017</w:t>
            </w:r>
          </w:p>
        </w:tc>
      </w:tr>
      <w:tr>
        <w:trPr>
          <w:trHeight w:val="250"/>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jc w:val="right"/>
              <w:ind w:right="288"/>
              <w:spacing w:after="0"/>
              <w:rPr>
                <w:sz w:val="20"/>
                <w:szCs w:val="20"/>
                <w:color w:val="auto"/>
              </w:rPr>
            </w:pPr>
            <w:r>
              <w:rPr>
                <w:rFonts w:ascii="Arial" w:cs="Arial" w:eastAsia="Arial" w:hAnsi="Arial"/>
                <w:sz w:val="14"/>
                <w:szCs w:val="14"/>
                <w:color w:val="auto"/>
              </w:rPr>
              <w:t>(in thousands)</w:t>
            </w: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Net income</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213,322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272,662</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191,276</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Loss from discontinued operations, net of tax</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6,887</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17,099</w:t>
            </w:r>
          </w:p>
        </w:tc>
      </w:tr>
      <w:tr>
        <w:trPr>
          <w:trHeight w:val="210"/>
        </w:trPr>
        <w:tc>
          <w:tcPr>
            <w:tcW w:w="6600" w:type="dxa"/>
            <w:vAlign w:val="bottom"/>
          </w:tcPr>
          <w:p>
            <w:pPr>
              <w:ind w:left="20"/>
              <w:spacing w:after="0"/>
              <w:rPr>
                <w:sz w:val="20"/>
                <w:szCs w:val="20"/>
                <w:color w:val="auto"/>
              </w:rPr>
            </w:pPr>
            <w:r>
              <w:rPr>
                <w:rFonts w:ascii="Arial" w:cs="Arial" w:eastAsia="Arial" w:hAnsi="Arial"/>
                <w:sz w:val="14"/>
                <w:szCs w:val="14"/>
                <w:color w:val="auto"/>
              </w:rPr>
              <w:t>Income from continuing operations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213,322</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279,549</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208,375</w:t>
            </w:r>
          </w:p>
        </w:tc>
      </w:tr>
      <w:tr>
        <w:trPr>
          <w:trHeight w:val="276"/>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209,120</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196,328</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188,246</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Deferred financing cost amortization</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7,838</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7,845</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8,261</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Impairment of investment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19,741</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Stock compensation</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12,095</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12,390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7,626</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Deferred income taxes</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38,020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(24,239)</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80,992</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Employee benefit plans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12,406</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14,068</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10,141</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Other adjustments, net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16,485</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5,836</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(4,773)</w:t>
            </w:r>
          </w:p>
        </w:tc>
      </w:tr>
      <w:tr>
        <w:trPr>
          <w:trHeight w:val="276"/>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Change in certain operating assets and liabilities:</w:t>
            </w: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0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Materials, supplies and fuel</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2,052</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(2,919)</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(10,089)</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Accounts receivable and other current assets</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7,578</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(45,966)</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4,534</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Accounts payable and other current liabilities</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(34,906)</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5,305</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(28,222)</w:t>
            </w:r>
          </w:p>
        </w:tc>
      </w:tr>
      <w:tr>
        <w:trPr>
          <w:trHeight w:val="222"/>
        </w:trPr>
        <w:tc>
          <w:tcPr>
            <w:tcW w:w="6600" w:type="dxa"/>
            <w:vAlign w:val="bottom"/>
            <w:shd w:val="clear" w:color="auto" w:fill="CEFFE7"/>
          </w:tcPr>
          <w:p>
            <w:pPr>
              <w:ind w:left="280"/>
              <w:spacing w:after="0"/>
              <w:rPr>
                <w:sz w:val="20"/>
                <w:szCs w:val="20"/>
                <w:color w:val="auto"/>
              </w:rPr>
            </w:pPr>
            <w:r>
              <w:rPr>
                <w:rFonts w:ascii="Arial" w:cs="Arial" w:eastAsia="Arial" w:hAnsi="Arial"/>
                <w:sz w:val="14"/>
                <w:szCs w:val="14"/>
                <w:color w:val="auto"/>
              </w:rPr>
              <w:t>Regulatory assets - current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23,619</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33,608</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(15,407)</w:t>
            </w:r>
          </w:p>
        </w:tc>
      </w:tr>
      <w:tr>
        <w:trPr>
          <w:trHeight w:val="210"/>
        </w:trPr>
        <w:tc>
          <w:tcPr>
            <w:tcW w:w="6600" w:type="dxa"/>
            <w:vAlign w:val="bottom"/>
          </w:tcPr>
          <w:p>
            <w:pPr>
              <w:ind w:left="280"/>
              <w:spacing w:after="0"/>
              <w:rPr>
                <w:sz w:val="20"/>
                <w:szCs w:val="20"/>
                <w:color w:val="auto"/>
              </w:rPr>
            </w:pPr>
            <w:r>
              <w:rPr>
                <w:rFonts w:ascii="Arial" w:cs="Arial" w:eastAsia="Arial" w:hAnsi="Arial"/>
                <w:sz w:val="14"/>
                <w:szCs w:val="14"/>
                <w:color w:val="auto"/>
              </w:rPr>
              <w:t>Regulatory liabilities - current</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(15,158)</w:t>
            </w:r>
          </w:p>
        </w:tc>
        <w:tc>
          <w:tcPr>
            <w:tcW w:w="180" w:type="dxa"/>
            <w:vAlign w:val="bottom"/>
          </w:tcPr>
          <w:p>
            <w:pPr>
              <w:spacing w:after="0"/>
              <w:rPr>
                <w:sz w:val="18"/>
                <w:szCs w:val="18"/>
                <w:color w:val="auto"/>
              </w:rPr>
            </w:pPr>
          </w:p>
        </w:tc>
        <w:tc>
          <w:tcPr>
            <w:tcW w:w="1400" w:type="dxa"/>
            <w:vAlign w:val="bottom"/>
          </w:tcPr>
          <w:p>
            <w:pPr>
              <w:jc w:val="right"/>
              <w:ind w:right="8"/>
              <w:spacing w:after="0"/>
              <w:rPr>
                <w:sz w:val="20"/>
                <w:szCs w:val="20"/>
                <w:color w:val="auto"/>
              </w:rPr>
            </w:pPr>
            <w:r>
              <w:rPr>
                <w:rFonts w:ascii="Arial" w:cs="Arial" w:eastAsia="Arial" w:hAnsi="Arial"/>
                <w:sz w:val="14"/>
                <w:szCs w:val="14"/>
                <w:color w:val="auto"/>
              </w:rPr>
              <w:t>18,533</w:t>
            </w:r>
          </w:p>
        </w:tc>
        <w:tc>
          <w:tcPr>
            <w:tcW w:w="18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(4,536)</w:t>
            </w:r>
          </w:p>
        </w:tc>
      </w:tr>
      <w:tr>
        <w:trPr>
          <w:trHeight w:val="209"/>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Contributions to defined benefit pension plans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(12,700)</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(12,700)</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(27,700)</w:t>
            </w:r>
          </w:p>
        </w:tc>
      </w:tr>
      <w:tr>
        <w:trPr>
          <w:trHeight w:val="210"/>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operating activities, net</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6,001</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6,689</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(8,418)</w:t>
            </w:r>
          </w:p>
        </w:tc>
      </w:tr>
      <w:tr>
        <w:trPr>
          <w:trHeight w:val="21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 of continuing operations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505,513</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494,327</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409,030</w:t>
            </w:r>
          </w:p>
        </w:tc>
      </w:tr>
      <w:tr>
        <w:trPr>
          <w:trHeight w:val="210"/>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(used in) operating activities of discontinued operations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(5,516)</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19,231</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505,513</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488,811</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428,261</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Investing activities:</w:t>
            </w: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Property, plant and equipment additions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(818,376)</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(457,524)</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(326,010)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Purchase of investment</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(24,429)</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210"/>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investing activities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2,166</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(4,281)</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1,011</w:t>
            </w:r>
          </w:p>
        </w:tc>
      </w:tr>
      <w:tr>
        <w:trPr>
          <w:trHeight w:val="202"/>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 of continuing operations</w:t>
            </w:r>
          </w:p>
        </w:tc>
        <w:tc>
          <w:tcPr>
            <w:tcW w:w="180" w:type="dxa"/>
            <w:vAlign w:val="bottom"/>
            <w:shd w:val="clear" w:color="auto" w:fill="CEFFE7"/>
          </w:tcPr>
          <w:p>
            <w:pPr>
              <w:spacing w:after="0"/>
              <w:rPr>
                <w:sz w:val="17"/>
                <w:szCs w:val="17"/>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(816,210)</w:t>
            </w:r>
          </w:p>
        </w:tc>
        <w:tc>
          <w:tcPr>
            <w:tcW w:w="180" w:type="dxa"/>
            <w:vAlign w:val="bottom"/>
            <w:shd w:val="clear" w:color="auto" w:fill="CEFFE7"/>
          </w:tcPr>
          <w:p>
            <w:pPr>
              <w:spacing w:after="0"/>
              <w:rPr>
                <w:sz w:val="17"/>
                <w:szCs w:val="17"/>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(486,234)</w:t>
            </w:r>
          </w:p>
        </w:tc>
        <w:tc>
          <w:tcPr>
            <w:tcW w:w="180" w:type="dxa"/>
            <w:vAlign w:val="bottom"/>
            <w:shd w:val="clear" w:color="auto" w:fill="CEFFE7"/>
          </w:tcPr>
          <w:p>
            <w:pPr>
              <w:spacing w:after="0"/>
              <w:rPr>
                <w:sz w:val="17"/>
                <w:szCs w:val="17"/>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(324,999)</w:t>
            </w:r>
          </w:p>
        </w:tc>
      </w:tr>
      <w:tr>
        <w:trPr>
          <w:trHeight w:val="210"/>
        </w:trPr>
        <w:tc>
          <w:tcPr>
            <w:tcW w:w="6600" w:type="dxa"/>
            <w:vAlign w:val="bottom"/>
            <w:tcBorders>
              <w:bottom w:val="single" w:sz="8" w:color="CEFFE7"/>
            </w:tcBorders>
          </w:tcPr>
          <w:p>
            <w:pPr>
              <w:ind w:left="20"/>
              <w:spacing w:after="0"/>
              <w:rPr>
                <w:sz w:val="20"/>
                <w:szCs w:val="20"/>
                <w:color w:val="auto"/>
              </w:rPr>
            </w:pPr>
            <w:r>
              <w:rPr>
                <w:rFonts w:ascii="Arial" w:cs="Arial" w:eastAsia="Arial" w:hAnsi="Arial"/>
                <w:sz w:val="14"/>
                <w:szCs w:val="14"/>
                <w:color w:val="auto"/>
              </w:rPr>
              <w:t>Net cash provided by investing activities of discontinued operations</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8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20,385</w:t>
            </w:r>
          </w:p>
        </w:tc>
        <w:tc>
          <w:tcPr>
            <w:tcW w:w="1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7,881</w:t>
            </w:r>
          </w:p>
        </w:tc>
      </w:tr>
      <w:tr>
        <w:trPr>
          <w:trHeight w:val="196"/>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Borders>
              <w:bottom w:val="single" w:sz="8" w:color="auto"/>
            </w:tcBorders>
            <w:shd w:val="clear" w:color="auto" w:fill="CEFFE7"/>
          </w:tcPr>
          <w:p>
            <w:pPr>
              <w:spacing w:after="0"/>
              <w:rPr>
                <w:sz w:val="17"/>
                <w:szCs w:val="17"/>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(816,210)</w:t>
            </w:r>
          </w:p>
        </w:tc>
        <w:tc>
          <w:tcPr>
            <w:tcW w:w="180" w:type="dxa"/>
            <w:vAlign w:val="bottom"/>
            <w:tcBorders>
              <w:bottom w:val="single" w:sz="8" w:color="auto"/>
            </w:tcBorders>
            <w:shd w:val="clear" w:color="auto" w:fill="CEFFE7"/>
          </w:tcPr>
          <w:p>
            <w:pPr>
              <w:spacing w:after="0"/>
              <w:rPr>
                <w:sz w:val="17"/>
                <w:szCs w:val="17"/>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(465,849)</w:t>
            </w:r>
          </w:p>
        </w:tc>
        <w:tc>
          <w:tcPr>
            <w:tcW w:w="180" w:type="dxa"/>
            <w:vAlign w:val="bottom"/>
            <w:tcBorders>
              <w:bottom w:val="single" w:sz="8" w:color="auto"/>
            </w:tcBorders>
            <w:shd w:val="clear" w:color="auto" w:fill="CEFFE7"/>
          </w:tcPr>
          <w:p>
            <w:pPr>
              <w:spacing w:after="0"/>
              <w:rPr>
                <w:sz w:val="17"/>
                <w:szCs w:val="17"/>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(317,118)</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7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Financing activities:</w:t>
            </w: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1420" w:type="dxa"/>
            <w:vAlign w:val="bottom"/>
            <w:shd w:val="clear" w:color="auto" w:fill="CEFFE7"/>
          </w:tcPr>
          <w:p>
            <w:pPr>
              <w:spacing w:after="0"/>
              <w:rPr>
                <w:sz w:val="23"/>
                <w:szCs w:val="23"/>
                <w:color w:val="auto"/>
              </w:rPr>
            </w:pP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Dividends paid on common stock</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(124,647)</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(106,591)</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(96,744)</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Common stock issued</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101,358</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300,834</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4,408</w:t>
            </w:r>
          </w:p>
        </w:tc>
      </w:tr>
      <w:tr>
        <w:trPr>
          <w:trHeight w:val="210"/>
        </w:trPr>
        <w:tc>
          <w:tcPr>
            <w:tcW w:w="6600" w:type="dxa"/>
            <w:vAlign w:val="bottom"/>
          </w:tcPr>
          <w:p>
            <w:pPr>
              <w:ind w:left="160"/>
              <w:spacing w:after="0"/>
              <w:rPr>
                <w:sz w:val="20"/>
                <w:szCs w:val="20"/>
                <w:color w:val="auto"/>
              </w:rPr>
            </w:pPr>
            <w:r>
              <w:rPr>
                <w:rFonts w:ascii="Arial" w:cs="Arial" w:eastAsia="Arial" w:hAnsi="Arial"/>
                <w:sz w:val="14"/>
                <w:szCs w:val="14"/>
                <w:color w:val="auto"/>
              </w:rPr>
              <w:t>Net (payments) borrowings of short-term debt</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163,880</w:t>
            </w:r>
          </w:p>
        </w:tc>
        <w:tc>
          <w:tcPr>
            <w:tcW w:w="18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(25,680)</w:t>
            </w:r>
          </w:p>
        </w:tc>
        <w:tc>
          <w:tcPr>
            <w:tcW w:w="180" w:type="dxa"/>
            <w:vAlign w:val="bottom"/>
          </w:tcPr>
          <w:p>
            <w:pPr>
              <w:spacing w:after="0"/>
              <w:rPr>
                <w:sz w:val="18"/>
                <w:szCs w:val="18"/>
                <w:color w:val="auto"/>
              </w:rPr>
            </w:pPr>
          </w:p>
        </w:tc>
        <w:tc>
          <w:tcPr>
            <w:tcW w:w="1420" w:type="dxa"/>
            <w:vAlign w:val="bottom"/>
          </w:tcPr>
          <w:p>
            <w:pPr>
              <w:jc w:val="right"/>
              <w:ind w:right="28"/>
              <w:spacing w:after="0"/>
              <w:rPr>
                <w:sz w:val="20"/>
                <w:szCs w:val="20"/>
                <w:color w:val="auto"/>
              </w:rPr>
            </w:pPr>
            <w:r>
              <w:rPr>
                <w:rFonts w:ascii="Arial" w:cs="Arial" w:eastAsia="Arial" w:hAnsi="Arial"/>
                <w:sz w:val="14"/>
                <w:szCs w:val="14"/>
                <w:color w:val="auto"/>
              </w:rPr>
              <w:t>114,700</w:t>
            </w:r>
          </w:p>
        </w:tc>
      </w:tr>
      <w:tr>
        <w:trPr>
          <w:trHeight w:val="222"/>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Long-term debt - issuance</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1,100,000</w:t>
            </w:r>
          </w:p>
        </w:tc>
        <w:tc>
          <w:tcPr>
            <w:tcW w:w="180" w:type="dxa"/>
            <w:vAlign w:val="bottom"/>
            <w:shd w:val="clear" w:color="auto" w:fill="CEFFE7"/>
          </w:tcPr>
          <w:p>
            <w:pPr>
              <w:spacing w:after="0"/>
              <w:rPr>
                <w:sz w:val="19"/>
                <w:szCs w:val="19"/>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700,000</w:t>
            </w:r>
          </w:p>
        </w:tc>
        <w:tc>
          <w:tcPr>
            <w:tcW w:w="180" w:type="dxa"/>
            <w:vAlign w:val="bottom"/>
            <w:shd w:val="clear" w:color="auto" w:fill="CEFFE7"/>
          </w:tcPr>
          <w:p>
            <w:pPr>
              <w:spacing w:after="0"/>
              <w:rPr>
                <w:sz w:val="19"/>
                <w:szCs w:val="19"/>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r>
      <w:tr>
        <w:trPr>
          <w:trHeight w:val="197"/>
        </w:trPr>
        <w:tc>
          <w:tcPr>
            <w:tcW w:w="6600" w:type="dxa"/>
            <w:vAlign w:val="bottom"/>
          </w:tcPr>
          <w:p>
            <w:pPr>
              <w:ind w:left="160"/>
              <w:spacing w:after="0"/>
              <w:rPr>
                <w:sz w:val="20"/>
                <w:szCs w:val="20"/>
                <w:color w:val="auto"/>
              </w:rPr>
            </w:pPr>
            <w:r>
              <w:rPr>
                <w:rFonts w:ascii="Arial" w:cs="Arial" w:eastAsia="Arial" w:hAnsi="Arial"/>
                <w:sz w:val="14"/>
                <w:szCs w:val="14"/>
                <w:color w:val="auto"/>
              </w:rPr>
              <w:t>Long-term debt - repayments</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(905,743)</w:t>
            </w:r>
          </w:p>
        </w:tc>
        <w:tc>
          <w:tcPr>
            <w:tcW w:w="18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(854,743)</w:t>
            </w:r>
          </w:p>
        </w:tc>
        <w:tc>
          <w:tcPr>
            <w:tcW w:w="18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(105,743)</w:t>
            </w:r>
          </w:p>
        </w:tc>
      </w:tr>
      <w:tr>
        <w:trPr>
          <w:trHeight w:val="209"/>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Distributions to noncontrolling interests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(17,901)</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(19,617)</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(18,397)</w:t>
            </w:r>
          </w:p>
        </w:tc>
      </w:tr>
      <w:tr>
        <w:trPr>
          <w:trHeight w:val="197"/>
        </w:trPr>
        <w:tc>
          <w:tcPr>
            <w:tcW w:w="6600" w:type="dxa"/>
            <w:vAlign w:val="bottom"/>
            <w:tcBorders>
              <w:bottom w:val="single" w:sz="8" w:color="CEFFE7"/>
            </w:tcBorders>
          </w:tcPr>
          <w:p>
            <w:pPr>
              <w:ind w:left="160"/>
              <w:spacing w:after="0"/>
              <w:rPr>
                <w:sz w:val="20"/>
                <w:szCs w:val="20"/>
                <w:color w:val="auto"/>
              </w:rPr>
            </w:pPr>
            <w:r>
              <w:rPr>
                <w:rFonts w:ascii="Arial" w:cs="Arial" w:eastAsia="Arial" w:hAnsi="Arial"/>
                <w:sz w:val="14"/>
                <w:szCs w:val="14"/>
                <w:color w:val="auto"/>
              </w:rPr>
              <w:t>Other financing activities</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(16,737)</w:t>
            </w: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(11,260)</w:t>
            </w:r>
          </w:p>
        </w:tc>
        <w:tc>
          <w:tcPr>
            <w:tcW w:w="18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(6,919)</w:t>
            </w:r>
          </w:p>
        </w:tc>
      </w:tr>
      <w:tr>
        <w:trPr>
          <w:trHeight w:val="210"/>
        </w:trPr>
        <w:tc>
          <w:tcPr>
            <w:tcW w:w="6600" w:type="dxa"/>
            <w:vAlign w:val="bottom"/>
            <w:shd w:val="clear" w:color="auto" w:fill="CEFFE7"/>
          </w:tcPr>
          <w:p>
            <w:pPr>
              <w:ind w:left="20"/>
              <w:spacing w:after="0"/>
              <w:rPr>
                <w:sz w:val="20"/>
                <w:szCs w:val="20"/>
                <w:color w:val="auto"/>
              </w:rPr>
            </w:pPr>
            <w:r>
              <w:rPr>
                <w:rFonts w:ascii="Arial" w:cs="Arial" w:eastAsia="Arial" w:hAnsi="Arial"/>
                <w:sz w:val="14"/>
                <w:szCs w:val="14"/>
                <w:color w:val="auto"/>
              </w:rPr>
              <w:t>Net cash provided by (used in) financing activities</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300,210</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(17,057)</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(108,695)</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6"/>
        </w:trPr>
        <w:tc>
          <w:tcPr>
            <w:tcW w:w="6600" w:type="dxa"/>
            <w:vAlign w:val="bottom"/>
            <w:shd w:val="clear" w:color="auto" w:fill="CEFFE7"/>
          </w:tcPr>
          <w:p>
            <w:pPr>
              <w:ind w:left="480"/>
              <w:spacing w:after="0"/>
              <w:rPr>
                <w:sz w:val="20"/>
                <w:szCs w:val="20"/>
                <w:color w:val="auto"/>
              </w:rPr>
            </w:pPr>
            <w:r>
              <w:rPr>
                <w:rFonts w:ascii="Arial" w:cs="Arial" w:eastAsia="Arial" w:hAnsi="Arial"/>
                <w:sz w:val="14"/>
                <w:szCs w:val="14"/>
                <w:color w:val="auto"/>
              </w:rPr>
              <w:t>Net change in cash, restricted cash and cash equivalents</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(10,487)</w:t>
            </w:r>
          </w:p>
        </w:tc>
        <w:tc>
          <w:tcPr>
            <w:tcW w:w="180" w:type="dxa"/>
            <w:vAlign w:val="bottom"/>
            <w:shd w:val="clear" w:color="auto" w:fill="CEFFE7"/>
          </w:tcPr>
          <w:p>
            <w:pPr>
              <w:spacing w:after="0"/>
              <w:rPr>
                <w:sz w:val="18"/>
                <w:szCs w:val="18"/>
                <w:color w:val="auto"/>
              </w:rPr>
            </w:pPr>
          </w:p>
        </w:tc>
        <w:tc>
          <w:tcPr>
            <w:tcW w:w="14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5,905</w:t>
            </w:r>
          </w:p>
        </w:tc>
        <w:tc>
          <w:tcPr>
            <w:tcW w:w="180" w:type="dxa"/>
            <w:vAlign w:val="bottom"/>
            <w:shd w:val="clear" w:color="auto" w:fill="CEFFE7"/>
          </w:tcPr>
          <w:p>
            <w:pPr>
              <w:spacing w:after="0"/>
              <w:rPr>
                <w:sz w:val="18"/>
                <w:szCs w:val="18"/>
                <w:color w:val="auto"/>
              </w:rPr>
            </w:pPr>
          </w:p>
        </w:tc>
        <w:tc>
          <w:tcPr>
            <w:tcW w:w="14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2,448</w:t>
            </w:r>
          </w:p>
        </w:tc>
      </w:tr>
      <w:tr>
        <w:trPr>
          <w:trHeight w:val="243"/>
        </w:trPr>
        <w:tc>
          <w:tcPr>
            <w:tcW w:w="66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spacing w:after="0"/>
              <w:rPr>
                <w:sz w:val="21"/>
                <w:szCs w:val="21"/>
                <w:color w:val="auto"/>
              </w:rPr>
            </w:pPr>
          </w:p>
        </w:tc>
      </w:tr>
      <w:tr>
        <w:trPr>
          <w:trHeight w:val="210"/>
        </w:trPr>
        <w:tc>
          <w:tcPr>
            <w:tcW w:w="6600" w:type="dxa"/>
            <w:vAlign w:val="bottom"/>
            <w:shd w:val="clear" w:color="auto" w:fill="CEFFE7"/>
          </w:tcPr>
          <w:p>
            <w:pPr>
              <w:ind w:left="160"/>
              <w:spacing w:after="0"/>
              <w:rPr>
                <w:sz w:val="20"/>
                <w:szCs w:val="20"/>
                <w:color w:val="auto"/>
              </w:rPr>
            </w:pPr>
            <w:r>
              <w:rPr>
                <w:rFonts w:ascii="Arial" w:cs="Arial" w:eastAsia="Arial" w:hAnsi="Arial"/>
                <w:sz w:val="14"/>
                <w:szCs w:val="14"/>
                <w:color w:val="auto"/>
              </w:rPr>
              <w:t>Cash, restricted cash and cash equivalents beginning of year</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24,145</w:t>
            </w:r>
          </w:p>
        </w:tc>
        <w:tc>
          <w:tcPr>
            <w:tcW w:w="180" w:type="dxa"/>
            <w:vAlign w:val="bottom"/>
            <w:tcBorders>
              <w:bottom w:val="single" w:sz="8" w:color="auto"/>
            </w:tcBorders>
            <w:shd w:val="clear" w:color="auto" w:fill="CEFFE7"/>
          </w:tcPr>
          <w:p>
            <w:pPr>
              <w:spacing w:after="0"/>
              <w:rPr>
                <w:sz w:val="18"/>
                <w:szCs w:val="18"/>
                <w:color w:val="auto"/>
              </w:rPr>
            </w:pPr>
          </w:p>
        </w:tc>
        <w:tc>
          <w:tcPr>
            <w:tcW w:w="14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18,240</w:t>
            </w:r>
          </w:p>
        </w:tc>
        <w:tc>
          <w:tcPr>
            <w:tcW w:w="180" w:type="dxa"/>
            <w:vAlign w:val="bottom"/>
            <w:tcBorders>
              <w:bottom w:val="single" w:sz="8" w:color="auto"/>
            </w:tcBorders>
            <w:shd w:val="clear" w:color="auto" w:fill="CEFFE7"/>
          </w:tcPr>
          <w:p>
            <w:pPr>
              <w:spacing w:after="0"/>
              <w:rPr>
                <w:sz w:val="18"/>
                <w:szCs w:val="18"/>
                <w:color w:val="auto"/>
              </w:rPr>
            </w:pPr>
          </w:p>
        </w:tc>
        <w:tc>
          <w:tcPr>
            <w:tcW w:w="142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15,792</w:t>
            </w:r>
          </w:p>
        </w:tc>
      </w:tr>
      <w:tr>
        <w:trPr>
          <w:trHeight w:val="216"/>
        </w:trPr>
        <w:tc>
          <w:tcPr>
            <w:tcW w:w="6600" w:type="dxa"/>
            <w:vAlign w:val="bottom"/>
          </w:tcPr>
          <w:p>
            <w:pPr>
              <w:ind w:left="160"/>
              <w:spacing w:after="0"/>
              <w:rPr>
                <w:sz w:val="20"/>
                <w:szCs w:val="20"/>
                <w:color w:val="auto"/>
              </w:rPr>
            </w:pPr>
            <w:r>
              <w:rPr>
                <w:rFonts w:ascii="Arial" w:cs="Arial" w:eastAsia="Arial" w:hAnsi="Arial"/>
                <w:sz w:val="14"/>
                <w:szCs w:val="14"/>
                <w:color w:val="auto"/>
              </w:rPr>
              <w:t>Cash, restricted cash and cash equivalents end of year</w:t>
            </w: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13,658</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24,145</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4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18,240</w:t>
            </w:r>
          </w:p>
        </w:tc>
      </w:tr>
      <w:tr>
        <w:trPr>
          <w:trHeight w:val="20"/>
        </w:trPr>
        <w:tc>
          <w:tcPr>
            <w:tcW w:w="66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368" w:lineRule="exact"/>
        <w:rPr>
          <w:sz w:val="20"/>
          <w:szCs w:val="20"/>
          <w:color w:val="auto"/>
        </w:rPr>
      </w:pPr>
    </w:p>
    <w:p>
      <w:pPr>
        <w:jc w:val="center"/>
        <w:ind w:right="-19"/>
        <w:spacing w:after="0"/>
        <w:rPr>
          <w:rFonts w:ascii="Arial" w:cs="Arial" w:eastAsia="Arial" w:hAnsi="Arial"/>
          <w:sz w:val="16"/>
          <w:szCs w:val="16"/>
          <w:color w:val="auto"/>
        </w:rPr>
      </w:pPr>
      <w:r>
        <w:rPr>
          <w:rFonts w:ascii="Arial" w:cs="Arial" w:eastAsia="Arial" w:hAnsi="Arial"/>
          <w:sz w:val="16"/>
          <w:szCs w:val="16"/>
          <w:color w:val="auto"/>
        </w:rPr>
        <w:t xml:space="preserve">See </w:t>
      </w:r>
      <w:hyperlink w:anchor="page129">
        <w:r>
          <w:rPr>
            <w:rFonts w:ascii="Arial" w:cs="Arial" w:eastAsia="Arial" w:hAnsi="Arial"/>
            <w:sz w:val="16"/>
            <w:szCs w:val="16"/>
            <w:u w:val="single" w:color="auto"/>
            <w:color w:val="0000EE"/>
          </w:rPr>
          <w:t>Note 17</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supplemental disclosure of cash flow information.</w:t>
      </w:r>
    </w:p>
    <w:p>
      <w:pPr>
        <w:spacing w:after="0" w:line="194" w:lineRule="exact"/>
        <w:rPr>
          <w:sz w:val="20"/>
          <w:szCs w:val="20"/>
          <w:color w:val="auto"/>
        </w:rPr>
      </w:pPr>
    </w:p>
    <w:p>
      <w:pPr>
        <w:jc w:val="center"/>
        <w:ind w:right="-19"/>
        <w:spacing w:after="0"/>
        <w:rPr>
          <w:rFonts w:ascii="Arial" w:cs="Arial" w:eastAsia="Arial" w:hAnsi="Arial"/>
          <w:sz w:val="16"/>
          <w:szCs w:val="16"/>
          <w:color w:val="auto"/>
        </w:rPr>
      </w:pPr>
      <w:r>
        <w:rPr>
          <w:rFonts w:ascii="Arial" w:cs="Arial" w:eastAsia="Arial" w:hAnsi="Arial"/>
          <w:sz w:val="16"/>
          <w:szCs w:val="16"/>
          <w:color w:val="auto"/>
        </w:rPr>
        <w:t xml:space="preserve">The accompanying </w:t>
      </w:r>
      <w:hyperlink w:anchor="page83">
        <w:r>
          <w:rPr>
            <w:rFonts w:ascii="Arial" w:cs="Arial" w:eastAsia="Arial" w:hAnsi="Arial"/>
            <w:sz w:val="16"/>
            <w:szCs w:val="16"/>
            <w:u w:val="single" w:color="auto"/>
            <w:color w:val="0000EE"/>
          </w:rPr>
          <w:t>Notes to the Consolidated Financial Statements</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are an integral part of these Consolidated Financial Statements.</w:t>
      </w: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126" w:right="259" w:bottom="1440" w:gutter="0" w:footer="0" w:header="0"/>
        </w:sectPr>
      </w:pPr>
    </w:p>
    <w:bookmarkStart w:id="81" w:name="page82"/>
    <w:bookmarkEnd w:id="8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BLACK HILLS CORPORATION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CONSOLIDATED STATEMENTS OF EQUITY</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440" w:type="dxa"/>
            <w:vAlign w:val="bottom"/>
          </w:tcPr>
          <w:p>
            <w:pPr>
              <w:spacing w:after="0"/>
              <w:rPr>
                <w:sz w:val="16"/>
                <w:szCs w:val="16"/>
                <w:color w:val="auto"/>
              </w:rPr>
            </w:pPr>
          </w:p>
        </w:tc>
        <w:tc>
          <w:tcPr>
            <w:tcW w:w="1900" w:type="dxa"/>
            <w:vAlign w:val="bottom"/>
            <w:tcBorders>
              <w:bottom w:val="single" w:sz="8" w:color="auto"/>
            </w:tcBorders>
            <w:gridSpan w:val="3"/>
          </w:tcPr>
          <w:p>
            <w:pPr>
              <w:jc w:val="right"/>
              <w:ind w:right="428"/>
              <w:spacing w:after="0"/>
              <w:rPr>
                <w:sz w:val="20"/>
                <w:szCs w:val="20"/>
                <w:color w:val="auto"/>
              </w:rPr>
            </w:pPr>
            <w:r>
              <w:rPr>
                <w:rFonts w:ascii="Arial" w:cs="Arial" w:eastAsia="Arial" w:hAnsi="Arial"/>
                <w:sz w:val="14"/>
                <w:szCs w:val="14"/>
                <w:color w:val="auto"/>
              </w:rPr>
              <w:t>Common Stock</w:t>
            </w:r>
          </w:p>
        </w:tc>
        <w:tc>
          <w:tcPr>
            <w:tcW w:w="1600" w:type="dxa"/>
            <w:vAlign w:val="bottom"/>
            <w:tcBorders>
              <w:bottom w:val="single" w:sz="8" w:color="auto"/>
            </w:tcBorders>
            <w:gridSpan w:val="3"/>
          </w:tcPr>
          <w:p>
            <w:pPr>
              <w:jc w:val="right"/>
              <w:ind w:right="308"/>
              <w:spacing w:after="0"/>
              <w:rPr>
                <w:sz w:val="20"/>
                <w:szCs w:val="20"/>
                <w:color w:val="auto"/>
              </w:rPr>
            </w:pPr>
            <w:r>
              <w:rPr>
                <w:rFonts w:ascii="Arial" w:cs="Arial" w:eastAsia="Arial" w:hAnsi="Arial"/>
                <w:sz w:val="14"/>
                <w:szCs w:val="14"/>
                <w:color w:val="auto"/>
              </w:rPr>
              <w:t>Treasury Stock</w:t>
            </w: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3"/>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48"/>
              <w:spacing w:after="0" w:line="143" w:lineRule="exact"/>
              <w:rPr>
                <w:sz w:val="20"/>
                <w:szCs w:val="20"/>
                <w:color w:val="auto"/>
              </w:rPr>
            </w:pPr>
            <w:r>
              <w:rPr>
                <w:rFonts w:ascii="Arial" w:cs="Arial" w:eastAsia="Arial" w:hAnsi="Arial"/>
                <w:sz w:val="14"/>
                <w:szCs w:val="14"/>
                <w:color w:val="auto"/>
              </w:rPr>
              <w:t>Additional</w:t>
            </w: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3" w:lineRule="exact"/>
              <w:rPr>
                <w:sz w:val="20"/>
                <w:szCs w:val="20"/>
                <w:color w:val="auto"/>
              </w:rPr>
            </w:pPr>
            <w:r>
              <w:rPr>
                <w:rFonts w:ascii="Arial" w:cs="Arial" w:eastAsia="Arial" w:hAnsi="Arial"/>
                <w:sz w:val="14"/>
                <w:szCs w:val="14"/>
                <w:color w:val="auto"/>
                <w:w w:val="93"/>
              </w:rPr>
              <w:t>Non</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4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60" w:type="dxa"/>
            <w:vAlign w:val="bottom"/>
          </w:tcPr>
          <w:p>
            <w:pPr>
              <w:jc w:val="right"/>
              <w:ind w:right="148"/>
              <w:spacing w:after="0" w:line="149" w:lineRule="exact"/>
              <w:rPr>
                <w:sz w:val="20"/>
                <w:szCs w:val="20"/>
                <w:color w:val="auto"/>
              </w:rPr>
            </w:pPr>
            <w:r>
              <w:rPr>
                <w:rFonts w:ascii="Arial" w:cs="Arial" w:eastAsia="Arial" w:hAnsi="Arial"/>
                <w:sz w:val="14"/>
                <w:szCs w:val="14"/>
                <w:color w:val="auto"/>
              </w:rPr>
              <w:t>Paid in</w:t>
            </w:r>
          </w:p>
        </w:tc>
        <w:tc>
          <w:tcPr>
            <w:tcW w:w="160" w:type="dxa"/>
            <w:vAlign w:val="bottom"/>
          </w:tcPr>
          <w:p>
            <w:pPr>
              <w:spacing w:after="0"/>
              <w:rPr>
                <w:sz w:val="12"/>
                <w:szCs w:val="12"/>
                <w:color w:val="auto"/>
              </w:rPr>
            </w:pPr>
          </w:p>
        </w:tc>
        <w:tc>
          <w:tcPr>
            <w:tcW w:w="740" w:type="dxa"/>
            <w:vAlign w:val="bottom"/>
          </w:tcPr>
          <w:p>
            <w:pPr>
              <w:jc w:val="right"/>
              <w:ind w:right="108"/>
              <w:spacing w:after="0" w:line="149" w:lineRule="exact"/>
              <w:rPr>
                <w:sz w:val="20"/>
                <w:szCs w:val="20"/>
                <w:color w:val="auto"/>
              </w:rPr>
            </w:pPr>
            <w:r>
              <w:rPr>
                <w:rFonts w:ascii="Arial" w:cs="Arial" w:eastAsia="Arial" w:hAnsi="Arial"/>
                <w:sz w:val="14"/>
                <w:szCs w:val="14"/>
                <w:color w:val="auto"/>
                <w:w w:val="96"/>
              </w:rPr>
              <w:t>Retained</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jc w:val="center"/>
              <w:ind w:right="48"/>
              <w:spacing w:after="0" w:line="149" w:lineRule="exact"/>
              <w:rPr>
                <w:sz w:val="20"/>
                <w:szCs w:val="20"/>
                <w:color w:val="auto"/>
              </w:rPr>
            </w:pPr>
            <w:r>
              <w:rPr>
                <w:rFonts w:ascii="Arial" w:cs="Arial" w:eastAsia="Arial" w:hAnsi="Arial"/>
                <w:sz w:val="14"/>
                <w:szCs w:val="14"/>
                <w:color w:val="auto"/>
              </w:rPr>
              <w:t>controlling</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8"/>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(in thousands except share amounts)</w:t>
            </w:r>
          </w:p>
        </w:tc>
        <w:tc>
          <w:tcPr>
            <w:tcW w:w="100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Shares</w:t>
            </w:r>
          </w:p>
        </w:tc>
        <w:tc>
          <w:tcPr>
            <w:tcW w:w="2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color w:val="auto"/>
              </w:rPr>
              <w:t>Value</w:t>
            </w: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rPr>
              <w:t>Shares</w:t>
            </w:r>
          </w:p>
        </w:tc>
        <w:tc>
          <w:tcPr>
            <w:tcW w:w="2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88"/>
              <w:spacing w:after="0"/>
              <w:rPr>
                <w:sz w:val="20"/>
                <w:szCs w:val="20"/>
                <w:color w:val="auto"/>
              </w:rPr>
            </w:pPr>
            <w:r>
              <w:rPr>
                <w:rFonts w:ascii="Arial" w:cs="Arial" w:eastAsia="Arial" w:hAnsi="Arial"/>
                <w:sz w:val="14"/>
                <w:szCs w:val="14"/>
                <w:color w:val="auto"/>
              </w:rPr>
              <w:t>Value</w:t>
            </w: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Capital</w:t>
            </w:r>
          </w:p>
        </w:tc>
        <w:tc>
          <w:tcPr>
            <w:tcW w:w="16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color w:val="auto"/>
                <w:w w:val="97"/>
              </w:rPr>
              <w:t>Earnings</w:t>
            </w:r>
          </w:p>
        </w:tc>
        <w:tc>
          <w:tcPr>
            <w:tcW w:w="1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AOCI</w:t>
            </w: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center"/>
              <w:ind w:right="48"/>
              <w:spacing w:after="0"/>
              <w:rPr>
                <w:sz w:val="20"/>
                <w:szCs w:val="20"/>
                <w:color w:val="auto"/>
              </w:rPr>
            </w:pPr>
            <w:r>
              <w:rPr>
                <w:rFonts w:ascii="Arial" w:cs="Arial" w:eastAsia="Arial" w:hAnsi="Arial"/>
                <w:sz w:val="14"/>
                <w:szCs w:val="14"/>
                <w:color w:val="auto"/>
                <w:w w:val="94"/>
              </w:rPr>
              <w:t>Interest</w:t>
            </w:r>
          </w:p>
        </w:tc>
        <w:tc>
          <w:tcPr>
            <w:tcW w:w="2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color w:val="auto"/>
              </w:rPr>
              <w:t>Total</w:t>
            </w:r>
          </w:p>
        </w:tc>
        <w:tc>
          <w:tcPr>
            <w:tcW w:w="0" w:type="dxa"/>
            <w:vAlign w:val="bottom"/>
          </w:tcPr>
          <w:p>
            <w:pPr>
              <w:spacing w:after="0"/>
              <w:rPr>
                <w:sz w:val="1"/>
                <w:szCs w:val="1"/>
                <w:color w:val="auto"/>
              </w:rPr>
            </w:pP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Balance at December 31, 2016</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53,397,467</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53,397</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15,258</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(791)</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1,138,982</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457,934</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(34,883)</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115,495</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1,730,134</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177,034</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14,242</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191,276</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681</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681</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Reclassification of certain tax effects from AOCI</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7,000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(7,000)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(96,744)</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(96,744)</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134,266</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134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23,806</w:t>
            </w:r>
          </w:p>
        </w:tc>
        <w:tc>
          <w:tcPr>
            <w:tcW w:w="20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(1,515)</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8,948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7,567</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Tax effect of 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533</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3,184</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3,717</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(189)</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(189)</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48,253</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49</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3,107</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3,156</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(1,096)</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209</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(18,505)</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(19,392)</w:t>
            </w:r>
          </w:p>
        </w:tc>
        <w:tc>
          <w:tcPr>
            <w:tcW w:w="0" w:type="dxa"/>
            <w:vAlign w:val="bottom"/>
          </w:tcPr>
          <w:p>
            <w:pPr>
              <w:spacing w:after="0"/>
              <w:rPr>
                <w:sz w:val="1"/>
                <w:szCs w:val="1"/>
                <w:color w:val="auto"/>
              </w:rPr>
            </w:pP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Balance at December 31, 2017</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53,579,986</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53,580</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39,064</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(2,306)</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1,150,285</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548,617</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(41,202)</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111,232</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1,820,206</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258,442</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14,220</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272,662</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7,027</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7,027</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Reclassification of certain tax effects from AOCI</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740</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Reclassification to regulatory asset</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6,519</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6,519</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(106,591)</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(106,591)</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92,830</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93</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5,189</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(204)</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7,301</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7,190</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6,371,690</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6,372</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292,628</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299,000</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(15)</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 reinvestment and stock purchase plan</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4,061</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4</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216</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220</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stock transactions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154</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(72)</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82</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w w:val="95"/>
              </w:rPr>
              <w:t>Redemption of and distributions to noncontrolling interest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(19,617)</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(19,617)</w:t>
            </w:r>
          </w:p>
        </w:tc>
        <w:tc>
          <w:tcPr>
            <w:tcW w:w="0" w:type="dxa"/>
            <w:vAlign w:val="bottom"/>
          </w:tcPr>
          <w:p>
            <w:pPr>
              <w:spacing w:after="0"/>
              <w:rPr>
                <w:sz w:val="1"/>
                <w:szCs w:val="1"/>
                <w:color w:val="auto"/>
              </w:rPr>
            </w:pPr>
          </w:p>
        </w:tc>
      </w:tr>
      <w:tr>
        <w:trPr>
          <w:trHeight w:val="216"/>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b w:val="1"/>
                <w:bCs w:val="1"/>
                <w:color w:val="auto"/>
              </w:rPr>
              <w:t>Balance at December 31, 2018</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60,048,567</w:t>
            </w:r>
          </w:p>
        </w:tc>
        <w:tc>
          <w:tcPr>
            <w:tcW w:w="22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60,049</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44,253</w:t>
            </w:r>
          </w:p>
        </w:tc>
        <w:tc>
          <w:tcPr>
            <w:tcW w:w="2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(2,510)</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1,450,569</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700,396</w:t>
            </w:r>
          </w:p>
        </w:tc>
        <w:tc>
          <w:tcPr>
            <w:tcW w:w="1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(26,916)</w:t>
            </w:r>
          </w:p>
        </w:tc>
        <w:tc>
          <w:tcPr>
            <w:tcW w:w="1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105,835</w:t>
            </w:r>
          </w:p>
        </w:tc>
        <w:tc>
          <w:tcPr>
            <w:tcW w:w="22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2,287,423</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Net income (loss) available for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199,310</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14,012</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213,322</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Other comprehensive income (loss), net of tax</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(3,739)</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(3,739)</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Dividends on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4"/>
                <w:szCs w:val="14"/>
                <w:color w:val="auto"/>
              </w:rPr>
              <w:t>(124,647)</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(124,647)</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Share-based compensation</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103,759</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104</w:t>
            </w:r>
          </w:p>
        </w:tc>
        <w:tc>
          <w:tcPr>
            <w:tcW w:w="740" w:type="dxa"/>
            <w:vAlign w:val="bottom"/>
            <w:shd w:val="clear" w:color="auto" w:fill="CEFFE7"/>
          </w:tcPr>
          <w:p>
            <w:pPr>
              <w:jc w:val="right"/>
              <w:spacing w:after="0"/>
              <w:rPr>
                <w:sz w:val="20"/>
                <w:szCs w:val="20"/>
                <w:color w:val="auto"/>
              </w:rPr>
            </w:pPr>
            <w:r>
              <w:rPr>
                <w:rFonts w:ascii="Arial" w:cs="Arial" w:eastAsia="Arial" w:hAnsi="Arial"/>
                <w:sz w:val="14"/>
                <w:szCs w:val="14"/>
                <w:color w:val="auto"/>
              </w:rPr>
              <w:t>(40,297)</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2,243</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4,729</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7,076</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Issuance of common stock</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1,328,332</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1,328</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98,672</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100,000</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Issuance costs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(1,182)</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spacing w:after="0"/>
              <w:rPr>
                <w:sz w:val="20"/>
                <w:szCs w:val="20"/>
                <w:color w:val="auto"/>
              </w:rPr>
            </w:pPr>
            <w:r>
              <w:rPr>
                <w:rFonts w:ascii="Arial" w:cs="Arial" w:eastAsia="Arial" w:hAnsi="Arial"/>
                <w:sz w:val="14"/>
                <w:szCs w:val="14"/>
                <w:color w:val="auto"/>
              </w:rPr>
              <w:t>(1,182)</w:t>
            </w:r>
          </w:p>
        </w:tc>
        <w:tc>
          <w:tcPr>
            <w:tcW w:w="0" w:type="dxa"/>
            <w:vAlign w:val="bottom"/>
          </w:tcPr>
          <w:p>
            <w:pPr>
              <w:spacing w:after="0"/>
              <w:rPr>
                <w:sz w:val="1"/>
                <w:szCs w:val="1"/>
                <w:color w:val="auto"/>
              </w:rPr>
            </w:pPr>
          </w:p>
        </w:tc>
      </w:tr>
      <w:tr>
        <w:trPr>
          <w:trHeight w:val="210"/>
        </w:trPr>
        <w:tc>
          <w:tcPr>
            <w:tcW w:w="3440" w:type="dxa"/>
            <w:vAlign w:val="bottom"/>
          </w:tcPr>
          <w:p>
            <w:pPr>
              <w:ind w:left="40"/>
              <w:spacing w:after="0"/>
              <w:rPr>
                <w:sz w:val="20"/>
                <w:szCs w:val="20"/>
                <w:color w:val="auto"/>
              </w:rPr>
            </w:pPr>
            <w:r>
              <w:rPr>
                <w:rFonts w:ascii="Arial" w:cs="Arial" w:eastAsia="Arial" w:hAnsi="Arial"/>
                <w:sz w:val="14"/>
                <w:szCs w:val="14"/>
                <w:color w:val="auto"/>
              </w:rPr>
              <w:t>Other</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68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66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74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160" w:type="dxa"/>
            <w:vAlign w:val="bottom"/>
          </w:tcPr>
          <w:p>
            <w:pPr>
              <w:spacing w:after="0"/>
              <w:rPr>
                <w:sz w:val="18"/>
                <w:szCs w:val="18"/>
                <w:color w:val="auto"/>
              </w:rPr>
            </w:pPr>
          </w:p>
        </w:tc>
        <w:tc>
          <w:tcPr>
            <w:tcW w:w="62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7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8"/>
                <w:szCs w:val="18"/>
                <w:color w:val="auto"/>
              </w:rPr>
            </w:pPr>
          </w:p>
        </w:tc>
        <w:tc>
          <w:tcPr>
            <w:tcW w:w="800" w:type="dxa"/>
            <w:vAlign w:val="bottom"/>
          </w:tcPr>
          <w:p>
            <w:pPr>
              <w:jc w:val="right"/>
              <w:ind w:right="28"/>
              <w:spacing w:after="0"/>
              <w:rPr>
                <w:sz w:val="20"/>
                <w:szCs w:val="20"/>
                <w:color w:val="auto"/>
              </w:rPr>
            </w:pPr>
            <w:r>
              <w:rPr>
                <w:rFonts w:ascii="Arial" w:cs="Arial" w:eastAsia="Arial" w:hAnsi="Arial"/>
                <w:sz w:val="14"/>
                <w:szCs w:val="14"/>
                <w:color w:val="auto"/>
              </w:rPr>
              <w:t>327</w:t>
            </w:r>
          </w:p>
        </w:tc>
        <w:tc>
          <w:tcPr>
            <w:tcW w:w="0" w:type="dxa"/>
            <w:vAlign w:val="bottom"/>
          </w:tcPr>
          <w:p>
            <w:pPr>
              <w:spacing w:after="0"/>
              <w:rPr>
                <w:sz w:val="1"/>
                <w:szCs w:val="1"/>
                <w:color w:val="auto"/>
              </w:rPr>
            </w:pPr>
          </w:p>
        </w:tc>
      </w:tr>
      <w:tr>
        <w:trPr>
          <w:trHeight w:val="222"/>
        </w:trPr>
        <w:tc>
          <w:tcPr>
            <w:tcW w:w="3440" w:type="dxa"/>
            <w:vAlign w:val="bottom"/>
            <w:shd w:val="clear" w:color="auto" w:fill="CEFFE7"/>
          </w:tcPr>
          <w:p>
            <w:pPr>
              <w:ind w:left="40"/>
              <w:spacing w:after="0"/>
              <w:rPr>
                <w:sz w:val="20"/>
                <w:szCs w:val="20"/>
                <w:color w:val="auto"/>
              </w:rPr>
            </w:pPr>
            <w:r>
              <w:rPr>
                <w:rFonts w:ascii="Arial" w:cs="Arial" w:eastAsia="Arial" w:hAnsi="Arial"/>
                <w:sz w:val="14"/>
                <w:szCs w:val="14"/>
                <w:color w:val="auto"/>
              </w:rPr>
              <w:t>Implementation of ASU 2016-02 Leases</w:t>
            </w:r>
          </w:p>
        </w:tc>
        <w:tc>
          <w:tcPr>
            <w:tcW w:w="10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680" w:type="dxa"/>
            <w:vAlign w:val="bottom"/>
            <w:shd w:val="clear" w:color="auto" w:fill="CEFFE7"/>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shd w:val="clear" w:color="auto" w:fill="CEFFE7"/>
          </w:tcPr>
          <w:p>
            <w:pPr>
              <w:spacing w:after="0"/>
              <w:rPr>
                <w:sz w:val="19"/>
                <w:szCs w:val="19"/>
                <w:color w:val="auto"/>
              </w:rPr>
            </w:pPr>
          </w:p>
        </w:tc>
        <w:tc>
          <w:tcPr>
            <w:tcW w:w="660" w:type="dxa"/>
            <w:vAlign w:val="bottom"/>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shd w:val="clear" w:color="auto" w:fill="CEFFE7"/>
          </w:tcPr>
          <w:p>
            <w:pPr>
              <w:spacing w:after="0"/>
              <w:rPr>
                <w:sz w:val="19"/>
                <w:szCs w:val="19"/>
                <w:color w:val="auto"/>
              </w:rPr>
            </w:pPr>
          </w:p>
        </w:tc>
        <w:tc>
          <w:tcPr>
            <w:tcW w:w="74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3,390</w:t>
            </w:r>
          </w:p>
        </w:tc>
        <w:tc>
          <w:tcPr>
            <w:tcW w:w="160" w:type="dxa"/>
            <w:vAlign w:val="bottom"/>
            <w:shd w:val="clear" w:color="auto" w:fill="CEFFE7"/>
          </w:tcPr>
          <w:p>
            <w:pPr>
              <w:spacing w:after="0"/>
              <w:rPr>
                <w:sz w:val="19"/>
                <w:szCs w:val="19"/>
                <w:color w:val="auto"/>
              </w:rPr>
            </w:pPr>
          </w:p>
        </w:tc>
        <w:tc>
          <w:tcPr>
            <w:tcW w:w="62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shd w:val="clear" w:color="auto" w:fill="CEFFE7"/>
          </w:tcPr>
          <w:p>
            <w:pPr>
              <w:spacing w:after="0"/>
              <w:rPr>
                <w:sz w:val="19"/>
                <w:szCs w:val="19"/>
                <w:color w:val="auto"/>
              </w:rPr>
            </w:pPr>
          </w:p>
        </w:tc>
        <w:tc>
          <w:tcPr>
            <w:tcW w:w="76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w:t>
            </w:r>
          </w:p>
        </w:tc>
        <w:tc>
          <w:tcPr>
            <w:tcW w:w="220" w:type="dxa"/>
            <w:vAlign w:val="bottom"/>
            <w:shd w:val="clear" w:color="auto" w:fill="CEFFE7"/>
          </w:tcPr>
          <w:p>
            <w:pPr>
              <w:spacing w:after="0"/>
              <w:rPr>
                <w:sz w:val="19"/>
                <w:szCs w:val="19"/>
                <w:color w:val="auto"/>
              </w:rPr>
            </w:pPr>
          </w:p>
        </w:tc>
        <w:tc>
          <w:tcPr>
            <w:tcW w:w="800" w:type="dxa"/>
            <w:vAlign w:val="bottom"/>
            <w:shd w:val="clear" w:color="auto" w:fill="CEFFE7"/>
          </w:tcPr>
          <w:p>
            <w:pPr>
              <w:jc w:val="right"/>
              <w:ind w:right="28"/>
              <w:spacing w:after="0"/>
              <w:rPr>
                <w:sz w:val="20"/>
                <w:szCs w:val="20"/>
                <w:color w:val="auto"/>
              </w:rPr>
            </w:pPr>
            <w:r>
              <w:rPr>
                <w:rFonts w:ascii="Arial" w:cs="Arial" w:eastAsia="Arial" w:hAnsi="Arial"/>
                <w:sz w:val="14"/>
                <w:szCs w:val="14"/>
                <w:color w:val="auto"/>
              </w:rPr>
              <w:t>3,390</w:t>
            </w:r>
          </w:p>
        </w:tc>
        <w:tc>
          <w:tcPr>
            <w:tcW w:w="0" w:type="dxa"/>
            <w:vAlign w:val="bottom"/>
          </w:tcPr>
          <w:p>
            <w:pPr>
              <w:spacing w:after="0"/>
              <w:rPr>
                <w:sz w:val="1"/>
                <w:szCs w:val="1"/>
                <w:color w:val="auto"/>
              </w:rPr>
            </w:pPr>
          </w:p>
        </w:tc>
      </w:tr>
      <w:tr>
        <w:trPr>
          <w:trHeight w:val="210"/>
        </w:trPr>
        <w:tc>
          <w:tcPr>
            <w:tcW w:w="3440" w:type="dxa"/>
            <w:vAlign w:val="bottom"/>
            <w:tcBorders>
              <w:bottom w:val="single" w:sz="8" w:color="CEFFE7"/>
            </w:tcBorders>
          </w:tcPr>
          <w:p>
            <w:pPr>
              <w:ind w:left="40"/>
              <w:spacing w:after="0"/>
              <w:rPr>
                <w:sz w:val="20"/>
                <w:szCs w:val="20"/>
                <w:color w:val="auto"/>
              </w:rPr>
            </w:pPr>
            <w:r>
              <w:rPr>
                <w:rFonts w:ascii="Arial" w:cs="Arial" w:eastAsia="Arial" w:hAnsi="Arial"/>
                <w:sz w:val="14"/>
                <w:szCs w:val="14"/>
                <w:color w:val="auto"/>
              </w:rPr>
              <w:t>Distributions to noncontrolling interest</w:t>
            </w:r>
          </w:p>
        </w:tc>
        <w:tc>
          <w:tcPr>
            <w:tcW w:w="10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20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(17,901)</w:t>
            </w:r>
          </w:p>
        </w:tc>
        <w:tc>
          <w:tcPr>
            <w:tcW w:w="0" w:type="dxa"/>
            <w:vAlign w:val="bottom"/>
          </w:tcPr>
          <w:p>
            <w:pPr>
              <w:spacing w:after="0"/>
              <w:rPr>
                <w:sz w:val="1"/>
                <w:szCs w:val="1"/>
                <w:color w:val="auto"/>
              </w:rPr>
            </w:pPr>
          </w:p>
        </w:tc>
      </w:tr>
      <w:tr>
        <w:trPr>
          <w:trHeight w:val="216"/>
        </w:trPr>
        <w:tc>
          <w:tcPr>
            <w:tcW w:w="34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4"/>
                <w:szCs w:val="14"/>
                <w:b w:val="1"/>
                <w:bCs w:val="1"/>
                <w:color w:val="auto"/>
              </w:rPr>
              <w:t>Balance at December 31, 2019</w:t>
            </w:r>
          </w:p>
        </w:tc>
        <w:tc>
          <w:tcPr>
            <w:tcW w:w="100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61,480,658</w:t>
            </w:r>
          </w:p>
        </w:tc>
        <w:tc>
          <w:tcPr>
            <w:tcW w:w="2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680" w:type="dxa"/>
            <w:vAlign w:val="bottom"/>
            <w:tcBorders>
              <w:bottom w:val="single" w:sz="8" w:color="auto"/>
            </w:tcBorders>
            <w:shd w:val="clear" w:color="auto" w:fill="CEFFE7"/>
          </w:tcPr>
          <w:p>
            <w:pPr>
              <w:jc w:val="right"/>
              <w:ind w:right="88"/>
              <w:spacing w:after="0"/>
              <w:rPr>
                <w:sz w:val="20"/>
                <w:szCs w:val="20"/>
                <w:color w:val="auto"/>
              </w:rPr>
            </w:pPr>
            <w:r>
              <w:rPr>
                <w:rFonts w:ascii="Arial" w:cs="Arial" w:eastAsia="Arial" w:hAnsi="Arial"/>
                <w:sz w:val="14"/>
                <w:szCs w:val="14"/>
                <w:color w:val="auto"/>
              </w:rPr>
              <w:t>61,481</w:t>
            </w:r>
          </w:p>
        </w:tc>
        <w:tc>
          <w:tcPr>
            <w:tcW w:w="74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3,956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(267)</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1,552,788</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778,776</w:t>
            </w:r>
          </w:p>
        </w:tc>
        <w:tc>
          <w:tcPr>
            <w:tcW w:w="1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(30,655)</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101,946</w:t>
            </w:r>
          </w:p>
        </w:tc>
        <w:tc>
          <w:tcPr>
            <w:tcW w:w="220" w:type="dxa"/>
            <w:vAlign w:val="bottom"/>
            <w:tcBorders>
              <w:bottom w:val="single" w:sz="8" w:color="auto"/>
            </w:tcBorders>
            <w:shd w:val="clear" w:color="auto" w:fill="CEFFE7"/>
          </w:tcPr>
          <w:p>
            <w:pPr>
              <w:jc w:val="right"/>
              <w:ind w:right="48"/>
              <w:spacing w:after="0"/>
              <w:rPr>
                <w:sz w:val="20"/>
                <w:szCs w:val="20"/>
                <w:color w:val="auto"/>
              </w:rPr>
            </w:pPr>
            <w:r>
              <w:rPr>
                <w:rFonts w:ascii="Arial" w:cs="Arial" w:eastAsia="Arial" w:hAnsi="Arial"/>
                <w:sz w:val="14"/>
                <w:szCs w:val="14"/>
                <w:color w:val="auto"/>
              </w:rPr>
              <w:t>$</w:t>
            </w:r>
          </w:p>
        </w:tc>
        <w:tc>
          <w:tcPr>
            <w:tcW w:w="800" w:type="dxa"/>
            <w:vAlign w:val="bottom"/>
            <w:tcBorders>
              <w:bottom w:val="single" w:sz="8" w:color="auto"/>
            </w:tcBorders>
            <w:shd w:val="clear" w:color="auto" w:fill="CEFFE7"/>
          </w:tcPr>
          <w:p>
            <w:pPr>
              <w:jc w:val="right"/>
              <w:ind w:right="28"/>
              <w:spacing w:after="0"/>
              <w:rPr>
                <w:sz w:val="20"/>
                <w:szCs w:val="20"/>
                <w:color w:val="auto"/>
              </w:rPr>
            </w:pPr>
            <w:r>
              <w:rPr>
                <w:rFonts w:ascii="Arial" w:cs="Arial" w:eastAsia="Arial" w:hAnsi="Arial"/>
                <w:sz w:val="14"/>
                <w:szCs w:val="14"/>
                <w:color w:val="auto"/>
              </w:rPr>
              <w:t>2,464,069</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20"/>
                <w:szCs w:val="20"/>
                <w:color w:val="auto"/>
              </w:rPr>
              <w:t>__________________</w:t>
            </w: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40" w:type="dxa"/>
            <w:vAlign w:val="bottom"/>
            <w:vMerge w:val="continue"/>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4"/>
          <w:szCs w:val="14"/>
          <w:color w:val="auto"/>
        </w:rPr>
        <w:t>Dividends per share paid were $2.05, $1.93 and $1.81 for the years ended December 31, 2019, 2018 and 2017, respectively.</w:t>
      </w:r>
    </w:p>
    <w:p>
      <w:pPr>
        <w:spacing w:after="0" w:line="151" w:lineRule="exact"/>
        <w:rPr>
          <w:sz w:val="20"/>
          <w:szCs w:val="20"/>
          <w:color w:val="auto"/>
        </w:rPr>
      </w:pPr>
    </w:p>
    <w:p>
      <w:pPr>
        <w:jc w:val="center"/>
        <w:spacing w:after="0"/>
        <w:rPr>
          <w:rFonts w:ascii="Arial" w:cs="Arial" w:eastAsia="Arial" w:hAnsi="Arial"/>
          <w:sz w:val="14"/>
          <w:szCs w:val="14"/>
          <w:color w:val="auto"/>
        </w:rPr>
      </w:pPr>
      <w:r>
        <w:rPr>
          <w:rFonts w:ascii="Arial" w:cs="Arial" w:eastAsia="Arial" w:hAnsi="Arial"/>
          <w:sz w:val="14"/>
          <w:szCs w:val="14"/>
          <w:color w:val="auto"/>
        </w:rPr>
        <w:t xml:space="preserve">The accompanying </w:t>
      </w:r>
      <w:hyperlink w:anchor="page83">
        <w:r>
          <w:rPr>
            <w:rFonts w:ascii="Arial" w:cs="Arial" w:eastAsia="Arial" w:hAnsi="Arial"/>
            <w:sz w:val="14"/>
            <w:szCs w:val="14"/>
            <w:u w:val="single" w:color="auto"/>
            <w:color w:val="0000EE"/>
          </w:rPr>
          <w:t>Notes to the Consolidated Financial Statements</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420"/>
          </w:cols>
          <w:pgMar w:left="240" w:top="126" w:right="239" w:bottom="1440" w:gutter="0" w:footer="0" w:header="0"/>
        </w:sectPr>
      </w:pPr>
    </w:p>
    <w:bookmarkStart w:id="82" w:name="page83"/>
    <w:bookmarkEnd w:id="8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BLACK HILLS CORPORATION</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NOTES TO THE CONSOLIDATED FINANCIAL STATEMENTS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December 31, 2019, 2018 and 2017</w:t>
      </w:r>
    </w:p>
    <w:p>
      <w:pPr>
        <w:spacing w:after="0" w:line="207" w:lineRule="exact"/>
        <w:rPr>
          <w:sz w:val="20"/>
          <w:szCs w:val="20"/>
          <w:color w:val="auto"/>
        </w:rPr>
      </w:pPr>
    </w:p>
    <w:p>
      <w:pPr>
        <w:ind w:right="4640" w:firstLine="8"/>
        <w:spacing w:after="0" w:line="503" w:lineRule="auto"/>
        <w:tabs>
          <w:tab w:leader="none" w:pos="648"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BUSINESS DESCRIPTION AND SIGNIFICANT ACCOUNTING POLICIES Business Description</w:t>
      </w:r>
    </w:p>
    <w:p>
      <w:pPr>
        <w:spacing w:after="0" w:line="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Black Hills Corporation is a customer-focused, growth-oriented utility company headquartered in Rapid City, South Dakota. We are a holding company that, through our subsidiaries, conducts our operations through the following reportable segments: Electric Utilities, Gas Utilities, Power Generation and Mining. Certain unallocated corporate expenses that support our operating segments are presented as Corporate and Other.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Reporting</w:t>
      </w:r>
    </w:p>
    <w:p>
      <w:pPr>
        <w:spacing w:after="0" w:line="229" w:lineRule="exact"/>
        <w:rPr>
          <w:sz w:val="20"/>
          <w:szCs w:val="20"/>
          <w:color w:val="auto"/>
        </w:rPr>
      </w:pPr>
    </w:p>
    <w:p>
      <w:pPr>
        <w:jc w:val="both"/>
        <w:ind w:right="4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Electric Utilities segment includes the operating results of the regulated electric utility operations of Colorado Electric, South Dakota Electric, and Wyoming Electric, which supply regulated electric utility services to areas in Colorado, Montana, South Dakota and Wyoming. Our Gas Utilities segment consists of the operating results of our regulated natural gas utility subsidiaries in Arkansas, Colorado, Iowa, Kansas, Nebraska and Wyoming.</w:t>
      </w:r>
    </w:p>
    <w:p>
      <w:pPr>
        <w:spacing w:after="0" w:line="147" w:lineRule="exact"/>
        <w:rPr>
          <w:sz w:val="20"/>
          <w:szCs w:val="20"/>
          <w:color w:val="auto"/>
        </w:rPr>
      </w:pPr>
    </w:p>
    <w:p>
      <w:pPr>
        <w:ind w:right="260"/>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Most of our non-utility business segments support our Electric Utilities. Our Power Generation segment, which is conducted through Black Hills Electric Generation and its subsidiaries, engages in independent power generation activities in Colorado, Iowa and Wyoming. Our Mining segment, which is conducted through WRDC, engages in mining activities located near Gillette, Wyoming. For further descriptions of our reportable business segments, see </w:t>
      </w:r>
      <w:hyperlink w:anchor="page98">
        <w:r>
          <w:rPr>
            <w:rFonts w:ascii="Arial" w:cs="Arial" w:eastAsia="Arial" w:hAnsi="Arial"/>
            <w:sz w:val="18"/>
            <w:szCs w:val="18"/>
            <w:u w:val="single" w:color="auto"/>
            <w:color w:val="0000EE"/>
          </w:rPr>
          <w:t>Note 5</w:t>
        </w:r>
      </w:hyperlink>
      <w:r>
        <w:rPr>
          <w:rFonts w:ascii="Arial" w:cs="Arial" w:eastAsia="Arial" w:hAnsi="Arial"/>
          <w:sz w:val="18"/>
          <w:szCs w:val="18"/>
          <w:color w:val="000000"/>
        </w:rPr>
        <w:t>.</w:t>
      </w:r>
    </w:p>
    <w:p>
      <w:pPr>
        <w:spacing w:after="0" w:line="187" w:lineRule="exact"/>
        <w:rPr>
          <w:sz w:val="20"/>
          <w:szCs w:val="20"/>
          <w:color w:val="auto"/>
        </w:rPr>
      </w:pPr>
    </w:p>
    <w:p>
      <w:pPr>
        <w:ind w:right="40"/>
        <w:spacing w:after="0" w:line="273" w:lineRule="auto"/>
        <w:rPr>
          <w:rFonts w:ascii="Arial" w:cs="Arial" w:eastAsia="Arial" w:hAnsi="Arial"/>
          <w:sz w:val="17"/>
          <w:szCs w:val="17"/>
          <w:color w:val="auto"/>
        </w:rPr>
      </w:pPr>
      <w:r>
        <w:rPr>
          <w:rFonts w:ascii="Arial" w:cs="Arial" w:eastAsia="Arial" w:hAnsi="Arial"/>
          <w:sz w:val="17"/>
          <w:szCs w:val="17"/>
          <w:color w:val="auto"/>
        </w:rPr>
        <w:t xml:space="preserve">On November 1, 2017, our Board of Directors approved a complete divestiture of our Oil and Gas segment. We completed the divestiture of our Oil and Gas segment in 2018. The Oil and Gas segment assets and liabilities were classified as held for sale and the results of operations were shown in income (loss) from discontinued operations, other than certain general and administrative costs and interest expense which did not meet the criteria for income (loss) from discontinued operations in 2018 or 2017. At the time the assets were classified as held for sale, depreciation, depletion and amortization expenses were no longer recorded. Unless otherwise noted, the amounts presented in the accompanying notes to the consolidated financial statements relate to the Company’s continuing operations. For more information on discontinued operations, see </w:t>
      </w:r>
      <w:hyperlink w:anchor="page141">
        <w:r>
          <w:rPr>
            <w:rFonts w:ascii="Arial" w:cs="Arial" w:eastAsia="Arial" w:hAnsi="Arial"/>
            <w:sz w:val="17"/>
            <w:szCs w:val="17"/>
            <w:u w:val="single" w:color="auto"/>
            <w:color w:val="0000EE"/>
          </w:rPr>
          <w:t>Note 21</w:t>
        </w:r>
      </w:hyperlink>
      <w:r>
        <w:rPr>
          <w:rFonts w:ascii="Arial" w:cs="Arial" w:eastAsia="Arial" w:hAnsi="Arial"/>
          <w:sz w:val="17"/>
          <w:szCs w:val="17"/>
          <w:color w:val="auto"/>
        </w:rPr>
        <w: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 and Basis of Presentation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certain assets and liabilities and disclosure of contingent assets and liabilities at the date of the financial statements and the reported amounts of revenues and expenses during the reporting period. Changes in facts and circumstances or additional information may result in revised estimates and actual results could differ materially from those estimates.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Principles of Consolidation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consolidated financial statements include the accounts of Black Hills Corporation and its wholly-owned and majority-owned and controlled subsidiaries.</w:t>
      </w:r>
    </w:p>
    <w:p>
      <w:pPr>
        <w:spacing w:after="0" w:line="46"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All intercompany balances and transactions have been eliminated in consolidation. For additional information on intercompany revenues, see </w:t>
      </w:r>
      <w:hyperlink w:anchor="page98">
        <w:r>
          <w:rPr>
            <w:rFonts w:ascii="Arial" w:cs="Arial" w:eastAsia="Arial" w:hAnsi="Arial"/>
            <w:sz w:val="17"/>
            <w:szCs w:val="17"/>
            <w:u w:val="single" w:color="auto"/>
            <w:color w:val="0000EE"/>
          </w:rPr>
          <w:t>Note 5</w:t>
        </w:r>
      </w:hyperlink>
      <w:r>
        <w:rPr>
          <w:rFonts w:ascii="Arial" w:cs="Arial" w:eastAsia="Arial" w:hAnsi="Arial"/>
          <w:sz w:val="17"/>
          <w:szCs w:val="17"/>
          <w:color w:val="auto"/>
        </w:rPr>
        <w:t>.</w:t>
      </w:r>
    </w:p>
    <w:p>
      <w:pPr>
        <w:spacing w:after="0" w:line="222" w:lineRule="exact"/>
        <w:rPr>
          <w:sz w:val="20"/>
          <w:szCs w:val="20"/>
          <w:color w:val="auto"/>
        </w:rPr>
      </w:pPr>
    </w:p>
    <w:p>
      <w:pPr>
        <w:ind w:right="2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Our Consolidated Statements of Income include operating activity of acquired companies beginning with their acquisition date. We use the proportionate </w:t>
      </w:r>
      <w:hyperlink w:anchor="page97">
        <w:r>
          <w:rPr>
            <w:rFonts w:ascii="Arial" w:cs="Arial" w:eastAsia="Arial" w:hAnsi="Arial"/>
            <w:sz w:val="18"/>
            <w:szCs w:val="18"/>
            <w:color w:val="auto"/>
          </w:rPr>
          <w:t xml:space="preserve">consolidation method to account for our ownership interest in any jointly-owned electric utility generating facility, wind project or transmission tie. See </w:t>
        </w:r>
        <w:r>
          <w:rPr>
            <w:rFonts w:ascii="Arial" w:cs="Arial" w:eastAsia="Arial" w:hAnsi="Arial"/>
            <w:sz w:val="18"/>
            <w:szCs w:val="18"/>
            <w:u w:val="single" w:color="auto"/>
            <w:color w:val="0000EE"/>
          </w:rPr>
          <w:t>Note</w:t>
        </w:r>
      </w:hyperlink>
      <w:r>
        <w:rPr>
          <w:rFonts w:ascii="Arial" w:cs="Arial" w:eastAsia="Arial" w:hAnsi="Arial"/>
          <w:sz w:val="18"/>
          <w:szCs w:val="18"/>
          <w:color w:val="auto"/>
        </w:rPr>
        <w:t xml:space="preserve"> </w:t>
      </w:r>
      <w:hyperlink w:anchor="page97">
        <w:r>
          <w:rPr>
            <w:rFonts w:ascii="Arial" w:cs="Arial" w:eastAsia="Arial" w:hAnsi="Arial"/>
            <w:sz w:val="18"/>
            <w:szCs w:val="18"/>
            <w:u w:val="single" w:color="auto"/>
            <w:color w:val="0000EE"/>
          </w:rPr>
          <w:t>4</w:t>
        </w:r>
        <w:r>
          <w:rPr>
            <w:rFonts w:ascii="Arial" w:cs="Arial" w:eastAsia="Arial" w:hAnsi="Arial"/>
            <w:sz w:val="18"/>
            <w:szCs w:val="18"/>
            <w:color w:val="0000EE"/>
          </w:rPr>
          <w:t xml:space="preserve"> </w:t>
        </w:r>
        <w:r>
          <w:rPr>
            <w:rFonts w:ascii="Arial" w:cs="Arial" w:eastAsia="Arial" w:hAnsi="Arial"/>
            <w:sz w:val="18"/>
            <w:szCs w:val="18"/>
            <w:color w:val="000000"/>
          </w:rPr>
          <w:t>for additional information.</w:t>
        </w:r>
      </w:hyperlink>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Variable Interest Entities</w:t>
      </w:r>
    </w:p>
    <w:p>
      <w:pPr>
        <w:spacing w:after="0" w:line="229"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evaluate arrangements and contracts with other entities to determine if they are VIEs and if we are the primary beneficiary. GAAP provides a framework for identifying VIEs and determining when a company should include the assets, liabilities, noncontrolling interest and results of activities of a VIE in its consolidated financial statements.</w:t>
      </w:r>
    </w:p>
    <w:p>
      <w:pPr>
        <w:spacing w:after="0" w:line="18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40"/>
          </w:cols>
          <w:pgMar w:left="240" w:top="126" w:right="319" w:bottom="1440" w:gutter="0" w:footer="0" w:header="0"/>
        </w:sectPr>
      </w:pPr>
    </w:p>
    <w:bookmarkStart w:id="83" w:name="page84"/>
    <w:bookmarkEnd w:id="8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A VIE should be consolidated if a party with an ownership, contractual or other financial interest in the VIE (a variable interest holder) has the power to direct the VIE’s most significant activities and the obligation to absorb losses or right to receive benefits of the VIE that could be significant to the VIE. A variable interest holder that consolidates the VIE is called the primary beneficiary. Upon consolidation, the primary beneficiary generally must initially record all of the VIE’s assets, liabilities and noncontrolling interests at fair value and subsequently account for the VIE as if it were consolidated.</w:t>
      </w:r>
    </w:p>
    <w:p>
      <w:pPr>
        <w:spacing w:after="0" w:line="171" w:lineRule="exact"/>
        <w:rPr>
          <w:sz w:val="20"/>
          <w:szCs w:val="20"/>
          <w:color w:val="auto"/>
        </w:rPr>
      </w:pPr>
    </w:p>
    <w:p>
      <w:pPr>
        <w:ind w:right="8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Our evaluation of whether our interest qualifies as the primary beneficiary of a VIE involves significant judgments, estimates and assumptions and includes a qualitative analysis of the activities that most significantly impact the VIE’s economic performance and whether the Company has the power to direct those activities, the design of the entity, the rights of the parties and the purpose of the arrangement. Black Hills Colorado IPP is a VIE. See additional information in </w:t>
      </w:r>
      <w:hyperlink w:anchor="page113">
        <w:r>
          <w:rPr>
            <w:rFonts w:ascii="Arial" w:cs="Arial" w:eastAsia="Arial" w:hAnsi="Arial"/>
            <w:sz w:val="18"/>
            <w:szCs w:val="18"/>
            <w:u w:val="single" w:color="auto"/>
            <w:color w:val="0000EE"/>
          </w:rPr>
          <w:t>Note 12</w:t>
        </w:r>
      </w:hyperlink>
      <w:r>
        <w:rPr>
          <w:rFonts w:ascii="Arial" w:cs="Arial" w:eastAsia="Arial" w:hAnsi="Arial"/>
          <w:sz w:val="18"/>
          <w:szCs w:val="18"/>
          <w:color w:val="auto"/>
        </w:rPr>
        <w: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We consider all highly liquid investments with an original maturity of three months or less to be cash and cash equivalents. We maintain cash accounts for various specified purposes, which are classified as restricted cash.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 and Allowance for Doubtful Accounts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Accounts receivable for our Electric and Gas Utilities business segments primarily consists of sales to residential, commercial, industrial, municipal and other customers, all of which do not bear interest. These accounts receivable are stated at billed and estimated unbilled amounts net of write-offs and allowance for doubtful accounts. Accounts receivable for our Power Generation and Mining business segments consists of amounts due from sales of electric energy and capacity and coal.</w:t>
      </w:r>
    </w:p>
    <w:p>
      <w:pPr>
        <w:spacing w:after="0" w:line="146"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maintain an allowance for doubtful accounts which reflects our estimate of uncollectible trade receivables. We regularly review our trade receivable allowance by considering such factors as historical experience, credit worthiness, the age of the receivable balances and current economic conditions that may affect collectibility.</w:t>
      </w:r>
    </w:p>
    <w:p>
      <w:pPr>
        <w:spacing w:after="0" w:line="181"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specific cases where we are aware of a customer’s inability or reluctance to pay, we record an allowance for doubtful accounts to reduce the net receivable balance to the amount we reasonably expect to collect. However, if circumstances change, our estimate of the recoverability of accounts receivable could be affected. Circumstances which could affect our estimates include, but are not limited to, customer credit issues, the level of commodity prices, customer deposits and general economic conditions. Accounts are written off once they are deemed to be uncollectible or the time allowed for dispute under the contract has expired.</w:t>
      </w:r>
    </w:p>
    <w:p>
      <w:pPr>
        <w:spacing w:after="0" w:line="14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420"/>
          </w:cols>
          <w:pgMar w:left="240" w:top="126" w:right="239" w:bottom="1440" w:gutter="0" w:footer="0" w:header="0"/>
        </w:sectPr>
      </w:pPr>
    </w:p>
    <w:bookmarkStart w:id="84" w:name="page85"/>
    <w:bookmarkEnd w:id="8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accounts receivable as of December 31 (in thousands):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2019</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60" w:type="dxa"/>
            <w:vAlign w:val="bottom"/>
          </w:tcPr>
          <w:p>
            <w:pPr>
              <w:spacing w:after="0"/>
              <w:rPr>
                <w:sz w:val="20"/>
                <w:szCs w:val="20"/>
                <w:color w:val="auto"/>
              </w:rPr>
            </w:pPr>
          </w:p>
        </w:tc>
        <w:tc>
          <w:tcPr>
            <w:tcW w:w="1560" w:type="dxa"/>
            <w:vAlign w:val="bottom"/>
          </w:tcPr>
          <w:p>
            <w:pPr>
              <w:ind w:left="4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41,428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33,886</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(592)</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74,722</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97,607</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79,616</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(1,683)</w:t>
            </w:r>
          </w:p>
        </w:tc>
        <w:tc>
          <w:tcPr>
            <w:tcW w:w="4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175,540</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2,164</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2,164</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2,277</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1,271</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1,102</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144,747</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113,502</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(2,444)</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255,805</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68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7"/>
        </w:trPr>
        <w:tc>
          <w:tcPr>
            <w:tcW w:w="4540" w:type="dxa"/>
            <w:vAlign w:val="bottom"/>
            <w:vMerge w:val="restart"/>
          </w:tcPr>
          <w:p>
            <w:pPr>
              <w:ind w:left="2100"/>
              <w:spacing w:after="0"/>
              <w:rPr>
                <w:sz w:val="20"/>
                <w:szCs w:val="20"/>
                <w:color w:val="auto"/>
              </w:rPr>
            </w:pPr>
            <w:r>
              <w:rPr>
                <w:rFonts w:ascii="Arial" w:cs="Arial" w:eastAsia="Arial" w:hAnsi="Arial"/>
                <w:sz w:val="18"/>
                <w:szCs w:val="18"/>
                <w:b w:val="1"/>
                <w:bCs w:val="1"/>
                <w:color w:val="auto"/>
              </w:rPr>
              <w:t>2018</w:t>
            </w:r>
          </w:p>
        </w:tc>
        <w:tc>
          <w:tcPr>
            <w:tcW w:w="1680" w:type="dxa"/>
            <w:vAlign w:val="bottom"/>
            <w:gridSpan w:val="2"/>
          </w:tcPr>
          <w:p>
            <w:pPr>
              <w:jc w:val="center"/>
              <w:spacing w:after="0"/>
              <w:rPr>
                <w:sz w:val="20"/>
                <w:szCs w:val="20"/>
                <w:color w:val="auto"/>
              </w:rPr>
            </w:pPr>
            <w:r>
              <w:rPr>
                <w:rFonts w:ascii="Arial" w:cs="Arial" w:eastAsia="Arial" w:hAnsi="Arial"/>
                <w:sz w:val="18"/>
                <w:szCs w:val="18"/>
                <w:color w:val="auto"/>
                <w:w w:val="90"/>
              </w:rPr>
              <w:t>Accounts Receivable,</w:t>
            </w:r>
          </w:p>
        </w:tc>
        <w:tc>
          <w:tcPr>
            <w:tcW w:w="1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60" w:type="dxa"/>
            <w:vAlign w:val="bottom"/>
          </w:tcPr>
          <w:p>
            <w:pPr>
              <w:ind w:left="20"/>
              <w:spacing w:after="0"/>
              <w:rPr>
                <w:sz w:val="20"/>
                <w:szCs w:val="20"/>
                <w:color w:val="auto"/>
              </w:rPr>
            </w:pPr>
            <w:r>
              <w:rPr>
                <w:rFonts w:ascii="Arial" w:cs="Arial" w:eastAsia="Arial" w:hAnsi="Arial"/>
                <w:sz w:val="18"/>
                <w:szCs w:val="18"/>
                <w:color w:val="auto"/>
              </w:rPr>
              <w:t>Less Allowance for</w:t>
            </w:r>
          </w:p>
        </w:tc>
        <w:tc>
          <w:tcPr>
            <w:tcW w:w="1720" w:type="dxa"/>
            <w:vAlign w:val="bottom"/>
            <w:gridSpan w:val="2"/>
          </w:tcPr>
          <w:p>
            <w:pPr>
              <w:jc w:val="center"/>
              <w:spacing w:after="0"/>
              <w:rPr>
                <w:sz w:val="20"/>
                <w:szCs w:val="20"/>
                <w:color w:val="auto"/>
              </w:rPr>
            </w:pPr>
            <w:r>
              <w:rPr>
                <w:rFonts w:ascii="Arial" w:cs="Arial" w:eastAsia="Arial" w:hAnsi="Arial"/>
                <w:sz w:val="18"/>
                <w:szCs w:val="18"/>
                <w:color w:val="auto"/>
                <w:w w:val="91"/>
              </w:rPr>
              <w:t>Accounts Receivable,</w:t>
            </w:r>
          </w:p>
        </w:tc>
        <w:tc>
          <w:tcPr>
            <w:tcW w:w="0" w:type="dxa"/>
            <w:vAlign w:val="bottom"/>
          </w:tcPr>
          <w:p>
            <w:pPr>
              <w:spacing w:after="0"/>
              <w:rPr>
                <w:sz w:val="1"/>
                <w:szCs w:val="1"/>
                <w:color w:val="auto"/>
              </w:rPr>
            </w:pPr>
          </w:p>
        </w:tc>
      </w:tr>
      <w:tr>
        <w:trPr>
          <w:trHeight w:val="230"/>
        </w:trPr>
        <w:tc>
          <w:tcPr>
            <w:tcW w:w="4540" w:type="dxa"/>
            <w:vAlign w:val="bottom"/>
            <w:vMerge w:val="continue"/>
          </w:tcPr>
          <w:p>
            <w:pPr>
              <w:spacing w:after="0"/>
              <w:rPr>
                <w:sz w:val="20"/>
                <w:szCs w:val="20"/>
                <w:color w:val="auto"/>
              </w:rPr>
            </w:pPr>
          </w:p>
        </w:tc>
        <w:tc>
          <w:tcPr>
            <w:tcW w:w="380" w:type="dxa"/>
            <w:vAlign w:val="bottom"/>
          </w:tcPr>
          <w:p>
            <w:pPr>
              <w:spacing w:after="0"/>
              <w:rPr>
                <w:sz w:val="20"/>
                <w:szCs w:val="20"/>
                <w:color w:val="auto"/>
              </w:rPr>
            </w:pPr>
          </w:p>
        </w:tc>
        <w:tc>
          <w:tcPr>
            <w:tcW w:w="1300" w:type="dxa"/>
            <w:vAlign w:val="bottom"/>
          </w:tcPr>
          <w:p>
            <w:pPr>
              <w:jc w:val="center"/>
              <w:ind w:right="270"/>
              <w:spacing w:after="0"/>
              <w:rPr>
                <w:sz w:val="20"/>
                <w:szCs w:val="20"/>
                <w:color w:val="auto"/>
              </w:rPr>
            </w:pPr>
            <w:r>
              <w:rPr>
                <w:rFonts w:ascii="Arial" w:cs="Arial" w:eastAsia="Arial" w:hAnsi="Arial"/>
                <w:sz w:val="18"/>
                <w:szCs w:val="18"/>
                <w:color w:val="auto"/>
                <w:w w:val="89"/>
              </w:rPr>
              <w:t>Trade</w:t>
            </w:r>
          </w:p>
        </w:tc>
        <w:tc>
          <w:tcPr>
            <w:tcW w:w="180" w:type="dxa"/>
            <w:vAlign w:val="bottom"/>
          </w:tcPr>
          <w:p>
            <w:pPr>
              <w:spacing w:after="0"/>
              <w:rPr>
                <w:sz w:val="20"/>
                <w:szCs w:val="20"/>
                <w:color w:val="auto"/>
              </w:rPr>
            </w:pPr>
          </w:p>
        </w:tc>
        <w:tc>
          <w:tcPr>
            <w:tcW w:w="1500" w:type="dxa"/>
            <w:vAlign w:val="bottom"/>
          </w:tcPr>
          <w:p>
            <w:pPr>
              <w:jc w:val="right"/>
              <w:ind w:right="70"/>
              <w:spacing w:after="0"/>
              <w:rPr>
                <w:sz w:val="20"/>
                <w:szCs w:val="20"/>
                <w:color w:val="auto"/>
              </w:rPr>
            </w:pPr>
            <w:r>
              <w:rPr>
                <w:rFonts w:ascii="Arial" w:cs="Arial" w:eastAsia="Arial" w:hAnsi="Arial"/>
                <w:sz w:val="18"/>
                <w:szCs w:val="18"/>
                <w:color w:val="auto"/>
                <w:w w:val="92"/>
              </w:rPr>
              <w:t>Unbilled Revenue</w:t>
            </w:r>
          </w:p>
        </w:tc>
        <w:tc>
          <w:tcPr>
            <w:tcW w:w="160" w:type="dxa"/>
            <w:vAlign w:val="bottom"/>
          </w:tcPr>
          <w:p>
            <w:pPr>
              <w:spacing w:after="0"/>
              <w:rPr>
                <w:sz w:val="20"/>
                <w:szCs w:val="20"/>
                <w:color w:val="auto"/>
              </w:rPr>
            </w:pPr>
          </w:p>
        </w:tc>
        <w:tc>
          <w:tcPr>
            <w:tcW w:w="1560" w:type="dxa"/>
            <w:vAlign w:val="bottom"/>
          </w:tcPr>
          <w:p>
            <w:pPr>
              <w:ind w:left="40"/>
              <w:spacing w:after="0"/>
              <w:rPr>
                <w:sz w:val="20"/>
                <w:szCs w:val="20"/>
                <w:color w:val="auto"/>
              </w:rPr>
            </w:pPr>
            <w:r>
              <w:rPr>
                <w:rFonts w:ascii="Arial" w:cs="Arial" w:eastAsia="Arial" w:hAnsi="Arial"/>
                <w:sz w:val="18"/>
                <w:szCs w:val="18"/>
                <w:color w:val="auto"/>
              </w:rPr>
              <w:t>Doubtful Accounts</w:t>
            </w:r>
          </w:p>
        </w:tc>
        <w:tc>
          <w:tcPr>
            <w:tcW w:w="440" w:type="dxa"/>
            <w:vAlign w:val="bottom"/>
          </w:tcPr>
          <w:p>
            <w:pPr>
              <w:spacing w:after="0"/>
              <w:rPr>
                <w:sz w:val="20"/>
                <w:szCs w:val="20"/>
                <w:color w:val="auto"/>
              </w:rPr>
            </w:pPr>
          </w:p>
        </w:tc>
        <w:tc>
          <w:tcPr>
            <w:tcW w:w="1280" w:type="dxa"/>
            <w:vAlign w:val="bottom"/>
          </w:tcPr>
          <w:p>
            <w:pPr>
              <w:jc w:val="center"/>
              <w:ind w:right="330"/>
              <w:spacing w:after="0"/>
              <w:rPr>
                <w:sz w:val="20"/>
                <w:szCs w:val="20"/>
                <w:color w:val="auto"/>
              </w:rPr>
            </w:pPr>
            <w:r>
              <w:rPr>
                <w:rFonts w:ascii="Arial" w:cs="Arial" w:eastAsia="Arial" w:hAnsi="Arial"/>
                <w:sz w:val="18"/>
                <w:szCs w:val="18"/>
                <w:color w:val="auto"/>
                <w:w w:val="87"/>
              </w:rPr>
              <w:t>net</w:t>
            </w:r>
          </w:p>
        </w:tc>
        <w:tc>
          <w:tcPr>
            <w:tcW w:w="0" w:type="dxa"/>
            <w:vAlign w:val="bottom"/>
          </w:tcPr>
          <w:p>
            <w:pPr>
              <w:spacing w:after="0"/>
              <w:rPr>
                <w:sz w:val="1"/>
                <w:szCs w:val="1"/>
                <w:color w:val="auto"/>
              </w:rPr>
            </w:pPr>
          </w:p>
        </w:tc>
      </w:tr>
      <w:tr>
        <w:trPr>
          <w:trHeight w:val="27"/>
        </w:trPr>
        <w:tc>
          <w:tcPr>
            <w:tcW w:w="45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38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39,721</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35,125</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(448)</w:t>
            </w:r>
          </w:p>
        </w:tc>
        <w:tc>
          <w:tcPr>
            <w:tcW w:w="440" w:type="dxa"/>
            <w:vAlign w:val="bottom"/>
            <w:tcBorders>
              <w:bottom w:val="single" w:sz="8" w:color="CEFFE7"/>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74,398</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96,123</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90,521</w:t>
            </w:r>
          </w:p>
        </w:tc>
        <w:tc>
          <w:tcPr>
            <w:tcW w:w="160" w:type="dxa"/>
            <w:vAlign w:val="bottom"/>
          </w:tcPr>
          <w:p>
            <w:pPr>
              <w:spacing w:after="0"/>
              <w:rPr>
                <w:sz w:val="21"/>
                <w:szCs w:val="21"/>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(2,592)</w:t>
            </w:r>
          </w:p>
        </w:tc>
        <w:tc>
          <w:tcPr>
            <w:tcW w:w="4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184,052</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38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1,876</w:t>
            </w:r>
          </w:p>
        </w:tc>
        <w:tc>
          <w:tcPr>
            <w:tcW w:w="180" w:type="dxa"/>
            <w:vAlign w:val="bottom"/>
            <w:tcBorders>
              <w:bottom w:val="single" w:sz="8" w:color="CEFFE7"/>
            </w:tcBorders>
            <w:shd w:val="clear" w:color="auto" w:fill="CEFFE7"/>
          </w:tcPr>
          <w:p>
            <w:pPr>
              <w:spacing w:after="0"/>
              <w:rPr>
                <w:sz w:val="21"/>
                <w:szCs w:val="21"/>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1"/>
                <w:szCs w:val="21"/>
                <w:color w:val="auto"/>
              </w:rPr>
            </w:pPr>
          </w:p>
        </w:tc>
        <w:tc>
          <w:tcPr>
            <w:tcW w:w="15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1,876</w:t>
            </w:r>
          </w:p>
        </w:tc>
        <w:tc>
          <w:tcPr>
            <w:tcW w:w="0" w:type="dxa"/>
            <w:vAlign w:val="bottom"/>
          </w:tcPr>
          <w:p>
            <w:pPr>
              <w:spacing w:after="0"/>
              <w:rPr>
                <w:sz w:val="1"/>
                <w:szCs w:val="1"/>
                <w:color w:val="auto"/>
              </w:rPr>
            </w:pPr>
          </w:p>
        </w:tc>
      </w:tr>
      <w:tr>
        <w:trPr>
          <w:trHeight w:val="243"/>
        </w:trPr>
        <w:tc>
          <w:tcPr>
            <w:tcW w:w="4540" w:type="dxa"/>
            <w:vAlign w:val="bottom"/>
          </w:tcPr>
          <w:p>
            <w:pPr>
              <w:ind w:left="40"/>
              <w:spacing w:after="0"/>
              <w:rPr>
                <w:sz w:val="20"/>
                <w:szCs w:val="20"/>
                <w:color w:val="auto"/>
              </w:rPr>
            </w:pPr>
            <w:r>
              <w:rPr>
                <w:rFonts w:ascii="Arial" w:cs="Arial" w:eastAsia="Arial" w:hAnsi="Arial"/>
                <w:sz w:val="18"/>
                <w:szCs w:val="18"/>
                <w:color w:val="auto"/>
              </w:rPr>
              <w:t>Mining</w:t>
            </w:r>
          </w:p>
        </w:tc>
        <w:tc>
          <w:tcPr>
            <w:tcW w:w="38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440" w:type="dxa"/>
            <w:vAlign w:val="bottom"/>
          </w:tcPr>
          <w:p>
            <w:pPr>
              <w:spacing w:after="0"/>
              <w:rPr>
                <w:sz w:val="21"/>
                <w:szCs w:val="21"/>
                <w:color w:val="auto"/>
              </w:rPr>
            </w:pPr>
          </w:p>
        </w:tc>
        <w:tc>
          <w:tcPr>
            <w:tcW w:w="1280" w:type="dxa"/>
            <w:vAlign w:val="bottom"/>
          </w:tcPr>
          <w:p>
            <w:pPr>
              <w:jc w:val="right"/>
              <w:ind w:right="10"/>
              <w:spacing w:after="0"/>
              <w:rPr>
                <w:sz w:val="20"/>
                <w:szCs w:val="20"/>
                <w:color w:val="auto"/>
              </w:rPr>
            </w:pPr>
            <w:r>
              <w:rPr>
                <w:rFonts w:ascii="Arial" w:cs="Arial" w:eastAsia="Arial" w:hAnsi="Arial"/>
                <w:sz w:val="18"/>
                <w:szCs w:val="18"/>
                <w:color w:val="auto"/>
              </w:rPr>
              <w:t>3,988</w:t>
            </w:r>
          </w:p>
        </w:tc>
        <w:tc>
          <w:tcPr>
            <w:tcW w:w="0" w:type="dxa"/>
            <w:vAlign w:val="bottom"/>
          </w:tcPr>
          <w:p>
            <w:pPr>
              <w:spacing w:after="0"/>
              <w:rPr>
                <w:sz w:val="1"/>
                <w:szCs w:val="1"/>
                <w:color w:val="auto"/>
              </w:rPr>
            </w:pPr>
          </w:p>
        </w:tc>
      </w:tr>
      <w:tr>
        <w:trPr>
          <w:trHeight w:val="27"/>
        </w:trPr>
        <w:tc>
          <w:tcPr>
            <w:tcW w:w="454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5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Corporate</w:t>
            </w:r>
          </w:p>
        </w:tc>
        <w:tc>
          <w:tcPr>
            <w:tcW w:w="38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5,008</w:t>
            </w:r>
          </w:p>
        </w:tc>
        <w:tc>
          <w:tcPr>
            <w:tcW w:w="180" w:type="dxa"/>
            <w:vAlign w:val="bottom"/>
            <w:tcBorders>
              <w:bottom w:val="single" w:sz="8" w:color="CEFFE7"/>
            </w:tcBorders>
            <w:shd w:val="clear" w:color="auto" w:fill="CEFFE7"/>
          </w:tcPr>
          <w:p>
            <w:pPr>
              <w:spacing w:after="0"/>
              <w:rPr>
                <w:sz w:val="23"/>
                <w:szCs w:val="23"/>
                <w:color w:val="auto"/>
              </w:rPr>
            </w:pPr>
          </w:p>
        </w:tc>
        <w:tc>
          <w:tcPr>
            <w:tcW w:w="1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(169)</w:t>
            </w:r>
          </w:p>
        </w:tc>
        <w:tc>
          <w:tcPr>
            <w:tcW w:w="44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4,839</w:t>
            </w:r>
          </w:p>
        </w:tc>
        <w:tc>
          <w:tcPr>
            <w:tcW w:w="0" w:type="dxa"/>
            <w:vAlign w:val="bottom"/>
          </w:tcPr>
          <w:p>
            <w:pPr>
              <w:spacing w:after="0"/>
              <w:rPr>
                <w:sz w:val="1"/>
                <w:szCs w:val="1"/>
                <w:color w:val="auto"/>
              </w:rPr>
            </w:pPr>
          </w:p>
        </w:tc>
      </w:tr>
      <w:tr>
        <w:trPr>
          <w:trHeight w:val="257"/>
        </w:trPr>
        <w:tc>
          <w:tcPr>
            <w:tcW w:w="4540" w:type="dxa"/>
            <w:vAlign w:val="bottom"/>
          </w:tcPr>
          <w:p>
            <w:pPr>
              <w:ind w:left="40"/>
              <w:spacing w:after="0"/>
              <w:rPr>
                <w:sz w:val="20"/>
                <w:szCs w:val="20"/>
                <w:color w:val="auto"/>
              </w:rPr>
            </w:pPr>
            <w:r>
              <w:rPr>
                <w:rFonts w:ascii="Arial" w:cs="Arial" w:eastAsia="Arial" w:hAnsi="Arial"/>
                <w:sz w:val="18"/>
                <w:szCs w:val="18"/>
                <w:color w:val="auto"/>
              </w:rPr>
              <w:t>Total</w:t>
            </w:r>
          </w:p>
        </w:tc>
        <w:tc>
          <w:tcPr>
            <w:tcW w:w="38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146,716</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125,646</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(3,209)</w:t>
            </w:r>
          </w:p>
        </w:tc>
        <w:tc>
          <w:tcPr>
            <w:tcW w:w="44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269,153</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Changes to allowance for doubtful accounts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600" w:type="dxa"/>
            <w:vAlign w:val="bottom"/>
            <w:gridSpan w:val="2"/>
          </w:tcPr>
          <w:p>
            <w:pPr>
              <w:jc w:val="center"/>
              <w:spacing w:after="0"/>
              <w:rPr>
                <w:sz w:val="20"/>
                <w:szCs w:val="20"/>
                <w:color w:val="auto"/>
              </w:rPr>
            </w:pPr>
            <w:r>
              <w:rPr>
                <w:rFonts w:ascii="Arial" w:cs="Arial" w:eastAsia="Arial" w:hAnsi="Arial"/>
                <w:sz w:val="18"/>
                <w:szCs w:val="18"/>
                <w:color w:val="auto"/>
                <w:w w:val="93"/>
              </w:rPr>
              <w:t>Additions Charged</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16"/>
        </w:trPr>
        <w:tc>
          <w:tcPr>
            <w:tcW w:w="21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color w:val="auto"/>
              </w:rPr>
              <w:t>Balance at</w:t>
            </w:r>
          </w:p>
        </w:tc>
        <w:tc>
          <w:tcPr>
            <w:tcW w:w="300" w:type="dxa"/>
            <w:vAlign w:val="bottom"/>
          </w:tcPr>
          <w:p>
            <w:pPr>
              <w:spacing w:after="0"/>
              <w:rPr>
                <w:sz w:val="18"/>
                <w:szCs w:val="18"/>
                <w:color w:val="auto"/>
              </w:rPr>
            </w:pPr>
          </w:p>
        </w:tc>
        <w:tc>
          <w:tcPr>
            <w:tcW w:w="1300" w:type="dxa"/>
            <w:vAlign w:val="bottom"/>
          </w:tcPr>
          <w:p>
            <w:pPr>
              <w:jc w:val="center"/>
              <w:ind w:right="150"/>
              <w:spacing w:after="0"/>
              <w:rPr>
                <w:sz w:val="20"/>
                <w:szCs w:val="20"/>
                <w:color w:val="auto"/>
              </w:rPr>
            </w:pPr>
            <w:r>
              <w:rPr>
                <w:rFonts w:ascii="Arial" w:cs="Arial" w:eastAsia="Arial" w:hAnsi="Arial"/>
                <w:sz w:val="18"/>
                <w:szCs w:val="18"/>
                <w:color w:val="auto"/>
                <w:w w:val="89"/>
              </w:rPr>
              <w:t>to Costs and</w:t>
            </w:r>
          </w:p>
        </w:tc>
        <w:tc>
          <w:tcPr>
            <w:tcW w:w="200" w:type="dxa"/>
            <w:vAlign w:val="bottom"/>
          </w:tcPr>
          <w:p>
            <w:pPr>
              <w:spacing w:after="0"/>
              <w:rPr>
                <w:sz w:val="18"/>
                <w:szCs w:val="18"/>
                <w:color w:val="auto"/>
              </w:rPr>
            </w:pPr>
          </w:p>
        </w:tc>
        <w:tc>
          <w:tcPr>
            <w:tcW w:w="1360" w:type="dxa"/>
            <w:vAlign w:val="bottom"/>
          </w:tcPr>
          <w:p>
            <w:pPr>
              <w:jc w:val="right"/>
              <w:ind w:right="110"/>
              <w:spacing w:after="0"/>
              <w:rPr>
                <w:sz w:val="20"/>
                <w:szCs w:val="20"/>
                <w:color w:val="auto"/>
              </w:rPr>
            </w:pPr>
            <w:r>
              <w:rPr>
                <w:rFonts w:ascii="Arial" w:cs="Arial" w:eastAsia="Arial" w:hAnsi="Arial"/>
                <w:sz w:val="18"/>
                <w:szCs w:val="18"/>
                <w:color w:val="auto"/>
                <w:w w:val="91"/>
              </w:rPr>
              <w:t>Recoveries and</w:t>
            </w:r>
          </w:p>
        </w:tc>
        <w:tc>
          <w:tcPr>
            <w:tcW w:w="260" w:type="dxa"/>
            <w:vAlign w:val="bottom"/>
          </w:tcPr>
          <w:p>
            <w:pPr>
              <w:spacing w:after="0"/>
              <w:rPr>
                <w:sz w:val="18"/>
                <w:szCs w:val="18"/>
                <w:color w:val="auto"/>
              </w:rPr>
            </w:pPr>
          </w:p>
        </w:tc>
        <w:tc>
          <w:tcPr>
            <w:tcW w:w="1340" w:type="dxa"/>
            <w:vAlign w:val="bottom"/>
          </w:tcPr>
          <w:p>
            <w:pPr>
              <w:jc w:val="right"/>
              <w:ind w:right="150"/>
              <w:spacing w:after="0"/>
              <w:rPr>
                <w:sz w:val="20"/>
                <w:szCs w:val="20"/>
                <w:color w:val="auto"/>
              </w:rPr>
            </w:pPr>
            <w:r>
              <w:rPr>
                <w:rFonts w:ascii="Arial" w:cs="Arial" w:eastAsia="Arial" w:hAnsi="Arial"/>
                <w:sz w:val="18"/>
                <w:szCs w:val="18"/>
                <w:color w:val="auto"/>
                <w:w w:val="96"/>
              </w:rPr>
              <w:t>Write-offs and</w:t>
            </w:r>
          </w:p>
        </w:tc>
        <w:tc>
          <w:tcPr>
            <w:tcW w:w="1540" w:type="dxa"/>
            <w:vAlign w:val="bottom"/>
            <w:gridSpan w:val="2"/>
          </w:tcPr>
          <w:p>
            <w:pPr>
              <w:jc w:val="right"/>
              <w:spacing w:after="0"/>
              <w:rPr>
                <w:sz w:val="20"/>
                <w:szCs w:val="20"/>
                <w:color w:val="auto"/>
              </w:rPr>
            </w:pPr>
            <w:r>
              <w:rPr>
                <w:rFonts w:ascii="Arial" w:cs="Arial" w:eastAsia="Arial" w:hAnsi="Arial"/>
                <w:sz w:val="18"/>
                <w:szCs w:val="18"/>
                <w:color w:val="auto"/>
              </w:rPr>
              <w:t>Balance at End of</w:t>
            </w:r>
          </w:p>
        </w:tc>
      </w:tr>
      <w:tr>
        <w:trPr>
          <w:trHeight w:val="230"/>
        </w:trPr>
        <w:tc>
          <w:tcPr>
            <w:tcW w:w="2120" w:type="dxa"/>
            <w:vAlign w:val="bottom"/>
          </w:tcPr>
          <w:p>
            <w:pPr>
              <w:spacing w:after="0"/>
              <w:rPr>
                <w:sz w:val="20"/>
                <w:szCs w:val="20"/>
                <w:color w:val="auto"/>
              </w:rPr>
            </w:pPr>
          </w:p>
        </w:tc>
        <w:tc>
          <w:tcPr>
            <w:tcW w:w="2980" w:type="dxa"/>
            <w:vAlign w:val="bottom"/>
            <w:gridSpan w:val="2"/>
          </w:tcPr>
          <w:p>
            <w:pPr>
              <w:jc w:val="right"/>
              <w:ind w:right="30"/>
              <w:spacing w:after="0"/>
              <w:rPr>
                <w:sz w:val="20"/>
                <w:szCs w:val="20"/>
                <w:color w:val="auto"/>
              </w:rPr>
            </w:pPr>
            <w:r>
              <w:rPr>
                <w:rFonts w:ascii="Arial" w:cs="Arial" w:eastAsia="Arial" w:hAnsi="Arial"/>
                <w:sz w:val="18"/>
                <w:szCs w:val="18"/>
                <w:color w:val="auto"/>
              </w:rPr>
              <w:t>Beginning of Year</w:t>
            </w:r>
          </w:p>
        </w:tc>
        <w:tc>
          <w:tcPr>
            <w:tcW w:w="300" w:type="dxa"/>
            <w:vAlign w:val="bottom"/>
          </w:tcPr>
          <w:p>
            <w:pPr>
              <w:spacing w:after="0"/>
              <w:rPr>
                <w:sz w:val="20"/>
                <w:szCs w:val="20"/>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85"/>
              </w:rPr>
              <w:t>Expenses</w:t>
            </w:r>
          </w:p>
        </w:tc>
        <w:tc>
          <w:tcPr>
            <w:tcW w:w="200" w:type="dxa"/>
            <w:vAlign w:val="bottom"/>
          </w:tcPr>
          <w:p>
            <w:pPr>
              <w:spacing w:after="0"/>
              <w:rPr>
                <w:sz w:val="20"/>
                <w:szCs w:val="20"/>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w w:val="95"/>
              </w:rPr>
              <w:t>Other Additions</w:t>
            </w:r>
          </w:p>
        </w:tc>
        <w:tc>
          <w:tcPr>
            <w:tcW w:w="1600" w:type="dxa"/>
            <w:vAlign w:val="bottom"/>
            <w:gridSpan w:val="2"/>
          </w:tcPr>
          <w:p>
            <w:pPr>
              <w:jc w:val="right"/>
              <w:ind w:right="50"/>
              <w:spacing w:after="0"/>
              <w:rPr>
                <w:sz w:val="20"/>
                <w:szCs w:val="20"/>
                <w:color w:val="auto"/>
              </w:rPr>
            </w:pPr>
            <w:r>
              <w:rPr>
                <w:rFonts w:ascii="Arial" w:cs="Arial" w:eastAsia="Arial" w:hAnsi="Arial"/>
                <w:sz w:val="18"/>
                <w:szCs w:val="18"/>
                <w:color w:val="auto"/>
              </w:rPr>
              <w:t>Other Deductions</w:t>
            </w:r>
          </w:p>
        </w:tc>
        <w:tc>
          <w:tcPr>
            <w:tcW w:w="42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Arial" w:cs="Arial" w:eastAsia="Arial" w:hAnsi="Arial"/>
                <w:sz w:val="18"/>
                <w:szCs w:val="18"/>
                <w:color w:val="auto"/>
              </w:rPr>
              <w:t>Year</w:t>
            </w:r>
          </w:p>
        </w:tc>
      </w:tr>
      <w:tr>
        <w:trPr>
          <w:trHeight w:val="27"/>
        </w:trPr>
        <w:tc>
          <w:tcPr>
            <w:tcW w:w="2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EFFE7"/>
            </w:tcBorders>
            <w:shd w:val="clear" w:color="auto" w:fill="CEFFE7"/>
          </w:tcPr>
          <w:p>
            <w:pPr>
              <w:jc w:val="right"/>
              <w:ind w:right="1390"/>
              <w:spacing w:after="0"/>
              <w:rPr>
                <w:sz w:val="20"/>
                <w:szCs w:val="20"/>
                <w:color w:val="auto"/>
              </w:rPr>
            </w:pPr>
            <w:r>
              <w:rPr>
                <w:rFonts w:ascii="Arial" w:cs="Arial" w:eastAsia="Arial" w:hAnsi="Arial"/>
                <w:sz w:val="18"/>
                <w:szCs w:val="18"/>
                <w:color w:val="auto"/>
              </w:rPr>
              <w:t>2019</w:t>
            </w:r>
          </w:p>
        </w:tc>
        <w:tc>
          <w:tcPr>
            <w:tcW w:w="16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3,209</w:t>
            </w:r>
          </w:p>
        </w:tc>
        <w:tc>
          <w:tcPr>
            <w:tcW w:w="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5,795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3,942</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(10,502)</w:t>
            </w:r>
          </w:p>
        </w:tc>
        <w:tc>
          <w:tcPr>
            <w:tcW w:w="4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2,444</w:t>
            </w:r>
          </w:p>
        </w:tc>
      </w:tr>
      <w:tr>
        <w:trPr>
          <w:trHeight w:val="243"/>
        </w:trPr>
        <w:tc>
          <w:tcPr>
            <w:tcW w:w="2120" w:type="dxa"/>
            <w:vAlign w:val="bottom"/>
          </w:tcPr>
          <w:p>
            <w:pPr>
              <w:jc w:val="right"/>
              <w:ind w:right="1390"/>
              <w:spacing w:after="0"/>
              <w:rPr>
                <w:sz w:val="20"/>
                <w:szCs w:val="20"/>
                <w:color w:val="auto"/>
              </w:rPr>
            </w:pPr>
            <w:r>
              <w:rPr>
                <w:rFonts w:ascii="Arial" w:cs="Arial" w:eastAsia="Arial" w:hAnsi="Arial"/>
                <w:sz w:val="18"/>
                <w:szCs w:val="18"/>
                <w:color w:val="auto"/>
              </w:rPr>
              <w:t>2018</w:t>
            </w:r>
          </w:p>
        </w:tc>
        <w:tc>
          <w:tcPr>
            <w:tcW w:w="16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3,081</w:t>
            </w: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6,859</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0"/>
              <w:spacing w:after="0"/>
              <w:rPr>
                <w:sz w:val="20"/>
                <w:szCs w:val="20"/>
                <w:color w:val="auto"/>
              </w:rPr>
            </w:pPr>
            <w:r>
              <w:rPr>
                <w:rFonts w:ascii="Arial" w:cs="Arial" w:eastAsia="Arial" w:hAnsi="Arial"/>
                <w:sz w:val="18"/>
                <w:szCs w:val="18"/>
                <w:color w:val="auto"/>
              </w:rPr>
              <w:t>4,092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(10,823)</w:t>
            </w:r>
          </w:p>
        </w:tc>
        <w:tc>
          <w:tcPr>
            <w:tcW w:w="42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3,209</w:t>
            </w:r>
          </w:p>
        </w:tc>
      </w:tr>
      <w:tr>
        <w:trPr>
          <w:trHeight w:val="27"/>
        </w:trPr>
        <w:tc>
          <w:tcPr>
            <w:tcW w:w="21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2120" w:type="dxa"/>
            <w:vAlign w:val="bottom"/>
            <w:shd w:val="clear" w:color="auto" w:fill="CEFFE7"/>
          </w:tcPr>
          <w:p>
            <w:pPr>
              <w:jc w:val="right"/>
              <w:ind w:right="1390"/>
              <w:spacing w:after="0"/>
              <w:rPr>
                <w:sz w:val="20"/>
                <w:szCs w:val="20"/>
                <w:color w:val="auto"/>
              </w:rPr>
            </w:pPr>
            <w:r>
              <w:rPr>
                <w:rFonts w:ascii="Arial" w:cs="Arial" w:eastAsia="Arial" w:hAnsi="Arial"/>
                <w:sz w:val="18"/>
                <w:szCs w:val="18"/>
                <w:color w:val="auto"/>
              </w:rPr>
              <w:t>2017</w:t>
            </w:r>
          </w:p>
        </w:tc>
        <w:tc>
          <w:tcPr>
            <w:tcW w:w="16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2,392</w:t>
            </w:r>
          </w:p>
        </w:tc>
        <w:tc>
          <w:tcPr>
            <w:tcW w:w="3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4,926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8,262</w:t>
            </w:r>
          </w:p>
        </w:tc>
        <w:tc>
          <w:tcPr>
            <w:tcW w:w="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(12,499)</w:t>
            </w:r>
          </w:p>
        </w:tc>
        <w:tc>
          <w:tcPr>
            <w:tcW w:w="42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3,081</w:t>
            </w:r>
          </w:p>
        </w:tc>
      </w:tr>
      <w:tr>
        <w:trPr>
          <w:trHeight w:val="27"/>
        </w:trPr>
        <w:tc>
          <w:tcPr>
            <w:tcW w:w="2120" w:type="dxa"/>
            <w:vAlign w:val="bottom"/>
            <w:shd w:val="clear" w:color="auto" w:fill="CEFFE7"/>
          </w:tcPr>
          <w:p>
            <w:pPr>
              <w:spacing w:after="0"/>
              <w:rPr>
                <w:sz w:val="2"/>
                <w:szCs w:val="2"/>
                <w:color w:val="auto"/>
              </w:rPr>
            </w:pPr>
          </w:p>
        </w:tc>
        <w:tc>
          <w:tcPr>
            <w:tcW w:w="168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30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1360" w:type="dxa"/>
            <w:vAlign w:val="bottom"/>
            <w:shd w:val="clear" w:color="auto" w:fill="CEFFE7"/>
          </w:tcPr>
          <w:p>
            <w:pPr>
              <w:spacing w:after="0"/>
              <w:rPr>
                <w:sz w:val="2"/>
                <w:szCs w:val="2"/>
                <w:color w:val="auto"/>
              </w:rPr>
            </w:pPr>
          </w:p>
        </w:tc>
        <w:tc>
          <w:tcPr>
            <w:tcW w:w="260" w:type="dxa"/>
            <w:vAlign w:val="bottom"/>
            <w:shd w:val="clear" w:color="auto" w:fill="CEFFE7"/>
          </w:tcPr>
          <w:p>
            <w:pPr>
              <w:spacing w:after="0"/>
              <w:rPr>
                <w:sz w:val="2"/>
                <w:szCs w:val="2"/>
                <w:color w:val="auto"/>
              </w:rPr>
            </w:pPr>
          </w:p>
        </w:tc>
        <w:tc>
          <w:tcPr>
            <w:tcW w:w="134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12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Materials, Supplies and Fuel</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amounts by major classification are included in Materials, supplies and fuel on the accompanying Consolidated Balance Sheets as of December 31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7080" w:type="dxa"/>
            <w:vAlign w:val="bottom"/>
            <w:tcBorders>
              <w:bottom w:val="single" w:sz="8" w:color="CEFFE7"/>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Materials and supplies</w:t>
            </w:r>
          </w:p>
        </w:tc>
        <w:tc>
          <w:tcPr>
            <w:tcW w:w="1360" w:type="dxa"/>
            <w:vAlign w:val="bottom"/>
            <w:tcBorders>
              <w:bottom w:val="single" w:sz="8" w:color="CEFFE7"/>
            </w:tcBorders>
            <w:shd w:val="clear" w:color="auto" w:fill="CEFFE7"/>
          </w:tcPr>
          <w:p>
            <w:pPr>
              <w:jc w:val="right"/>
              <w:ind w:right="1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82,809</w:t>
            </w:r>
          </w:p>
        </w:tc>
        <w:tc>
          <w:tcPr>
            <w:tcW w:w="5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75,081</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Fuel - Electric Utilities</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2,425</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2,850</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Natural gas in storage</w:t>
            </w:r>
          </w:p>
        </w:tc>
        <w:tc>
          <w:tcPr>
            <w:tcW w:w="136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31,938</w:t>
            </w:r>
          </w:p>
        </w:tc>
        <w:tc>
          <w:tcPr>
            <w:tcW w:w="54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39,368</w:t>
            </w:r>
          </w:p>
        </w:tc>
      </w:tr>
      <w:tr>
        <w:trPr>
          <w:trHeight w:val="257"/>
        </w:trPr>
        <w:tc>
          <w:tcPr>
            <w:tcW w:w="7080" w:type="dxa"/>
            <w:vAlign w:val="bottom"/>
          </w:tcPr>
          <w:p>
            <w:pPr>
              <w:ind w:left="160"/>
              <w:spacing w:after="0"/>
              <w:rPr>
                <w:sz w:val="20"/>
                <w:szCs w:val="20"/>
                <w:color w:val="auto"/>
              </w:rPr>
            </w:pPr>
            <w:r>
              <w:rPr>
                <w:rFonts w:ascii="Arial" w:cs="Arial" w:eastAsia="Arial" w:hAnsi="Arial"/>
                <w:sz w:val="18"/>
                <w:szCs w:val="18"/>
                <w:color w:val="auto"/>
              </w:rPr>
              <w:t>Total materials, supplies and fuel</w:t>
            </w: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117,172</w:t>
            </w:r>
          </w:p>
        </w:tc>
        <w:tc>
          <w:tcPr>
            <w:tcW w:w="5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117,299</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Materials and supplies represent parts and supplies for all of our business segments. Fuel - Electric Utilities represents oil, gas and coal on hand used to produce power. Natural gas in storage primarily represents gas purchased for use by our gas customers. All of our Materials, supplies and fuel are recorded using the weighted-average cost method and are valued at the lower-of-cost or net realizable value. The value of our Natural gas in storage fluctuates with seasonal volume requirements of our business and the commodity price of natural gas.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420"/>
          </w:cols>
          <w:pgMar w:left="240" w:top="126" w:right="239" w:bottom="1440" w:gutter="0" w:footer="0" w:header="0"/>
        </w:sectPr>
      </w:pPr>
    </w:p>
    <w:bookmarkStart w:id="85" w:name="page86"/>
    <w:bookmarkEnd w:id="8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In February 2018, we made a contribution of $28 million of assets in exchange for equity securities in a privately held oil and gas company as we divested of our Oil and Gas segment. The carrying value of our investment in the equity securities was recorded at cost. We review this investment on a periodic basis to determine whether a significant event or change in circumstances has occurred that may have an adverse effect on the value of the investment.</w:t>
      </w:r>
    </w:p>
    <w:p>
      <w:pPr>
        <w:spacing w:after="0" w:line="147"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During the third quarter of 2019, we assessed our investment for impairment as a result of a deterioration in earnings performance of the privately held oil and gas company and an adverse change in future natural gas prices. We engaged a third-party valuation consultant to estimate the fair value of our investment. The valuation was primarily based on an income approach but also considered a market valuation approach. The significant inputs used to estimate the fair value were the oil and gas reserve quantities and values utilizing forward market price curves, industry standard reserve adjustment factors and a discount rate of 10%. Based on the results of the valuation, we concluded that the carrying value of the investment exceeded fair value. As a result, we recorded a pre-tax impairment loss of $20 million, which was the difference between the carrying amount and the fair value of the investment.</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carrying value of our investments (in thousands) as of December 31:</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7080" w:type="dxa"/>
            <w:vAlign w:val="bottom"/>
            <w:tcBorders>
              <w:bottom w:val="single" w:sz="8" w:color="CEFFE7"/>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Investment in privately held oil and gas company</w:t>
            </w:r>
          </w:p>
        </w:tc>
        <w:tc>
          <w:tcPr>
            <w:tcW w:w="140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8,359</w:t>
            </w:r>
          </w:p>
        </w:tc>
        <w:tc>
          <w:tcPr>
            <w:tcW w:w="5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28,100</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Cash surrender value of life insurance contracts</w:t>
            </w:r>
          </w:p>
        </w:tc>
        <w:tc>
          <w:tcPr>
            <w:tcW w:w="14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13,056</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12,812</w:t>
            </w:r>
          </w:p>
        </w:tc>
      </w:tr>
      <w:tr>
        <w:trPr>
          <w:trHeight w:val="27"/>
        </w:trPr>
        <w:tc>
          <w:tcPr>
            <w:tcW w:w="70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Other investments</w:t>
            </w:r>
          </w:p>
        </w:tc>
        <w:tc>
          <w:tcPr>
            <w:tcW w:w="140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514</w:t>
            </w:r>
          </w:p>
        </w:tc>
        <w:tc>
          <w:tcPr>
            <w:tcW w:w="540" w:type="dxa"/>
            <w:vAlign w:val="bottom"/>
            <w:tcBorders>
              <w:bottom w:val="single" w:sz="8" w:color="CEFFE7"/>
            </w:tcBorders>
            <w:shd w:val="clear" w:color="auto" w:fill="CEFFE7"/>
          </w:tcPr>
          <w:p>
            <w:pPr>
              <w:spacing w:after="0"/>
              <w:rPr>
                <w:sz w:val="23"/>
                <w:szCs w:val="23"/>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101</w:t>
            </w:r>
          </w:p>
        </w:tc>
      </w:tr>
      <w:tr>
        <w:trPr>
          <w:trHeight w:val="257"/>
        </w:trPr>
        <w:tc>
          <w:tcPr>
            <w:tcW w:w="7080" w:type="dxa"/>
            <w:vAlign w:val="bottom"/>
          </w:tcPr>
          <w:p>
            <w:pPr>
              <w:ind w:left="260"/>
              <w:spacing w:after="0"/>
              <w:rPr>
                <w:sz w:val="20"/>
                <w:szCs w:val="20"/>
                <w:color w:val="auto"/>
              </w:rPr>
            </w:pPr>
            <w:r>
              <w:rPr>
                <w:rFonts w:ascii="Arial" w:cs="Arial" w:eastAsia="Arial" w:hAnsi="Arial"/>
                <w:sz w:val="18"/>
                <w:szCs w:val="18"/>
                <w:color w:val="auto"/>
              </w:rPr>
              <w:t>Total investments</w:t>
            </w:r>
          </w:p>
        </w:tc>
        <w:tc>
          <w:tcPr>
            <w:tcW w:w="1400" w:type="dxa"/>
            <w:vAlign w:val="bottom"/>
            <w:tcBorders>
              <w:top w:val="single" w:sz="8" w:color="auto"/>
              <w:bottom w:val="single" w:sz="8" w:color="auto"/>
            </w:tcBorders>
          </w:tcPr>
          <w:p>
            <w:pPr>
              <w:jc w:val="right"/>
              <w:ind w:right="1210"/>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21,929</w:t>
            </w:r>
          </w:p>
        </w:tc>
        <w:tc>
          <w:tcPr>
            <w:tcW w:w="54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41,013</w:t>
            </w:r>
          </w:p>
        </w:tc>
      </w:tr>
      <w:tr>
        <w:trPr>
          <w:trHeight w:val="20"/>
        </w:trPr>
        <w:tc>
          <w:tcPr>
            <w:tcW w:w="708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Plant and Equipment</w:t>
      </w:r>
    </w:p>
    <w:p>
      <w:pPr>
        <w:spacing w:after="0" w:line="229"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Additions to property, plant and equipment are recorded at cost. Included in the cost of regulated construction projects is AFUDC, when applicable, which represents the approximate composite cost of borrowed funds and a return on equity used to finance a regulated utility project. We also capitalize interest, when applicable, on undeveloped leasehold costs and certain non-regulated construction projects. In addition, asset retirement costs associated with tangible long-lived regulated utility assets are recognized as liabilities with an increase to the carrying amounts of the related long-lived regulated utility assets in the period incurred. The amounts capitalized are included in Property, plant and equipment on the accompanying Consolidated Balance Sheets. We also classify our base or “Cushion gas” as property, plant and equipment.</w:t>
      </w:r>
    </w:p>
    <w:p>
      <w:pPr>
        <w:spacing w:after="0" w:line="178"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cost of regulated utility property, plant and equipment retired, or otherwise disposed of in the ordinary course of business, less salvage plus retirement costs, is charged to accumulated depreciation. Estimated removal costs associated with non-legal retirement obligations related to our regulated properties are reclassified from accumulated depreciation and reflected as regulatory liabilities. Retirement or disposal of all other assets result in gains or losses recognized as a component of operating income. Ordinary repairs and maintenance of property, except as allowed under rate regulations, are charged to operations as incurred.</w:t>
      </w:r>
    </w:p>
    <w:p>
      <w:pPr>
        <w:spacing w:after="0" w:line="188" w:lineRule="exact"/>
        <w:rPr>
          <w:sz w:val="20"/>
          <w:szCs w:val="20"/>
          <w:color w:val="auto"/>
        </w:rPr>
      </w:pPr>
    </w:p>
    <w:p>
      <w:pPr>
        <w:jc w:val="both"/>
        <w:ind w:right="60"/>
        <w:spacing w:after="0" w:line="312" w:lineRule="auto"/>
        <w:rPr>
          <w:sz w:val="20"/>
          <w:szCs w:val="20"/>
          <w:color w:val="auto"/>
        </w:rPr>
      </w:pPr>
      <w:r>
        <w:rPr>
          <w:rFonts w:ascii="Arial" w:cs="Arial" w:eastAsia="Arial" w:hAnsi="Arial"/>
          <w:sz w:val="16"/>
          <w:szCs w:val="16"/>
          <w:color w:val="auto"/>
        </w:rPr>
        <w:t>Depreciation provisions for property, plant and equipment are generally computed on a straight-line basis based on the applicable estimated service life of the various classes of property. Capitalized mining costs and coal leases are amortized on a unit-of-production method based on volumes produced and estimated reserves. For certain non-utility power plant components, depreciation is computed on a unit-of-production methodology based on plant hours run.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 and Intangible Assets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Goodwill and intangible assets with indefinite lives are not amortized, but the carrying values are reviewed upon an indicator of impairment or at least annually. Intangible assets with a finite life continue to be amortized over their estimated useful lives.</w:t>
      </w:r>
    </w:p>
    <w:p>
      <w:pPr>
        <w:spacing w:after="0" w:line="170"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We perform a goodwill impairment test on an annual basis or upon the occurrence of events or changes in circumstances that indicate that the asset might be impaired. Our annual goodwill impairment testing date is as of October 1, which aligns our testing date with our financial planning process.</w:t>
      </w:r>
    </w:p>
    <w:p>
      <w:pPr>
        <w:spacing w:after="0" w:line="147" w:lineRule="exact"/>
        <w:rPr>
          <w:sz w:val="20"/>
          <w:szCs w:val="20"/>
          <w:color w:val="auto"/>
        </w:rPr>
      </w:pPr>
    </w:p>
    <w:p>
      <w:pPr>
        <w:ind w:right="20"/>
        <w:spacing w:after="0" w:line="264" w:lineRule="auto"/>
        <w:rPr>
          <w:rFonts w:ascii="Arial" w:cs="Arial" w:eastAsia="Arial" w:hAnsi="Arial"/>
          <w:sz w:val="18"/>
          <w:szCs w:val="18"/>
          <w:color w:val="0000EE"/>
        </w:rPr>
      </w:pPr>
      <w:r>
        <w:rPr>
          <w:rFonts w:ascii="Arial" w:cs="Arial" w:eastAsia="Arial" w:hAnsi="Arial"/>
          <w:sz w:val="18"/>
          <w:szCs w:val="18"/>
          <w:color w:val="auto"/>
        </w:rPr>
        <w:t xml:space="preserve">The Company has determined that the reporting units for its goodwill impairment test are its operating segments, or components of an operating segment, that constitute a business for which discrete financial information is available and for which segment management regularly reviews the operating results. See </w:t>
      </w:r>
      <w:hyperlink w:anchor="page98">
        <w:r>
          <w:rPr>
            <w:rFonts w:ascii="Arial" w:cs="Arial" w:eastAsia="Arial" w:hAnsi="Arial"/>
            <w:sz w:val="18"/>
            <w:szCs w:val="18"/>
            <w:u w:val="single" w:color="auto"/>
            <w:color w:val="0000EE"/>
          </w:rPr>
          <w:t>Note 5</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additional business segment information.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420"/>
          </w:cols>
          <w:pgMar w:left="240" w:top="126" w:right="239" w:bottom="1440" w:gutter="0" w:footer="0" w:header="0"/>
        </w:sectPr>
      </w:pPr>
    </w:p>
    <w:bookmarkStart w:id="86" w:name="page87"/>
    <w:bookmarkEnd w:id="8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goodwill impairment analysis includes an income approach and a market approach to estimate the fair value of our reporting units. This analysis required the input of several critical assumptions, including future growth rates, cash flow projections, operating cost escalation rates, rates of return, a risk-adjusted discount rate, timing and level of success in regulatory rate proceedings, the cost of debt and equity capital, long-term earnings and merger multiples for comparable companies.</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We believe that the goodwill reflects the inherent value of the relatively stable, long-lived cash flows of the regulated electric and gas utility businesses, considering the regulatory environment, and the long-lived cash flow and rate base growth opportunities at our utilities. Goodwill amounts have not changed since 2016. As of December 31, 2019, 2018 and 2017, Goodwill balances were as follows (in thousands):</w:t>
      </w: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63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jc w:val="center"/>
              <w:ind w:right="50"/>
              <w:spacing w:after="0"/>
              <w:rPr>
                <w:sz w:val="20"/>
                <w:szCs w:val="20"/>
                <w:color w:val="auto"/>
              </w:rPr>
            </w:pPr>
            <w:r>
              <w:rPr>
                <w:rFonts w:ascii="Arial" w:cs="Arial" w:eastAsia="Arial" w:hAnsi="Arial"/>
                <w:sz w:val="18"/>
                <w:szCs w:val="18"/>
                <w:color w:val="auto"/>
                <w:w w:val="90"/>
              </w:rPr>
              <w:t>Power</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6380" w:type="dxa"/>
            <w:vAlign w:val="bottom"/>
          </w:tcPr>
          <w:p>
            <w:pPr>
              <w:spacing w:after="0"/>
              <w:rPr>
                <w:sz w:val="20"/>
                <w:szCs w:val="20"/>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color w:val="auto"/>
                <w:w w:val="98"/>
              </w:rPr>
              <w:t>Electric Utilities</w:t>
            </w:r>
          </w:p>
        </w:tc>
        <w:tc>
          <w:tcPr>
            <w:tcW w:w="140" w:type="dxa"/>
            <w:vAlign w:val="bottom"/>
          </w:tcPr>
          <w:p>
            <w:pPr>
              <w:spacing w:after="0"/>
              <w:rPr>
                <w:sz w:val="20"/>
                <w:szCs w:val="20"/>
                <w:color w:val="auto"/>
              </w:rPr>
            </w:pPr>
          </w:p>
        </w:tc>
        <w:tc>
          <w:tcPr>
            <w:tcW w:w="1060" w:type="dxa"/>
            <w:vAlign w:val="bottom"/>
          </w:tcPr>
          <w:p>
            <w:pPr>
              <w:jc w:val="right"/>
              <w:ind w:right="30"/>
              <w:spacing w:after="0"/>
              <w:rPr>
                <w:sz w:val="20"/>
                <w:szCs w:val="20"/>
                <w:color w:val="auto"/>
              </w:rPr>
            </w:pPr>
            <w:r>
              <w:rPr>
                <w:rFonts w:ascii="Arial" w:cs="Arial" w:eastAsia="Arial" w:hAnsi="Arial"/>
                <w:sz w:val="18"/>
                <w:szCs w:val="18"/>
                <w:color w:val="auto"/>
                <w:w w:val="95"/>
              </w:rPr>
              <w:t>Gas Utilities</w:t>
            </w:r>
          </w:p>
        </w:tc>
        <w:tc>
          <w:tcPr>
            <w:tcW w:w="220" w:type="dxa"/>
            <w:vAlign w:val="bottom"/>
          </w:tcPr>
          <w:p>
            <w:pPr>
              <w:spacing w:after="0"/>
              <w:rPr>
                <w:sz w:val="20"/>
                <w:szCs w:val="20"/>
                <w:color w:val="auto"/>
              </w:rPr>
            </w:pPr>
          </w:p>
        </w:tc>
        <w:tc>
          <w:tcPr>
            <w:tcW w:w="1040" w:type="dxa"/>
            <w:vAlign w:val="bottom"/>
          </w:tcPr>
          <w:p>
            <w:pPr>
              <w:jc w:val="center"/>
              <w:ind w:right="70"/>
              <w:spacing w:after="0"/>
              <w:rPr>
                <w:sz w:val="20"/>
                <w:szCs w:val="20"/>
                <w:color w:val="auto"/>
              </w:rPr>
            </w:pPr>
            <w:r>
              <w:rPr>
                <w:rFonts w:ascii="Arial" w:cs="Arial" w:eastAsia="Arial" w:hAnsi="Arial"/>
                <w:sz w:val="18"/>
                <w:szCs w:val="18"/>
                <w:color w:val="auto"/>
                <w:w w:val="89"/>
              </w:rPr>
              <w:t>Generation</w:t>
            </w:r>
          </w:p>
        </w:tc>
        <w:tc>
          <w:tcPr>
            <w:tcW w:w="30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6380" w:type="dxa"/>
            <w:vAlign w:val="bottom"/>
            <w:tcBorders>
              <w:bottom w:val="single" w:sz="8" w:color="CEFFE7"/>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63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Goodwill</w:t>
            </w:r>
          </w:p>
        </w:tc>
        <w:tc>
          <w:tcPr>
            <w:tcW w:w="34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248,479</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1,042,210</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8,765</w:t>
            </w:r>
          </w:p>
        </w:tc>
        <w:tc>
          <w:tcPr>
            <w:tcW w:w="30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1,299,454</w:t>
            </w:r>
          </w:p>
        </w:tc>
      </w:tr>
      <w:tr>
        <w:trPr>
          <w:trHeight w:val="20"/>
        </w:trPr>
        <w:tc>
          <w:tcPr>
            <w:tcW w:w="63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intangible assets represent easements, rights-of-way, customer listings and trademarks. The finite-lived intangible assets are amortized using a straight-line method based on estimated useful lives; these assets are currently being amortized from 2 years to 40 years. Changes to intangible assets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4880" w:type="dxa"/>
            <w:vAlign w:val="bottom"/>
          </w:tcPr>
          <w:p>
            <w:pPr>
              <w:spacing w:after="0"/>
              <w:rPr>
                <w:sz w:val="20"/>
                <w:szCs w:val="20"/>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2019</w:t>
            </w:r>
          </w:p>
        </w:tc>
        <w:tc>
          <w:tcPr>
            <w:tcW w:w="7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20" w:type="dxa"/>
            <w:vAlign w:val="bottom"/>
          </w:tcPr>
          <w:p>
            <w:pPr>
              <w:jc w:val="right"/>
              <w:ind w:right="790"/>
              <w:spacing w:after="0"/>
              <w:rPr>
                <w:sz w:val="20"/>
                <w:szCs w:val="20"/>
                <w:color w:val="auto"/>
              </w:rPr>
            </w:pPr>
            <w:r>
              <w:rPr>
                <w:rFonts w:ascii="Arial" w:cs="Arial" w:eastAsia="Arial" w:hAnsi="Arial"/>
                <w:sz w:val="18"/>
                <w:szCs w:val="18"/>
                <w:color w:val="auto"/>
              </w:rPr>
              <w:t>2018</w:t>
            </w:r>
          </w:p>
        </w:tc>
        <w:tc>
          <w:tcPr>
            <w:tcW w:w="520" w:type="dxa"/>
            <w:vAlign w:val="bottom"/>
          </w:tcPr>
          <w:p>
            <w:pPr>
              <w:spacing w:after="0"/>
              <w:rPr>
                <w:sz w:val="20"/>
                <w:szCs w:val="20"/>
                <w:color w:val="auto"/>
              </w:rPr>
            </w:pPr>
          </w:p>
        </w:tc>
        <w:tc>
          <w:tcPr>
            <w:tcW w:w="1640" w:type="dxa"/>
            <w:vAlign w:val="bottom"/>
          </w:tcPr>
          <w:p>
            <w:pPr>
              <w:jc w:val="right"/>
              <w:ind w:right="8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4880" w:type="dxa"/>
            <w:vAlign w:val="bottom"/>
            <w:tcBorders>
              <w:bottom w:val="single" w:sz="8" w:color="CEFFE7"/>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 w:type="dxa"/>
            <w:vAlign w:val="bottom"/>
          </w:tcPr>
          <w:p>
            <w:pPr>
              <w:spacing w:after="0"/>
              <w:rPr>
                <w:sz w:val="21"/>
                <w:szCs w:val="21"/>
                <w:color w:val="auto"/>
              </w:rPr>
            </w:pPr>
          </w:p>
        </w:tc>
        <w:tc>
          <w:tcPr>
            <w:tcW w:w="48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Intangible assets, net, beginning balance</w:t>
            </w:r>
          </w:p>
        </w:tc>
        <w:tc>
          <w:tcPr>
            <w:tcW w:w="1420" w:type="dxa"/>
            <w:vAlign w:val="bottom"/>
            <w:tcBorders>
              <w:bottom w:val="single" w:sz="8" w:color="CEFFE7"/>
            </w:tcBorders>
            <w:shd w:val="clear" w:color="auto" w:fill="CEFFE7"/>
          </w:tcPr>
          <w:p>
            <w:pPr>
              <w:jc w:val="right"/>
              <w:ind w:right="1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14,337</w:t>
            </w:r>
          </w:p>
        </w:tc>
        <w:tc>
          <w:tcPr>
            <w:tcW w:w="5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7,559</w:t>
            </w:r>
          </w:p>
        </w:tc>
        <w:tc>
          <w:tcPr>
            <w:tcW w:w="52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8,392</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Additions </w:t>
            </w:r>
            <w:r>
              <w:rPr>
                <w:rFonts w:ascii="Arial" w:cs="Arial" w:eastAsia="Arial" w:hAnsi="Arial"/>
                <w:sz w:val="25"/>
                <w:szCs w:val="25"/>
                <w:color w:val="auto"/>
                <w:vertAlign w:val="superscript"/>
              </w:rPr>
              <w:t>(a)</w:t>
            </w:r>
          </w:p>
        </w:tc>
        <w:tc>
          <w:tcPr>
            <w:tcW w:w="1420" w:type="dxa"/>
            <w:vAlign w:val="bottom"/>
          </w:tcPr>
          <w:p>
            <w:pPr>
              <w:spacing w:after="0"/>
              <w:rPr>
                <w:sz w:val="23"/>
                <w:szCs w:val="23"/>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3"/>
                <w:szCs w:val="23"/>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7,602</w:t>
            </w:r>
          </w:p>
        </w:tc>
        <w:tc>
          <w:tcPr>
            <w:tcW w:w="520" w:type="dxa"/>
            <w:vAlign w:val="bottom"/>
          </w:tcPr>
          <w:p>
            <w:pPr>
              <w:spacing w:after="0"/>
              <w:rPr>
                <w:sz w:val="23"/>
                <w:szCs w:val="23"/>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0" w:type="dxa"/>
            <w:vAlign w:val="bottom"/>
          </w:tcPr>
          <w:p>
            <w:pPr>
              <w:spacing w:after="0"/>
              <w:rPr>
                <w:sz w:val="23"/>
                <w:szCs w:val="23"/>
                <w:color w:val="auto"/>
              </w:rPr>
            </w:pPr>
          </w:p>
        </w:tc>
        <w:tc>
          <w:tcPr>
            <w:tcW w:w="48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Amortization expense </w:t>
            </w:r>
            <w:r>
              <w:rPr>
                <w:rFonts w:ascii="Arial" w:cs="Arial" w:eastAsia="Arial" w:hAnsi="Arial"/>
                <w:sz w:val="25"/>
                <w:szCs w:val="25"/>
                <w:color w:val="auto"/>
                <w:vertAlign w:val="superscript"/>
              </w:rPr>
              <w:t>(b)</w:t>
            </w:r>
          </w:p>
        </w:tc>
        <w:tc>
          <w:tcPr>
            <w:tcW w:w="1420" w:type="dxa"/>
            <w:vAlign w:val="bottom"/>
            <w:tcBorders>
              <w:bottom w:val="single" w:sz="8" w:color="auto"/>
            </w:tcBorders>
            <w:shd w:val="clear" w:color="auto" w:fill="CEFFE7"/>
          </w:tcPr>
          <w:p>
            <w:pPr>
              <w:spacing w:after="0"/>
              <w:rPr>
                <w:sz w:val="23"/>
                <w:szCs w:val="23"/>
                <w:color w:val="auto"/>
              </w:rPr>
            </w:pPr>
          </w:p>
        </w:tc>
        <w:tc>
          <w:tcPr>
            <w:tcW w:w="7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(1,071)</w:t>
            </w:r>
          </w:p>
        </w:tc>
        <w:tc>
          <w:tcPr>
            <w:tcW w:w="520" w:type="dxa"/>
            <w:vAlign w:val="bottom"/>
            <w:tcBorders>
              <w:bottom w:val="single" w:sz="8" w:color="auto"/>
            </w:tcBorders>
            <w:shd w:val="clear" w:color="auto" w:fill="CEFFE7"/>
          </w:tcPr>
          <w:p>
            <w:pPr>
              <w:spacing w:after="0"/>
              <w:rPr>
                <w:sz w:val="23"/>
                <w:szCs w:val="23"/>
                <w:color w:val="auto"/>
              </w:rPr>
            </w:pPr>
          </w:p>
        </w:tc>
        <w:tc>
          <w:tcPr>
            <w:tcW w:w="16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(824)</w:t>
            </w:r>
          </w:p>
        </w:tc>
        <w:tc>
          <w:tcPr>
            <w:tcW w:w="520" w:type="dxa"/>
            <w:vAlign w:val="bottom"/>
            <w:tcBorders>
              <w:bottom w:val="single" w:sz="8" w:color="auto"/>
            </w:tcBorders>
            <w:shd w:val="clear" w:color="auto" w:fill="CEFFE7"/>
          </w:tcPr>
          <w:p>
            <w:pPr>
              <w:spacing w:after="0"/>
              <w:rPr>
                <w:sz w:val="23"/>
                <w:szCs w:val="23"/>
                <w:color w:val="auto"/>
              </w:rPr>
            </w:pPr>
          </w:p>
        </w:tc>
        <w:tc>
          <w:tcPr>
            <w:tcW w:w="16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57"/>
        </w:trPr>
        <w:tc>
          <w:tcPr>
            <w:tcW w:w="40" w:type="dxa"/>
            <w:vAlign w:val="bottom"/>
          </w:tcPr>
          <w:p>
            <w:pPr>
              <w:spacing w:after="0"/>
              <w:rPr>
                <w:sz w:val="22"/>
                <w:szCs w:val="22"/>
                <w:color w:val="auto"/>
              </w:rPr>
            </w:pPr>
          </w:p>
        </w:tc>
        <w:tc>
          <w:tcPr>
            <w:tcW w:w="4880" w:type="dxa"/>
            <w:vAlign w:val="bottom"/>
          </w:tcPr>
          <w:p>
            <w:pPr>
              <w:ind w:left="40"/>
              <w:spacing w:after="0"/>
              <w:rPr>
                <w:sz w:val="20"/>
                <w:szCs w:val="20"/>
                <w:color w:val="auto"/>
              </w:rPr>
            </w:pPr>
            <w:r>
              <w:rPr>
                <w:rFonts w:ascii="Arial" w:cs="Arial" w:eastAsia="Arial" w:hAnsi="Arial"/>
                <w:sz w:val="18"/>
                <w:szCs w:val="18"/>
                <w:color w:val="auto"/>
              </w:rPr>
              <w:t>Intangible assets, net, ending balance</w:t>
            </w:r>
          </w:p>
        </w:tc>
        <w:tc>
          <w:tcPr>
            <w:tcW w:w="1420" w:type="dxa"/>
            <w:vAlign w:val="bottom"/>
            <w:tcBorders>
              <w:bottom w:val="single" w:sz="8" w:color="auto"/>
            </w:tcBorders>
          </w:tcPr>
          <w:p>
            <w:pPr>
              <w:jc w:val="right"/>
              <w:ind w:right="12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13,266</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14,337</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7,559</w:t>
            </w:r>
          </w:p>
        </w:tc>
        <w:tc>
          <w:tcPr>
            <w:tcW w:w="0" w:type="dxa"/>
            <w:vAlign w:val="bottom"/>
          </w:tcPr>
          <w:p>
            <w:pPr>
              <w:spacing w:after="0"/>
              <w:rPr>
                <w:sz w:val="1"/>
                <w:szCs w:val="1"/>
                <w:color w:val="auto"/>
              </w:rPr>
            </w:pPr>
          </w:p>
        </w:tc>
      </w:tr>
      <w:tr>
        <w:trPr>
          <w:trHeight w:val="20"/>
        </w:trPr>
        <w:tc>
          <w:tcPr>
            <w:tcW w:w="4920" w:type="dxa"/>
            <w:vAlign w:val="bottom"/>
            <w:gridSpan w:val="2"/>
            <w:vMerge w:val="restart"/>
          </w:tcPr>
          <w:p>
            <w:pPr>
              <w:jc w:val="right"/>
              <w:ind w:right="3290"/>
              <w:spacing w:after="0"/>
              <w:rPr>
                <w:sz w:val="20"/>
                <w:szCs w:val="20"/>
                <w:color w:val="auto"/>
              </w:rPr>
            </w:pPr>
            <w:r>
              <w:rPr>
                <w:rFonts w:ascii="Arial" w:cs="Arial" w:eastAsia="Arial" w:hAnsi="Arial"/>
                <w:sz w:val="18"/>
                <w:szCs w:val="18"/>
                <w:color w:val="auto"/>
                <w:w w:val="89"/>
              </w:rPr>
              <w:t>_________________</w:t>
            </w:r>
          </w:p>
        </w:tc>
        <w:tc>
          <w:tcPr>
            <w:tcW w:w="14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920" w:type="dxa"/>
            <w:vAlign w:val="bottom"/>
            <w:gridSpan w:val="2"/>
            <w:vMerge w:val="continue"/>
          </w:tcPr>
          <w:p>
            <w:pPr>
              <w:spacing w:after="0"/>
              <w:rPr>
                <w:sz w:val="17"/>
                <w:szCs w:val="17"/>
                <w:color w:val="auto"/>
              </w:rPr>
            </w:pPr>
          </w:p>
        </w:tc>
        <w:tc>
          <w:tcPr>
            <w:tcW w:w="14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 xml:space="preserve">The 2018 addition is related to the Busch Ranch 1 contract intangible asset. See </w:t>
      </w:r>
      <w:hyperlink w:anchor="page97">
        <w:r>
          <w:rPr>
            <w:rFonts w:ascii="Arial" w:cs="Arial" w:eastAsia="Arial" w:hAnsi="Arial"/>
            <w:sz w:val="16"/>
            <w:szCs w:val="16"/>
            <w:u w:val="single" w:color="auto"/>
            <w:color w:val="0000EE"/>
          </w:rPr>
          <w:t>Note 4</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further information.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58"/>
        </w:numPr>
        <w:rPr>
          <w:rFonts w:ascii="Arial" w:cs="Arial" w:eastAsia="Arial" w:hAnsi="Arial"/>
          <w:sz w:val="16"/>
          <w:szCs w:val="16"/>
          <w:color w:val="auto"/>
        </w:rPr>
      </w:pPr>
      <w:r>
        <w:rPr>
          <w:rFonts w:ascii="Arial" w:cs="Arial" w:eastAsia="Arial" w:hAnsi="Arial"/>
          <w:sz w:val="16"/>
          <w:szCs w:val="16"/>
          <w:color w:val="auto"/>
        </w:rPr>
        <w:t>Amortization expense for existing intangible assets is expected to be $1.1 million for each year of the next five years.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Liabilities</w:t>
      </w:r>
    </w:p>
    <w:p>
      <w:pPr>
        <w:spacing w:after="0" w:line="229"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The following amounts by major classification are included in Accrued liabilities on the accompanying Consolidated Balance Sheets as of December 31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2019</w:t>
            </w:r>
          </w:p>
        </w:tc>
        <w:tc>
          <w:tcPr>
            <w:tcW w:w="7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2018</w:t>
            </w:r>
          </w:p>
        </w:tc>
      </w:tr>
      <w:tr>
        <w:trPr>
          <w:trHeight w:val="27"/>
        </w:trPr>
        <w:tc>
          <w:tcPr>
            <w:tcW w:w="7080" w:type="dxa"/>
            <w:vAlign w:val="bottom"/>
            <w:tcBorders>
              <w:bottom w:val="single" w:sz="8" w:color="CEFFE7"/>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Accrued employee compensation, benefits and withholdings</w:t>
            </w:r>
          </w:p>
        </w:tc>
        <w:tc>
          <w:tcPr>
            <w:tcW w:w="1360" w:type="dxa"/>
            <w:vAlign w:val="bottom"/>
            <w:tcBorders>
              <w:bottom w:val="single" w:sz="8" w:color="CEFFE7"/>
            </w:tcBorders>
            <w:shd w:val="clear" w:color="auto" w:fill="CEFFE7"/>
          </w:tcPr>
          <w:p>
            <w:pPr>
              <w:jc w:val="right"/>
              <w:ind w:right="1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62,837</w:t>
            </w:r>
          </w:p>
        </w:tc>
        <w:tc>
          <w:tcPr>
            <w:tcW w:w="54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63,742</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Accrued property taxes</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44,547</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42,510</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Customer deposits and prepayments</w:t>
            </w:r>
          </w:p>
        </w:tc>
        <w:tc>
          <w:tcPr>
            <w:tcW w:w="13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54,728</w:t>
            </w:r>
          </w:p>
        </w:tc>
        <w:tc>
          <w:tcPr>
            <w:tcW w:w="5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43,574</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Accrued interest</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31,868</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31,759</w:t>
            </w:r>
          </w:p>
        </w:tc>
      </w:tr>
      <w:tr>
        <w:trPr>
          <w:trHeight w:val="27"/>
        </w:trPr>
        <w:tc>
          <w:tcPr>
            <w:tcW w:w="70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708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CIAC current portion</w:t>
            </w:r>
          </w:p>
        </w:tc>
        <w:tc>
          <w:tcPr>
            <w:tcW w:w="136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1,952</w:t>
            </w:r>
          </w:p>
        </w:tc>
        <w:tc>
          <w:tcPr>
            <w:tcW w:w="54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1,485</w:t>
            </w:r>
          </w:p>
        </w:tc>
      </w:tr>
      <w:tr>
        <w:trPr>
          <w:trHeight w:val="243"/>
        </w:trPr>
        <w:tc>
          <w:tcPr>
            <w:tcW w:w="7080" w:type="dxa"/>
            <w:vAlign w:val="bottom"/>
          </w:tcPr>
          <w:p>
            <w:pPr>
              <w:ind w:left="20"/>
              <w:spacing w:after="0"/>
              <w:rPr>
                <w:sz w:val="20"/>
                <w:szCs w:val="20"/>
                <w:color w:val="auto"/>
              </w:rPr>
            </w:pPr>
            <w:r>
              <w:rPr>
                <w:rFonts w:ascii="Arial" w:cs="Arial" w:eastAsia="Arial" w:hAnsi="Arial"/>
                <w:sz w:val="18"/>
                <w:szCs w:val="18"/>
                <w:color w:val="auto"/>
              </w:rPr>
              <w:t>Other (none of which is individually significant)</w:t>
            </w:r>
          </w:p>
        </w:tc>
        <w:tc>
          <w:tcPr>
            <w:tcW w:w="136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30,835</w:t>
            </w:r>
          </w:p>
        </w:tc>
        <w:tc>
          <w:tcPr>
            <w:tcW w:w="540" w:type="dxa"/>
            <w:vAlign w:val="bottom"/>
          </w:tcPr>
          <w:p>
            <w:pPr>
              <w:spacing w:after="0"/>
              <w:rPr>
                <w:sz w:val="21"/>
                <w:szCs w:val="21"/>
                <w:color w:val="auto"/>
              </w:rPr>
            </w:pP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32,431</w:t>
            </w:r>
          </w:p>
        </w:tc>
      </w:tr>
      <w:tr>
        <w:trPr>
          <w:trHeight w:val="27"/>
        </w:trPr>
        <w:tc>
          <w:tcPr>
            <w:tcW w:w="7080" w:type="dxa"/>
            <w:vAlign w:val="bottom"/>
            <w:tcBorders>
              <w:bottom w:val="single" w:sz="8" w:color="CEFFE7"/>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EFFE7"/>
            </w:tcBorders>
            <w:shd w:val="clear" w:color="auto" w:fill="CEFFE7"/>
          </w:tcPr>
          <w:p>
            <w:pPr>
              <w:ind w:left="260"/>
              <w:spacing w:after="0"/>
              <w:rPr>
                <w:sz w:val="20"/>
                <w:szCs w:val="20"/>
                <w:color w:val="auto"/>
              </w:rPr>
            </w:pPr>
            <w:r>
              <w:rPr>
                <w:rFonts w:ascii="Arial" w:cs="Arial" w:eastAsia="Arial" w:hAnsi="Arial"/>
                <w:sz w:val="18"/>
                <w:szCs w:val="18"/>
                <w:color w:val="auto"/>
              </w:rPr>
              <w:t>Total accrued liabilities</w:t>
            </w:r>
          </w:p>
        </w:tc>
        <w:tc>
          <w:tcPr>
            <w:tcW w:w="1360" w:type="dxa"/>
            <w:vAlign w:val="bottom"/>
            <w:tcBorders>
              <w:bottom w:val="single" w:sz="8" w:color="auto"/>
            </w:tcBorders>
            <w:shd w:val="clear" w:color="auto" w:fill="CEFFE7"/>
          </w:tcPr>
          <w:p>
            <w:pPr>
              <w:jc w:val="right"/>
              <w:ind w:right="117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226,767</w:t>
            </w:r>
          </w:p>
        </w:tc>
        <w:tc>
          <w:tcPr>
            <w:tcW w:w="540" w:type="dxa"/>
            <w:vAlign w:val="bottom"/>
            <w:tcBorders>
              <w:bottom w:val="single" w:sz="8" w:color="auto"/>
            </w:tcBorders>
            <w:shd w:val="clear" w:color="auto" w:fill="CEFFE7"/>
          </w:tcPr>
          <w:p>
            <w:pPr>
              <w:jc w:val="right"/>
              <w:ind w:right="31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215,501</w:t>
            </w:r>
          </w:p>
        </w:tc>
      </w:tr>
      <w:tr>
        <w:trPr>
          <w:trHeight w:val="20"/>
        </w:trPr>
        <w:tc>
          <w:tcPr>
            <w:tcW w:w="70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Retirement Obligations</w:t>
      </w:r>
    </w:p>
    <w:p>
      <w:pPr>
        <w:spacing w:after="0" w:line="229" w:lineRule="exact"/>
        <w:rPr>
          <w:sz w:val="20"/>
          <w:szCs w:val="20"/>
          <w:color w:val="auto"/>
        </w:rPr>
      </w:pPr>
    </w:p>
    <w:p>
      <w:pPr>
        <w:jc w:val="both"/>
        <w:ind w:right="180"/>
        <w:spacing w:after="0" w:line="257" w:lineRule="auto"/>
        <w:rPr>
          <w:sz w:val="20"/>
          <w:szCs w:val="20"/>
          <w:color w:val="auto"/>
        </w:rPr>
      </w:pPr>
      <w:r>
        <w:rPr>
          <w:rFonts w:ascii="Arial" w:cs="Arial" w:eastAsia="Arial" w:hAnsi="Arial"/>
          <w:sz w:val="18"/>
          <w:szCs w:val="18"/>
          <w:color w:val="auto"/>
        </w:rPr>
        <w:t>Accounting standards for AROs associated with long-lived assets require that the present value of retirement costs for which we have a legal obligation be recorded as liabilities with an equivalent amount added to the asset cost and depreciated over an appropriate period. The associated ARO accretion expense for our non-regulated operations is included within Depreciation, depletion and amortization on the accompanying Consolidated Statements of Income. The accounting for the obligation for regulated operations has no income statement impact due to the deferral of the adjustments through the establishment of a regulatory asset or a regulatory liability.</w:t>
      </w:r>
    </w:p>
    <w:p>
      <w:pPr>
        <w:spacing w:after="0" w:line="188" w:lineRule="exact"/>
        <w:rPr>
          <w:sz w:val="20"/>
          <w:szCs w:val="20"/>
          <w:color w:val="auto"/>
        </w:rPr>
      </w:pPr>
    </w:p>
    <w:p>
      <w:pPr>
        <w:ind w:right="60"/>
        <w:spacing w:after="0" w:line="259" w:lineRule="auto"/>
        <w:rPr>
          <w:rFonts w:ascii="Arial" w:cs="Arial" w:eastAsia="Arial" w:hAnsi="Arial"/>
          <w:sz w:val="18"/>
          <w:szCs w:val="18"/>
          <w:color w:val="auto"/>
        </w:rPr>
      </w:pPr>
      <w:r>
        <w:rPr>
          <w:rFonts w:ascii="Arial" w:cs="Arial" w:eastAsia="Arial" w:hAnsi="Arial"/>
          <w:sz w:val="18"/>
          <w:szCs w:val="18"/>
          <w:color w:val="auto"/>
        </w:rPr>
        <w:t xml:space="preserve">We initially record liabilities for the present value of retirement costs for which we have a legal obligation, with an equivalent amount added to the asset cost. The asset is then depreciated or depleted over the appropriate useful life and the liability is accreted over time by applying an interest method of allocation. Any difference in the actual cost of the settlement of the liability and the recorded amount is recognized as a gain or loss in the results of operations at the time of settlement for our non-regulated operations. Additional information is included in </w:t>
      </w:r>
      <w:hyperlink w:anchor="page106">
        <w:r>
          <w:rPr>
            <w:rFonts w:ascii="Arial" w:cs="Arial" w:eastAsia="Arial" w:hAnsi="Arial"/>
            <w:sz w:val="18"/>
            <w:szCs w:val="18"/>
            <w:u w:val="single" w:color="auto"/>
            <w:color w:val="0000EE"/>
          </w:rPr>
          <w:t>Note 8</w:t>
        </w:r>
      </w:hyperlink>
      <w:r>
        <w:rPr>
          <w:rFonts w:ascii="Arial" w:cs="Arial" w:eastAsia="Arial" w:hAnsi="Arial"/>
          <w:sz w:val="18"/>
          <w:szCs w:val="18"/>
          <w:color w:val="auto"/>
        </w:rPr>
        <w:t>.</w:t>
      </w:r>
    </w:p>
    <w:p>
      <w:pPr>
        <w:sectPr>
          <w:pgSz w:w="11900" w:h="16838" w:orient="portrait"/>
          <w:cols w:equalWidth="0" w:num="1">
            <w:col w:w="11420"/>
          </w:cols>
          <w:pgMar w:left="240" w:top="126"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87</w:t>
      </w:r>
    </w:p>
    <w:p>
      <w:pPr>
        <w:sectPr>
          <w:pgSz w:w="11900" w:h="16838" w:orient="portrait"/>
          <w:cols w:equalWidth="0" w:num="1">
            <w:col w:w="11420"/>
          </w:cols>
          <w:pgMar w:left="240" w:top="126" w:right="239" w:bottom="1440" w:gutter="0" w:footer="0" w:header="0"/>
          <w:type w:val="continuous"/>
        </w:sectPr>
      </w:pPr>
    </w:p>
    <w:bookmarkStart w:id="87" w:name="page88"/>
    <w:bookmarkEnd w:id="8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w:t>
      </w:r>
    </w:p>
    <w:p>
      <w:pPr>
        <w:spacing w:after="0" w:line="225"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use the following fair value hierarchy for determining inputs for our financial instruments. Our financial instruments’ assets and liabilities for financial instruments are classified and disclosed in one of the following fair value categories:</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Level 1</w:t>
      </w:r>
      <w:r>
        <w:rPr>
          <w:rFonts w:ascii="Arial" w:cs="Arial" w:eastAsia="Arial" w:hAnsi="Arial"/>
          <w:sz w:val="16"/>
          <w:szCs w:val="16"/>
          <w:color w:val="auto"/>
        </w:rPr>
        <w:t xml:space="preserve"> — Unadjusted quoted prices available in active markets that are accessible at the measurement date for identical unrestricted assets or liabilities.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Level 1 instruments primarily consist of highly liquid and actively traded financial instruments with quoted pricing information on an ongoing basis.</w:t>
      </w:r>
    </w:p>
    <w:p>
      <w:pPr>
        <w:spacing w:after="0" w:line="222"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u w:val="single" w:color="auto"/>
          <w:color w:val="auto"/>
        </w:rPr>
        <w:t>Level 2</w:t>
      </w:r>
      <w:r>
        <w:rPr>
          <w:rFonts w:ascii="Arial" w:cs="Arial" w:eastAsia="Arial" w:hAnsi="Arial"/>
          <w:sz w:val="18"/>
          <w:szCs w:val="18"/>
          <w:color w:val="auto"/>
        </w:rPr>
        <w:t xml:space="preserve"> — Pricing inputs include quoted prices for identical or similar assets and liabilities in active markets other than quoted prices in Level 1, quoted prices for identical or similar assets or liabilities in markets that are not active, inputs other than quoted prices that are observable for the asset or liability and inputs that are derived principally from or corroborated by observable market data by correlation or other means.</w:t>
      </w:r>
    </w:p>
    <w:p>
      <w:pPr>
        <w:spacing w:after="0" w:line="18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xml:space="preserve"> — Pricing inputs are generally less observable from objective sources. These inputs reflect management’s best estimate of fair value using its own assumptions about the assumptions a market participant would use in pricing the asset or liability.</w:t>
      </w:r>
    </w:p>
    <w:p>
      <w:pPr>
        <w:spacing w:after="0" w:line="170"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Assets and liabilities are classified in their entirety based on the lowest level of input that is significant to the fair value measurement. Our assessment of the significance of a particular input to the fair value measurement requires judgment and may affect the placement within the fair value hierarchy levels. We record transfers, if necessary, between levels at the end of the reporting period for all of our financial instruments.</w:t>
      </w:r>
    </w:p>
    <w:p>
      <w:pPr>
        <w:spacing w:after="0" w:line="16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Transfers into Level 3, if any, occur when significant inputs used to value the derivative instruments become less observable, such as a significant decrease in the frequency and volume in which the instrument is traded, negatively impacting the availability of observable pricing inputs. Transfers out of Level 3, if any, occur when the significant inputs become more observable, such as when the time between the valuation date and the delivery date of a transaction becomes shorter, positively impacting the availability of observable pricing inputs.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Valuation Methodologies for Derivatives</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The commodity contracts for our Electric and Gas Utilities are valued using the market approach and include Level 2 exchange-traded futures, options, basis swaps and over-the-counter swaps for natural gas contracts. For exchange-traded futures, options and basis swap assets and liabilities, fair value was derived using broker quotes validated by the exchange settlement pricing for the applicable instrument. For over-the-counter instruments, fair value was obtained by utilizing a nationally recognized service that obtains observable inputs to compute fair value, which we validate by comparing our valuation with the counterparty. The fair value of these swaps includes a CVA based on the credit spreads of the counterparties when we are in an unrealized gain position or on our own credit spread when we are in an unrealized loss position.</w:t>
      </w:r>
    </w:p>
    <w:p>
      <w:pPr>
        <w:spacing w:after="0" w:line="178"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Additional information on fair value measurements is included in </w:t>
      </w:r>
      <w:hyperlink w:anchor="page110">
        <w:r>
          <w:rPr>
            <w:rFonts w:ascii="Arial" w:cs="Arial" w:eastAsia="Arial" w:hAnsi="Arial"/>
            <w:sz w:val="18"/>
            <w:szCs w:val="18"/>
            <w:u w:val="single" w:color="auto"/>
            <w:color w:val="0000EE"/>
          </w:rPr>
          <w:t>Notes 10</w:t>
        </w:r>
      </w:hyperlink>
      <w:r>
        <w:rPr>
          <w:rFonts w:ascii="Arial" w:cs="Arial" w:eastAsia="Arial" w:hAnsi="Arial"/>
          <w:sz w:val="18"/>
          <w:szCs w:val="18"/>
          <w:color w:val="auto"/>
        </w:rPr>
        <w:t xml:space="preserve">, </w:t>
      </w:r>
      <w:hyperlink w:anchor="page113">
        <w:r>
          <w:rPr>
            <w:rFonts w:ascii="Arial" w:cs="Arial" w:eastAsia="Arial" w:hAnsi="Arial"/>
            <w:sz w:val="18"/>
            <w:szCs w:val="18"/>
            <w:u w:val="single" w:color="auto"/>
            <w:color w:val="0000EE"/>
          </w:rPr>
          <w:t>11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29">
        <w:r>
          <w:rPr>
            <w:rFonts w:ascii="Arial" w:cs="Arial" w:eastAsia="Arial" w:hAnsi="Arial"/>
            <w:sz w:val="18"/>
            <w:szCs w:val="18"/>
            <w:u w:val="single" w:color="auto"/>
            <w:color w:val="0000EE"/>
          </w:rPr>
          <w:t>18</w:t>
        </w:r>
      </w:hyperlink>
      <w:r>
        <w:rPr>
          <w:rFonts w:ascii="Arial" w:cs="Arial" w:eastAsia="Arial" w:hAnsi="Arial"/>
          <w:sz w:val="18"/>
          <w:szCs w:val="18"/>
          <w:color w:val="auto"/>
        </w:rPr>
        <w:t>.</w:t>
      </w:r>
    </w:p>
    <w:p>
      <w:pPr>
        <w:spacing w:after="0" w:line="221"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b w:val="1"/>
          <w:bCs w:val="1"/>
          <w:color w:val="auto"/>
        </w:rPr>
        <w:t>Derivatives and Hedging Activities</w:t>
      </w:r>
    </w:p>
    <w:p>
      <w:pPr>
        <w:spacing w:after="0" w:line="229" w:lineRule="exact"/>
        <w:rPr>
          <w:rFonts w:ascii="Arial" w:cs="Arial" w:eastAsia="Arial" w:hAnsi="Arial"/>
          <w:sz w:val="18"/>
          <w:szCs w:val="18"/>
          <w:color w:val="auto"/>
        </w:rPr>
      </w:pPr>
    </w:p>
    <w:p>
      <w:pPr>
        <w:spacing w:after="0" w:line="255" w:lineRule="auto"/>
        <w:rPr>
          <w:sz w:val="20"/>
          <w:szCs w:val="20"/>
          <w:color w:val="auto"/>
        </w:rPr>
      </w:pPr>
      <w:r>
        <w:rPr>
          <w:rFonts w:ascii="Arial" w:cs="Arial" w:eastAsia="Arial" w:hAnsi="Arial"/>
          <w:sz w:val="18"/>
          <w:szCs w:val="18"/>
          <w:color w:val="auto"/>
        </w:rPr>
        <w:t>All our derivatives are measured at fair value and recognized as either assets or liabilities on the Consolidated Balance Sheets, except for derivative contracts that qualify for and are elected under the normal purchase and normal sales exception. Normal purchases and normal sales are contracts where physical delivery is probable, quantities are expected to be used or sold in the normal course of business over a reasonable amount of time, and price is not tied to an unrelated underlying derivative. Normal purchase and sales contracts are recognized when the underlying physical transaction is completed under the accrual basis of accounting. As part of our Electric and Gas Utilities’ operations, we enter into contracts to buy and sell energy to meet the requirements of our customers.</w:t>
      </w:r>
    </w:p>
    <w:p>
      <w:pPr>
        <w:spacing w:after="0" w:line="193" w:lineRule="exact"/>
        <w:rPr>
          <w:rFonts w:ascii="Arial" w:cs="Arial" w:eastAsia="Arial" w:hAnsi="Arial"/>
          <w:sz w:val="18"/>
          <w:szCs w:val="18"/>
          <w:color w:val="auto"/>
        </w:rPr>
      </w:pPr>
    </w:p>
    <w:p>
      <w:pPr>
        <w:ind w:right="140"/>
        <w:spacing w:after="0" w:line="277" w:lineRule="auto"/>
        <w:rPr>
          <w:sz w:val="20"/>
          <w:szCs w:val="20"/>
          <w:color w:val="auto"/>
        </w:rPr>
      </w:pPr>
      <w:r>
        <w:rPr>
          <w:rFonts w:ascii="Arial" w:cs="Arial" w:eastAsia="Arial" w:hAnsi="Arial"/>
          <w:sz w:val="18"/>
          <w:szCs w:val="18"/>
          <w:color w:val="auto"/>
        </w:rPr>
        <w:t>In addition, certain derivatives contracts approved by regulatory authorities are either recovered or refunded through customer rates. Any changes in the fair value of these approved derivative contracts are deferred as a regulatory asset or regulatory liability pursuant to ASC 980.</w:t>
      </w:r>
    </w:p>
    <w:p>
      <w:pPr>
        <w:spacing w:after="0" w:line="387" w:lineRule="exact"/>
        <w:rPr>
          <w:rFonts w:ascii="Arial" w:cs="Arial" w:eastAsia="Arial" w:hAnsi="Arial"/>
          <w:sz w:val="18"/>
          <w:szCs w:val="18"/>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380"/>
          </w:cols>
          <w:pgMar w:left="240" w:top="126" w:right="279" w:bottom="1440" w:gutter="0" w:footer="0" w:header="0"/>
        </w:sectPr>
      </w:pPr>
    </w:p>
    <w:bookmarkStart w:id="88" w:name="page89"/>
    <w:bookmarkEnd w:id="8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We also have some derivatives that qualify for hedge accounting and are designated as cash flow hedges. The effective portion of the derivative gain or loss is deferred in AOCI and reclassified into earnings when the corresponding hedged transaction is recognized in earnings. Changes in the fair value of all other derivatives contracts are recognized in earnings.</w:t>
      </w:r>
    </w:p>
    <w:p>
      <w:pPr>
        <w:spacing w:after="0" w:line="18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utilize master netting agreements which consist of an agreement between two parties who have multiple contracts with each other that provide for the net settlement of all contracts in the event of default on or termination of any one contract. When the right of offset exists, accounting standards permit the netting of receivables and payables under a legally enforceable master netting agreement between counterparties. Accounting standards also permit offsetting of fair value amounts recognized for the right to reclaim, or the obligation to return, cash collateral against fair value amounts recognized for derivative instruments executed with the same counterparty. We reflect the offsetting of net derivative positions with fair value amounts for cash collateral with the same counterpart when a legal right of offset exists.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Deferred Financing Costs</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Deferred financing costs include loan origination fees, underwriter fees, legal fees and other costs directly attributable to the issuance of debt. Deferred financing costs are amortized over the estimated useful life of the related debt. These costs are presented on the balance sheet as an adjustment to the related debt liabilities.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Accounting</w:t>
      </w:r>
    </w:p>
    <w:p>
      <w:pPr>
        <w:spacing w:after="0" w:line="229" w:lineRule="exact"/>
        <w:rPr>
          <w:sz w:val="20"/>
          <w:szCs w:val="20"/>
          <w:color w:val="auto"/>
        </w:rPr>
      </w:pPr>
    </w:p>
    <w:p>
      <w:pPr>
        <w:ind w:right="240"/>
        <w:spacing w:after="0" w:line="312" w:lineRule="auto"/>
        <w:rPr>
          <w:sz w:val="20"/>
          <w:szCs w:val="20"/>
          <w:color w:val="auto"/>
        </w:rPr>
      </w:pPr>
      <w:r>
        <w:rPr>
          <w:rFonts w:ascii="Arial" w:cs="Arial" w:eastAsia="Arial" w:hAnsi="Arial"/>
          <w:sz w:val="16"/>
          <w:szCs w:val="16"/>
          <w:color w:val="auto"/>
        </w:rPr>
        <w:t>Our regulated Electric Utilities and Gas Utilities are subject to cost-of-service regulation and earnings oversight from federal and state utility commissions. Our Electric and Gas Utilities account for income and expense items in accordance with accounting standards for regulated operations. These accounting policies differ in some respects from those used by our non-regulated businesses. Under these regulated operations accounting standards:</w:t>
      </w:r>
    </w:p>
    <w:p>
      <w:pPr>
        <w:spacing w:after="0" w:line="147" w:lineRule="exact"/>
        <w:rPr>
          <w:sz w:val="20"/>
          <w:szCs w:val="20"/>
          <w:color w:val="auto"/>
        </w:rPr>
      </w:pPr>
    </w:p>
    <w:p>
      <w:pPr>
        <w:ind w:left="660" w:right="300" w:hanging="328"/>
        <w:spacing w:after="0" w:line="277" w:lineRule="auto"/>
        <w:tabs>
          <w:tab w:leader="none" w:pos="6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Certain costs, which would otherwise be charged to expense or OCI, are deferred as regulatory assets based on the expected ability to recover the costs in future rates.</w:t>
      </w:r>
    </w:p>
    <w:p>
      <w:pPr>
        <w:spacing w:after="0" w:line="170"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Certain credits, which would otherwise be reflected as income or OCI, are deferred as regulatory liabilities based on the expectation the amounts will be returned to customers in future rates, or because the amounts were collected in rates prior to the costs being incurred</w:t>
      </w:r>
    </w:p>
    <w:p>
      <w:pPr>
        <w:spacing w:after="0" w:line="147" w:lineRule="exact"/>
        <w:rPr>
          <w:sz w:val="20"/>
          <w:szCs w:val="20"/>
          <w:color w:val="auto"/>
        </w:rPr>
      </w:pPr>
    </w:p>
    <w:p>
      <w:pPr>
        <w:ind w:right="280"/>
        <w:spacing w:after="0" w:line="312" w:lineRule="auto"/>
        <w:rPr>
          <w:sz w:val="20"/>
          <w:szCs w:val="20"/>
          <w:color w:val="auto"/>
        </w:rPr>
      </w:pPr>
      <w:r>
        <w:rPr>
          <w:rFonts w:ascii="Arial" w:cs="Arial" w:eastAsia="Arial" w:hAnsi="Arial"/>
          <w:sz w:val="16"/>
          <w:szCs w:val="16"/>
          <w:color w:val="auto"/>
        </w:rPr>
        <w:t>Management continually assesses the probability of future recoveries and obligations associated with regulatory assets and liabilities. Factors such as the current regulatory environment, recently issued rate orders, and historical precedents are considered. As a result, we believe that the accounting prescribed under rate-based regulation remains appropriate and our regulatory assets are probable of recovery in current rates or in future rate proceedings.</w:t>
      </w:r>
    </w:p>
    <w:p>
      <w:pPr>
        <w:spacing w:after="0" w:line="147"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If changes in the regulatory environment occur, we may no longer be eligible to apply this accounting treatment, and may be required to eliminate regulatory assets and liabilities from our balance sheet. Such changes could adversely affect our results of operations, financial position or cash flows.</w:t>
      </w:r>
    </w:p>
    <w:p>
      <w:pPr>
        <w:spacing w:after="0" w:line="147" w:lineRule="exact"/>
        <w:rPr>
          <w:sz w:val="20"/>
          <w:szCs w:val="20"/>
          <w:color w:val="auto"/>
        </w:rPr>
      </w:pPr>
    </w:p>
    <w:p>
      <w:pPr>
        <w:ind w:right="48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As of December 31, 2019 and 2018, we had total regulatory assets of $271 million and $284 million respectively, and total regulatory liabilities of $537 million and $541 million respectively. See </w:t>
      </w:r>
      <w:hyperlink w:anchor="page117">
        <w:r>
          <w:rPr>
            <w:rFonts w:ascii="Arial" w:cs="Arial" w:eastAsia="Arial" w:hAnsi="Arial"/>
            <w:sz w:val="18"/>
            <w:szCs w:val="18"/>
            <w:u w:val="single" w:color="auto"/>
            <w:color w:val="0000EE"/>
          </w:rPr>
          <w:t>Note 13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ind w:right="100"/>
        <w:spacing w:after="0" w:line="342" w:lineRule="auto"/>
        <w:rPr>
          <w:sz w:val="20"/>
          <w:szCs w:val="20"/>
          <w:color w:val="auto"/>
        </w:rPr>
      </w:pPr>
      <w:r>
        <w:rPr>
          <w:rFonts w:ascii="Arial" w:cs="Arial" w:eastAsia="Arial" w:hAnsi="Arial"/>
          <w:sz w:val="16"/>
          <w:szCs w:val="16"/>
          <w:color w:val="auto"/>
        </w:rPr>
        <w:t>The Company and its subsidiaries file consolidated federal income tax returns. Each entity records both federal and state income taxes as if it were a separate taxpayer and consolidating expense adjustments are allocated to the subsidiaries based on separate company computations of taxable income or loss.</w:t>
      </w:r>
    </w:p>
    <w:p>
      <w:pPr>
        <w:spacing w:after="0" w:line="124"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use the asset and liability method in accounting for income taxes. Under the asset and liability method, deferred income taxes are recognized at currently enacted income tax rates, to reflect the tax effect of temporary differences between the financial and tax basis of assets and liabilities as well as operating loss and tax credit carryforwards. Such temporary differences are the result of provisions in the income tax law that either require or permit certain items to be reported on the income tax return in a different period than they are reported in the financial statements.</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420"/>
          </w:cols>
          <w:pgMar w:left="240" w:top="125" w:right="239" w:bottom="1440" w:gutter="0" w:footer="0" w:header="0"/>
        </w:sectPr>
      </w:pPr>
    </w:p>
    <w:bookmarkStart w:id="89" w:name="page90"/>
    <w:bookmarkEnd w:id="8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It is our policy to apply the flow-through method of accounting for ITCs. Under the flow-through method, ITCs are reflected in net income as a reduction to income tax expense in the year they qualify. An exception to this general policy is the deferral method, which applies to our regulated businesses. Such a method results in the ITC being amortized as a reduction to income tax expense over the estimated useful lives of the underlying property that gave rise to the credit.</w:t>
      </w:r>
    </w:p>
    <w:p>
      <w:pPr>
        <w:spacing w:after="0" w:line="187"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We recognize interest income or interest expense and penalties related to income tax matters in Income tax (expense) benefit on the Consolidated Statements of Income.</w:t>
      </w:r>
    </w:p>
    <w:p>
      <w:pPr>
        <w:spacing w:after="0" w:line="170" w:lineRule="exact"/>
        <w:rPr>
          <w:sz w:val="20"/>
          <w:szCs w:val="20"/>
          <w:color w:val="auto"/>
        </w:rPr>
      </w:pPr>
    </w:p>
    <w:p>
      <w:pPr>
        <w:ind w:right="6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We account for uncertainty in income taxes recognized in the financial statements in accordance with the accounting standards for income taxes. The unrecognized tax benefit is classified in Other deferred credits and other liabilities or in Deferred income tax liabilities, net on the accompanying Consolidated Balance Sheets. See </w:t>
      </w:r>
      <w:hyperlink w:anchor="page124">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 of Common Stock</w:t>
      </w:r>
    </w:p>
    <w:p>
      <w:pPr>
        <w:spacing w:after="0" w:line="22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Basic earnings per share from continuing and discontinued operations is computed by dividing Net income (loss) from continuing and discontinued operations by the weighted average number of common shares outstanding during each year. Diluted earnings per share is computed by including all dilutive common shares outstanding during each year. Diluted common shares are primarily due to equity units, outstanding stock options, restricted stock and performance shares under our equity compensation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share amounts used to compute earnings per share is as follows for the years ended December 31 (in thousands):</w:t>
      </w:r>
    </w:p>
    <w:p>
      <w:pPr>
        <w:spacing w:after="0" w:line="171"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6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2019</w:t>
            </w:r>
          </w:p>
        </w:tc>
        <w:tc>
          <w:tcPr>
            <w:tcW w:w="72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2018</w:t>
            </w:r>
          </w:p>
        </w:tc>
        <w:tc>
          <w:tcPr>
            <w:tcW w:w="7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8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56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91"/>
        </w:trPr>
        <w:tc>
          <w:tcPr>
            <w:tcW w:w="5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w:t>
            </w:r>
          </w:p>
        </w:tc>
        <w:tc>
          <w:tcPr>
            <w:tcW w:w="118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5"/>
              </w:rPr>
              <w:t>199,310</w:t>
            </w:r>
          </w:p>
        </w:tc>
        <w:tc>
          <w:tcPr>
            <w:tcW w:w="122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5"/>
              </w:rPr>
              <w:t>258,442</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177,034</w:t>
            </w:r>
          </w:p>
        </w:tc>
      </w:tr>
      <w:tr>
        <w:trPr>
          <w:trHeight w:val="20"/>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284"/>
        </w:trPr>
        <w:tc>
          <w:tcPr>
            <w:tcW w:w="5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50"/>
        </w:trPr>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shares - basic</w:t>
            </w:r>
          </w:p>
        </w:tc>
        <w:tc>
          <w:tcPr>
            <w:tcW w:w="1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60,662</w:t>
            </w:r>
          </w:p>
        </w:tc>
        <w:tc>
          <w:tcPr>
            <w:tcW w:w="12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54,420</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53,221</w:t>
            </w:r>
          </w:p>
        </w:tc>
      </w:tr>
      <w:tr>
        <w:trPr>
          <w:trHeight w:val="243"/>
        </w:trPr>
        <w:tc>
          <w:tcPr>
            <w:tcW w:w="5600" w:type="dxa"/>
            <w:vAlign w:val="bottom"/>
          </w:tcPr>
          <w:p>
            <w:pPr>
              <w:ind w:left="20"/>
              <w:spacing w:after="0"/>
              <w:rPr>
                <w:sz w:val="20"/>
                <w:szCs w:val="20"/>
                <w:color w:val="auto"/>
              </w:rPr>
            </w:pPr>
            <w:r>
              <w:rPr>
                <w:rFonts w:ascii="Arial" w:cs="Arial" w:eastAsia="Arial" w:hAnsi="Arial"/>
                <w:sz w:val="18"/>
                <w:szCs w:val="18"/>
                <w:color w:val="auto"/>
              </w:rPr>
              <w:t>Dilutive effect of:</w:t>
            </w:r>
          </w:p>
        </w:tc>
        <w:tc>
          <w:tcPr>
            <w:tcW w:w="11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480" w:type="dxa"/>
            <w:vAlign w:val="bottom"/>
          </w:tcPr>
          <w:p>
            <w:pPr>
              <w:spacing w:after="0"/>
              <w:rPr>
                <w:sz w:val="21"/>
                <w:szCs w:val="21"/>
                <w:color w:val="auto"/>
              </w:rPr>
            </w:pPr>
          </w:p>
        </w:tc>
      </w:tr>
      <w:tr>
        <w:trPr>
          <w:trHeight w:val="27"/>
        </w:trPr>
        <w:tc>
          <w:tcPr>
            <w:tcW w:w="56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56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Equity Units</w:t>
            </w:r>
          </w:p>
        </w:tc>
        <w:tc>
          <w:tcPr>
            <w:tcW w:w="118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898</w:t>
            </w:r>
          </w:p>
        </w:tc>
        <w:tc>
          <w:tcPr>
            <w:tcW w:w="500" w:type="dxa"/>
            <w:vAlign w:val="bottom"/>
            <w:tcBorders>
              <w:bottom w:val="single" w:sz="8" w:color="CEFFE7"/>
            </w:tcBorders>
            <w:shd w:val="clear" w:color="auto" w:fill="CEFFE7"/>
          </w:tcPr>
          <w:p>
            <w:pPr>
              <w:spacing w:after="0"/>
              <w:rPr>
                <w:sz w:val="21"/>
                <w:szCs w:val="21"/>
                <w:color w:val="auto"/>
              </w:rPr>
            </w:pPr>
          </w:p>
        </w:tc>
        <w:tc>
          <w:tcPr>
            <w:tcW w:w="14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1,783</w:t>
            </w:r>
          </w:p>
        </w:tc>
      </w:tr>
      <w:tr>
        <w:trPr>
          <w:trHeight w:val="243"/>
        </w:trPr>
        <w:tc>
          <w:tcPr>
            <w:tcW w:w="5600" w:type="dxa"/>
            <w:vAlign w:val="bottom"/>
          </w:tcPr>
          <w:p>
            <w:pPr>
              <w:ind w:left="160"/>
              <w:spacing w:after="0"/>
              <w:rPr>
                <w:sz w:val="20"/>
                <w:szCs w:val="20"/>
                <w:color w:val="auto"/>
              </w:rPr>
            </w:pPr>
            <w:r>
              <w:rPr>
                <w:rFonts w:ascii="Arial" w:cs="Arial" w:eastAsia="Arial" w:hAnsi="Arial"/>
                <w:sz w:val="18"/>
                <w:szCs w:val="18"/>
                <w:color w:val="auto"/>
              </w:rPr>
              <w:t>Equity compensation</w:t>
            </w:r>
          </w:p>
        </w:tc>
        <w:tc>
          <w:tcPr>
            <w:tcW w:w="1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136</w:t>
            </w:r>
          </w:p>
        </w:tc>
        <w:tc>
          <w:tcPr>
            <w:tcW w:w="122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168</w:t>
            </w:r>
          </w:p>
        </w:tc>
        <w:tc>
          <w:tcPr>
            <w:tcW w:w="500" w:type="dxa"/>
            <w:vAlign w:val="bottom"/>
          </w:tcPr>
          <w:p>
            <w:pPr>
              <w:spacing w:after="0"/>
              <w:rPr>
                <w:sz w:val="21"/>
                <w:szCs w:val="21"/>
                <w:color w:val="auto"/>
              </w:rPr>
            </w:pP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116</w:t>
            </w:r>
          </w:p>
        </w:tc>
      </w:tr>
      <w:tr>
        <w:trPr>
          <w:trHeight w:val="27"/>
        </w:trPr>
        <w:tc>
          <w:tcPr>
            <w:tcW w:w="5600" w:type="dxa"/>
            <w:vAlign w:val="bottom"/>
            <w:tcBorders>
              <w:bottom w:val="single" w:sz="8" w:color="CEFFE7"/>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57"/>
        </w:trPr>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Weighted average shares - diluted</w:t>
            </w:r>
          </w:p>
        </w:tc>
        <w:tc>
          <w:tcPr>
            <w:tcW w:w="1180" w:type="dxa"/>
            <w:vAlign w:val="bottom"/>
            <w:tcBorders>
              <w:bottom w:val="single" w:sz="8" w:color="auto"/>
            </w:tcBorders>
            <w:shd w:val="clear" w:color="auto" w:fill="CEFFE7"/>
          </w:tcPr>
          <w:p>
            <w:pPr>
              <w:spacing w:after="0"/>
              <w:rPr>
                <w:sz w:val="22"/>
                <w:szCs w:val="22"/>
                <w:color w:val="auto"/>
              </w:rPr>
            </w:pP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60,798</w:t>
            </w:r>
          </w:p>
        </w:tc>
        <w:tc>
          <w:tcPr>
            <w:tcW w:w="1220" w:type="dxa"/>
            <w:vAlign w:val="bottom"/>
            <w:tcBorders>
              <w:bottom w:val="single" w:sz="8" w:color="auto"/>
            </w:tcBorders>
            <w:shd w:val="clear" w:color="auto" w:fill="CEFFE7"/>
          </w:tcPr>
          <w:p>
            <w:pPr>
              <w:spacing w:after="0"/>
              <w:rPr>
                <w:sz w:val="22"/>
                <w:szCs w:val="22"/>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55,486</w:t>
            </w:r>
          </w:p>
        </w:tc>
        <w:tc>
          <w:tcPr>
            <w:tcW w:w="500" w:type="dxa"/>
            <w:vAlign w:val="bottom"/>
            <w:tcBorders>
              <w:bottom w:val="single" w:sz="8" w:color="auto"/>
            </w:tcBorders>
            <w:shd w:val="clear" w:color="auto" w:fill="CEFFE7"/>
          </w:tcPr>
          <w:p>
            <w:pPr>
              <w:spacing w:after="0"/>
              <w:rPr>
                <w:sz w:val="22"/>
                <w:szCs w:val="22"/>
                <w:color w:val="auto"/>
              </w:rPr>
            </w:pPr>
          </w:p>
        </w:tc>
        <w:tc>
          <w:tcPr>
            <w:tcW w:w="14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55,120</w:t>
            </w:r>
          </w:p>
        </w:tc>
      </w:tr>
      <w:tr>
        <w:trPr>
          <w:trHeight w:val="20"/>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311"/>
        </w:trPr>
        <w:tc>
          <w:tcPr>
            <w:tcW w:w="5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64"/>
        </w:trPr>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income available for common stock, per share - Diluted</w:t>
            </w:r>
          </w:p>
        </w:tc>
        <w:tc>
          <w:tcPr>
            <w:tcW w:w="118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3.28</w:t>
            </w:r>
          </w:p>
        </w:tc>
        <w:tc>
          <w:tcPr>
            <w:tcW w:w="1220" w:type="dxa"/>
            <w:vAlign w:val="bottom"/>
            <w:tcBorders>
              <w:bottom w:val="single" w:sz="8" w:color="auto"/>
            </w:tcBorders>
            <w:shd w:val="clear" w:color="auto" w:fill="CEFFE7"/>
          </w:tcPr>
          <w:p>
            <w:pPr>
              <w:jc w:val="right"/>
              <w:ind w:right="99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4.66</w:t>
            </w:r>
          </w:p>
        </w:tc>
        <w:tc>
          <w:tcPr>
            <w:tcW w:w="500" w:type="dxa"/>
            <w:vAlign w:val="bottom"/>
            <w:tcBorders>
              <w:bottom w:val="single" w:sz="8" w:color="auto"/>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3.21</w:t>
            </w:r>
          </w:p>
        </w:tc>
      </w:tr>
      <w:tr>
        <w:trPr>
          <w:trHeight w:val="20"/>
        </w:trPr>
        <w:tc>
          <w:tcPr>
            <w:tcW w:w="560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 following securities were excluded from the diluted earnings per share computation for the years ended December 31 because of their anti-dilutive nature (in thousands):</w:t>
      </w:r>
    </w:p>
    <w:p>
      <w:pPr>
        <w:spacing w:after="0" w:line="116"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7040" w:type="dxa"/>
            <w:vAlign w:val="bottom"/>
            <w:gridSpan w:val="2"/>
          </w:tcPr>
          <w:p>
            <w:pPr>
              <w:jc w:val="right"/>
              <w:ind w:right="300"/>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0"/>
                <w:szCs w:val="20"/>
                <w:color w:val="auto"/>
              </w:rPr>
            </w:pPr>
          </w:p>
        </w:tc>
        <w:tc>
          <w:tcPr>
            <w:tcW w:w="1940" w:type="dxa"/>
            <w:vAlign w:val="bottom"/>
          </w:tcPr>
          <w:p>
            <w:pPr>
              <w:jc w:val="right"/>
              <w:ind w:right="1030"/>
              <w:spacing w:after="0"/>
              <w:rPr>
                <w:sz w:val="20"/>
                <w:szCs w:val="20"/>
                <w:color w:val="auto"/>
              </w:rPr>
            </w:pPr>
            <w:r>
              <w:rPr>
                <w:rFonts w:ascii="Arial" w:cs="Arial" w:eastAsia="Arial" w:hAnsi="Arial"/>
                <w:sz w:val="18"/>
                <w:szCs w:val="18"/>
                <w:color w:val="auto"/>
              </w:rPr>
              <w:t>2018</w:t>
            </w:r>
          </w:p>
        </w:tc>
        <w:tc>
          <w:tcPr>
            <w:tcW w:w="1600" w:type="dxa"/>
            <w:vAlign w:val="bottom"/>
          </w:tcPr>
          <w:p>
            <w:pPr>
              <w:jc w:val="right"/>
              <w:ind w:right="710"/>
              <w:spacing w:after="0"/>
              <w:rPr>
                <w:sz w:val="20"/>
                <w:szCs w:val="20"/>
                <w:color w:val="auto"/>
              </w:rPr>
            </w:pPr>
            <w:r>
              <w:rPr>
                <w:rFonts w:ascii="Arial" w:cs="Arial" w:eastAsia="Arial" w:hAnsi="Arial"/>
                <w:sz w:val="18"/>
                <w:szCs w:val="18"/>
                <w:color w:val="auto"/>
              </w:rPr>
              <w:t>2017</w:t>
            </w:r>
          </w:p>
        </w:tc>
      </w:tr>
      <w:tr>
        <w:trPr>
          <w:trHeight w:val="27"/>
        </w:trPr>
        <w:tc>
          <w:tcPr>
            <w:tcW w:w="560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18"/>
        </w:trPr>
        <w:tc>
          <w:tcPr>
            <w:tcW w:w="56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270"/>
        </w:trPr>
        <w:tc>
          <w:tcPr>
            <w:tcW w:w="56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Equity compensation</w:t>
            </w:r>
          </w:p>
        </w:tc>
        <w:tc>
          <w:tcPr>
            <w:tcW w:w="144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1</w:t>
            </w:r>
          </w:p>
        </w:tc>
        <w:tc>
          <w:tcPr>
            <w:tcW w:w="1940" w:type="dxa"/>
            <w:vAlign w:val="bottom"/>
            <w:tcBorders>
              <w:bottom w:val="single" w:sz="8" w:color="CEFFE7"/>
            </w:tcBorders>
            <w:shd w:val="clear" w:color="auto" w:fill="CEFFE7"/>
          </w:tcPr>
          <w:p>
            <w:pPr>
              <w:jc w:val="right"/>
              <w:ind w:right="350"/>
              <w:spacing w:after="0"/>
              <w:rPr>
                <w:sz w:val="20"/>
                <w:szCs w:val="20"/>
                <w:color w:val="auto"/>
              </w:rPr>
            </w:pPr>
            <w:r>
              <w:rPr>
                <w:rFonts w:ascii="Arial" w:cs="Arial" w:eastAsia="Arial" w:hAnsi="Arial"/>
                <w:sz w:val="18"/>
                <w:szCs w:val="18"/>
                <w:color w:val="auto"/>
              </w:rPr>
              <w:t>16</w:t>
            </w:r>
          </w:p>
        </w:tc>
        <w:tc>
          <w:tcPr>
            <w:tcW w:w="16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11</w:t>
            </w:r>
          </w:p>
        </w:tc>
      </w:tr>
      <w:tr>
        <w:trPr>
          <w:trHeight w:val="257"/>
        </w:trPr>
        <w:tc>
          <w:tcPr>
            <w:tcW w:w="5600" w:type="dxa"/>
            <w:vAlign w:val="bottom"/>
          </w:tcPr>
          <w:p>
            <w:pPr>
              <w:ind w:left="20"/>
              <w:spacing w:after="0"/>
              <w:rPr>
                <w:sz w:val="20"/>
                <w:szCs w:val="20"/>
                <w:color w:val="auto"/>
              </w:rPr>
            </w:pPr>
            <w:r>
              <w:rPr>
                <w:rFonts w:ascii="Arial" w:cs="Arial" w:eastAsia="Arial" w:hAnsi="Arial"/>
                <w:sz w:val="18"/>
                <w:szCs w:val="18"/>
                <w:color w:val="auto"/>
              </w:rPr>
              <w:t>Anti-dilutive shares excluded from computation of earnings per share</w:t>
            </w:r>
          </w:p>
        </w:tc>
        <w:tc>
          <w:tcPr>
            <w:tcW w:w="144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w:t>
            </w:r>
          </w:p>
        </w:tc>
        <w:tc>
          <w:tcPr>
            <w:tcW w:w="19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16</w:t>
            </w:r>
          </w:p>
        </w:tc>
        <w:tc>
          <w:tcPr>
            <w:tcW w:w="16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r>
      <w:tr>
        <w:trPr>
          <w:trHeight w:val="20"/>
        </w:trPr>
        <w:tc>
          <w:tcPr>
            <w:tcW w:w="56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Interests</w:t>
      </w:r>
    </w:p>
    <w:p>
      <w:pPr>
        <w:spacing w:after="0" w:line="229" w:lineRule="exact"/>
        <w:rPr>
          <w:sz w:val="20"/>
          <w:szCs w:val="20"/>
          <w:color w:val="auto"/>
        </w:rPr>
      </w:pPr>
    </w:p>
    <w:p>
      <w:pPr>
        <w:ind w:right="120"/>
        <w:spacing w:after="0" w:line="302" w:lineRule="auto"/>
        <w:rPr>
          <w:rFonts w:ascii="Arial" w:cs="Arial" w:eastAsia="Arial" w:hAnsi="Arial"/>
          <w:sz w:val="16"/>
          <w:szCs w:val="16"/>
          <w:color w:val="auto"/>
        </w:rPr>
      </w:pPr>
      <w:r>
        <w:rPr>
          <w:rFonts w:ascii="Arial" w:cs="Arial" w:eastAsia="Arial" w:hAnsi="Arial"/>
          <w:sz w:val="16"/>
          <w:szCs w:val="16"/>
          <w:color w:val="auto"/>
        </w:rPr>
        <w:t>We account for changes in our controlling interests of subsidiaries according to ASC 810</w:t>
      </w:r>
      <w:r>
        <w:rPr>
          <w:rFonts w:ascii="Arial" w:cs="Arial" w:eastAsia="Arial" w:hAnsi="Arial"/>
          <w:sz w:val="16"/>
          <w:szCs w:val="16"/>
          <w:i w:val="1"/>
          <w:iCs w:val="1"/>
          <w:color w:val="auto"/>
        </w:rPr>
        <w:t>, Consolidations.</w:t>
      </w:r>
      <w:r>
        <w:rPr>
          <w:rFonts w:ascii="Arial" w:cs="Arial" w:eastAsia="Arial" w:hAnsi="Arial"/>
          <w:sz w:val="16"/>
          <w:szCs w:val="16"/>
          <w:color w:val="auto"/>
        </w:rPr>
        <w:t xml:space="preserve"> ASC 810 requires that the Company record such changes as equity transactions, recording no gain or loss on such a sale. GAAP requires that noncontrolling interests in subsidiaries and affiliates be reported in the equity section of a company’s balance sheet. In addition, the amounts attributable to the noncontrolling interest net income (loss) of those subsidiaries are reported separately in the consolidated statements of income and comprehensive income. See </w:t>
      </w:r>
      <w:hyperlink w:anchor="page113">
        <w:r>
          <w:rPr>
            <w:rFonts w:ascii="Arial" w:cs="Arial" w:eastAsia="Arial" w:hAnsi="Arial"/>
            <w:sz w:val="16"/>
            <w:szCs w:val="16"/>
            <w:u w:val="single" w:color="auto"/>
            <w:color w:val="0000EE"/>
          </w:rPr>
          <w:t>Note 12</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detail on Noncontrolling Interests.</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420"/>
          </w:cols>
          <w:pgMar w:left="240" w:top="126" w:right="239" w:bottom="1440" w:gutter="0" w:footer="0" w:header="0"/>
        </w:sectPr>
      </w:pPr>
    </w:p>
    <w:bookmarkStart w:id="90" w:name="page91"/>
    <w:bookmarkEnd w:id="9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Share-Based Compensation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We account for our share-based compensation arrangements in accordance with ASC 718,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by recognizing compensation costs for all share-based awards over the respective service period for employee services received in exchange for an award of equity or equity-based compensation. Awards that will be settled in stock are accounted for as equity and the compensation expense is based on the grant date fair value. Awards that are settled in cash are accounted for as liabilities and the compensation expense is re-measured each period based on the current market price and performance achievement measures.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Accounting for Income Taxes, ASU 2019-12</w:t>
      </w:r>
    </w:p>
    <w:p>
      <w:pPr>
        <w:spacing w:after="0" w:line="225"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 xml:space="preserve">In December 2019, the FASB issued ASU 2019-12, </w:t>
      </w:r>
      <w:r>
        <w:rPr>
          <w:rFonts w:ascii="Arial" w:cs="Arial" w:eastAsia="Arial" w:hAnsi="Arial"/>
          <w:sz w:val="18"/>
          <w:szCs w:val="18"/>
          <w:i w:val="1"/>
          <w:iCs w:val="1"/>
          <w:color w:val="auto"/>
        </w:rPr>
        <w:t>Simplifying the Accounting for Income Taxes</w:t>
      </w:r>
      <w:r>
        <w:rPr>
          <w:rFonts w:ascii="Arial" w:cs="Arial" w:eastAsia="Arial" w:hAnsi="Arial"/>
          <w:sz w:val="18"/>
          <w:szCs w:val="18"/>
          <w:color w:val="auto"/>
        </w:rPr>
        <w:t xml:space="preserve"> as part of its overall simplification initiative to reduce costs and complexity in applying accounting standards while maintaining or improving the usefulness of the information provided to users of the financial statements. Amendments include removal of certain exceptions to the general principles of ASC 740</w:t>
      </w:r>
      <w:r>
        <w:rPr>
          <w:rFonts w:ascii="Arial" w:cs="Arial" w:eastAsia="Arial" w:hAnsi="Arial"/>
          <w:sz w:val="18"/>
          <w:szCs w:val="18"/>
          <w:i w:val="1"/>
          <w:iCs w:val="1"/>
          <w:color w:val="auto"/>
        </w:rPr>
        <w:t>, Income Taxes</w:t>
      </w:r>
      <w:r>
        <w:rPr>
          <w:rFonts w:ascii="Arial" w:cs="Arial" w:eastAsia="Arial" w:hAnsi="Arial"/>
          <w:sz w:val="18"/>
          <w:szCs w:val="18"/>
          <w:color w:val="auto"/>
        </w:rPr>
        <w:t>, and simplification in several other areas such as accounting for a franchise tax (or similar tax) that is partially based on income. The new guidance is effective for interim and annual periods beginning after December 15, 2020 with early adoption permitted. We are currently reviewing this standard to assess the impact on our financial position, results of operations and cash flows.</w:t>
      </w:r>
    </w:p>
    <w:p>
      <w:pPr>
        <w:spacing w:after="0" w:line="193"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u w:val="single" w:color="auto"/>
          <w:color w:val="auto"/>
        </w:rPr>
        <w:t>Internal-Use Software: Customer’s Accounting for Implementation Costs Incurred in a Cloud Computing Arrangement That Is a Service Contract, ASU 2018-15</w:t>
      </w:r>
    </w:p>
    <w:p>
      <w:pPr>
        <w:spacing w:after="0" w:line="17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August 2018, the FASB issued ASU 2018-15, </w:t>
      </w:r>
      <w:r>
        <w:rPr>
          <w:rFonts w:ascii="Arial" w:cs="Arial" w:eastAsia="Arial" w:hAnsi="Arial"/>
          <w:sz w:val="16"/>
          <w:szCs w:val="16"/>
          <w:i w:val="1"/>
          <w:iCs w:val="1"/>
          <w:color w:val="auto"/>
        </w:rPr>
        <w:t>Customer's Accounting for Implementation Costs Incurred in a Cloud Computing Arrangement That Is a</w:t>
      </w:r>
      <w:r>
        <w:rPr>
          <w:rFonts w:ascii="Arial" w:cs="Arial" w:eastAsia="Arial" w:hAnsi="Arial"/>
          <w:sz w:val="16"/>
          <w:szCs w:val="16"/>
          <w:color w:val="auto"/>
        </w:rPr>
        <w:t xml:space="preserve"> </w:t>
      </w:r>
      <w:r>
        <w:rPr>
          <w:rFonts w:ascii="Arial" w:cs="Arial" w:eastAsia="Arial" w:hAnsi="Arial"/>
          <w:sz w:val="16"/>
          <w:szCs w:val="16"/>
          <w:i w:val="1"/>
          <w:iCs w:val="1"/>
          <w:color w:val="auto"/>
        </w:rPr>
        <w:t>Service Contract</w:t>
      </w:r>
      <w:r>
        <w:rPr>
          <w:rFonts w:ascii="Arial" w:cs="Arial" w:eastAsia="Arial" w:hAnsi="Arial"/>
          <w:sz w:val="16"/>
          <w:szCs w:val="16"/>
          <w:color w:val="auto"/>
        </w:rPr>
        <w:t>, which aligns the requirements for recording implementation costs incurred in a hosting arrangement that is a service contract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for capitalizing implementation costs incurred to develop or obtain internal-use software. As a result, certain categories of implementation costs that previously would have been charged to expense as incurred are now capitalized as prepayments and amortized over the term of the arrangement. The new guidance is effective for annual periods beginning after December 15, 2019, and interim periods within those fiscal years. The new guidance can be applied either retrospectively or prospectively to all implementation costs incurred after the date of adoption. Early adoption is permitted. We adopted this standard prospectively on January 1, 2020. Adoption of this guidance did not have a material impact on our financial position, results of operations or cash flows.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Simplifying the Test for Goodwill Impairment, ASU 2017-04</w:t>
      </w:r>
    </w:p>
    <w:p>
      <w:pPr>
        <w:spacing w:after="0" w:line="225"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 xml:space="preserve">In January 2017, the FASB issued ASU 2017-04, </w:t>
      </w:r>
      <w:r>
        <w:rPr>
          <w:rFonts w:ascii="Arial" w:cs="Arial" w:eastAsia="Arial" w:hAnsi="Arial"/>
          <w:sz w:val="17"/>
          <w:szCs w:val="17"/>
          <w:i w:val="1"/>
          <w:iCs w:val="1"/>
          <w:color w:val="auto"/>
        </w:rPr>
        <w:t>Simplifying the Test for Goodwill Impairment</w:t>
      </w:r>
      <w:r>
        <w:rPr>
          <w:rFonts w:ascii="Arial" w:cs="Arial" w:eastAsia="Arial" w:hAnsi="Arial"/>
          <w:sz w:val="17"/>
          <w:szCs w:val="17"/>
          <w:color w:val="auto"/>
        </w:rPr>
        <w:t xml:space="preserve"> by eliminating step 2 from the goodwill impairment test. Under the new guidance, if the carrying amount of a reporting unit exceeds its fair value, an impairment loss will be recognized in an amount equal to that excess, limited to the amount of goodwill allocated to that reporting unit. The new standard is effective for interim and annual reporting periods beginning after December 15, 2019, applied on a prospective basis with early adoption permitted. We adopted this standard prospectively on January 1, 2020. Adoption of this guidance is not expected to have any impact on our financial position, results of operations or cash flows.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Financial Instruments -- Credit Losses: Measurement of Credit Losses on Financial Instruments, ASU 2018-19</w:t>
      </w:r>
    </w:p>
    <w:p>
      <w:pPr>
        <w:spacing w:after="0" w:line="225"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 xml:space="preserve">In June 2016, the FASB issued ASU 2016-13, </w:t>
      </w:r>
      <w:r>
        <w:rPr>
          <w:rFonts w:ascii="Arial" w:cs="Arial" w:eastAsia="Arial" w:hAnsi="Arial"/>
          <w:sz w:val="16"/>
          <w:szCs w:val="16"/>
          <w:i w:val="1"/>
          <w:iCs w:val="1"/>
          <w:color w:val="auto"/>
        </w:rPr>
        <w:t>Financial Instruments -- Credit Losses: Measurement of Credit Losses on Financial Instruments,</w:t>
      </w:r>
      <w:r>
        <w:rPr>
          <w:rFonts w:ascii="Arial" w:cs="Arial" w:eastAsia="Arial" w:hAnsi="Arial"/>
          <w:sz w:val="16"/>
          <w:szCs w:val="16"/>
          <w:color w:val="auto"/>
        </w:rPr>
        <w:t xml:space="preserve"> which was subsequently amended by ASU 2018-19, ASU 2019-04, 2019-05, 2019-10, and 2019-11. The standard introduces new accounting guidance for credit losses on financial instruments within its scope, including trade receivables. This new guidance adds an impairment model that is based on expected losses rather than incurred losses. It is effective for interim and annual reporting periods beginning after December 15, 2019, with early adoption permitted.</w:t>
      </w:r>
    </w:p>
    <w:p>
      <w:pPr>
        <w:spacing w:after="0" w:line="154"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adopted this standard on January 1, 2020 with prior year comparative financial information remaining as previously reported when transitioning to the new standard. On January 1, 2020, we recorded an increase to our allowance for doubtful accounts, primarily associated with the inclusion of expected losses on unbilled revenue. Adoption of this standard did not have a material impact on our financial position, results of operations or cash flows.</w:t>
      </w:r>
    </w:p>
    <w:p>
      <w:pPr>
        <w:spacing w:after="0" w:line="200" w:lineRule="exact"/>
        <w:rPr>
          <w:sz w:val="20"/>
          <w:szCs w:val="20"/>
          <w:color w:val="auto"/>
        </w:rPr>
      </w:pP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400"/>
          </w:cols>
          <w:pgMar w:left="240" w:top="126" w:right="259" w:bottom="1440" w:gutter="0" w:footer="0" w:header="0"/>
        </w:sectPr>
      </w:pPr>
    </w:p>
    <w:bookmarkStart w:id="91" w:name="page92"/>
    <w:bookmarkEnd w:id="9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Standards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Leases, ASU 2016-02</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February 2016, the FASB issued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to increase transparency and comparability among organizations by requiring the recognition of right-of-use assets and lease liabilities on the balance sheet for most leases, whereas previously only financing-type lease liabilities (capital leases) were recognized on the balance sheet. Under the new standard, disclosures are required to meet the objective of enabling users of financial statements to assess the amount, timing and uncertainty of cash flows arising from leases.</w:t>
      </w:r>
    </w:p>
    <w:p>
      <w:pPr>
        <w:spacing w:after="0" w:line="187" w:lineRule="exact"/>
        <w:rPr>
          <w:sz w:val="20"/>
          <w:szCs w:val="20"/>
          <w:color w:val="auto"/>
        </w:rPr>
      </w:pPr>
    </w:p>
    <w:p>
      <w:pPr>
        <w:ind w:right="140"/>
        <w:spacing w:after="0" w:line="302" w:lineRule="auto"/>
        <w:rPr>
          <w:sz w:val="20"/>
          <w:szCs w:val="20"/>
          <w:color w:val="auto"/>
        </w:rPr>
      </w:pPr>
      <w:r>
        <w:rPr>
          <w:rFonts w:ascii="Arial" w:cs="Arial" w:eastAsia="Arial" w:hAnsi="Arial"/>
          <w:sz w:val="16"/>
          <w:szCs w:val="16"/>
          <w:color w:val="auto"/>
        </w:rPr>
        <w:t>We adopted the standard effective January 1, 2019. We elected not to recast comparative periods coinciding with the new lease standard transition and will report these comparative periods as presented under previous lease guidance. In addition, we elected the package of practical expedients permitted under the transition guidance with the new standard, which among other things, allowed us to carry forward the historical lease classification. We also elected the practical expedient related to land easements, allowing us to carry forward our accounting treatment for existing land easement agreements.</w:t>
      </w:r>
    </w:p>
    <w:p>
      <w:pPr>
        <w:spacing w:after="0" w:line="154"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Adoption of the new standard resulted in the recording of an operating lease right-of-use asset of $3.1 million, an operating lease obligation liability of $3.2 million, and an accrued receivable of $4.5 million, as of January 1, 2019. The cumulative effect of the adoption, net of tax impact, was $3.4 million, which was recorded as an adjustment to retained earnings at January 1, 2019.</w:t>
      </w:r>
    </w:p>
    <w:p>
      <w:pPr>
        <w:spacing w:after="0" w:line="181"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21">
        <w:r>
          <w:rPr>
            <w:rFonts w:ascii="Arial" w:cs="Arial" w:eastAsia="Arial" w:hAnsi="Arial"/>
            <w:sz w:val="18"/>
            <w:szCs w:val="18"/>
            <w:u w:val="single" w:color="auto"/>
            <w:color w:val="0000EE"/>
          </w:rPr>
          <w:t>Note 14</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details on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and Hedging: Targeted Improvements to Accounting for Hedging Activities, ASU 2017-12</w:t>
      </w:r>
    </w:p>
    <w:p>
      <w:pPr>
        <w:spacing w:after="0" w:line="225" w:lineRule="exact"/>
        <w:rPr>
          <w:sz w:val="20"/>
          <w:szCs w:val="20"/>
          <w:color w:val="auto"/>
        </w:rPr>
      </w:pPr>
    </w:p>
    <w:p>
      <w:pPr>
        <w:ind w:right="340"/>
        <w:spacing w:after="0" w:line="258" w:lineRule="auto"/>
        <w:rPr>
          <w:sz w:val="20"/>
          <w:szCs w:val="20"/>
          <w:color w:val="auto"/>
        </w:rPr>
      </w:pPr>
      <w:r>
        <w:rPr>
          <w:rFonts w:ascii="Arial" w:cs="Arial" w:eastAsia="Arial" w:hAnsi="Arial"/>
          <w:sz w:val="18"/>
          <w:szCs w:val="18"/>
          <w:color w:val="auto"/>
        </w:rPr>
        <w:t xml:space="preserve">In August 2017, the FASB issued ASU 2017-12, </w:t>
      </w:r>
      <w:r>
        <w:rPr>
          <w:rFonts w:ascii="Arial" w:cs="Arial" w:eastAsia="Arial" w:hAnsi="Arial"/>
          <w:sz w:val="18"/>
          <w:szCs w:val="18"/>
          <w:i w:val="1"/>
          <w:iCs w:val="1"/>
          <w:color w:val="auto"/>
        </w:rPr>
        <w:t>Derivatives and Hedging (Topic 815): Targeted Improvement to Accounting for Hedging Activities.</w:t>
      </w:r>
      <w:r>
        <w:rPr>
          <w:rFonts w:ascii="Arial" w:cs="Arial" w:eastAsia="Arial" w:hAnsi="Arial"/>
          <w:sz w:val="18"/>
          <w:szCs w:val="18"/>
          <w:color w:val="auto"/>
        </w:rPr>
        <w:t xml:space="preserve"> This standard better aligns risk management activities and financial reporting for hedging</w:t>
      </w:r>
    </w:p>
    <w:p>
      <w:pPr>
        <w:spacing w:after="0" w:line="1" w:lineRule="exact"/>
        <w:rPr>
          <w:sz w:val="20"/>
          <w:szCs w:val="20"/>
          <w:color w:val="auto"/>
        </w:rPr>
      </w:pPr>
    </w:p>
    <w:p>
      <w:pPr>
        <w:ind w:right="380"/>
        <w:spacing w:after="0" w:line="290" w:lineRule="auto"/>
        <w:rPr>
          <w:sz w:val="20"/>
          <w:szCs w:val="20"/>
          <w:color w:val="auto"/>
        </w:rPr>
      </w:pPr>
      <w:r>
        <w:rPr>
          <w:rFonts w:ascii="Arial" w:cs="Arial" w:eastAsia="Arial" w:hAnsi="Arial"/>
          <w:sz w:val="17"/>
          <w:szCs w:val="17"/>
          <w:color w:val="auto"/>
        </w:rPr>
        <w:t>relationships, simplifies hedge accounting requirements and improves disclosures of hedging arrangements. We have adopted this standard on January 1, 2019. Adoption of this standard did not have a material impact on our financial position, results of operations or cash flows.</w:t>
      </w:r>
    </w:p>
    <w:p>
      <w:pPr>
        <w:spacing w:after="0" w:line="3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(2)</w:t>
        <w:tab/>
        <w:t>REVENUE</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Our revenue contracts generally provide for performance obligations that are fulfilled and transfer control to customers over time, represent a series of distinct services that are substantially the same, involve the same pattern of transfer to the customer, and provide a right to consideration from our customers in an amount that corresponds directly with the value to the customer for the performance completed to date. Therefore, we recognize revenue in the amount to which we have a right to invoice. Our primary types of revenue contracts are:</w:t>
      </w:r>
    </w:p>
    <w:p>
      <w:pPr>
        <w:spacing w:after="0" w:line="187" w:lineRule="exact"/>
        <w:rPr>
          <w:sz w:val="20"/>
          <w:szCs w:val="20"/>
          <w:color w:val="auto"/>
        </w:rPr>
      </w:pPr>
    </w:p>
    <w:p>
      <w:pPr>
        <w:ind w:left="660" w:right="60" w:hanging="328"/>
        <w:spacing w:after="0" w:line="272" w:lineRule="auto"/>
        <w:tabs>
          <w:tab w:leader="none" w:pos="660" w:val="left"/>
        </w:tabs>
        <w:numPr>
          <w:ilvl w:val="0"/>
          <w:numId w:val="60"/>
        </w:numPr>
        <w:rPr>
          <w:rFonts w:ascii="Arial" w:cs="Arial" w:eastAsia="Arial" w:hAnsi="Arial"/>
          <w:sz w:val="17"/>
          <w:szCs w:val="17"/>
          <w:color w:val="auto"/>
        </w:rPr>
      </w:pPr>
      <w:r>
        <w:rPr>
          <w:rFonts w:ascii="Arial" w:cs="Arial" w:eastAsia="Arial" w:hAnsi="Arial"/>
          <w:sz w:val="17"/>
          <w:szCs w:val="17"/>
          <w:u w:val="single" w:color="auto"/>
          <w:color w:val="auto"/>
        </w:rPr>
        <w:t>Regulated natural gas and electric utility services tariffs</w:t>
      </w:r>
      <w:r>
        <w:rPr>
          <w:rFonts w:ascii="Arial" w:cs="Arial" w:eastAsia="Arial" w:hAnsi="Arial"/>
          <w:sz w:val="17"/>
          <w:szCs w:val="17"/>
          <w:color w:val="auto"/>
        </w:rPr>
        <w:t xml:space="preserve"> - Our utilities have regulated operations, as defined by ASC 980, that provide services to regulated customers under tariff rates, charges, terms and conditions of service, and prices determined by the jurisdictional regulators designated for our service territories. Our regulated services primarily encompass single performance obligations for delivery of either commodity natural gas, commodity electricity, natural gas transportation or electric transmission services. These service revenues are variable based on quantities delivered, influenced by seasonal business and weather patterns. Tariffs are only permitted to be changed through a rate-setting process involving the state or federal regulatory commissions to establish contractual rates between the utility and its customers. All of our utilities’ regulated sales are subject to regulatory-approved tariffs.</w:t>
      </w:r>
    </w:p>
    <w:p>
      <w:pPr>
        <w:spacing w:after="0" w:line="177" w:lineRule="exact"/>
        <w:rPr>
          <w:rFonts w:ascii="Arial" w:cs="Arial" w:eastAsia="Arial" w:hAnsi="Arial"/>
          <w:sz w:val="17"/>
          <w:szCs w:val="17"/>
          <w:color w:val="auto"/>
        </w:rPr>
      </w:pPr>
    </w:p>
    <w:p>
      <w:pPr>
        <w:ind w:left="660" w:right="60" w:hanging="328"/>
        <w:spacing w:after="0" w:line="293" w:lineRule="auto"/>
        <w:tabs>
          <w:tab w:leader="none" w:pos="660" w:val="left"/>
        </w:tabs>
        <w:numPr>
          <w:ilvl w:val="0"/>
          <w:numId w:val="60"/>
        </w:numPr>
        <w:rPr>
          <w:rFonts w:ascii="Arial" w:cs="Arial" w:eastAsia="Arial" w:hAnsi="Arial"/>
          <w:sz w:val="16"/>
          <w:szCs w:val="16"/>
          <w:color w:val="auto"/>
        </w:rPr>
      </w:pPr>
      <w:r>
        <w:rPr>
          <w:rFonts w:ascii="Arial" w:cs="Arial" w:eastAsia="Arial" w:hAnsi="Arial"/>
          <w:sz w:val="16"/>
          <w:szCs w:val="16"/>
          <w:u w:val="single" w:color="auto"/>
          <w:color w:val="auto"/>
        </w:rPr>
        <w:t>Power sales agreements</w:t>
      </w:r>
      <w:r>
        <w:rPr>
          <w:rFonts w:ascii="Arial" w:cs="Arial" w:eastAsia="Arial" w:hAnsi="Arial"/>
          <w:sz w:val="16"/>
          <w:szCs w:val="16"/>
          <w:color w:val="auto"/>
        </w:rPr>
        <w:t xml:space="preserve"> - Our Electric Utilities and Power Generation segments have long-term wholesale power sales agreements with other load-serving entities, including affiliates, for the sale of excess power from owned generating units. These agreements include a combination of “take or pay” arrangements, where the customer is obligated to pay for the energy regardless of whether it actually takes delivery, as well as “requirements only” arrangements, where the customer is only obligated to pay for the energy the customer needs. In addition to these long-term contracts, we also sell excess energy to other load-serving entities on a short-term basis. The pricing for all of these arrangements is included in the executed contracts or confirmations, reflecting the standalone selling price and is variable based on energy delivered.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400"/>
          </w:cols>
          <w:pgMar w:left="240" w:top="126" w:right="259" w:bottom="1440" w:gutter="0" w:footer="0" w:header="0"/>
        </w:sectPr>
      </w:pPr>
    </w:p>
    <w:bookmarkStart w:id="92" w:name="page93"/>
    <w:bookmarkEnd w:id="9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380" w:hanging="328"/>
        <w:spacing w:after="0" w:line="279" w:lineRule="auto"/>
        <w:tabs>
          <w:tab w:leader="none" w:pos="660" w:val="left"/>
        </w:tabs>
        <w:numPr>
          <w:ilvl w:val="0"/>
          <w:numId w:val="61"/>
        </w:numPr>
        <w:rPr>
          <w:rFonts w:ascii="Arial" w:cs="Arial" w:eastAsia="Arial" w:hAnsi="Arial"/>
          <w:sz w:val="17"/>
          <w:szCs w:val="17"/>
          <w:color w:val="auto"/>
        </w:rPr>
      </w:pPr>
      <w:r>
        <w:rPr>
          <w:rFonts w:ascii="Arial" w:cs="Arial" w:eastAsia="Arial" w:hAnsi="Arial"/>
          <w:sz w:val="17"/>
          <w:szCs w:val="17"/>
          <w:u w:val="single" w:color="auto"/>
          <w:color w:val="auto"/>
        </w:rPr>
        <w:t>Coal supply agreements</w:t>
      </w:r>
      <w:r>
        <w:rPr>
          <w:rFonts w:ascii="Arial" w:cs="Arial" w:eastAsia="Arial" w:hAnsi="Arial"/>
          <w:sz w:val="17"/>
          <w:szCs w:val="17"/>
          <w:color w:val="auto"/>
        </w:rPr>
        <w:t xml:space="preserve"> - Our Mining segment sells coal primarily under long-term contracts to utilities for use at their power generating plants, including affiliate electric utilities, and an affiliate non-regulated power generation entity. The contracts include a single promise to supply coal necessary to fuel the customers’ facilities during the contract term. The transaction price is established in the supply agreements, including cost-based agreements with the affiliated regulated utilities, and is variable based on tons delivered.</w:t>
      </w:r>
    </w:p>
    <w:p>
      <w:pPr>
        <w:spacing w:after="0" w:line="184" w:lineRule="exact"/>
        <w:rPr>
          <w:rFonts w:ascii="Arial" w:cs="Arial" w:eastAsia="Arial" w:hAnsi="Arial"/>
          <w:sz w:val="17"/>
          <w:szCs w:val="17"/>
          <w:color w:val="auto"/>
        </w:rPr>
      </w:pPr>
    </w:p>
    <w:p>
      <w:pPr>
        <w:ind w:left="660" w:right="100" w:hanging="328"/>
        <w:spacing w:after="0" w:line="257" w:lineRule="auto"/>
        <w:tabs>
          <w:tab w:leader="none" w:pos="660" w:val="left"/>
        </w:tabs>
        <w:numPr>
          <w:ilvl w:val="0"/>
          <w:numId w:val="61"/>
        </w:numPr>
        <w:rPr>
          <w:rFonts w:ascii="Arial" w:cs="Arial" w:eastAsia="Arial" w:hAnsi="Arial"/>
          <w:sz w:val="18"/>
          <w:szCs w:val="18"/>
          <w:color w:val="auto"/>
        </w:rPr>
      </w:pPr>
      <w:r>
        <w:rPr>
          <w:rFonts w:ascii="Arial" w:cs="Arial" w:eastAsia="Arial" w:hAnsi="Arial"/>
          <w:sz w:val="18"/>
          <w:szCs w:val="18"/>
          <w:u w:val="single" w:color="auto"/>
          <w:color w:val="auto"/>
        </w:rPr>
        <w:t>Other non-regulated services</w:t>
      </w:r>
      <w:r>
        <w:rPr>
          <w:rFonts w:ascii="Arial" w:cs="Arial" w:eastAsia="Arial" w:hAnsi="Arial"/>
          <w:sz w:val="18"/>
          <w:szCs w:val="18"/>
          <w:color w:val="auto"/>
        </w:rPr>
        <w:t xml:space="preserve"> - Our Electric and Gas Utilities segments also provide non-regulated services primarily comprised of appliance repair service and protection plans, electric and natural gas technical infrastructure construction and maintenance services, and in Nebraska and Wyoming, an unbundled natural gas commodity offering under the regulatory-approved Choice Gas Program. Revenue contracts for these services generally represent a single performance obligation with the price reflecting the standalone selling price stated in the agreement, and the revenue is variable based on the units delivered or services provided.</w:t>
      </w:r>
    </w:p>
    <w:p>
      <w:pPr>
        <w:spacing w:after="0" w:line="188"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The following tables depict the disaggregation of revenue, including intercompany revenue, from contracts with customers by customer type and timing of revenue recognition for each of the reporting segments, for the years ended December 31, 2019 and 2018. Sales tax and other similar taxes are excluded from revenues.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Electric</w:t>
            </w: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color w:val="auto"/>
              </w:rPr>
              <w:t>Power</w:t>
            </w: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00" w:type="dxa"/>
            <w:vAlign w:val="bottom"/>
            <w:gridSpan w:val="2"/>
          </w:tcPr>
          <w:p>
            <w:pPr>
              <w:jc w:val="right"/>
              <w:ind w:right="10"/>
              <w:spacing w:after="0"/>
              <w:rPr>
                <w:sz w:val="20"/>
                <w:szCs w:val="20"/>
                <w:color w:val="auto"/>
              </w:rPr>
            </w:pPr>
            <w:r>
              <w:rPr>
                <w:rFonts w:ascii="Arial" w:cs="Arial" w:eastAsia="Arial" w:hAnsi="Arial"/>
                <w:sz w:val="18"/>
                <w:szCs w:val="18"/>
                <w:color w:val="auto"/>
              </w:rPr>
              <w:t>Inter-company</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30"/>
        </w:trPr>
        <w:tc>
          <w:tcPr>
            <w:tcW w:w="3900" w:type="dxa"/>
            <w:vAlign w:val="bottom"/>
            <w:gridSpan w:val="4"/>
          </w:tcPr>
          <w:p>
            <w:pPr>
              <w:ind w:left="40"/>
              <w:spacing w:after="0"/>
              <w:rPr>
                <w:sz w:val="20"/>
                <w:szCs w:val="20"/>
                <w:color w:val="auto"/>
              </w:rPr>
            </w:pPr>
            <w:r>
              <w:rPr>
                <w:rFonts w:ascii="Arial" w:cs="Arial" w:eastAsia="Arial" w:hAnsi="Arial"/>
                <w:sz w:val="18"/>
                <w:szCs w:val="18"/>
                <w:color w:val="auto"/>
              </w:rPr>
              <w:t>Year ended December 31, 2019</w:t>
            </w:r>
          </w:p>
        </w:tc>
        <w:tc>
          <w:tcPr>
            <w:tcW w:w="220" w:type="dxa"/>
            <w:vAlign w:val="bottom"/>
          </w:tcPr>
          <w:p>
            <w:pPr>
              <w:spacing w:after="0"/>
              <w:rPr>
                <w:sz w:val="20"/>
                <w:szCs w:val="20"/>
                <w:color w:val="auto"/>
              </w:rPr>
            </w:pPr>
          </w:p>
        </w:tc>
        <w:tc>
          <w:tcPr>
            <w:tcW w:w="1000" w:type="dxa"/>
            <w:vAlign w:val="bottom"/>
          </w:tcPr>
          <w:p>
            <w:pPr>
              <w:jc w:val="right"/>
              <w:ind w:right="210"/>
              <w:spacing w:after="0"/>
              <w:rPr>
                <w:sz w:val="20"/>
                <w:szCs w:val="20"/>
                <w:color w:val="auto"/>
              </w:rPr>
            </w:pPr>
            <w:r>
              <w:rPr>
                <w:rFonts w:ascii="Arial" w:cs="Arial" w:eastAsia="Arial" w:hAnsi="Arial"/>
                <w:sz w:val="18"/>
                <w:szCs w:val="18"/>
                <w:color w:val="auto"/>
              </w:rPr>
              <w:t>Utilities</w:t>
            </w:r>
          </w:p>
        </w:tc>
        <w:tc>
          <w:tcPr>
            <w:tcW w:w="20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w w:val="95"/>
              </w:rPr>
              <w:t>Gas Utilities</w:t>
            </w:r>
          </w:p>
        </w:tc>
        <w:tc>
          <w:tcPr>
            <w:tcW w:w="240" w:type="dxa"/>
            <w:vAlign w:val="bottom"/>
          </w:tcPr>
          <w:p>
            <w:pPr>
              <w:spacing w:after="0"/>
              <w:rPr>
                <w:sz w:val="20"/>
                <w:szCs w:val="20"/>
                <w:color w:val="auto"/>
              </w:rPr>
            </w:pPr>
          </w:p>
        </w:tc>
        <w:tc>
          <w:tcPr>
            <w:tcW w:w="1140" w:type="dxa"/>
            <w:vAlign w:val="bottom"/>
          </w:tcPr>
          <w:p>
            <w:pPr>
              <w:jc w:val="right"/>
              <w:ind w:right="150"/>
              <w:spacing w:after="0"/>
              <w:rPr>
                <w:sz w:val="20"/>
                <w:szCs w:val="20"/>
                <w:color w:val="auto"/>
              </w:rPr>
            </w:pPr>
            <w:r>
              <w:rPr>
                <w:rFonts w:ascii="Arial" w:cs="Arial" w:eastAsia="Arial" w:hAnsi="Arial"/>
                <w:sz w:val="18"/>
                <w:szCs w:val="18"/>
                <w:color w:val="auto"/>
                <w:w w:val="98"/>
              </w:rPr>
              <w:t>Generation</w:t>
            </w:r>
          </w:p>
        </w:tc>
        <w:tc>
          <w:tcPr>
            <w:tcW w:w="260" w:type="dxa"/>
            <w:vAlign w:val="bottom"/>
          </w:tcPr>
          <w:p>
            <w:pPr>
              <w:spacing w:after="0"/>
              <w:rPr>
                <w:sz w:val="20"/>
                <w:szCs w:val="20"/>
                <w:color w:val="auto"/>
              </w:rPr>
            </w:pPr>
          </w:p>
        </w:tc>
        <w:tc>
          <w:tcPr>
            <w:tcW w:w="860" w:type="dxa"/>
            <w:vAlign w:val="bottom"/>
          </w:tcPr>
          <w:p>
            <w:pPr>
              <w:jc w:val="right"/>
              <w:ind w:right="150"/>
              <w:spacing w:after="0"/>
              <w:rPr>
                <w:sz w:val="20"/>
                <w:szCs w:val="20"/>
                <w:color w:val="auto"/>
              </w:rPr>
            </w:pPr>
            <w:r>
              <w:rPr>
                <w:rFonts w:ascii="Arial" w:cs="Arial" w:eastAsia="Arial" w:hAnsi="Arial"/>
                <w:sz w:val="18"/>
                <w:szCs w:val="18"/>
                <w:color w:val="auto"/>
              </w:rPr>
              <w:t>Mining</w:t>
            </w:r>
          </w:p>
        </w:tc>
        <w:tc>
          <w:tcPr>
            <w:tcW w:w="240" w:type="dxa"/>
            <w:vAlign w:val="bottom"/>
          </w:tcPr>
          <w:p>
            <w:pPr>
              <w:spacing w:after="0"/>
              <w:rPr>
                <w:sz w:val="20"/>
                <w:szCs w:val="20"/>
                <w:color w:val="auto"/>
              </w:rPr>
            </w:pPr>
          </w:p>
        </w:tc>
        <w:tc>
          <w:tcPr>
            <w:tcW w:w="1060" w:type="dxa"/>
            <w:vAlign w:val="bottom"/>
          </w:tcPr>
          <w:p>
            <w:pPr>
              <w:jc w:val="right"/>
              <w:ind w:right="190"/>
              <w:spacing w:after="0"/>
              <w:rPr>
                <w:sz w:val="20"/>
                <w:szCs w:val="20"/>
                <w:color w:val="auto"/>
              </w:rPr>
            </w:pPr>
            <w:r>
              <w:rPr>
                <w:rFonts w:ascii="Arial" w:cs="Arial" w:eastAsia="Arial" w:hAnsi="Arial"/>
                <w:sz w:val="18"/>
                <w:szCs w:val="18"/>
                <w:color w:val="auto"/>
                <w:w w:val="93"/>
              </w:rPr>
              <w:t>Revenues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r>
      <w:tr>
        <w:trPr>
          <w:trHeight w:val="27"/>
        </w:trPr>
        <w:tc>
          <w:tcPr>
            <w:tcW w:w="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gridSpan w:val="3"/>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96"/>
        </w:trPr>
        <w:tc>
          <w:tcPr>
            <w:tcW w:w="39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Customer types:</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60" w:type="dxa"/>
            <w:vAlign w:val="bottom"/>
            <w:gridSpan w:val="3"/>
          </w:tcPr>
          <w:p>
            <w:pPr>
              <w:jc w:val="right"/>
              <w:ind w:right="590"/>
              <w:spacing w:after="0" w:line="196" w:lineRule="exact"/>
              <w:rPr>
                <w:sz w:val="20"/>
                <w:szCs w:val="20"/>
                <w:color w:val="auto"/>
              </w:rPr>
            </w:pPr>
            <w:r>
              <w:rPr>
                <w:rFonts w:ascii="Arial" w:cs="Arial" w:eastAsia="Arial" w:hAnsi="Arial"/>
                <w:sz w:val="18"/>
                <w:szCs w:val="18"/>
                <w:color w:val="auto"/>
              </w:rPr>
              <w:t>(in thousands)</w:t>
            </w: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80" w:type="dxa"/>
            <w:vAlign w:val="bottom"/>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Retail</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605,756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817,840</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59,233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(32,053)</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1,450,776</w:t>
            </w: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Transportation</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143,390</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(1,042)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142,348</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Wholesale</w:t>
            </w:r>
          </w:p>
        </w:tc>
        <w:tc>
          <w:tcPr>
            <w:tcW w:w="22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20,884</w:t>
            </w:r>
          </w:p>
        </w:tc>
        <w:tc>
          <w:tcPr>
            <w:tcW w:w="20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99,157</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(91,577)</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28,464</w:t>
            </w: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Market - off-system sales</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23,817</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691</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(7,736)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16,772</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Transmission/Other</w:t>
            </w: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57,104</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47,725</w:t>
            </w:r>
          </w:p>
        </w:tc>
        <w:tc>
          <w:tcPr>
            <w:tcW w:w="2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(16,797)</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88,032</w:t>
            </w:r>
          </w:p>
        </w:tc>
      </w:tr>
      <w:tr>
        <w:trPr>
          <w:trHeight w:val="237"/>
        </w:trPr>
        <w:tc>
          <w:tcPr>
            <w:tcW w:w="40" w:type="dxa"/>
            <w:vAlign w:val="bottom"/>
          </w:tcPr>
          <w:p>
            <w:pPr>
              <w:spacing w:after="0"/>
              <w:rPr>
                <w:sz w:val="20"/>
                <w:szCs w:val="20"/>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707,561</w:t>
            </w:r>
          </w:p>
        </w:tc>
        <w:tc>
          <w:tcPr>
            <w:tcW w:w="20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1,009,646</w:t>
            </w:r>
          </w:p>
        </w:tc>
        <w:tc>
          <w:tcPr>
            <w:tcW w:w="2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99,157</w:t>
            </w: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59,233</w:t>
            </w:r>
          </w:p>
        </w:tc>
        <w:tc>
          <w:tcPr>
            <w:tcW w:w="2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(149,205)</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1,726,392</w:t>
            </w: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Other revenues</w:t>
            </w:r>
          </w:p>
        </w:tc>
        <w:tc>
          <w:tcPr>
            <w:tcW w:w="22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5,191</w:t>
            </w:r>
          </w:p>
        </w:tc>
        <w:tc>
          <w:tcPr>
            <w:tcW w:w="200" w:type="dxa"/>
            <w:vAlign w:val="bottom"/>
            <w:tcBorders>
              <w:bottom w:val="single" w:sz="8" w:color="CEFFE7"/>
            </w:tcBorders>
            <w:shd w:val="clear" w:color="auto" w:fill="CEFFE7"/>
          </w:tcPr>
          <w:p>
            <w:pPr>
              <w:spacing w:after="0"/>
              <w:rPr>
                <w:sz w:val="23"/>
                <w:szCs w:val="23"/>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384</w:t>
            </w:r>
          </w:p>
        </w:tc>
        <w:tc>
          <w:tcPr>
            <w:tcW w:w="2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2,101</w:t>
            </w:r>
          </w:p>
        </w:tc>
        <w:tc>
          <w:tcPr>
            <w:tcW w:w="26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2,396</w:t>
            </w:r>
          </w:p>
        </w:tc>
        <w:tc>
          <w:tcPr>
            <w:tcW w:w="24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(1,564)</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8,508</w:t>
            </w:r>
          </w:p>
        </w:tc>
      </w:tr>
      <w:tr>
        <w:trPr>
          <w:trHeight w:val="297"/>
        </w:trPr>
        <w:tc>
          <w:tcPr>
            <w:tcW w:w="3900" w:type="dxa"/>
            <w:vAlign w:val="bottom"/>
            <w:tcBorders>
              <w:bottom w:val="single" w:sz="8" w:color="CEFFE7"/>
            </w:tcBorders>
            <w:gridSpan w:val="4"/>
          </w:tcPr>
          <w:p>
            <w:pPr>
              <w:ind w:left="40"/>
              <w:spacing w:after="0"/>
              <w:rPr>
                <w:sz w:val="20"/>
                <w:szCs w:val="20"/>
                <w:color w:val="auto"/>
              </w:rPr>
            </w:pPr>
            <w:r>
              <w:rPr>
                <w:rFonts w:ascii="Arial" w:cs="Arial" w:eastAsia="Arial" w:hAnsi="Arial"/>
                <w:sz w:val="18"/>
                <w:szCs w:val="18"/>
                <w:color w:val="auto"/>
              </w:rPr>
              <w:t>Total revenues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712,752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1,010,030</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101,258</w:t>
            </w:r>
          </w:p>
        </w:tc>
        <w:tc>
          <w:tcPr>
            <w:tcW w:w="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61,629</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(150,769)</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1,734,900</w:t>
            </w:r>
          </w:p>
        </w:tc>
      </w:tr>
      <w:tr>
        <w:trPr>
          <w:trHeight w:val="257"/>
        </w:trPr>
        <w:tc>
          <w:tcPr>
            <w:tcW w:w="40" w:type="dxa"/>
            <w:vAlign w:val="bottom"/>
            <w:shd w:val="clear" w:color="auto" w:fill="CEFFE7"/>
          </w:tcPr>
          <w:p>
            <w:pPr>
              <w:spacing w:after="0"/>
              <w:rPr>
                <w:sz w:val="22"/>
                <w:szCs w:val="22"/>
                <w:color w:val="auto"/>
              </w:rPr>
            </w:pPr>
          </w:p>
        </w:tc>
        <w:tc>
          <w:tcPr>
            <w:tcW w:w="1160" w:type="dxa"/>
            <w:vAlign w:val="bottom"/>
            <w:shd w:val="clear" w:color="auto" w:fill="CEFFE7"/>
          </w:tcPr>
          <w:p>
            <w:pPr>
              <w:spacing w:after="0"/>
              <w:rPr>
                <w:sz w:val="22"/>
                <w:szCs w:val="22"/>
                <w:color w:val="auto"/>
              </w:rPr>
            </w:pPr>
          </w:p>
        </w:tc>
        <w:tc>
          <w:tcPr>
            <w:tcW w:w="1080" w:type="dxa"/>
            <w:vAlign w:val="bottom"/>
            <w:shd w:val="clear" w:color="auto" w:fill="CEFFE7"/>
          </w:tcPr>
          <w:p>
            <w:pPr>
              <w:spacing w:after="0"/>
              <w:rPr>
                <w:sz w:val="22"/>
                <w:szCs w:val="22"/>
                <w:color w:val="auto"/>
              </w:rPr>
            </w:pPr>
          </w:p>
        </w:tc>
        <w:tc>
          <w:tcPr>
            <w:tcW w:w="162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1000" w:type="dxa"/>
            <w:vAlign w:val="bottom"/>
            <w:shd w:val="clear" w:color="auto" w:fill="CEFFE7"/>
          </w:tcPr>
          <w:p>
            <w:pPr>
              <w:spacing w:after="0"/>
              <w:rPr>
                <w:sz w:val="22"/>
                <w:szCs w:val="22"/>
                <w:color w:val="auto"/>
              </w:rPr>
            </w:pPr>
          </w:p>
        </w:tc>
        <w:tc>
          <w:tcPr>
            <w:tcW w:w="200" w:type="dxa"/>
            <w:vAlign w:val="bottom"/>
            <w:shd w:val="clear" w:color="auto" w:fill="CEFFE7"/>
          </w:tcPr>
          <w:p>
            <w:pPr>
              <w:spacing w:after="0"/>
              <w:rPr>
                <w:sz w:val="22"/>
                <w:szCs w:val="22"/>
                <w:color w:val="auto"/>
              </w:rPr>
            </w:pPr>
          </w:p>
        </w:tc>
        <w:tc>
          <w:tcPr>
            <w:tcW w:w="104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1140" w:type="dxa"/>
            <w:vAlign w:val="bottom"/>
            <w:shd w:val="clear" w:color="auto" w:fill="CEFFE7"/>
          </w:tcPr>
          <w:p>
            <w:pPr>
              <w:spacing w:after="0"/>
              <w:rPr>
                <w:sz w:val="22"/>
                <w:szCs w:val="22"/>
                <w:color w:val="auto"/>
              </w:rPr>
            </w:pPr>
          </w:p>
        </w:tc>
        <w:tc>
          <w:tcPr>
            <w:tcW w:w="260" w:type="dxa"/>
            <w:vAlign w:val="bottom"/>
            <w:shd w:val="clear" w:color="auto" w:fill="CEFFE7"/>
          </w:tcPr>
          <w:p>
            <w:pPr>
              <w:spacing w:after="0"/>
              <w:rPr>
                <w:sz w:val="22"/>
                <w:szCs w:val="22"/>
                <w:color w:val="auto"/>
              </w:rPr>
            </w:pPr>
          </w:p>
        </w:tc>
        <w:tc>
          <w:tcPr>
            <w:tcW w:w="86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1060" w:type="dxa"/>
            <w:vAlign w:val="bottom"/>
            <w:shd w:val="clear" w:color="auto" w:fill="CEFFE7"/>
          </w:tcPr>
          <w:p>
            <w:pPr>
              <w:spacing w:after="0"/>
              <w:rPr>
                <w:sz w:val="22"/>
                <w:szCs w:val="22"/>
                <w:color w:val="auto"/>
              </w:rPr>
            </w:pPr>
          </w:p>
        </w:tc>
        <w:tc>
          <w:tcPr>
            <w:tcW w:w="280" w:type="dxa"/>
            <w:vAlign w:val="bottom"/>
            <w:shd w:val="clear" w:color="auto" w:fill="CEFFE7"/>
          </w:tcPr>
          <w:p>
            <w:pPr>
              <w:spacing w:after="0"/>
              <w:rPr>
                <w:sz w:val="22"/>
                <w:szCs w:val="22"/>
                <w:color w:val="auto"/>
              </w:rPr>
            </w:pPr>
          </w:p>
        </w:tc>
        <w:tc>
          <w:tcPr>
            <w:tcW w:w="980" w:type="dxa"/>
            <w:vAlign w:val="bottom"/>
            <w:shd w:val="clear" w:color="auto" w:fill="CEFFE7"/>
          </w:tcPr>
          <w:p>
            <w:pPr>
              <w:spacing w:after="0"/>
              <w:rPr>
                <w:sz w:val="22"/>
                <w:szCs w:val="22"/>
                <w:color w:val="auto"/>
              </w:rPr>
            </w:pPr>
          </w:p>
        </w:tc>
      </w:tr>
      <w:tr>
        <w:trPr>
          <w:trHeight w:val="203"/>
        </w:trPr>
        <w:tc>
          <w:tcPr>
            <w:tcW w:w="3900" w:type="dxa"/>
            <w:vAlign w:val="bottom"/>
            <w:gridSpan w:val="4"/>
          </w:tcPr>
          <w:p>
            <w:pPr>
              <w:ind w:left="40"/>
              <w:spacing w:after="0" w:line="202" w:lineRule="exact"/>
              <w:rPr>
                <w:sz w:val="20"/>
                <w:szCs w:val="20"/>
                <w:color w:val="auto"/>
              </w:rPr>
            </w:pPr>
            <w:r>
              <w:rPr>
                <w:rFonts w:ascii="Arial" w:cs="Arial" w:eastAsia="Arial" w:hAnsi="Arial"/>
                <w:sz w:val="18"/>
                <w:szCs w:val="18"/>
                <w:color w:val="auto"/>
              </w:rPr>
              <w:t>Timing of revenue recognition:</w:t>
            </w:r>
          </w:p>
        </w:tc>
        <w:tc>
          <w:tcPr>
            <w:tcW w:w="2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1080" w:type="dxa"/>
            <w:vAlign w:val="bottom"/>
            <w:tcBorders>
              <w:top w:val="single" w:sz="8" w:color="auto"/>
            </w:tcBorders>
          </w:tcPr>
          <w:p>
            <w:pPr>
              <w:spacing w:after="0"/>
              <w:rPr>
                <w:sz w:val="4"/>
                <w:szCs w:val="4"/>
                <w:color w:val="auto"/>
              </w:rPr>
            </w:pPr>
          </w:p>
        </w:tc>
        <w:tc>
          <w:tcPr>
            <w:tcW w:w="1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0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Services transferred at a point in time</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59,233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(32,053)</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27,180</w:t>
            </w: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Services transferred over time</w:t>
            </w:r>
          </w:p>
        </w:tc>
        <w:tc>
          <w:tcPr>
            <w:tcW w:w="2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707,561</w:t>
            </w: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1,009,646</w:t>
            </w:r>
          </w:p>
        </w:tc>
        <w:tc>
          <w:tcPr>
            <w:tcW w:w="24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99,157</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(117,152)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1,699,212</w:t>
            </w:r>
          </w:p>
        </w:tc>
      </w:tr>
      <w:tr>
        <w:trPr>
          <w:trHeight w:val="27"/>
        </w:trPr>
        <w:tc>
          <w:tcPr>
            <w:tcW w:w="40" w:type="dxa"/>
            <w:vAlign w:val="bottom"/>
            <w:tcBorders>
              <w:bottom w:val="single" w:sz="8" w:color="CEFFE7"/>
            </w:tcBorders>
          </w:tcPr>
          <w:p>
            <w:pPr>
              <w:spacing w:after="0"/>
              <w:rPr>
                <w:sz w:val="2"/>
                <w:szCs w:val="2"/>
                <w:color w:val="auto"/>
              </w:rPr>
            </w:pPr>
          </w:p>
        </w:tc>
        <w:tc>
          <w:tcPr>
            <w:tcW w:w="1160" w:type="dxa"/>
            <w:vAlign w:val="bottom"/>
            <w:tcBorders>
              <w:bottom w:val="single" w:sz="8" w:color="CEFFE7"/>
            </w:tcBorders>
          </w:tcPr>
          <w:p>
            <w:pPr>
              <w:spacing w:after="0"/>
              <w:rPr>
                <w:sz w:val="2"/>
                <w:szCs w:val="2"/>
                <w:color w:val="auto"/>
              </w:rPr>
            </w:pPr>
          </w:p>
        </w:tc>
        <w:tc>
          <w:tcPr>
            <w:tcW w:w="108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 w:type="dxa"/>
            <w:vAlign w:val="bottom"/>
            <w:tcBorders>
              <w:bottom w:val="single" w:sz="8" w:color="CEFFE7"/>
            </w:tcBorders>
            <w:shd w:val="clear" w:color="auto" w:fill="CEFFE7"/>
          </w:tcPr>
          <w:p>
            <w:pPr>
              <w:spacing w:after="0"/>
              <w:rPr>
                <w:sz w:val="22"/>
                <w:szCs w:val="22"/>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707,561</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1,009,646</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99,157</w:t>
            </w:r>
          </w:p>
        </w:tc>
        <w:tc>
          <w:tcPr>
            <w:tcW w:w="2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59,233</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(149,205)</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1,726,392</w:t>
            </w:r>
          </w:p>
        </w:tc>
      </w:tr>
      <w:tr>
        <w:trPr>
          <w:trHeight w:val="20"/>
        </w:trPr>
        <w:tc>
          <w:tcPr>
            <w:tcW w:w="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35"/>
        </w:trPr>
        <w:tc>
          <w:tcPr>
            <w:tcW w:w="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40" w:type="dxa"/>
            <w:vAlign w:val="bottom"/>
          </w:tcPr>
          <w:p>
            <w:pPr>
              <w:jc w:val="right"/>
              <w:ind w:right="470"/>
              <w:spacing w:after="0"/>
              <w:rPr>
                <w:sz w:val="20"/>
                <w:szCs w:val="20"/>
                <w:color w:val="auto"/>
              </w:rPr>
            </w:pPr>
            <w:r>
              <w:rPr>
                <w:rFonts w:ascii="Arial" w:cs="Arial" w:eastAsia="Arial" w:hAnsi="Arial"/>
                <w:sz w:val="18"/>
                <w:szCs w:val="18"/>
                <w:color w:val="auto"/>
              </w:rPr>
              <w:t>93</w:t>
            </w:r>
          </w:p>
        </w:tc>
        <w:tc>
          <w:tcPr>
            <w:tcW w:w="2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93" w:name="page94"/>
    <w:bookmarkEnd w:id="93"/>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00" w:type="dxa"/>
            <w:vAlign w:val="bottom"/>
            <w:gridSpan w:val="4"/>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87"/>
        </w:trPr>
        <w:tc>
          <w:tcPr>
            <w:tcW w:w="40" w:type="dxa"/>
            <w:vAlign w:val="bottom"/>
            <w:tcBorders>
              <w:top w:val="single" w:sz="8" w:color="0000EE"/>
            </w:tcBorders>
          </w:tcPr>
          <w:p>
            <w:pPr>
              <w:spacing w:after="0"/>
              <w:rPr>
                <w:sz w:val="24"/>
                <w:szCs w:val="24"/>
                <w:color w:val="auto"/>
              </w:rPr>
            </w:pPr>
          </w:p>
        </w:tc>
        <w:tc>
          <w:tcPr>
            <w:tcW w:w="11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6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jc w:val="right"/>
              <w:ind w:right="150"/>
              <w:spacing w:after="0"/>
              <w:rPr>
                <w:sz w:val="20"/>
                <w:szCs w:val="20"/>
                <w:color w:val="auto"/>
              </w:rPr>
            </w:pPr>
            <w:r>
              <w:rPr>
                <w:rFonts w:ascii="Arial" w:cs="Arial" w:eastAsia="Arial" w:hAnsi="Arial"/>
                <w:sz w:val="18"/>
                <w:szCs w:val="18"/>
                <w:color w:val="auto"/>
              </w:rPr>
              <w:t>Electric</w:t>
            </w: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80" w:type="dxa"/>
            <w:vAlign w:val="bottom"/>
            <w:gridSpan w:val="2"/>
            <w:vMerge w:val="restart"/>
          </w:tcPr>
          <w:p>
            <w:pPr>
              <w:jc w:val="right"/>
              <w:spacing w:after="0"/>
              <w:rPr>
                <w:sz w:val="20"/>
                <w:szCs w:val="20"/>
                <w:color w:val="auto"/>
              </w:rPr>
            </w:pPr>
            <w:r>
              <w:rPr>
                <w:rFonts w:ascii="Arial" w:cs="Arial" w:eastAsia="Arial" w:hAnsi="Arial"/>
                <w:sz w:val="18"/>
                <w:szCs w:val="18"/>
                <w:color w:val="auto"/>
                <w:w w:val="97"/>
              </w:rPr>
              <w:t>Power Generation</w:t>
            </w: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w w:val="92"/>
              </w:rPr>
              <w:t>Inter-company</w:t>
            </w: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8"/>
        </w:trPr>
        <w:tc>
          <w:tcPr>
            <w:tcW w:w="3900" w:type="dxa"/>
            <w:vAlign w:val="bottom"/>
            <w:gridSpan w:val="4"/>
            <w:vMerge w:val="restart"/>
          </w:tcPr>
          <w:p>
            <w:pPr>
              <w:ind w:left="40"/>
              <w:spacing w:after="0"/>
              <w:rPr>
                <w:sz w:val="20"/>
                <w:szCs w:val="20"/>
                <w:color w:val="auto"/>
              </w:rPr>
            </w:pPr>
            <w:r>
              <w:rPr>
                <w:rFonts w:ascii="Arial" w:cs="Arial" w:eastAsia="Arial" w:hAnsi="Arial"/>
                <w:sz w:val="18"/>
                <w:szCs w:val="18"/>
                <w:color w:val="auto"/>
              </w:rPr>
              <w:t>Year ended December 31, 2018</w:t>
            </w:r>
          </w:p>
        </w:tc>
        <w:tc>
          <w:tcPr>
            <w:tcW w:w="200" w:type="dxa"/>
            <w:vAlign w:val="bottom"/>
          </w:tcPr>
          <w:p>
            <w:pPr>
              <w:spacing w:after="0"/>
              <w:rPr>
                <w:sz w:val="5"/>
                <w:szCs w:val="5"/>
                <w:color w:val="auto"/>
              </w:rPr>
            </w:pPr>
          </w:p>
        </w:tc>
        <w:tc>
          <w:tcPr>
            <w:tcW w:w="920" w:type="dxa"/>
            <w:vAlign w:val="bottom"/>
            <w:vMerge w:val="restart"/>
          </w:tcPr>
          <w:p>
            <w:pPr>
              <w:jc w:val="right"/>
              <w:ind w:right="170"/>
              <w:spacing w:after="0"/>
              <w:rPr>
                <w:sz w:val="20"/>
                <w:szCs w:val="20"/>
                <w:color w:val="auto"/>
              </w:rPr>
            </w:pPr>
            <w:r>
              <w:rPr>
                <w:rFonts w:ascii="Arial" w:cs="Arial" w:eastAsia="Arial" w:hAnsi="Arial"/>
                <w:sz w:val="18"/>
                <w:szCs w:val="18"/>
                <w:color w:val="auto"/>
              </w:rPr>
              <w:t>Utilities</w:t>
            </w:r>
          </w:p>
        </w:tc>
        <w:tc>
          <w:tcPr>
            <w:tcW w:w="160" w:type="dxa"/>
            <w:vAlign w:val="bottom"/>
          </w:tcPr>
          <w:p>
            <w:pPr>
              <w:spacing w:after="0"/>
              <w:rPr>
                <w:sz w:val="5"/>
                <w:szCs w:val="5"/>
                <w:color w:val="auto"/>
              </w:rPr>
            </w:pP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w w:val="93"/>
              </w:rPr>
              <w:t>Gas Utilities</w:t>
            </w:r>
          </w:p>
        </w:tc>
        <w:tc>
          <w:tcPr>
            <w:tcW w:w="1480" w:type="dxa"/>
            <w:vAlign w:val="bottom"/>
            <w:gridSpan w:val="2"/>
            <w:vMerge w:val="continue"/>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vMerge w:val="restart"/>
          </w:tcPr>
          <w:p>
            <w:pPr>
              <w:jc w:val="right"/>
              <w:ind w:right="150"/>
              <w:spacing w:after="0"/>
              <w:rPr>
                <w:sz w:val="20"/>
                <w:szCs w:val="20"/>
                <w:color w:val="auto"/>
              </w:rPr>
            </w:pPr>
            <w:r>
              <w:rPr>
                <w:rFonts w:ascii="Arial" w:cs="Arial" w:eastAsia="Arial" w:hAnsi="Arial"/>
                <w:sz w:val="18"/>
                <w:szCs w:val="18"/>
                <w:color w:val="auto"/>
              </w:rPr>
              <w:t>Mining</w:t>
            </w:r>
          </w:p>
        </w:tc>
        <w:tc>
          <w:tcPr>
            <w:tcW w:w="180" w:type="dxa"/>
            <w:vAlign w:val="bottom"/>
          </w:tcPr>
          <w:p>
            <w:pPr>
              <w:spacing w:after="0"/>
              <w:rPr>
                <w:sz w:val="5"/>
                <w:szCs w:val="5"/>
                <w:color w:val="auto"/>
              </w:rPr>
            </w:pPr>
          </w:p>
        </w:tc>
        <w:tc>
          <w:tcPr>
            <w:tcW w:w="1220" w:type="dxa"/>
            <w:vAlign w:val="bottom"/>
            <w:vMerge w:val="restart"/>
          </w:tcPr>
          <w:p>
            <w:pPr>
              <w:jc w:val="right"/>
              <w:ind w:right="150"/>
              <w:spacing w:after="0" w:line="257" w:lineRule="exact"/>
              <w:rPr>
                <w:sz w:val="20"/>
                <w:szCs w:val="20"/>
                <w:color w:val="auto"/>
              </w:rPr>
            </w:pPr>
            <w:r>
              <w:rPr>
                <w:rFonts w:ascii="Arial" w:cs="Arial" w:eastAsia="Arial" w:hAnsi="Arial"/>
                <w:sz w:val="18"/>
                <w:szCs w:val="18"/>
                <w:color w:val="auto"/>
                <w:w w:val="90"/>
              </w:rPr>
              <w:t xml:space="preserve">Revenues </w:t>
            </w:r>
            <w:r>
              <w:rPr>
                <w:rFonts w:ascii="Arial" w:cs="Arial" w:eastAsia="Arial" w:hAnsi="Arial"/>
                <w:sz w:val="25"/>
                <w:szCs w:val="25"/>
                <w:color w:val="auto"/>
                <w:w w:val="90"/>
                <w:vertAlign w:val="superscript"/>
              </w:rPr>
              <w:t>(a)</w:t>
            </w:r>
          </w:p>
        </w:tc>
        <w:tc>
          <w:tcPr>
            <w:tcW w:w="280" w:type="dxa"/>
            <w:vAlign w:val="bottom"/>
          </w:tcPr>
          <w:p>
            <w:pPr>
              <w:spacing w:after="0"/>
              <w:rPr>
                <w:sz w:val="5"/>
                <w:szCs w:val="5"/>
                <w:color w:val="auto"/>
              </w:rPr>
            </w:pPr>
          </w:p>
        </w:tc>
        <w:tc>
          <w:tcPr>
            <w:tcW w:w="980" w:type="dxa"/>
            <w:vAlign w:val="bottom"/>
            <w:vMerge w:val="restart"/>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190"/>
        </w:trPr>
        <w:tc>
          <w:tcPr>
            <w:tcW w:w="3900" w:type="dxa"/>
            <w:vAlign w:val="bottom"/>
            <w:tcBorders>
              <w:bottom w:val="single" w:sz="8" w:color="auto"/>
            </w:tcBorders>
            <w:gridSpan w:val="4"/>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3"/>
              <w:spacing w:after="0"/>
              <w:rPr>
                <w:sz w:val="20"/>
                <w:szCs w:val="20"/>
                <w:color w:val="auto"/>
              </w:rPr>
            </w:pPr>
            <w:r>
              <w:rPr>
                <w:rFonts w:ascii="Arial" w:cs="Arial" w:eastAsia="Arial" w:hAnsi="Arial"/>
                <w:sz w:val="13"/>
                <w:szCs w:val="13"/>
                <w:color w:val="auto"/>
              </w:rPr>
              <w:t>(a)</w:t>
            </w:r>
          </w:p>
        </w:tc>
        <w:tc>
          <w:tcPr>
            <w:tcW w:w="24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900" w:type="dxa"/>
            <w:vAlign w:val="bottom"/>
            <w:gridSpan w:val="4"/>
          </w:tcPr>
          <w:p>
            <w:pPr>
              <w:ind w:left="40"/>
              <w:spacing w:after="0" w:line="196" w:lineRule="exact"/>
              <w:rPr>
                <w:sz w:val="20"/>
                <w:szCs w:val="20"/>
                <w:color w:val="auto"/>
              </w:rPr>
            </w:pPr>
            <w:r>
              <w:rPr>
                <w:rFonts w:ascii="Arial" w:cs="Arial" w:eastAsia="Arial" w:hAnsi="Arial"/>
                <w:sz w:val="18"/>
                <w:szCs w:val="18"/>
                <w:color w:val="auto"/>
              </w:rPr>
              <w:t>Customer types: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gridSpan w:val="3"/>
          </w:tcPr>
          <w:p>
            <w:pPr>
              <w:jc w:val="right"/>
              <w:ind w:right="490"/>
              <w:spacing w:after="0" w:line="196"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160" w:type="dxa"/>
            <w:vAlign w:val="bottom"/>
            <w:tcBorders>
              <w:top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2680" w:type="dxa"/>
            <w:vAlign w:val="bottom"/>
          </w:tcPr>
          <w:p>
            <w:pPr>
              <w:spacing w:after="0"/>
              <w:rPr>
                <w:sz w:val="4"/>
                <w:szCs w:val="4"/>
                <w:color w:val="auto"/>
              </w:rPr>
            </w:pPr>
          </w:p>
        </w:tc>
        <w:tc>
          <w:tcPr>
            <w:tcW w:w="2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60" w:type="dxa"/>
            <w:vAlign w:val="bottom"/>
          </w:tcPr>
          <w:p>
            <w:pPr>
              <w:spacing w:after="0"/>
              <w:rPr>
                <w:sz w:val="4"/>
                <w:szCs w:val="4"/>
                <w:color w:val="auto"/>
              </w:rPr>
            </w:pPr>
          </w:p>
        </w:tc>
        <w:tc>
          <w:tcPr>
            <w:tcW w:w="980" w:type="dxa"/>
            <w:vAlign w:val="bottom"/>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Pr>
          <w:p>
            <w:pPr>
              <w:spacing w:after="0"/>
              <w:rPr>
                <w:sz w:val="4"/>
                <w:szCs w:val="4"/>
                <w:color w:val="auto"/>
              </w:rPr>
            </w:pPr>
          </w:p>
        </w:tc>
        <w:tc>
          <w:tcPr>
            <w:tcW w:w="2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80" w:type="dxa"/>
            <w:vAlign w:val="bottom"/>
          </w:tcPr>
          <w:p>
            <w:pPr>
              <w:spacing w:after="0"/>
              <w:rPr>
                <w:sz w:val="4"/>
                <w:szCs w:val="4"/>
                <w:color w:val="auto"/>
              </w:rPr>
            </w:pPr>
          </w:p>
        </w:tc>
        <w:tc>
          <w:tcPr>
            <w:tcW w:w="1220" w:type="dxa"/>
            <w:vAlign w:val="bottom"/>
          </w:tcPr>
          <w:p>
            <w:pPr>
              <w:spacing w:after="0"/>
              <w:rPr>
                <w:sz w:val="4"/>
                <w:szCs w:val="4"/>
                <w:color w:val="auto"/>
              </w:rPr>
            </w:pPr>
          </w:p>
        </w:tc>
        <w:tc>
          <w:tcPr>
            <w:tcW w:w="280" w:type="dxa"/>
            <w:vAlign w:val="bottom"/>
          </w:tcPr>
          <w:p>
            <w:pPr>
              <w:spacing w:after="0"/>
              <w:rPr>
                <w:sz w:val="4"/>
                <w:szCs w:val="4"/>
                <w:color w:val="auto"/>
              </w:rPr>
            </w:pPr>
          </w:p>
        </w:tc>
        <w:tc>
          <w:tcPr>
            <w:tcW w:w="9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Retail</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594,329</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833,379</w:t>
            </w:r>
          </w:p>
        </w:tc>
        <w:tc>
          <w:tcPr>
            <w:tcW w:w="42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65,803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(32,194)</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1,461,317</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Transportation</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140,705</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(1,348)</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139,357</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 w:type="dxa"/>
            <w:vAlign w:val="bottom"/>
            <w:tcBorders>
              <w:bottom w:val="single" w:sz="8" w:color="CEFFE7"/>
            </w:tcBorders>
            <w:shd w:val="clear" w:color="auto" w:fill="CEFFE7"/>
          </w:tcPr>
          <w:p>
            <w:pPr>
              <w:spacing w:after="0"/>
              <w:rPr>
                <w:sz w:val="21"/>
                <w:szCs w:val="21"/>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Wholesale</w:t>
            </w:r>
          </w:p>
        </w:tc>
        <w:tc>
          <w:tcPr>
            <w:tcW w:w="2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33,687</w:t>
            </w:r>
          </w:p>
        </w:tc>
        <w:tc>
          <w:tcPr>
            <w:tcW w:w="16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90,791</w:t>
            </w:r>
          </w:p>
        </w:tc>
        <w:tc>
          <w:tcPr>
            <w:tcW w:w="2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(84,957)</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39,521</w:t>
            </w:r>
          </w:p>
        </w:tc>
        <w:tc>
          <w:tcPr>
            <w:tcW w:w="0" w:type="dxa"/>
            <w:vAlign w:val="bottom"/>
          </w:tcPr>
          <w:p>
            <w:pPr>
              <w:spacing w:after="0"/>
              <w:rPr>
                <w:sz w:val="1"/>
                <w:szCs w:val="1"/>
                <w:color w:val="auto"/>
              </w:rPr>
            </w:pPr>
          </w:p>
        </w:tc>
      </w:tr>
      <w:tr>
        <w:trPr>
          <w:trHeight w:val="243"/>
        </w:trPr>
        <w:tc>
          <w:tcPr>
            <w:tcW w:w="40" w:type="dxa"/>
            <w:vAlign w:val="bottom"/>
          </w:tcPr>
          <w:p>
            <w:pPr>
              <w:spacing w:after="0"/>
              <w:rPr>
                <w:sz w:val="21"/>
                <w:szCs w:val="21"/>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Market - off-system sales</w:t>
            </w:r>
          </w:p>
        </w:tc>
        <w:tc>
          <w:tcPr>
            <w:tcW w:w="20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24,799</w:t>
            </w: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866</w:t>
            </w:r>
          </w:p>
        </w:tc>
        <w:tc>
          <w:tcPr>
            <w:tcW w:w="4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(8,102)</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17,563</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Transmission/Other</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56,209</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49,402</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(14,827)</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90,784</w:t>
            </w:r>
          </w:p>
        </w:tc>
        <w:tc>
          <w:tcPr>
            <w:tcW w:w="0" w:type="dxa"/>
            <w:vAlign w:val="bottom"/>
          </w:tcPr>
          <w:p>
            <w:pPr>
              <w:spacing w:after="0"/>
              <w:rPr>
                <w:sz w:val="1"/>
                <w:szCs w:val="1"/>
                <w:color w:val="auto"/>
              </w:rPr>
            </w:pPr>
          </w:p>
        </w:tc>
      </w:tr>
      <w:tr>
        <w:trPr>
          <w:trHeight w:val="237"/>
        </w:trPr>
        <w:tc>
          <w:tcPr>
            <w:tcW w:w="40" w:type="dxa"/>
            <w:vAlign w:val="bottom"/>
          </w:tcPr>
          <w:p>
            <w:pPr>
              <w:spacing w:after="0"/>
              <w:rPr>
                <w:sz w:val="20"/>
                <w:szCs w:val="20"/>
                <w:color w:val="auto"/>
              </w:rPr>
            </w:pPr>
          </w:p>
        </w:tc>
        <w:tc>
          <w:tcPr>
            <w:tcW w:w="3860" w:type="dxa"/>
            <w:vAlign w:val="bottom"/>
            <w:gridSpan w:val="3"/>
          </w:tcPr>
          <w:p>
            <w:pPr>
              <w:ind w:left="140"/>
              <w:spacing w:after="0"/>
              <w:rPr>
                <w:sz w:val="20"/>
                <w:szCs w:val="20"/>
                <w:color w:val="auto"/>
              </w:rPr>
            </w:pPr>
            <w:r>
              <w:rPr>
                <w:rFonts w:ascii="Arial" w:cs="Arial" w:eastAsia="Arial" w:hAnsi="Arial"/>
                <w:sz w:val="18"/>
                <w:szCs w:val="18"/>
                <w:color w:val="auto"/>
              </w:rPr>
              <w:t>Revenue from contracts with customers</w:t>
            </w:r>
          </w:p>
        </w:tc>
        <w:tc>
          <w:tcPr>
            <w:tcW w:w="20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709,024</w:t>
            </w: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1,024,352</w:t>
            </w:r>
          </w:p>
        </w:tc>
        <w:tc>
          <w:tcPr>
            <w:tcW w:w="4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90,791</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65,803</w:t>
            </w:r>
          </w:p>
        </w:tc>
        <w:tc>
          <w:tcPr>
            <w:tcW w:w="1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(141,428)</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1,748,542</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0" w:type="dxa"/>
            <w:vAlign w:val="bottom"/>
          </w:tcPr>
          <w:p>
            <w:pPr>
              <w:spacing w:after="0"/>
              <w:rPr>
                <w:sz w:val="2"/>
                <w:szCs w:val="2"/>
                <w:color w:val="auto"/>
              </w:rPr>
            </w:pPr>
          </w:p>
        </w:tc>
        <w:tc>
          <w:tcPr>
            <w:tcW w:w="26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 w:type="dxa"/>
            <w:vAlign w:val="bottom"/>
            <w:tcBorders>
              <w:bottom w:val="single" w:sz="8" w:color="CEFFE7"/>
            </w:tcBorders>
            <w:shd w:val="clear" w:color="auto" w:fill="CEFFE7"/>
          </w:tcPr>
          <w:p>
            <w:pPr>
              <w:spacing w:after="0"/>
              <w:rPr>
                <w:sz w:val="23"/>
                <w:szCs w:val="23"/>
                <w:color w:val="auto"/>
              </w:rPr>
            </w:pPr>
          </w:p>
        </w:tc>
        <w:tc>
          <w:tcPr>
            <w:tcW w:w="3860" w:type="dxa"/>
            <w:vAlign w:val="bottom"/>
            <w:tcBorders>
              <w:bottom w:val="single" w:sz="8" w:color="CEFFE7"/>
            </w:tcBorders>
            <w:gridSpan w:val="3"/>
            <w:shd w:val="clear" w:color="auto" w:fill="CEFFE7"/>
          </w:tcPr>
          <w:p>
            <w:pPr>
              <w:ind w:left="140"/>
              <w:spacing w:after="0"/>
              <w:rPr>
                <w:sz w:val="20"/>
                <w:szCs w:val="20"/>
                <w:color w:val="auto"/>
              </w:rPr>
            </w:pPr>
            <w:r>
              <w:rPr>
                <w:rFonts w:ascii="Arial" w:cs="Arial" w:eastAsia="Arial" w:hAnsi="Arial"/>
                <w:sz w:val="18"/>
                <w:szCs w:val="18"/>
                <w:color w:val="auto"/>
              </w:rPr>
              <w:t>Other revenues</w:t>
            </w:r>
          </w:p>
        </w:tc>
        <w:tc>
          <w:tcPr>
            <w:tcW w:w="200" w:type="dxa"/>
            <w:vAlign w:val="bottom"/>
            <w:tcBorders>
              <w:bottom w:val="single" w:sz="8" w:color="CEFFE7"/>
            </w:tcBorders>
            <w:shd w:val="clear" w:color="auto" w:fill="CEFFE7"/>
          </w:tcPr>
          <w:p>
            <w:pPr>
              <w:spacing w:after="0"/>
              <w:rPr>
                <w:sz w:val="23"/>
                <w:szCs w:val="23"/>
                <w:color w:val="auto"/>
              </w:rPr>
            </w:pP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2,427</w:t>
            </w:r>
          </w:p>
        </w:tc>
        <w:tc>
          <w:tcPr>
            <w:tcW w:w="16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955</w:t>
            </w:r>
          </w:p>
        </w:tc>
        <w:tc>
          <w:tcPr>
            <w:tcW w:w="42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1,660</w:t>
            </w:r>
          </w:p>
        </w:tc>
        <w:tc>
          <w:tcPr>
            <w:tcW w:w="2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2,230</w:t>
            </w:r>
          </w:p>
        </w:tc>
        <w:tc>
          <w:tcPr>
            <w:tcW w:w="1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(1,546)</w:t>
            </w: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5,726</w:t>
            </w:r>
          </w:p>
        </w:tc>
        <w:tc>
          <w:tcPr>
            <w:tcW w:w="0" w:type="dxa"/>
            <w:vAlign w:val="bottom"/>
          </w:tcPr>
          <w:p>
            <w:pPr>
              <w:spacing w:after="0"/>
              <w:rPr>
                <w:sz w:val="1"/>
                <w:szCs w:val="1"/>
                <w:color w:val="auto"/>
              </w:rPr>
            </w:pPr>
          </w:p>
        </w:tc>
      </w:tr>
      <w:tr>
        <w:trPr>
          <w:trHeight w:val="297"/>
        </w:trPr>
        <w:tc>
          <w:tcPr>
            <w:tcW w:w="3900" w:type="dxa"/>
            <w:vAlign w:val="bottom"/>
            <w:tcBorders>
              <w:bottom w:val="single" w:sz="8" w:color="CEFFE7"/>
            </w:tcBorders>
            <w:gridSpan w:val="4"/>
          </w:tcPr>
          <w:p>
            <w:pPr>
              <w:ind w:left="4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711,451</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1,025,307</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92,451</w:t>
            </w:r>
          </w:p>
        </w:tc>
        <w:tc>
          <w:tcPr>
            <w:tcW w:w="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68,033</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(142,974)</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1,754,268</w:t>
            </w:r>
          </w:p>
        </w:tc>
        <w:tc>
          <w:tcPr>
            <w:tcW w:w="0" w:type="dxa"/>
            <w:vAlign w:val="bottom"/>
          </w:tcPr>
          <w:p>
            <w:pPr>
              <w:spacing w:after="0"/>
              <w:rPr>
                <w:sz w:val="1"/>
                <w:szCs w:val="1"/>
                <w:color w:val="auto"/>
              </w:rPr>
            </w:pPr>
          </w:p>
        </w:tc>
      </w:tr>
      <w:tr>
        <w:trPr>
          <w:trHeight w:val="311"/>
        </w:trPr>
        <w:tc>
          <w:tcPr>
            <w:tcW w:w="40" w:type="dxa"/>
            <w:vAlign w:val="bottom"/>
            <w:shd w:val="clear" w:color="auto" w:fill="CEFFE7"/>
          </w:tcPr>
          <w:p>
            <w:pPr>
              <w:spacing w:after="0"/>
              <w:rPr>
                <w:sz w:val="24"/>
                <w:szCs w:val="24"/>
                <w:color w:val="auto"/>
              </w:rPr>
            </w:pPr>
          </w:p>
        </w:tc>
        <w:tc>
          <w:tcPr>
            <w:tcW w:w="1160" w:type="dxa"/>
            <w:vAlign w:val="bottom"/>
            <w:shd w:val="clear" w:color="auto" w:fill="CEFFE7"/>
          </w:tcPr>
          <w:p>
            <w:pPr>
              <w:spacing w:after="0"/>
              <w:rPr>
                <w:sz w:val="24"/>
                <w:szCs w:val="24"/>
                <w:color w:val="auto"/>
              </w:rPr>
            </w:pPr>
          </w:p>
        </w:tc>
        <w:tc>
          <w:tcPr>
            <w:tcW w:w="20" w:type="dxa"/>
            <w:vAlign w:val="bottom"/>
            <w:shd w:val="clear" w:color="auto" w:fill="CEFFE7"/>
          </w:tcPr>
          <w:p>
            <w:pPr>
              <w:spacing w:after="0"/>
              <w:rPr>
                <w:sz w:val="24"/>
                <w:szCs w:val="24"/>
                <w:color w:val="auto"/>
              </w:rPr>
            </w:pPr>
          </w:p>
        </w:tc>
        <w:tc>
          <w:tcPr>
            <w:tcW w:w="2680" w:type="dxa"/>
            <w:vAlign w:val="bottom"/>
            <w:shd w:val="clear" w:color="auto" w:fill="CEFFE7"/>
          </w:tcPr>
          <w:p>
            <w:pPr>
              <w:spacing w:after="0"/>
              <w:rPr>
                <w:sz w:val="24"/>
                <w:szCs w:val="24"/>
                <w:color w:val="auto"/>
              </w:rPr>
            </w:pPr>
          </w:p>
        </w:tc>
        <w:tc>
          <w:tcPr>
            <w:tcW w:w="200" w:type="dxa"/>
            <w:vAlign w:val="bottom"/>
            <w:shd w:val="clear" w:color="auto" w:fill="CEFFE7"/>
          </w:tcPr>
          <w:p>
            <w:pPr>
              <w:spacing w:after="0"/>
              <w:rPr>
                <w:sz w:val="24"/>
                <w:szCs w:val="24"/>
                <w:color w:val="auto"/>
              </w:rPr>
            </w:pPr>
          </w:p>
        </w:tc>
        <w:tc>
          <w:tcPr>
            <w:tcW w:w="920" w:type="dxa"/>
            <w:vAlign w:val="bottom"/>
            <w:shd w:val="clear" w:color="auto" w:fill="CEFFE7"/>
          </w:tcPr>
          <w:p>
            <w:pPr>
              <w:spacing w:after="0"/>
              <w:rPr>
                <w:sz w:val="24"/>
                <w:szCs w:val="24"/>
                <w:color w:val="auto"/>
              </w:rPr>
            </w:pPr>
          </w:p>
        </w:tc>
        <w:tc>
          <w:tcPr>
            <w:tcW w:w="16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c>
          <w:tcPr>
            <w:tcW w:w="240" w:type="dxa"/>
            <w:vAlign w:val="bottom"/>
            <w:shd w:val="clear" w:color="auto" w:fill="CEFFE7"/>
          </w:tcPr>
          <w:p>
            <w:pPr>
              <w:spacing w:after="0"/>
              <w:rPr>
                <w:sz w:val="24"/>
                <w:szCs w:val="24"/>
                <w:color w:val="auto"/>
              </w:rPr>
            </w:pPr>
          </w:p>
        </w:tc>
        <w:tc>
          <w:tcPr>
            <w:tcW w:w="880" w:type="dxa"/>
            <w:vAlign w:val="bottom"/>
            <w:shd w:val="clear" w:color="auto" w:fill="CEFFE7"/>
          </w:tcPr>
          <w:p>
            <w:pPr>
              <w:spacing w:after="0"/>
              <w:rPr>
                <w:sz w:val="24"/>
                <w:szCs w:val="24"/>
                <w:color w:val="auto"/>
              </w:rPr>
            </w:pPr>
          </w:p>
        </w:tc>
        <w:tc>
          <w:tcPr>
            <w:tcW w:w="1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98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bl>
    <w:p>
      <w:pPr>
        <w:spacing w:after="0" w:line="13" w:lineRule="exact"/>
        <w:rPr>
          <w:sz w:val="20"/>
          <w:szCs w:val="20"/>
          <w:color w:val="auto"/>
        </w:rPr>
      </w:pPr>
    </w:p>
    <w:p>
      <w:pPr>
        <w:sectPr>
          <w:pgSz w:w="11900" w:h="16900" w:orient="portrait"/>
          <w:cols w:equalWidth="0" w:num="1">
            <w:col w:w="11420"/>
          </w:cols>
          <w:pgMar w:left="240" w:top="118" w:right="239" w:bottom="0" w:gutter="0" w:footer="0" w:header="0"/>
        </w:sectPr>
      </w:pPr>
    </w:p>
    <w:p>
      <w:pPr>
        <w:ind w:left="40"/>
        <w:spacing w:after="0"/>
        <w:rPr>
          <w:sz w:val="20"/>
          <w:szCs w:val="20"/>
          <w:color w:val="auto"/>
        </w:rPr>
      </w:pPr>
      <w:r>
        <w:rPr>
          <w:rFonts w:ascii="Arial" w:cs="Arial" w:eastAsia="Arial" w:hAnsi="Arial"/>
          <w:sz w:val="18"/>
          <w:szCs w:val="18"/>
          <w:u w:val="single" w:color="auto"/>
          <w:color w:val="auto"/>
        </w:rPr>
        <w:t>Timing of revenue recognition:</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Services transferred at a point in time</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Services transferred over time</w:t>
      </w:r>
    </w:p>
    <w:p>
      <w:pPr>
        <w:spacing w:after="0" w:line="90" w:lineRule="exact"/>
        <w:rPr>
          <w:sz w:val="20"/>
          <w:szCs w:val="20"/>
          <w:color w:val="auto"/>
        </w:rPr>
      </w:pPr>
    </w:p>
    <w:p>
      <w:pPr>
        <w:ind w:left="180"/>
        <w:spacing w:after="0"/>
        <w:rPr>
          <w:sz w:val="20"/>
          <w:szCs w:val="20"/>
          <w:color w:val="auto"/>
        </w:rPr>
      </w:pPr>
      <w:r>
        <w:rPr>
          <w:rFonts w:ascii="Arial" w:cs="Arial" w:eastAsia="Arial" w:hAnsi="Arial"/>
          <w:sz w:val="16"/>
          <w:szCs w:val="16"/>
          <w:color w:val="auto"/>
        </w:rPr>
        <w:t>Revenue from contracts with customers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65,803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(32,194)</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33,609</w:t>
            </w:r>
          </w:p>
        </w:tc>
      </w:tr>
      <w:tr>
        <w:trPr>
          <w:trHeight w:val="270"/>
        </w:trPr>
        <w:tc>
          <w:tcPr>
            <w:tcW w:w="30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709,024</w:t>
            </w:r>
          </w:p>
        </w:tc>
        <w:tc>
          <w:tcPr>
            <w:tcW w:w="26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1,024,352</w:t>
            </w:r>
          </w:p>
        </w:tc>
        <w:tc>
          <w:tcPr>
            <w:tcW w:w="52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90,791</w:t>
            </w: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23"/>
                <w:szCs w:val="23"/>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(109,234)</w:t>
            </w:r>
          </w:p>
        </w:tc>
        <w:tc>
          <w:tcPr>
            <w:tcW w:w="280" w:type="dxa"/>
            <w:vAlign w:val="bottom"/>
          </w:tcPr>
          <w:p>
            <w:pPr>
              <w:spacing w:after="0"/>
              <w:rPr>
                <w:sz w:val="23"/>
                <w:szCs w:val="23"/>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1,714,933</w:t>
            </w:r>
          </w:p>
        </w:tc>
      </w:tr>
      <w:tr>
        <w:trPr>
          <w:trHeight w:val="27"/>
        </w:trPr>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37"/>
        </w:trPr>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709,024</w:t>
            </w:r>
          </w:p>
        </w:tc>
        <w:tc>
          <w:tcPr>
            <w:tcW w:w="2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w w:val="97"/>
              </w:rPr>
              <w:t>1,024,352</w:t>
            </w:r>
          </w:p>
        </w:tc>
        <w:tc>
          <w:tcPr>
            <w:tcW w:w="52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90,791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65,803</w:t>
            </w:r>
          </w:p>
        </w:tc>
        <w:tc>
          <w:tcPr>
            <w:tcW w:w="40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(141,428)</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1,748,542</w:t>
            </w:r>
          </w:p>
        </w:tc>
      </w:tr>
      <w:tr>
        <w:trPr>
          <w:trHeight w:val="27"/>
        </w:trPr>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0"/>
        </w:trPr>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-2470785</wp:posOffset>
            </wp:positionH>
            <wp:positionV relativeFrom="paragraph">
              <wp:posOffset>-548005</wp:posOffset>
            </wp:positionV>
            <wp:extent cx="7246620" cy="1714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-2470785</wp:posOffset>
            </wp:positionH>
            <wp:positionV relativeFrom="paragraph">
              <wp:posOffset>-205105</wp:posOffset>
            </wp:positionV>
            <wp:extent cx="7246620" cy="1885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180" w:space="720"/>
            <w:col w:w="7520"/>
          </w:cols>
          <w:pgMar w:left="240" w:top="118" w:right="239" w:bottom="0" w:gutter="0" w:footer="0" w:header="0"/>
          <w:type w:val="continuous"/>
        </w:sectPr>
      </w:pPr>
    </w:p>
    <w:p>
      <w:pPr>
        <w:spacing w:after="0" w:line="6" w:lineRule="exact"/>
        <w:rPr>
          <w:sz w:val="20"/>
          <w:szCs w:val="20"/>
          <w:color w:val="auto"/>
        </w:rPr>
      </w:pPr>
    </w:p>
    <w:p>
      <w:pPr>
        <w:ind w:left="340" w:right="80" w:hanging="332"/>
        <w:spacing w:after="0" w:line="286" w:lineRule="auto"/>
        <w:tabs>
          <w:tab w:leader="none" w:pos="340" w:val="left"/>
        </w:tabs>
        <w:numPr>
          <w:ilvl w:val="0"/>
          <w:numId w:val="62"/>
        </w:numPr>
        <w:rPr>
          <w:rFonts w:ascii="Arial" w:cs="Arial" w:eastAsia="Arial" w:hAnsi="Arial"/>
          <w:sz w:val="15"/>
          <w:szCs w:val="15"/>
          <w:color w:val="auto"/>
        </w:rPr>
      </w:pPr>
      <w:r>
        <w:rPr>
          <w:rFonts w:ascii="Arial" w:cs="Arial" w:eastAsia="Arial" w:hAnsi="Arial"/>
          <w:sz w:val="15"/>
          <w:szCs w:val="15"/>
          <w:color w:val="auto"/>
        </w:rPr>
        <w:t xml:space="preserve">Due to the changes in our segment disclosures discussed in </w:t>
      </w:r>
      <w:hyperlink w:anchor="page98">
        <w:r>
          <w:rPr>
            <w:rFonts w:ascii="Arial" w:cs="Arial" w:eastAsia="Arial" w:hAnsi="Arial"/>
            <w:sz w:val="15"/>
            <w:szCs w:val="15"/>
            <w:u w:val="single" w:color="auto"/>
            <w:color w:val="0000EE"/>
          </w:rPr>
          <w:t>Note 5</w:t>
        </w:r>
      </w:hyperlink>
      <w:r>
        <w:rPr>
          <w:rFonts w:ascii="Arial" w:cs="Arial" w:eastAsia="Arial" w:hAnsi="Arial"/>
          <w:sz w:val="15"/>
          <w:szCs w:val="15"/>
          <w:color w:val="auto"/>
        </w:rPr>
        <w:t>, Power Generation Wholesale revenue was revised for the year ended December 31, 2018, which resulted in an increase of $38 million. The changes to Power Generation Wholesale revenue were offset by a decrease to Power Generation Other revenues of $35 million and a decrease to eliminations in Inter-company Revenues of $3.5 million. There was no impact to our consolidated Total Revenues.</w:t>
      </w:r>
    </w:p>
    <w:p>
      <w:pPr>
        <w:spacing w:after="0" w:line="13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majority of our revenue contracts are based on variable quantities delivered; any fixed consideration contracts with an expected duration of one year or more are immaterial to our consolidated revenues. Variable consideration constraints in the form of discounts, rebates, credits, price concessions, incentives, performance bonuses, penalties or other similar items are not material for our revenue contracts. We are the principal in our revenue contracts, as we have control over the services prior to those services being transferred to the customer.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Revenue Not in Scope of ASC 606</w:t>
      </w:r>
    </w:p>
    <w:p>
      <w:pPr>
        <w:spacing w:after="0" w:line="185" w:lineRule="exact"/>
        <w:rPr>
          <w:sz w:val="20"/>
          <w:szCs w:val="20"/>
          <w:color w:val="auto"/>
        </w:rPr>
      </w:pPr>
    </w:p>
    <w:p>
      <w:pPr>
        <w:ind w:right="60"/>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Other revenues included in the table above include our revenue accounted for under separate accounting guidance, including lease revenue under ASC 842, derivative revenue under ASC 815 and alternative revenue programs revenue under ASC 980. Effective January 1, 2019, we changed how we account for the PPA between Black Hills Colorado IPP and Colorado Electric at the segment level and now recognize on an accrual basis, rather than a finance lease. See </w:t>
      </w:r>
      <w:hyperlink w:anchor="page98">
        <w:r>
          <w:rPr>
            <w:rFonts w:ascii="Arial" w:cs="Arial" w:eastAsia="Arial" w:hAnsi="Arial"/>
            <w:sz w:val="18"/>
            <w:szCs w:val="18"/>
            <w:u w:val="single" w:color="auto"/>
            <w:color w:val="0000EE"/>
          </w:rPr>
          <w:t>Note 5</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additional information.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Significant Judgments and Estimates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Unbilled Revenue</w:t>
      </w:r>
    </w:p>
    <w:p>
      <w:pPr>
        <w:spacing w:after="0" w:line="225"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To the extent that deliveries have occurred but a bill has not been issued, our utilities accrue an estimate of the revenue since the latest billing. This estimate is calculated based upon several factors including billings through the last billing cycle in a month and prices in effect in our jurisdictions. Each month the estimated unbilled revenue amounts are trued-up and recorded in Accounts receivable, net on the accompanying Consolidated Balance Sheets.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 Balances</w:t>
      </w:r>
    </w:p>
    <w:p>
      <w:pPr>
        <w:spacing w:after="0" w:line="225" w:lineRule="exact"/>
        <w:rPr>
          <w:sz w:val="20"/>
          <w:szCs w:val="20"/>
          <w:color w:val="auto"/>
        </w:rPr>
      </w:pPr>
    </w:p>
    <w:p>
      <w:pPr>
        <w:ind w:right="1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The nature of our primary revenue contracts provides an unconditional right to consideration upon service delivery; therefore, no customer contract assets or liabilities exist. The unconditional right to consideration is represented by the balance in our Accounts Receivable further discussed in </w:t>
      </w:r>
      <w:hyperlink w:anchor="page83">
        <w:r>
          <w:rPr>
            <w:rFonts w:ascii="Arial" w:cs="Arial" w:eastAsia="Arial" w:hAnsi="Arial"/>
            <w:sz w:val="18"/>
            <w:szCs w:val="18"/>
            <w:u w:val="single" w:color="auto"/>
            <w:color w:val="0000EE"/>
          </w:rPr>
          <w:t>Note 1</w:t>
        </w:r>
      </w:hyperlink>
      <w:r>
        <w:rPr>
          <w:rFonts w:ascii="Arial" w:cs="Arial" w:eastAsia="Arial" w:hAnsi="Arial"/>
          <w:sz w:val="18"/>
          <w:szCs w:val="18"/>
          <w:color w:val="auto"/>
        </w:rPr>
        <w:t>. We do not typically incur costs that would be capitalized to obtain or fulfill a contract.</w:t>
      </w:r>
    </w:p>
    <w:p>
      <w:pPr>
        <w:spacing w:after="0" w:line="393"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(3)</w:t>
        <w:tab/>
        <w:t>PROPERTY, PLANT AND EQUIPMENT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Property, plant and equipment at December 31 consisted of the following (dollars in thousands):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6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2580" w:type="dxa"/>
            <w:vAlign w:val="bottom"/>
            <w:gridSpan w:val="2"/>
          </w:tcPr>
          <w:p>
            <w:pPr>
              <w:jc w:val="right"/>
              <w:ind w:right="1130"/>
              <w:spacing w:after="0"/>
              <w:rPr>
                <w:sz w:val="20"/>
                <w:szCs w:val="20"/>
                <w:color w:val="auto"/>
              </w:rPr>
            </w:pPr>
            <w:r>
              <w:rPr>
                <w:rFonts w:ascii="Arial" w:cs="Arial" w:eastAsia="Arial" w:hAnsi="Arial"/>
                <w:sz w:val="18"/>
                <w:szCs w:val="18"/>
                <w:b w:val="1"/>
                <w:bCs w:val="1"/>
                <w:color w:val="auto"/>
              </w:rPr>
              <w:t>2018</w:t>
            </w:r>
          </w:p>
        </w:tc>
        <w:tc>
          <w:tcPr>
            <w:tcW w:w="2380" w:type="dxa"/>
            <w:vAlign w:val="bottom"/>
            <w:gridSpan w:val="2"/>
          </w:tcPr>
          <w:p>
            <w:pPr>
              <w:ind w:left="580"/>
              <w:spacing w:after="0"/>
              <w:rPr>
                <w:sz w:val="20"/>
                <w:szCs w:val="20"/>
                <w:color w:val="auto"/>
              </w:rPr>
            </w:pPr>
            <w:r>
              <w:rPr>
                <w:rFonts w:ascii="Arial" w:cs="Arial" w:eastAsia="Arial" w:hAnsi="Arial"/>
                <w:sz w:val="18"/>
                <w:szCs w:val="18"/>
                <w:color w:val="auto"/>
              </w:rPr>
              <w:t>Lives (in years)</w:t>
            </w:r>
          </w:p>
        </w:tc>
      </w:tr>
      <w:tr>
        <w:trPr>
          <w:trHeight w:val="27"/>
        </w:trPr>
        <w:tc>
          <w:tcPr>
            <w:tcW w:w="37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22"/>
        </w:trPr>
        <w:tc>
          <w:tcPr>
            <w:tcW w:w="3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Weighted</w:t>
            </w:r>
          </w:p>
        </w:tc>
        <w:tc>
          <w:tcPr>
            <w:tcW w:w="1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89"/>
              </w:rPr>
              <w:t>Weighted</w:t>
            </w:r>
          </w:p>
        </w:tc>
        <w:tc>
          <w:tcPr>
            <w:tcW w:w="114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780" w:type="dxa"/>
            <w:vAlign w:val="bottom"/>
          </w:tcPr>
          <w:p>
            <w:pPr>
              <w:spacing w:after="0"/>
              <w:rPr>
                <w:sz w:val="18"/>
                <w:szCs w:val="18"/>
                <w:color w:val="auto"/>
              </w:rPr>
            </w:pPr>
          </w:p>
        </w:tc>
        <w:tc>
          <w:tcPr>
            <w:tcW w:w="1300" w:type="dxa"/>
            <w:vAlign w:val="bottom"/>
            <w:gridSpan w:val="2"/>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tcPr>
          <w:p>
            <w:pPr>
              <w:jc w:val="center"/>
              <w:spacing w:after="0"/>
              <w:rPr>
                <w:sz w:val="20"/>
                <w:szCs w:val="20"/>
                <w:color w:val="auto"/>
              </w:rPr>
            </w:pPr>
            <w:r>
              <w:rPr>
                <w:rFonts w:ascii="Arial" w:cs="Arial" w:eastAsia="Arial" w:hAnsi="Arial"/>
                <w:sz w:val="18"/>
                <w:szCs w:val="18"/>
                <w:color w:val="auto"/>
                <w:w w:val="90"/>
              </w:rPr>
              <w:t>Average Useful</w:t>
            </w:r>
          </w:p>
        </w:tc>
        <w:tc>
          <w:tcPr>
            <w:tcW w:w="140" w:type="dxa"/>
            <w:vAlign w:val="bottom"/>
          </w:tcPr>
          <w:p>
            <w:pPr>
              <w:spacing w:after="0"/>
              <w:rPr>
                <w:sz w:val="18"/>
                <w:szCs w:val="18"/>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w w:val="88"/>
              </w:rPr>
              <w:t>Property, Plant</w:t>
            </w:r>
          </w:p>
        </w:tc>
        <w:tc>
          <w:tcPr>
            <w:tcW w:w="1340" w:type="dxa"/>
            <w:vAlign w:val="bottom"/>
          </w:tcPr>
          <w:p>
            <w:pPr>
              <w:jc w:val="center"/>
              <w:ind w:right="10"/>
              <w:spacing w:after="0"/>
              <w:rPr>
                <w:sz w:val="20"/>
                <w:szCs w:val="20"/>
                <w:color w:val="auto"/>
              </w:rPr>
            </w:pPr>
            <w:r>
              <w:rPr>
                <w:rFonts w:ascii="Arial" w:cs="Arial" w:eastAsia="Arial" w:hAnsi="Arial"/>
                <w:sz w:val="18"/>
                <w:szCs w:val="18"/>
                <w:color w:val="auto"/>
                <w:w w:val="90"/>
              </w:rPr>
              <w:t>Average Useful</w:t>
            </w:r>
          </w:p>
        </w:tc>
        <w:tc>
          <w:tcPr>
            <w:tcW w:w="11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57"/>
        </w:trPr>
        <w:tc>
          <w:tcPr>
            <w:tcW w:w="378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Electric Utilities</w:t>
            </w:r>
          </w:p>
        </w:tc>
        <w:tc>
          <w:tcPr>
            <w:tcW w:w="13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5"/>
              </w:rPr>
              <w:t>Life (in years)</w:t>
            </w:r>
          </w:p>
        </w:tc>
        <w:tc>
          <w:tcPr>
            <w:tcW w:w="138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90"/>
              </w:rPr>
              <w:t xml:space="preserve">and Equipment </w:t>
            </w:r>
            <w:r>
              <w:rPr>
                <w:rFonts w:ascii="Arial" w:cs="Arial" w:eastAsia="Arial" w:hAnsi="Arial"/>
                <w:sz w:val="25"/>
                <w:szCs w:val="25"/>
                <w:color w:val="auto"/>
                <w:w w:val="90"/>
                <w:vertAlign w:val="superscript"/>
              </w:rPr>
              <w:t>(b)</w:t>
            </w:r>
          </w:p>
        </w:tc>
        <w:tc>
          <w:tcPr>
            <w:tcW w:w="13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93"/>
              </w:rPr>
              <w:t>Life (in years)</w:t>
            </w:r>
          </w:p>
        </w:tc>
        <w:tc>
          <w:tcPr>
            <w:tcW w:w="11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98"/>
              </w:rPr>
              <w:t>Minimum</w:t>
            </w: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7"/>
              </w:rPr>
              <w:t>Maximum</w:t>
            </w:r>
          </w:p>
        </w:tc>
      </w:tr>
      <w:tr>
        <w:trPr>
          <w:trHeight w:val="561"/>
        </w:trPr>
        <w:tc>
          <w:tcPr>
            <w:tcW w:w="3780" w:type="dxa"/>
            <w:vAlign w:val="bottom"/>
          </w:tcPr>
          <w:p>
            <w:pPr>
              <w:ind w:left="40"/>
              <w:spacing w:after="0"/>
              <w:rPr>
                <w:sz w:val="20"/>
                <w:szCs w:val="20"/>
                <w:color w:val="auto"/>
              </w:rPr>
            </w:pPr>
            <w:r>
              <w:rPr>
                <w:rFonts w:ascii="Arial" w:cs="Arial" w:eastAsia="Arial" w:hAnsi="Arial"/>
                <w:sz w:val="18"/>
                <w:szCs w:val="18"/>
                <w:color w:val="auto"/>
              </w:rPr>
              <w:t>Electric plant:</w:t>
            </w: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1,348,049</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41</w:t>
            </w:r>
          </w:p>
        </w:tc>
        <w:tc>
          <w:tcPr>
            <w:tcW w:w="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1,318,643</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41</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32</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46</w:t>
            </w:r>
          </w:p>
        </w:tc>
      </w:tr>
      <w:tr>
        <w:trPr>
          <w:trHeight w:val="243"/>
        </w:trPr>
        <w:tc>
          <w:tcPr>
            <w:tcW w:w="3780" w:type="dxa"/>
            <w:vAlign w:val="bottom"/>
          </w:tcPr>
          <w:p>
            <w:pPr>
              <w:ind w:left="180"/>
              <w:spacing w:after="0"/>
              <w:rPr>
                <w:sz w:val="20"/>
                <w:szCs w:val="20"/>
                <w:color w:val="auto"/>
              </w:rPr>
            </w:pPr>
            <w:r>
              <w:rPr>
                <w:rFonts w:ascii="Arial" w:cs="Arial" w:eastAsia="Arial" w:hAnsi="Arial"/>
                <w:sz w:val="18"/>
                <w:szCs w:val="18"/>
                <w:color w:val="auto"/>
              </w:rPr>
              <w:t>Electric transmission</w:t>
            </w:r>
          </w:p>
        </w:tc>
        <w:tc>
          <w:tcPr>
            <w:tcW w:w="280" w:type="dxa"/>
            <w:vAlign w:val="bottom"/>
          </w:tcPr>
          <w:p>
            <w:pPr>
              <w:spacing w:after="0"/>
              <w:rPr>
                <w:sz w:val="21"/>
                <w:szCs w:val="21"/>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483,640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51</w:t>
            </w:r>
          </w:p>
        </w:tc>
        <w:tc>
          <w:tcPr>
            <w:tcW w:w="14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437,082</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51</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43</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54</w:t>
            </w: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Electric distribution</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861,042</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47</w:t>
            </w:r>
          </w:p>
        </w:tc>
        <w:tc>
          <w:tcPr>
            <w:tcW w:w="140" w:type="dxa"/>
            <w:vAlign w:val="bottom"/>
            <w:tcBorders>
              <w:bottom w:val="single" w:sz="8" w:color="CEFFE7"/>
            </w:tcBorders>
            <w:shd w:val="clear" w:color="auto" w:fill="CEFFE7"/>
          </w:tcPr>
          <w:p>
            <w:pPr>
              <w:spacing w:after="0"/>
              <w:rPr>
                <w:sz w:val="21"/>
                <w:szCs w:val="21"/>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793,725</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48</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46</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50</w:t>
            </w:r>
          </w:p>
        </w:tc>
      </w:tr>
      <w:tr>
        <w:trPr>
          <w:trHeight w:val="270"/>
        </w:trPr>
        <w:tc>
          <w:tcPr>
            <w:tcW w:w="37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Plant acquisition adjustment </w:t>
            </w:r>
            <w:r>
              <w:rPr>
                <w:rFonts w:ascii="Arial" w:cs="Arial" w:eastAsia="Arial" w:hAnsi="Arial"/>
                <w:sz w:val="25"/>
                <w:szCs w:val="25"/>
                <w:color w:val="auto"/>
                <w:vertAlign w:val="superscript"/>
              </w:rPr>
              <w:t>(a)</w:t>
            </w:r>
          </w:p>
        </w:tc>
        <w:tc>
          <w:tcPr>
            <w:tcW w:w="280" w:type="dxa"/>
            <w:vAlign w:val="bottom"/>
          </w:tcPr>
          <w:p>
            <w:pPr>
              <w:spacing w:after="0"/>
              <w:rPr>
                <w:sz w:val="23"/>
                <w:szCs w:val="23"/>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c>
          <w:tcPr>
            <w:tcW w:w="14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4,870</w:t>
            </w:r>
          </w:p>
        </w:tc>
        <w:tc>
          <w:tcPr>
            <w:tcW w:w="13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140" w:type="dxa"/>
            <w:vAlign w:val="bottom"/>
          </w:tcPr>
          <w:p>
            <w:pPr>
              <w:jc w:val="center"/>
              <w:ind w:right="30"/>
              <w:spacing w:after="0"/>
              <w:rPr>
                <w:sz w:val="20"/>
                <w:szCs w:val="20"/>
                <w:color w:val="auto"/>
              </w:rPr>
            </w:pPr>
            <w:r>
              <w:rPr>
                <w:rFonts w:ascii="Arial" w:cs="Arial" w:eastAsia="Arial" w:hAnsi="Arial"/>
                <w:sz w:val="18"/>
                <w:szCs w:val="18"/>
                <w:color w:val="auto"/>
                <w:w w:val="89"/>
              </w:rPr>
              <w:t>32</w:t>
            </w:r>
          </w:p>
        </w:tc>
        <w:tc>
          <w:tcPr>
            <w:tcW w:w="1240" w:type="dxa"/>
            <w:vAlign w:val="bottom"/>
          </w:tcPr>
          <w:p>
            <w:pPr>
              <w:jc w:val="center"/>
              <w:spacing w:after="0"/>
              <w:rPr>
                <w:sz w:val="20"/>
                <w:szCs w:val="20"/>
                <w:color w:val="auto"/>
              </w:rPr>
            </w:pPr>
            <w:r>
              <w:rPr>
                <w:rFonts w:ascii="Arial" w:cs="Arial" w:eastAsia="Arial" w:hAnsi="Arial"/>
                <w:sz w:val="18"/>
                <w:szCs w:val="18"/>
                <w:color w:val="auto"/>
                <w:w w:val="89"/>
              </w:rPr>
              <w:t>32</w:t>
            </w:r>
          </w:p>
        </w:tc>
      </w:tr>
      <w:tr>
        <w:trPr>
          <w:trHeight w:val="27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259,266</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28</w:t>
            </w:r>
          </w:p>
        </w:tc>
        <w:tc>
          <w:tcPr>
            <w:tcW w:w="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233,531</w:t>
            </w:r>
          </w:p>
        </w:tc>
        <w:tc>
          <w:tcPr>
            <w:tcW w:w="13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28</w:t>
            </w:r>
          </w:p>
        </w:tc>
        <w:tc>
          <w:tcPr>
            <w:tcW w:w="1140" w:type="dxa"/>
            <w:vAlign w:val="bottom"/>
            <w:tcBorders>
              <w:bottom w:val="single" w:sz="8" w:color="CEFFE7"/>
            </w:tcBorders>
            <w:shd w:val="clear" w:color="auto" w:fill="CEFFE7"/>
          </w:tcPr>
          <w:p>
            <w:pPr>
              <w:jc w:val="center"/>
              <w:ind w:right="30"/>
              <w:spacing w:after="0"/>
              <w:rPr>
                <w:sz w:val="20"/>
                <w:szCs w:val="20"/>
                <w:color w:val="auto"/>
              </w:rPr>
            </w:pPr>
            <w:r>
              <w:rPr>
                <w:rFonts w:ascii="Arial" w:cs="Arial" w:eastAsia="Arial" w:hAnsi="Arial"/>
                <w:sz w:val="18"/>
                <w:szCs w:val="18"/>
                <w:color w:val="auto"/>
                <w:w w:val="89"/>
              </w:rPr>
              <w:t>26</w:t>
            </w:r>
          </w:p>
        </w:tc>
        <w:tc>
          <w:tcPr>
            <w:tcW w:w="124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33</w:t>
            </w:r>
          </w:p>
        </w:tc>
      </w:tr>
      <w:tr>
        <w:trPr>
          <w:trHeight w:val="237"/>
        </w:trPr>
        <w:tc>
          <w:tcPr>
            <w:tcW w:w="3780" w:type="dxa"/>
            <w:vAlign w:val="bottom"/>
          </w:tcPr>
          <w:p>
            <w:pPr>
              <w:ind w:left="180"/>
              <w:spacing w:after="0"/>
              <w:rPr>
                <w:sz w:val="20"/>
                <w:szCs w:val="20"/>
                <w:color w:val="auto"/>
              </w:rPr>
            </w:pPr>
            <w:r>
              <w:rPr>
                <w:rFonts w:ascii="Arial" w:cs="Arial" w:eastAsia="Arial" w:hAnsi="Arial"/>
                <w:sz w:val="18"/>
                <w:szCs w:val="18"/>
                <w:color w:val="auto"/>
              </w:rPr>
              <w:t>Total electric plant in service</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2,956,867</w:t>
            </w:r>
          </w:p>
        </w:tc>
        <w:tc>
          <w:tcPr>
            <w:tcW w:w="1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2,787,851</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7"/>
        </w:trPr>
        <w:tc>
          <w:tcPr>
            <w:tcW w:w="3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37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Construction work in progress</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102,268</w:t>
            </w:r>
          </w:p>
        </w:tc>
        <w:tc>
          <w:tcPr>
            <w:tcW w:w="124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60,480</w:t>
            </w:r>
          </w:p>
        </w:tc>
        <w:tc>
          <w:tcPr>
            <w:tcW w:w="1340" w:type="dxa"/>
            <w:vAlign w:val="bottom"/>
            <w:tcBorders>
              <w:bottom w:val="single" w:sz="8" w:color="CEFFE7"/>
            </w:tcBorders>
            <w:shd w:val="clear" w:color="auto" w:fill="CEFFE7"/>
          </w:tcPr>
          <w:p>
            <w:pPr>
              <w:spacing w:after="0"/>
              <w:rPr>
                <w:sz w:val="23"/>
                <w:szCs w:val="23"/>
                <w:color w:val="auto"/>
              </w:rPr>
            </w:pPr>
          </w:p>
        </w:tc>
        <w:tc>
          <w:tcPr>
            <w:tcW w:w="1140" w:type="dxa"/>
            <w:vAlign w:val="bottom"/>
            <w:tcBorders>
              <w:bottom w:val="single" w:sz="8" w:color="CEFFE7"/>
            </w:tcBorders>
            <w:shd w:val="clear" w:color="auto" w:fill="CEFFE7"/>
          </w:tcPr>
          <w:p>
            <w:pPr>
              <w:spacing w:after="0"/>
              <w:rPr>
                <w:sz w:val="23"/>
                <w:szCs w:val="23"/>
                <w:color w:val="auto"/>
              </w:rPr>
            </w:pPr>
          </w:p>
        </w:tc>
        <w:tc>
          <w:tcPr>
            <w:tcW w:w="1240" w:type="dxa"/>
            <w:vAlign w:val="bottom"/>
            <w:tcBorders>
              <w:bottom w:val="single" w:sz="8" w:color="CEFFE7"/>
            </w:tcBorders>
            <w:shd w:val="clear" w:color="auto" w:fill="CEFFE7"/>
          </w:tcPr>
          <w:p>
            <w:pPr>
              <w:spacing w:after="0"/>
              <w:rPr>
                <w:sz w:val="23"/>
                <w:szCs w:val="23"/>
                <w:color w:val="auto"/>
              </w:rPr>
            </w:pPr>
          </w:p>
        </w:tc>
      </w:tr>
      <w:tr>
        <w:trPr>
          <w:trHeight w:val="237"/>
        </w:trPr>
        <w:tc>
          <w:tcPr>
            <w:tcW w:w="3780" w:type="dxa"/>
            <w:vAlign w:val="bottom"/>
          </w:tcPr>
          <w:p>
            <w:pPr>
              <w:ind w:left="280"/>
              <w:spacing w:after="0"/>
              <w:rPr>
                <w:sz w:val="20"/>
                <w:szCs w:val="20"/>
                <w:color w:val="auto"/>
              </w:rPr>
            </w:pPr>
            <w:r>
              <w:rPr>
                <w:rFonts w:ascii="Arial" w:cs="Arial" w:eastAsia="Arial" w:hAnsi="Arial"/>
                <w:sz w:val="18"/>
                <w:szCs w:val="18"/>
                <w:color w:val="auto"/>
              </w:rPr>
              <w:t>Total electric plant</w:t>
            </w:r>
          </w:p>
        </w:tc>
        <w:tc>
          <w:tcPr>
            <w:tcW w:w="2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3,059,135</w:t>
            </w:r>
          </w:p>
        </w:tc>
        <w:tc>
          <w:tcPr>
            <w:tcW w:w="124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2,848,331</w:t>
            </w:r>
          </w:p>
        </w:tc>
        <w:tc>
          <w:tcPr>
            <w:tcW w:w="1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4"/>
        </w:trPr>
        <w:tc>
          <w:tcPr>
            <w:tcW w:w="3780" w:type="dxa"/>
            <w:vAlign w:val="bottom"/>
            <w:tcBorders>
              <w:bottom w:val="single" w:sz="8" w:color="CEFFE7"/>
            </w:tcBorders>
          </w:tcPr>
          <w:p>
            <w:pPr>
              <w:spacing w:after="0"/>
              <w:rPr>
                <w:sz w:val="5"/>
                <w:szCs w:val="5"/>
                <w:color w:val="auto"/>
              </w:rPr>
            </w:pPr>
          </w:p>
        </w:tc>
        <w:tc>
          <w:tcPr>
            <w:tcW w:w="280" w:type="dxa"/>
            <w:vAlign w:val="bottom"/>
            <w:tcBorders>
              <w:bottom w:val="single" w:sz="8" w:color="CEFFE7"/>
            </w:tcBorders>
          </w:tcPr>
          <w:p>
            <w:pPr>
              <w:spacing w:after="0"/>
              <w:rPr>
                <w:sz w:val="5"/>
                <w:szCs w:val="5"/>
                <w:color w:val="auto"/>
              </w:rPr>
            </w:pPr>
          </w:p>
        </w:tc>
        <w:tc>
          <w:tcPr>
            <w:tcW w:w="1020" w:type="dxa"/>
            <w:vAlign w:val="bottom"/>
            <w:tcBorders>
              <w:bottom w:val="single" w:sz="8" w:color="CEFFE7"/>
            </w:tcBorders>
          </w:tcPr>
          <w:p>
            <w:pPr>
              <w:spacing w:after="0"/>
              <w:rPr>
                <w:sz w:val="5"/>
                <w:szCs w:val="5"/>
                <w:color w:val="auto"/>
              </w:rPr>
            </w:pPr>
          </w:p>
        </w:tc>
        <w:tc>
          <w:tcPr>
            <w:tcW w:w="1240" w:type="dxa"/>
            <w:vAlign w:val="bottom"/>
            <w:tcBorders>
              <w:bottom w:val="single" w:sz="8" w:color="CEFFE7"/>
            </w:tcBorders>
          </w:tcPr>
          <w:p>
            <w:pPr>
              <w:spacing w:after="0"/>
              <w:rPr>
                <w:sz w:val="5"/>
                <w:szCs w:val="5"/>
                <w:color w:val="auto"/>
              </w:rPr>
            </w:pPr>
          </w:p>
        </w:tc>
        <w:tc>
          <w:tcPr>
            <w:tcW w:w="140" w:type="dxa"/>
            <w:vAlign w:val="bottom"/>
            <w:tcBorders>
              <w:bottom w:val="single" w:sz="8" w:color="CEFFE7"/>
            </w:tcBorders>
          </w:tcPr>
          <w:p>
            <w:pPr>
              <w:spacing w:after="0"/>
              <w:rPr>
                <w:sz w:val="5"/>
                <w:szCs w:val="5"/>
                <w:color w:val="auto"/>
              </w:rPr>
            </w:pPr>
          </w:p>
        </w:tc>
        <w:tc>
          <w:tcPr>
            <w:tcW w:w="1240" w:type="dxa"/>
            <w:vAlign w:val="bottom"/>
            <w:tcBorders>
              <w:bottom w:val="single" w:sz="8" w:color="CEFFE7"/>
            </w:tcBorders>
          </w:tcPr>
          <w:p>
            <w:pPr>
              <w:spacing w:after="0"/>
              <w:rPr>
                <w:sz w:val="5"/>
                <w:szCs w:val="5"/>
                <w:color w:val="auto"/>
              </w:rPr>
            </w:pPr>
          </w:p>
        </w:tc>
        <w:tc>
          <w:tcPr>
            <w:tcW w:w="1340" w:type="dxa"/>
            <w:vAlign w:val="bottom"/>
            <w:tcBorders>
              <w:bottom w:val="single" w:sz="8" w:color="CEFFE7"/>
            </w:tcBorders>
          </w:tcPr>
          <w:p>
            <w:pPr>
              <w:spacing w:after="0"/>
              <w:rPr>
                <w:sz w:val="5"/>
                <w:szCs w:val="5"/>
                <w:color w:val="auto"/>
              </w:rPr>
            </w:pPr>
          </w:p>
        </w:tc>
        <w:tc>
          <w:tcPr>
            <w:tcW w:w="1140" w:type="dxa"/>
            <w:vAlign w:val="bottom"/>
            <w:tcBorders>
              <w:bottom w:val="single" w:sz="8" w:color="CEFFE7"/>
            </w:tcBorders>
          </w:tcPr>
          <w:p>
            <w:pPr>
              <w:spacing w:after="0"/>
              <w:rPr>
                <w:sz w:val="5"/>
                <w:szCs w:val="5"/>
                <w:color w:val="auto"/>
              </w:rPr>
            </w:pPr>
          </w:p>
        </w:tc>
        <w:tc>
          <w:tcPr>
            <w:tcW w:w="1240" w:type="dxa"/>
            <w:vAlign w:val="bottom"/>
            <w:tcBorders>
              <w:bottom w:val="single" w:sz="8" w:color="CEFFE7"/>
            </w:tcBorders>
          </w:tcPr>
          <w:p>
            <w:pPr>
              <w:spacing w:after="0"/>
              <w:rPr>
                <w:sz w:val="5"/>
                <w:szCs w:val="5"/>
                <w:color w:val="auto"/>
              </w:rPr>
            </w:pPr>
          </w:p>
        </w:tc>
      </w:tr>
    </w:tbl>
    <w:p>
      <w:pPr>
        <w:sectPr>
          <w:pgSz w:w="11900" w:h="16900" w:orient="portrait"/>
          <w:cols w:equalWidth="0" w:num="1">
            <w:col w:w="11420"/>
          </w:cols>
          <w:pgMar w:left="240" w:top="118" w:right="239" w:bottom="0" w:gutter="0" w:footer="0" w:header="0"/>
          <w:type w:val="continuous"/>
        </w:sectPr>
      </w:pPr>
    </w:p>
    <w:bookmarkStart w:id="94" w:name="page95"/>
    <w:bookmarkEnd w:id="9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shd w:val="clear" w:color="auto" w:fill="CEFFE7"/>
          </w:tcPr>
          <w:p>
            <w:pPr>
              <w:ind w:left="40"/>
              <w:spacing w:after="0"/>
              <w:rPr>
                <w:sz w:val="20"/>
                <w:szCs w:val="20"/>
                <w:color w:val="auto"/>
              </w:rPr>
            </w:pPr>
            <w:r>
              <w:rPr>
                <w:rFonts w:ascii="Arial" w:cs="Arial" w:eastAsia="Arial" w:hAnsi="Arial"/>
                <w:sz w:val="18"/>
                <w:szCs w:val="18"/>
                <w:color w:val="auto"/>
                <w:w w:val="96"/>
              </w:rPr>
              <w:t>Less accumulated depreciation and amortization</w:t>
            </w:r>
          </w:p>
        </w:tc>
        <w:tc>
          <w:tcPr>
            <w:tcW w:w="280" w:type="dxa"/>
            <w:vAlign w:val="bottom"/>
            <w:tcBorders>
              <w:bottom w:val="single" w:sz="8" w:color="auto"/>
            </w:tcBorders>
            <w:shd w:val="clear" w:color="auto" w:fill="CEFFE7"/>
          </w:tcPr>
          <w:p>
            <w:pPr>
              <w:spacing w:after="0"/>
              <w:rPr>
                <w:sz w:val="21"/>
                <w:szCs w:val="21"/>
                <w:color w:val="auto"/>
              </w:rPr>
            </w:pP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(670,861)</w:t>
            </w:r>
          </w:p>
        </w:tc>
        <w:tc>
          <w:tcPr>
            <w:tcW w:w="1240" w:type="dxa"/>
            <w:vAlign w:val="bottom"/>
            <w:shd w:val="clear" w:color="auto" w:fill="CEFFE7"/>
          </w:tcPr>
          <w:p>
            <w:pPr>
              <w:spacing w:after="0"/>
              <w:rPr>
                <w:sz w:val="21"/>
                <w:szCs w:val="21"/>
                <w:color w:val="auto"/>
              </w:rPr>
            </w:pPr>
          </w:p>
        </w:tc>
        <w:tc>
          <w:tcPr>
            <w:tcW w:w="340" w:type="dxa"/>
            <w:vAlign w:val="bottom"/>
            <w:tcBorders>
              <w:bottom w:val="single" w:sz="8" w:color="auto"/>
            </w:tcBorders>
            <w:shd w:val="clear" w:color="auto" w:fill="CEFFE7"/>
          </w:tcPr>
          <w:p>
            <w:pPr>
              <w:spacing w:after="0"/>
              <w:rPr>
                <w:sz w:val="21"/>
                <w:szCs w:val="21"/>
                <w:color w:val="auto"/>
              </w:rPr>
            </w:pP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(615,365)</w:t>
            </w:r>
          </w:p>
        </w:tc>
        <w:tc>
          <w:tcPr>
            <w:tcW w:w="37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3780" w:type="dxa"/>
            <w:vAlign w:val="bottom"/>
          </w:tcPr>
          <w:p>
            <w:pPr>
              <w:ind w:left="180"/>
              <w:spacing w:after="0"/>
              <w:rPr>
                <w:sz w:val="20"/>
                <w:szCs w:val="20"/>
                <w:color w:val="auto"/>
              </w:rPr>
            </w:pPr>
            <w:r>
              <w:rPr>
                <w:rFonts w:ascii="Arial" w:cs="Arial" w:eastAsia="Arial" w:hAnsi="Arial"/>
                <w:sz w:val="18"/>
                <w:szCs w:val="18"/>
                <w:color w:val="auto"/>
                <w:w w:val="98"/>
              </w:rPr>
              <w:t>Electric plant net of accumulated depreciation</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tcPr>
          <w:p>
            <w:pPr>
              <w:jc w:val="right"/>
              <w:ind w:right="30"/>
              <w:spacing w:after="0"/>
              <w:rPr>
                <w:sz w:val="20"/>
                <w:szCs w:val="20"/>
                <w:color w:val="auto"/>
              </w:rPr>
            </w:pPr>
            <w:r>
              <w:rPr>
                <w:rFonts w:ascii="Arial" w:cs="Arial" w:eastAsia="Arial" w:hAnsi="Arial"/>
                <w:sz w:val="18"/>
                <w:szCs w:val="18"/>
                <w:color w:val="auto"/>
              </w:rPr>
              <w:t>2,388,274</w:t>
            </w:r>
          </w:p>
        </w:tc>
        <w:tc>
          <w:tcPr>
            <w:tcW w:w="1240" w:type="dxa"/>
            <w:vAlign w:val="bottom"/>
          </w:tcPr>
          <w:p>
            <w:pPr>
              <w:spacing w:after="0"/>
              <w:rPr>
                <w:sz w:val="18"/>
                <w:szCs w:val="18"/>
                <w:color w:val="auto"/>
              </w:rPr>
            </w:pPr>
          </w:p>
        </w:tc>
        <w:tc>
          <w:tcPr>
            <w:tcW w:w="340" w:type="dxa"/>
            <w:vAlign w:val="bottom"/>
            <w:vMerge w:val="restart"/>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vMerge w:val="restart"/>
          </w:tcPr>
          <w:p>
            <w:pPr>
              <w:jc w:val="right"/>
              <w:ind w:right="30"/>
              <w:spacing w:after="0"/>
              <w:rPr>
                <w:sz w:val="20"/>
                <w:szCs w:val="20"/>
                <w:color w:val="auto"/>
              </w:rPr>
            </w:pPr>
            <w:r>
              <w:rPr>
                <w:rFonts w:ascii="Arial" w:cs="Arial" w:eastAsia="Arial" w:hAnsi="Arial"/>
                <w:sz w:val="18"/>
                <w:szCs w:val="18"/>
                <w:color w:val="auto"/>
              </w:rPr>
              <w:t>2,232,966</w:t>
            </w:r>
          </w:p>
        </w:tc>
        <w:tc>
          <w:tcPr>
            <w:tcW w:w="3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180"/>
              <w:spacing w:after="0"/>
              <w:rPr>
                <w:sz w:val="20"/>
                <w:szCs w:val="20"/>
                <w:color w:val="auto"/>
              </w:rPr>
            </w:pPr>
            <w:r>
              <w:rPr>
                <w:rFonts w:ascii="Arial" w:cs="Arial" w:eastAsia="Arial" w:hAnsi="Arial"/>
                <w:sz w:val="18"/>
                <w:szCs w:val="18"/>
                <w:color w:val="auto"/>
              </w:rPr>
              <w:t>and amortization</w:t>
            </w:r>
          </w:p>
        </w:tc>
        <w:tc>
          <w:tcPr>
            <w:tcW w:w="280" w:type="dxa"/>
            <w:vAlign w:val="bottom"/>
            <w:vMerge w:val="continue"/>
          </w:tcPr>
          <w:p>
            <w:pPr>
              <w:spacing w:after="0"/>
              <w:rPr>
                <w:sz w:val="20"/>
                <w:szCs w:val="20"/>
                <w:color w:val="auto"/>
              </w:rPr>
            </w:pPr>
          </w:p>
        </w:tc>
        <w:tc>
          <w:tcPr>
            <w:tcW w:w="1020" w:type="dxa"/>
            <w:vAlign w:val="bottom"/>
            <w:vMerge w:val="continue"/>
          </w:tcPr>
          <w:p>
            <w:pPr>
              <w:spacing w:after="0"/>
              <w:rPr>
                <w:sz w:val="20"/>
                <w:szCs w:val="20"/>
                <w:color w:val="auto"/>
              </w:rPr>
            </w:pPr>
          </w:p>
        </w:tc>
        <w:tc>
          <w:tcPr>
            <w:tcW w:w="1240" w:type="dxa"/>
            <w:vAlign w:val="bottom"/>
          </w:tcPr>
          <w:p>
            <w:pPr>
              <w:spacing w:after="0"/>
              <w:rPr>
                <w:sz w:val="20"/>
                <w:szCs w:val="20"/>
                <w:color w:val="auto"/>
              </w:rPr>
            </w:pPr>
          </w:p>
        </w:tc>
        <w:tc>
          <w:tcPr>
            <w:tcW w:w="340" w:type="dxa"/>
            <w:vAlign w:val="bottom"/>
            <w:vMerge w:val="continue"/>
          </w:tcPr>
          <w:p>
            <w:pPr>
              <w:spacing w:after="0"/>
              <w:rPr>
                <w:sz w:val="20"/>
                <w:szCs w:val="20"/>
                <w:color w:val="auto"/>
              </w:rPr>
            </w:pPr>
          </w:p>
        </w:tc>
        <w:tc>
          <w:tcPr>
            <w:tcW w:w="1040" w:type="dxa"/>
            <w:vAlign w:val="bottom"/>
            <w:vMerge w:val="continue"/>
          </w:tcPr>
          <w:p>
            <w:pPr>
              <w:spacing w:after="0"/>
              <w:rPr>
                <w:sz w:val="20"/>
                <w:szCs w:val="20"/>
                <w:color w:val="auto"/>
              </w:rPr>
            </w:pPr>
          </w:p>
        </w:tc>
        <w:tc>
          <w:tcPr>
            <w:tcW w:w="37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8890</wp:posOffset>
            </wp:positionV>
            <wp:extent cx="86614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8890</wp:posOffset>
            </wp:positionV>
            <wp:extent cx="82359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4018280</wp:posOffset>
            </wp:positionH>
            <wp:positionV relativeFrom="paragraph">
              <wp:posOffset>-130175</wp:posOffset>
            </wp:positionV>
            <wp:extent cx="86614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2397760</wp:posOffset>
            </wp:positionH>
            <wp:positionV relativeFrom="paragraph">
              <wp:posOffset>-130175</wp:posOffset>
            </wp:positionV>
            <wp:extent cx="82359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23595" cy="8890"/>
                    </a:xfrm>
                    <a:prstGeom prst="rect">
                      <a:avLst/>
                    </a:prstGeom>
                    <a:noFill/>
                  </pic:spPr>
                </pic:pic>
              </a:graphicData>
            </a:graphic>
          </wp:anchor>
        </w:drawing>
      </w:r>
    </w:p>
    <w:p>
      <w:pPr>
        <w:spacing w:after="0" w:line="3" w:lineRule="exact"/>
        <w:rPr>
          <w:sz w:val="20"/>
          <w:szCs w:val="20"/>
          <w:color w:val="auto"/>
        </w:rPr>
      </w:pPr>
    </w:p>
    <w:p>
      <w:pPr>
        <w:ind w:left="340" w:hanging="332"/>
        <w:spacing w:after="0"/>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The plant acquisition adjustment is included in rate base and is being recovered with 11 years remaining.</w:t>
      </w:r>
    </w:p>
    <w:p>
      <w:pPr>
        <w:spacing w:after="0" w:line="9" w:lineRule="exact"/>
        <w:rPr>
          <w:rFonts w:ascii="Arial" w:cs="Arial" w:eastAsia="Arial" w:hAnsi="Arial"/>
          <w:sz w:val="16"/>
          <w:szCs w:val="16"/>
          <w:color w:val="auto"/>
        </w:rPr>
      </w:pPr>
    </w:p>
    <w:p>
      <w:pPr>
        <w:ind w:left="340" w:right="260" w:hanging="332"/>
        <w:spacing w:after="0" w:line="252" w:lineRule="auto"/>
        <w:tabs>
          <w:tab w:leader="none" w:pos="340" w:val="left"/>
        </w:tabs>
        <w:numPr>
          <w:ilvl w:val="0"/>
          <w:numId w:val="63"/>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hyperlink>
      <w:r>
        <w:rPr>
          <w:rFonts w:ascii="Arial" w:cs="Arial" w:eastAsia="Arial" w:hAnsi="Arial"/>
          <w:sz w:val="16"/>
          <w:szCs w:val="16"/>
          <w:color w:val="auto"/>
        </w:rPr>
        <w:t>, Total electric plant in service, Accumulated depreciation and amortization, and Electric plant net of accumulated depreciation and amortization were revised as of December 31, 2018 which resulted in an increase (decrease) of ($261) million, $91 million and ($170) million, respectively. There was no impact on our consolidated Plant, property and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420"/>
          </w:cols>
          <w:pgMar w:left="240" w:top="140" w:right="239" w:bottom="1440" w:gutter="0" w:footer="0" w:header="0"/>
        </w:sectPr>
      </w:pPr>
    </w:p>
    <w:bookmarkStart w:id="95" w:name="page96"/>
    <w:bookmarkEnd w:id="95"/>
    <w:tbl>
      <w:tblPr>
        <w:tblLayout w:type="fixed"/>
        <w:tblInd w:w="0" w:type="dxa"/>
        <w:tblCellMar>
          <w:top w:w="0" w:type="dxa"/>
          <w:left w:w="0" w:type="dxa"/>
          <w:bottom w:w="0" w:type="dxa"/>
          <w:right w:w="0" w:type="dxa"/>
        </w:tblCellMar>
      </w:tblPr>
      <w:tr>
        <w:trPr>
          <w:trHeight w:val="184"/>
        </w:trPr>
        <w:tc>
          <w:tcPr>
            <w:tcW w:w="218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01"/>
        </w:trPr>
        <w:tc>
          <w:tcPr>
            <w:tcW w:w="1220" w:type="dxa"/>
            <w:vAlign w:val="bottom"/>
            <w:tcBorders>
              <w:top w:val="single" w:sz="8" w:color="0000EE"/>
            </w:tcBorders>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2019</w:t>
            </w: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gridSpan w:val="3"/>
          </w:tcPr>
          <w:p>
            <w:pPr>
              <w:jc w:val="right"/>
              <w:ind w:right="190"/>
              <w:spacing w:after="0"/>
              <w:rPr>
                <w:sz w:val="20"/>
                <w:szCs w:val="20"/>
                <w:color w:val="auto"/>
              </w:rPr>
            </w:pPr>
            <w:r>
              <w:rPr>
                <w:rFonts w:ascii="Arial" w:cs="Arial" w:eastAsia="Arial" w:hAnsi="Arial"/>
                <w:sz w:val="18"/>
                <w:szCs w:val="18"/>
                <w:b w:val="1"/>
                <w:bCs w:val="1"/>
                <w:color w:val="auto"/>
              </w:rPr>
              <w:t>2018</w:t>
            </w: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0" w:type="dxa"/>
            <w:vAlign w:val="bottom"/>
            <w:gridSpan w:val="2"/>
          </w:tcPr>
          <w:p>
            <w:pPr>
              <w:ind w:left="400"/>
              <w:spacing w:after="0"/>
              <w:rPr>
                <w:sz w:val="20"/>
                <w:szCs w:val="20"/>
                <w:color w:val="auto"/>
              </w:rPr>
            </w:pPr>
            <w:r>
              <w:rPr>
                <w:rFonts w:ascii="Arial" w:cs="Arial" w:eastAsia="Arial" w:hAnsi="Arial"/>
                <w:sz w:val="18"/>
                <w:szCs w:val="18"/>
                <w:color w:val="auto"/>
              </w:rPr>
              <w:t>Lives (in years)</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89"/>
              </w:rPr>
              <w:t>Weighted</w:t>
            </w:r>
          </w:p>
        </w:tc>
        <w:tc>
          <w:tcPr>
            <w:tcW w:w="2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gridSpan w:val="4"/>
          </w:tcPr>
          <w:p>
            <w:pPr>
              <w:jc w:val="right"/>
              <w:ind w:right="30"/>
              <w:spacing w:after="0"/>
              <w:rPr>
                <w:sz w:val="20"/>
                <w:szCs w:val="20"/>
                <w:color w:val="auto"/>
              </w:rPr>
            </w:pPr>
            <w:r>
              <w:rPr>
                <w:rFonts w:ascii="Arial" w:cs="Arial" w:eastAsia="Arial" w:hAnsi="Arial"/>
                <w:sz w:val="18"/>
                <w:szCs w:val="18"/>
                <w:color w:val="auto"/>
                <w:w w:val="97"/>
              </w:rPr>
              <w:t>Property, Plant</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0"/>
              </w:rPr>
              <w:t>Average Useful</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w w:val="95"/>
              </w:rPr>
              <w:t>Property, Plant</w:t>
            </w:r>
          </w:p>
        </w:tc>
        <w:tc>
          <w:tcPr>
            <w:tcW w:w="80" w:type="dxa"/>
            <w:vAlign w:val="bottom"/>
          </w:tcPr>
          <w:p>
            <w:pPr>
              <w:spacing w:after="0"/>
              <w:rPr>
                <w:sz w:val="18"/>
                <w:szCs w:val="18"/>
                <w:color w:val="auto"/>
              </w:rPr>
            </w:pPr>
          </w:p>
        </w:tc>
        <w:tc>
          <w:tcPr>
            <w:tcW w:w="1460" w:type="dxa"/>
            <w:vAlign w:val="bottom"/>
            <w:gridSpan w:val="2"/>
          </w:tcPr>
          <w:p>
            <w:pPr>
              <w:jc w:val="center"/>
              <w:ind w:right="130"/>
              <w:spacing w:after="0"/>
              <w:rPr>
                <w:sz w:val="20"/>
                <w:szCs w:val="20"/>
                <w:color w:val="auto"/>
              </w:rPr>
            </w:pPr>
            <w:r>
              <w:rPr>
                <w:rFonts w:ascii="Arial" w:cs="Arial" w:eastAsia="Arial" w:hAnsi="Arial"/>
                <w:sz w:val="18"/>
                <w:szCs w:val="18"/>
                <w:color w:val="auto"/>
                <w:w w:val="90"/>
              </w:rPr>
              <w:t>Average Useful</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Gas Utilities</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gridSpan w:val="4"/>
          </w:tcPr>
          <w:p>
            <w:pPr>
              <w:jc w:val="right"/>
              <w:ind w:right="10"/>
              <w:spacing w:after="0"/>
              <w:rPr>
                <w:sz w:val="20"/>
                <w:szCs w:val="20"/>
                <w:color w:val="auto"/>
              </w:rPr>
            </w:pPr>
            <w:r>
              <w:rPr>
                <w:rFonts w:ascii="Arial" w:cs="Arial" w:eastAsia="Arial" w:hAnsi="Arial"/>
                <w:sz w:val="18"/>
                <w:szCs w:val="18"/>
                <w:color w:val="auto"/>
                <w:w w:val="97"/>
              </w:rPr>
              <w:t>and Equipment</w:t>
            </w:r>
          </w:p>
        </w:tc>
        <w:tc>
          <w:tcPr>
            <w:tcW w:w="1240" w:type="dxa"/>
            <w:vAlign w:val="bottom"/>
            <w:gridSpan w:val="3"/>
          </w:tcPr>
          <w:p>
            <w:pPr>
              <w:jc w:val="center"/>
              <w:spacing w:after="0"/>
              <w:rPr>
                <w:sz w:val="20"/>
                <w:szCs w:val="20"/>
                <w:color w:val="auto"/>
              </w:rPr>
            </w:pPr>
            <w:r>
              <w:rPr>
                <w:rFonts w:ascii="Arial" w:cs="Arial" w:eastAsia="Arial" w:hAnsi="Arial"/>
                <w:sz w:val="18"/>
                <w:szCs w:val="18"/>
                <w:color w:val="auto"/>
                <w:w w:val="95"/>
              </w:rPr>
              <w:t>Life (in years)</w:t>
            </w:r>
          </w:p>
        </w:tc>
        <w:tc>
          <w:tcPr>
            <w:tcW w:w="1180" w:type="dxa"/>
            <w:vAlign w:val="bottom"/>
            <w:gridSpan w:val="4"/>
          </w:tcPr>
          <w:p>
            <w:pPr>
              <w:jc w:val="right"/>
              <w:spacing w:after="0"/>
              <w:rPr>
                <w:sz w:val="20"/>
                <w:szCs w:val="20"/>
                <w:color w:val="auto"/>
              </w:rPr>
            </w:pPr>
            <w:r>
              <w:rPr>
                <w:rFonts w:ascii="Arial" w:cs="Arial" w:eastAsia="Arial" w:hAnsi="Arial"/>
                <w:sz w:val="18"/>
                <w:szCs w:val="18"/>
                <w:color w:val="auto"/>
                <w:w w:val="95"/>
              </w:rPr>
              <w:t>and Equipment</w:t>
            </w:r>
          </w:p>
        </w:tc>
        <w:tc>
          <w:tcPr>
            <w:tcW w:w="80" w:type="dxa"/>
            <w:vAlign w:val="bottom"/>
          </w:tcPr>
          <w:p>
            <w:pPr>
              <w:spacing w:after="0"/>
              <w:rPr>
                <w:sz w:val="20"/>
                <w:szCs w:val="20"/>
                <w:color w:val="auto"/>
              </w:rPr>
            </w:pPr>
          </w:p>
        </w:tc>
        <w:tc>
          <w:tcPr>
            <w:tcW w:w="1460" w:type="dxa"/>
            <w:vAlign w:val="bottom"/>
            <w:gridSpan w:val="2"/>
          </w:tcPr>
          <w:p>
            <w:pPr>
              <w:jc w:val="center"/>
              <w:ind w:right="150"/>
              <w:spacing w:after="0"/>
              <w:rPr>
                <w:sz w:val="20"/>
                <w:szCs w:val="20"/>
                <w:color w:val="auto"/>
              </w:rPr>
            </w:pPr>
            <w:r>
              <w:rPr>
                <w:rFonts w:ascii="Arial" w:cs="Arial" w:eastAsia="Arial" w:hAnsi="Arial"/>
                <w:sz w:val="18"/>
                <w:szCs w:val="18"/>
                <w:color w:val="auto"/>
                <w:w w:val="93"/>
              </w:rPr>
              <w:t>Life (in years)</w:t>
            </w:r>
          </w:p>
        </w:tc>
        <w:tc>
          <w:tcPr>
            <w:tcW w:w="1260" w:type="dxa"/>
            <w:vAlign w:val="bottom"/>
            <w:gridSpan w:val="2"/>
          </w:tcPr>
          <w:p>
            <w:pPr>
              <w:jc w:val="center"/>
              <w:ind w:right="370"/>
              <w:spacing w:after="0"/>
              <w:rPr>
                <w:sz w:val="20"/>
                <w:szCs w:val="20"/>
                <w:color w:val="auto"/>
              </w:rPr>
            </w:pPr>
            <w:r>
              <w:rPr>
                <w:rFonts w:ascii="Arial" w:cs="Arial" w:eastAsia="Arial" w:hAnsi="Arial"/>
                <w:sz w:val="18"/>
                <w:szCs w:val="18"/>
                <w:color w:val="auto"/>
                <w:w w:val="98"/>
              </w:rPr>
              <w:t>Minimum</w:t>
            </w:r>
          </w:p>
        </w:tc>
        <w:tc>
          <w:tcPr>
            <w:tcW w:w="1000" w:type="dxa"/>
            <w:vAlign w:val="bottom"/>
          </w:tcPr>
          <w:p>
            <w:pPr>
              <w:jc w:val="center"/>
              <w:ind w:right="150"/>
              <w:spacing w:after="0"/>
              <w:rPr>
                <w:sz w:val="20"/>
                <w:szCs w:val="20"/>
                <w:color w:val="auto"/>
              </w:rPr>
            </w:pPr>
            <w:r>
              <w:rPr>
                <w:rFonts w:ascii="Arial" w:cs="Arial" w:eastAsia="Arial" w:hAnsi="Arial"/>
                <w:sz w:val="18"/>
                <w:szCs w:val="18"/>
                <w:color w:val="auto"/>
                <w:w w:val="97"/>
              </w:rPr>
              <w:t>Maximum</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561"/>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Gas plant:</w:t>
            </w: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Production</w:t>
            </w:r>
          </w:p>
        </w:tc>
        <w:tc>
          <w:tcPr>
            <w:tcW w:w="40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gridSpan w:val="2"/>
            <w:shd w:val="clear" w:color="auto" w:fill="CEFFE7"/>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EFFE7"/>
            </w:tcBorders>
            <w:shd w:val="clear" w:color="auto" w:fill="CEFFE7"/>
          </w:tcPr>
          <w:p>
            <w:pPr>
              <w:spacing w:after="0"/>
              <w:rPr>
                <w:sz w:val="21"/>
                <w:szCs w:val="21"/>
                <w:color w:val="auto"/>
              </w:rPr>
            </w:pPr>
          </w:p>
        </w:tc>
        <w:tc>
          <w:tcPr>
            <w:tcW w:w="66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4"/>
              </w:rPr>
              <w:t>13,000</w:t>
            </w:r>
          </w:p>
        </w:tc>
        <w:tc>
          <w:tcPr>
            <w:tcW w:w="4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35</w:t>
            </w:r>
          </w:p>
        </w:tc>
        <w:tc>
          <w:tcPr>
            <w:tcW w:w="5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EFFE7"/>
            </w:tcBorders>
            <w:shd w:val="clear" w:color="auto" w:fill="CEFFE7"/>
          </w:tcPr>
          <w:p>
            <w:pPr>
              <w:spacing w:after="0"/>
              <w:rPr>
                <w:sz w:val="21"/>
                <w:szCs w:val="21"/>
                <w:color w:val="auto"/>
              </w:rPr>
            </w:pPr>
          </w:p>
        </w:tc>
        <w:tc>
          <w:tcPr>
            <w:tcW w:w="5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w w:val="90"/>
              </w:rPr>
              <w:t>13,580</w:t>
            </w:r>
          </w:p>
        </w:tc>
        <w:tc>
          <w:tcPr>
            <w:tcW w:w="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center"/>
              <w:ind w:right="610"/>
              <w:spacing w:after="0"/>
              <w:rPr>
                <w:sz w:val="20"/>
                <w:szCs w:val="20"/>
                <w:color w:val="auto"/>
              </w:rPr>
            </w:pPr>
            <w:r>
              <w:rPr>
                <w:rFonts w:ascii="Arial" w:cs="Arial" w:eastAsia="Arial" w:hAnsi="Arial"/>
                <w:sz w:val="18"/>
                <w:szCs w:val="18"/>
                <w:color w:val="auto"/>
                <w:w w:val="89"/>
              </w:rPr>
              <w:t>35</w:t>
            </w:r>
          </w:p>
        </w:tc>
        <w:tc>
          <w:tcPr>
            <w:tcW w:w="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center"/>
              <w:ind w:right="450"/>
              <w:spacing w:after="0"/>
              <w:rPr>
                <w:sz w:val="20"/>
                <w:szCs w:val="20"/>
                <w:color w:val="auto"/>
              </w:rPr>
            </w:pPr>
            <w:r>
              <w:rPr>
                <w:rFonts w:ascii="Arial" w:cs="Arial" w:eastAsia="Arial" w:hAnsi="Arial"/>
                <w:sz w:val="18"/>
                <w:szCs w:val="18"/>
                <w:color w:val="auto"/>
                <w:w w:val="89"/>
              </w:rPr>
              <w:t>24</w:t>
            </w:r>
          </w:p>
        </w:tc>
        <w:tc>
          <w:tcPr>
            <w:tcW w:w="1000" w:type="dxa"/>
            <w:vAlign w:val="bottom"/>
            <w:tcBorders>
              <w:bottom w:val="single" w:sz="8" w:color="CEFFE7"/>
            </w:tcBorders>
            <w:shd w:val="clear" w:color="auto" w:fill="CEFFE7"/>
          </w:tcPr>
          <w:p>
            <w:pPr>
              <w:jc w:val="center"/>
              <w:ind w:right="170"/>
              <w:spacing w:after="0"/>
              <w:rPr>
                <w:sz w:val="20"/>
                <w:szCs w:val="20"/>
                <w:color w:val="auto"/>
              </w:rPr>
            </w:pPr>
            <w:r>
              <w:rPr>
                <w:rFonts w:ascii="Arial" w:cs="Arial" w:eastAsia="Arial" w:hAnsi="Arial"/>
                <w:sz w:val="18"/>
                <w:szCs w:val="18"/>
                <w:color w:val="auto"/>
                <w:w w:val="89"/>
              </w:rPr>
              <w:t>71</w:t>
            </w:r>
          </w:p>
        </w:tc>
        <w:tc>
          <w:tcPr>
            <w:tcW w:w="0" w:type="dxa"/>
            <w:vAlign w:val="bottom"/>
          </w:tcPr>
          <w:p>
            <w:pPr>
              <w:spacing w:after="0"/>
              <w:rPr>
                <w:sz w:val="1"/>
                <w:szCs w:val="1"/>
                <w:color w:val="auto"/>
              </w:rPr>
            </w:pPr>
          </w:p>
        </w:tc>
      </w:tr>
      <w:tr>
        <w:trPr>
          <w:trHeight w:val="243"/>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Gas transmission</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00" w:type="dxa"/>
            <w:vAlign w:val="bottom"/>
            <w:gridSpan w:val="3"/>
          </w:tcPr>
          <w:p>
            <w:pPr>
              <w:jc w:val="right"/>
              <w:ind w:right="30"/>
              <w:spacing w:after="0"/>
              <w:rPr>
                <w:sz w:val="20"/>
                <w:szCs w:val="20"/>
                <w:color w:val="auto"/>
              </w:rPr>
            </w:pPr>
            <w:r>
              <w:rPr>
                <w:rFonts w:ascii="Arial" w:cs="Arial" w:eastAsia="Arial" w:hAnsi="Arial"/>
                <w:sz w:val="18"/>
                <w:szCs w:val="18"/>
                <w:color w:val="auto"/>
              </w:rPr>
              <w:t>516,172</w:t>
            </w:r>
          </w:p>
        </w:tc>
        <w:tc>
          <w:tcPr>
            <w:tcW w:w="44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423,873</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center"/>
              <w:ind w:right="610"/>
              <w:spacing w:after="0"/>
              <w:rPr>
                <w:sz w:val="20"/>
                <w:szCs w:val="20"/>
                <w:color w:val="auto"/>
              </w:rPr>
            </w:pPr>
            <w:r>
              <w:rPr>
                <w:rFonts w:ascii="Arial" w:cs="Arial" w:eastAsia="Arial" w:hAnsi="Arial"/>
                <w:sz w:val="18"/>
                <w:szCs w:val="18"/>
                <w:color w:val="auto"/>
                <w:w w:val="89"/>
              </w:rPr>
              <w:t>48</w:t>
            </w:r>
          </w:p>
        </w:tc>
        <w:tc>
          <w:tcPr>
            <w:tcW w:w="60" w:type="dxa"/>
            <w:vAlign w:val="bottom"/>
          </w:tcPr>
          <w:p>
            <w:pPr>
              <w:spacing w:after="0"/>
              <w:rPr>
                <w:sz w:val="21"/>
                <w:szCs w:val="21"/>
                <w:color w:val="auto"/>
              </w:rPr>
            </w:pPr>
          </w:p>
        </w:tc>
        <w:tc>
          <w:tcPr>
            <w:tcW w:w="1200" w:type="dxa"/>
            <w:vAlign w:val="bottom"/>
          </w:tcPr>
          <w:p>
            <w:pPr>
              <w:jc w:val="center"/>
              <w:ind w:right="450"/>
              <w:spacing w:after="0"/>
              <w:rPr>
                <w:sz w:val="20"/>
                <w:szCs w:val="20"/>
                <w:color w:val="auto"/>
              </w:rPr>
            </w:pPr>
            <w:r>
              <w:rPr>
                <w:rFonts w:ascii="Arial" w:cs="Arial" w:eastAsia="Arial" w:hAnsi="Arial"/>
                <w:sz w:val="18"/>
                <w:szCs w:val="18"/>
                <w:color w:val="auto"/>
                <w:w w:val="89"/>
              </w:rPr>
              <w:t>22</w:t>
            </w: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89"/>
              </w:rPr>
              <w:t>67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1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Gas distribution</w:t>
            </w:r>
          </w:p>
        </w:tc>
        <w:tc>
          <w:tcPr>
            <w:tcW w:w="40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gridSpan w:val="3"/>
            <w:shd w:val="clear" w:color="auto" w:fill="CEFFE7"/>
          </w:tcPr>
          <w:p>
            <w:pPr>
              <w:jc w:val="right"/>
              <w:ind w:right="30"/>
              <w:spacing w:after="0"/>
              <w:rPr>
                <w:sz w:val="20"/>
                <w:szCs w:val="20"/>
                <w:color w:val="auto"/>
              </w:rPr>
            </w:pPr>
            <w:r>
              <w:rPr>
                <w:rFonts w:ascii="Arial" w:cs="Arial" w:eastAsia="Arial" w:hAnsi="Arial"/>
                <w:sz w:val="18"/>
                <w:szCs w:val="18"/>
                <w:color w:val="auto"/>
                <w:w w:val="94"/>
              </w:rPr>
              <w:t>1,857,233</w:t>
            </w:r>
          </w:p>
        </w:tc>
        <w:tc>
          <w:tcPr>
            <w:tcW w:w="44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43</w:t>
            </w:r>
          </w:p>
        </w:tc>
        <w:tc>
          <w:tcPr>
            <w:tcW w:w="54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90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1,595,644</w:t>
            </w:r>
          </w:p>
        </w:tc>
        <w:tc>
          <w:tcPr>
            <w:tcW w:w="80" w:type="dxa"/>
            <w:vAlign w:val="bottom"/>
            <w:tcBorders>
              <w:bottom w:val="single" w:sz="8" w:color="CEFFE7"/>
            </w:tcBorders>
            <w:shd w:val="clear" w:color="auto" w:fill="CEFFE7"/>
          </w:tcPr>
          <w:p>
            <w:pPr>
              <w:spacing w:after="0"/>
              <w:rPr>
                <w:sz w:val="21"/>
                <w:szCs w:val="21"/>
                <w:color w:val="auto"/>
              </w:rPr>
            </w:pPr>
          </w:p>
        </w:tc>
        <w:tc>
          <w:tcPr>
            <w:tcW w:w="46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center"/>
              <w:ind w:right="610"/>
              <w:spacing w:after="0"/>
              <w:rPr>
                <w:sz w:val="20"/>
                <w:szCs w:val="20"/>
                <w:color w:val="auto"/>
              </w:rPr>
            </w:pPr>
            <w:r>
              <w:rPr>
                <w:rFonts w:ascii="Arial" w:cs="Arial" w:eastAsia="Arial" w:hAnsi="Arial"/>
                <w:sz w:val="18"/>
                <w:szCs w:val="18"/>
                <w:color w:val="auto"/>
                <w:w w:val="89"/>
              </w:rPr>
              <w:t>42</w:t>
            </w:r>
          </w:p>
        </w:tc>
        <w:tc>
          <w:tcPr>
            <w:tcW w:w="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center"/>
              <w:ind w:right="450"/>
              <w:spacing w:after="0"/>
              <w:rPr>
                <w:sz w:val="20"/>
                <w:szCs w:val="20"/>
                <w:color w:val="auto"/>
              </w:rPr>
            </w:pPr>
            <w:r>
              <w:rPr>
                <w:rFonts w:ascii="Arial" w:cs="Arial" w:eastAsia="Arial" w:hAnsi="Arial"/>
                <w:sz w:val="18"/>
                <w:szCs w:val="18"/>
                <w:color w:val="auto"/>
                <w:w w:val="89"/>
              </w:rPr>
              <w:t>30</w:t>
            </w:r>
          </w:p>
        </w:tc>
        <w:tc>
          <w:tcPr>
            <w:tcW w:w="1000" w:type="dxa"/>
            <w:vAlign w:val="bottom"/>
            <w:tcBorders>
              <w:bottom w:val="single" w:sz="8" w:color="CEFFE7"/>
            </w:tcBorders>
            <w:shd w:val="clear" w:color="auto" w:fill="CEFFE7"/>
          </w:tcPr>
          <w:p>
            <w:pPr>
              <w:jc w:val="center"/>
              <w:ind w:right="170"/>
              <w:spacing w:after="0"/>
              <w:rPr>
                <w:sz w:val="20"/>
                <w:szCs w:val="20"/>
                <w:color w:val="auto"/>
              </w:rPr>
            </w:pPr>
            <w:r>
              <w:rPr>
                <w:rFonts w:ascii="Arial" w:cs="Arial" w:eastAsia="Arial" w:hAnsi="Arial"/>
                <w:sz w:val="18"/>
                <w:szCs w:val="18"/>
                <w:color w:val="auto"/>
                <w:w w:val="89"/>
              </w:rPr>
              <w:t>56</w:t>
            </w:r>
          </w:p>
        </w:tc>
        <w:tc>
          <w:tcPr>
            <w:tcW w:w="0" w:type="dxa"/>
            <w:vAlign w:val="bottom"/>
          </w:tcPr>
          <w:p>
            <w:pPr>
              <w:spacing w:after="0"/>
              <w:rPr>
                <w:sz w:val="1"/>
                <w:szCs w:val="1"/>
                <w:color w:val="auto"/>
              </w:rPr>
            </w:pPr>
          </w:p>
        </w:tc>
      </w:tr>
      <w:tr>
        <w:trPr>
          <w:trHeight w:val="270"/>
        </w:trPr>
        <w:tc>
          <w:tcPr>
            <w:tcW w:w="2580" w:type="dxa"/>
            <w:vAlign w:val="bottom"/>
            <w:gridSpan w:val="3"/>
          </w:tcPr>
          <w:p>
            <w:pPr>
              <w:ind w:left="180"/>
              <w:spacing w:after="0" w:line="270" w:lineRule="exact"/>
              <w:rPr>
                <w:sz w:val="20"/>
                <w:szCs w:val="20"/>
                <w:color w:val="auto"/>
              </w:rPr>
            </w:pPr>
            <w:r>
              <w:rPr>
                <w:rFonts w:ascii="Arial" w:cs="Arial" w:eastAsia="Arial" w:hAnsi="Arial"/>
                <w:sz w:val="18"/>
                <w:szCs w:val="18"/>
                <w:color w:val="auto"/>
              </w:rPr>
              <w:t xml:space="preserve">Cushion gas - depreciable </w:t>
            </w:r>
            <w:r>
              <w:rPr>
                <w:rFonts w:ascii="Arial" w:cs="Arial" w:eastAsia="Arial" w:hAnsi="Arial"/>
                <w:sz w:val="25"/>
                <w:szCs w:val="25"/>
                <w:color w:val="auto"/>
                <w:vertAlign w:val="superscript"/>
              </w:rPr>
              <w:t>(a)</w:t>
            </w:r>
          </w:p>
        </w:tc>
        <w:tc>
          <w:tcPr>
            <w:tcW w:w="7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rPr>
              <w:t>3,539</w:t>
            </w:r>
          </w:p>
        </w:tc>
        <w:tc>
          <w:tcPr>
            <w:tcW w:w="440" w:type="dxa"/>
            <w:vAlign w:val="bottom"/>
          </w:tcPr>
          <w:p>
            <w:pPr>
              <w:spacing w:after="0"/>
              <w:rPr>
                <w:sz w:val="23"/>
                <w:szCs w:val="23"/>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5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rPr>
              <w:t>3,539</w:t>
            </w:r>
          </w:p>
        </w:tc>
        <w:tc>
          <w:tcPr>
            <w:tcW w:w="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1000" w:type="dxa"/>
            <w:vAlign w:val="bottom"/>
          </w:tcPr>
          <w:p>
            <w:pPr>
              <w:jc w:val="center"/>
              <w:ind w:right="610"/>
              <w:spacing w:after="0"/>
              <w:rPr>
                <w:sz w:val="20"/>
                <w:szCs w:val="20"/>
                <w:color w:val="auto"/>
              </w:rPr>
            </w:pPr>
            <w:r>
              <w:rPr>
                <w:rFonts w:ascii="Arial" w:cs="Arial" w:eastAsia="Arial" w:hAnsi="Arial"/>
                <w:sz w:val="18"/>
                <w:szCs w:val="18"/>
                <w:color w:val="auto"/>
                <w:w w:val="89"/>
              </w:rPr>
              <w:t>28</w:t>
            </w:r>
          </w:p>
        </w:tc>
        <w:tc>
          <w:tcPr>
            <w:tcW w:w="60" w:type="dxa"/>
            <w:vAlign w:val="bottom"/>
          </w:tcPr>
          <w:p>
            <w:pPr>
              <w:spacing w:after="0"/>
              <w:rPr>
                <w:sz w:val="23"/>
                <w:szCs w:val="23"/>
                <w:color w:val="auto"/>
              </w:rPr>
            </w:pPr>
          </w:p>
        </w:tc>
        <w:tc>
          <w:tcPr>
            <w:tcW w:w="1200" w:type="dxa"/>
            <w:vAlign w:val="bottom"/>
          </w:tcPr>
          <w:p>
            <w:pPr>
              <w:jc w:val="center"/>
              <w:ind w:right="450"/>
              <w:spacing w:after="0"/>
              <w:rPr>
                <w:sz w:val="20"/>
                <w:szCs w:val="20"/>
                <w:color w:val="auto"/>
              </w:rPr>
            </w:pPr>
            <w:r>
              <w:rPr>
                <w:rFonts w:ascii="Arial" w:cs="Arial" w:eastAsia="Arial" w:hAnsi="Arial"/>
                <w:sz w:val="18"/>
                <w:szCs w:val="18"/>
                <w:color w:val="auto"/>
                <w:w w:val="89"/>
              </w:rPr>
              <w:t>28</w:t>
            </w: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2580" w:type="dxa"/>
            <w:vAlign w:val="bottom"/>
            <w:gridSpan w:val="3"/>
            <w:shd w:val="clear" w:color="auto" w:fill="CEFFE7"/>
          </w:tcPr>
          <w:p>
            <w:pPr>
              <w:ind w:left="180"/>
              <w:spacing w:after="0" w:line="270" w:lineRule="exact"/>
              <w:rPr>
                <w:sz w:val="20"/>
                <w:szCs w:val="20"/>
                <w:color w:val="auto"/>
              </w:rPr>
            </w:pPr>
            <w:r>
              <w:rPr>
                <w:rFonts w:ascii="Arial" w:cs="Arial" w:eastAsia="Arial" w:hAnsi="Arial"/>
                <w:sz w:val="18"/>
                <w:szCs w:val="18"/>
                <w:color w:val="auto"/>
                <w:w w:val="89"/>
              </w:rPr>
              <w:t xml:space="preserve">Cushion gas - not depreciable </w:t>
            </w:r>
            <w:r>
              <w:rPr>
                <w:rFonts w:ascii="Arial" w:cs="Arial" w:eastAsia="Arial" w:hAnsi="Arial"/>
                <w:sz w:val="25"/>
                <w:szCs w:val="25"/>
                <w:color w:val="auto"/>
                <w:w w:val="89"/>
                <w:vertAlign w:val="superscript"/>
              </w:rPr>
              <w:t>(a)</w:t>
            </w:r>
          </w:p>
        </w:tc>
        <w:tc>
          <w:tcPr>
            <w:tcW w:w="76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320" w:type="dxa"/>
            <w:vAlign w:val="bottom"/>
            <w:shd w:val="clear" w:color="auto" w:fill="CEFFE7"/>
          </w:tcPr>
          <w:p>
            <w:pPr>
              <w:spacing w:after="0"/>
              <w:rPr>
                <w:sz w:val="23"/>
                <w:szCs w:val="23"/>
                <w:color w:val="auto"/>
              </w:rPr>
            </w:pPr>
          </w:p>
        </w:tc>
        <w:tc>
          <w:tcPr>
            <w:tcW w:w="40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660" w:type="dxa"/>
            <w:vAlign w:val="bottom"/>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4"/>
              </w:rPr>
              <w:t>44,443</w:t>
            </w:r>
          </w:p>
        </w:tc>
        <w:tc>
          <w:tcPr>
            <w:tcW w:w="440" w:type="dxa"/>
            <w:vAlign w:val="bottom"/>
            <w:shd w:val="clear" w:color="auto" w:fill="CEFFE7"/>
          </w:tcPr>
          <w:p>
            <w:pPr>
              <w:spacing w:after="0"/>
              <w:rPr>
                <w:sz w:val="23"/>
                <w:szCs w:val="23"/>
                <w:color w:val="auto"/>
              </w:rPr>
            </w:pPr>
          </w:p>
        </w:tc>
        <w:tc>
          <w:tcPr>
            <w:tcW w:w="800" w:type="dxa"/>
            <w:vAlign w:val="bottom"/>
            <w:gridSpan w:val="2"/>
            <w:shd w:val="clear" w:color="auto" w:fill="CEFFE7"/>
          </w:tcPr>
          <w:p>
            <w:pPr>
              <w:jc w:val="center"/>
              <w:ind w:right="350"/>
              <w:spacing w:after="0"/>
              <w:rPr>
                <w:sz w:val="20"/>
                <w:szCs w:val="20"/>
                <w:color w:val="auto"/>
              </w:rPr>
            </w:pPr>
            <w:r>
              <w:rPr>
                <w:rFonts w:ascii="Arial" w:cs="Arial" w:eastAsia="Arial" w:hAnsi="Arial"/>
                <w:sz w:val="18"/>
                <w:szCs w:val="18"/>
                <w:color w:val="auto"/>
              </w:rPr>
              <w:t>N/A</w:t>
            </w:r>
          </w:p>
        </w:tc>
        <w:tc>
          <w:tcPr>
            <w:tcW w:w="280" w:type="dxa"/>
            <w:vAlign w:val="bottom"/>
            <w:shd w:val="clear" w:color="auto" w:fill="CEFFE7"/>
          </w:tcPr>
          <w:p>
            <w:pPr>
              <w:spacing w:after="0"/>
              <w:rPr>
                <w:sz w:val="23"/>
                <w:szCs w:val="23"/>
                <w:color w:val="auto"/>
              </w:rPr>
            </w:pPr>
          </w:p>
        </w:tc>
        <w:tc>
          <w:tcPr>
            <w:tcW w:w="340" w:type="dxa"/>
            <w:vAlign w:val="bottom"/>
            <w:shd w:val="clear" w:color="auto" w:fill="CEFFE7"/>
          </w:tcPr>
          <w:p>
            <w:pPr>
              <w:spacing w:after="0"/>
              <w:rPr>
                <w:sz w:val="23"/>
                <w:szCs w:val="23"/>
                <w:color w:val="auto"/>
              </w:rPr>
            </w:pPr>
          </w:p>
        </w:tc>
        <w:tc>
          <w:tcPr>
            <w:tcW w:w="560" w:type="dxa"/>
            <w:vAlign w:val="bottom"/>
            <w:gridSpan w:val="2"/>
            <w:shd w:val="clear" w:color="auto" w:fill="CEFFE7"/>
          </w:tcPr>
          <w:p>
            <w:pPr>
              <w:jc w:val="right"/>
              <w:spacing w:after="0"/>
              <w:rPr>
                <w:sz w:val="20"/>
                <w:szCs w:val="20"/>
                <w:color w:val="auto"/>
              </w:rPr>
            </w:pPr>
            <w:r>
              <w:rPr>
                <w:rFonts w:ascii="Arial" w:cs="Arial" w:eastAsia="Arial" w:hAnsi="Arial"/>
                <w:sz w:val="18"/>
                <w:szCs w:val="18"/>
                <w:color w:val="auto"/>
                <w:w w:val="90"/>
              </w:rPr>
              <w:t>46,369</w:t>
            </w:r>
          </w:p>
        </w:tc>
        <w:tc>
          <w:tcPr>
            <w:tcW w:w="80" w:type="dxa"/>
            <w:vAlign w:val="bottom"/>
            <w:shd w:val="clear" w:color="auto" w:fill="CEFFE7"/>
          </w:tcPr>
          <w:p>
            <w:pPr>
              <w:spacing w:after="0"/>
              <w:rPr>
                <w:sz w:val="23"/>
                <w:szCs w:val="23"/>
                <w:color w:val="auto"/>
              </w:rPr>
            </w:pPr>
          </w:p>
        </w:tc>
        <w:tc>
          <w:tcPr>
            <w:tcW w:w="460" w:type="dxa"/>
            <w:vAlign w:val="bottom"/>
            <w:shd w:val="clear" w:color="auto" w:fill="CEFFE7"/>
          </w:tcPr>
          <w:p>
            <w:pPr>
              <w:spacing w:after="0"/>
              <w:rPr>
                <w:sz w:val="23"/>
                <w:szCs w:val="23"/>
                <w:color w:val="auto"/>
              </w:rPr>
            </w:pPr>
          </w:p>
        </w:tc>
        <w:tc>
          <w:tcPr>
            <w:tcW w:w="1000" w:type="dxa"/>
            <w:vAlign w:val="bottom"/>
            <w:shd w:val="clear" w:color="auto" w:fill="CEFFE7"/>
          </w:tcPr>
          <w:p>
            <w:pPr>
              <w:jc w:val="center"/>
              <w:ind w:right="610"/>
              <w:spacing w:after="0"/>
              <w:rPr>
                <w:sz w:val="20"/>
                <w:szCs w:val="20"/>
                <w:color w:val="auto"/>
              </w:rPr>
            </w:pPr>
            <w:r>
              <w:rPr>
                <w:rFonts w:ascii="Arial" w:cs="Arial" w:eastAsia="Arial" w:hAnsi="Arial"/>
                <w:sz w:val="18"/>
                <w:szCs w:val="18"/>
                <w:color w:val="auto"/>
                <w:w w:val="99"/>
              </w:rPr>
              <w:t>N/A</w:t>
            </w:r>
          </w:p>
        </w:tc>
        <w:tc>
          <w:tcPr>
            <w:tcW w:w="60" w:type="dxa"/>
            <w:vAlign w:val="bottom"/>
            <w:shd w:val="clear" w:color="auto" w:fill="CEFFE7"/>
          </w:tcPr>
          <w:p>
            <w:pPr>
              <w:spacing w:after="0"/>
              <w:rPr>
                <w:sz w:val="23"/>
                <w:szCs w:val="23"/>
                <w:color w:val="auto"/>
              </w:rPr>
            </w:pPr>
          </w:p>
        </w:tc>
        <w:tc>
          <w:tcPr>
            <w:tcW w:w="1200" w:type="dxa"/>
            <w:vAlign w:val="bottom"/>
            <w:shd w:val="clear" w:color="auto" w:fill="CEFFE7"/>
          </w:tcPr>
          <w:p>
            <w:pPr>
              <w:jc w:val="center"/>
              <w:ind w:right="430"/>
              <w:spacing w:after="0"/>
              <w:rPr>
                <w:sz w:val="20"/>
                <w:szCs w:val="20"/>
                <w:color w:val="auto"/>
              </w:rPr>
            </w:pPr>
            <w:r>
              <w:rPr>
                <w:rFonts w:ascii="Arial" w:cs="Arial" w:eastAsia="Arial" w:hAnsi="Arial"/>
                <w:sz w:val="18"/>
                <w:szCs w:val="18"/>
                <w:color w:val="auto"/>
              </w:rPr>
              <w:t>N/A</w:t>
            </w:r>
          </w:p>
        </w:tc>
        <w:tc>
          <w:tcPr>
            <w:tcW w:w="1000" w:type="dxa"/>
            <w:vAlign w:val="bottom"/>
            <w:shd w:val="clear" w:color="auto" w:fill="CEFFE7"/>
          </w:tcPr>
          <w:p>
            <w:pPr>
              <w:jc w:val="center"/>
              <w:ind w:right="15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43"/>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Storage</w:t>
            </w: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60" w:type="dxa"/>
            <w:vAlign w:val="bottom"/>
            <w:gridSpan w:val="2"/>
          </w:tcPr>
          <w:p>
            <w:pPr>
              <w:jc w:val="right"/>
              <w:ind w:right="30"/>
              <w:spacing w:after="0"/>
              <w:rPr>
                <w:sz w:val="20"/>
                <w:szCs w:val="20"/>
                <w:color w:val="auto"/>
              </w:rPr>
            </w:pPr>
            <w:r>
              <w:rPr>
                <w:rFonts w:ascii="Arial" w:cs="Arial" w:eastAsia="Arial" w:hAnsi="Arial"/>
                <w:sz w:val="18"/>
                <w:szCs w:val="18"/>
                <w:color w:val="auto"/>
                <w:w w:val="94"/>
              </w:rPr>
              <w:t>46,977</w:t>
            </w:r>
          </w:p>
        </w:tc>
        <w:tc>
          <w:tcPr>
            <w:tcW w:w="440" w:type="dxa"/>
            <w:vAlign w:val="bottom"/>
          </w:tcPr>
          <w:p>
            <w:pPr>
              <w:spacing w:after="0"/>
              <w:rPr>
                <w:sz w:val="21"/>
                <w:szCs w:val="21"/>
                <w:color w:val="auto"/>
              </w:rPr>
            </w:pPr>
          </w:p>
        </w:tc>
        <w:tc>
          <w:tcPr>
            <w:tcW w:w="26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60" w:type="dxa"/>
            <w:vAlign w:val="bottom"/>
            <w:gridSpan w:val="2"/>
          </w:tcPr>
          <w:p>
            <w:pPr>
              <w:jc w:val="right"/>
              <w:spacing w:after="0"/>
              <w:rPr>
                <w:sz w:val="20"/>
                <w:szCs w:val="20"/>
                <w:color w:val="auto"/>
              </w:rPr>
            </w:pPr>
            <w:r>
              <w:rPr>
                <w:rFonts w:ascii="Arial" w:cs="Arial" w:eastAsia="Arial" w:hAnsi="Arial"/>
                <w:sz w:val="18"/>
                <w:szCs w:val="18"/>
                <w:color w:val="auto"/>
                <w:w w:val="90"/>
              </w:rPr>
              <w:t>29,335</w:t>
            </w: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center"/>
              <w:ind w:right="610"/>
              <w:spacing w:after="0"/>
              <w:rPr>
                <w:sz w:val="20"/>
                <w:szCs w:val="20"/>
                <w:color w:val="auto"/>
              </w:rPr>
            </w:pPr>
            <w:r>
              <w:rPr>
                <w:rFonts w:ascii="Arial" w:cs="Arial" w:eastAsia="Arial" w:hAnsi="Arial"/>
                <w:sz w:val="18"/>
                <w:szCs w:val="18"/>
                <w:color w:val="auto"/>
                <w:w w:val="89"/>
              </w:rPr>
              <w:t>30</w:t>
            </w:r>
          </w:p>
        </w:tc>
        <w:tc>
          <w:tcPr>
            <w:tcW w:w="60" w:type="dxa"/>
            <w:vAlign w:val="bottom"/>
          </w:tcPr>
          <w:p>
            <w:pPr>
              <w:spacing w:after="0"/>
              <w:rPr>
                <w:sz w:val="21"/>
                <w:szCs w:val="21"/>
                <w:color w:val="auto"/>
              </w:rPr>
            </w:pPr>
          </w:p>
        </w:tc>
        <w:tc>
          <w:tcPr>
            <w:tcW w:w="1200" w:type="dxa"/>
            <w:vAlign w:val="bottom"/>
          </w:tcPr>
          <w:p>
            <w:pPr>
              <w:jc w:val="center"/>
              <w:ind w:right="450"/>
              <w:spacing w:after="0"/>
              <w:rPr>
                <w:sz w:val="20"/>
                <w:szCs w:val="20"/>
                <w:color w:val="auto"/>
              </w:rPr>
            </w:pPr>
            <w:r>
              <w:rPr>
                <w:rFonts w:ascii="Arial" w:cs="Arial" w:eastAsia="Arial" w:hAnsi="Arial"/>
                <w:sz w:val="18"/>
                <w:szCs w:val="18"/>
                <w:color w:val="auto"/>
                <w:w w:val="89"/>
              </w:rPr>
              <w:t>27</w:t>
            </w:r>
          </w:p>
        </w:tc>
        <w:tc>
          <w:tcPr>
            <w:tcW w:w="1000" w:type="dxa"/>
            <w:vAlign w:val="bottom"/>
          </w:tcPr>
          <w:p>
            <w:pPr>
              <w:jc w:val="center"/>
              <w:ind w:right="170"/>
              <w:spacing w:after="0"/>
              <w:rPr>
                <w:sz w:val="20"/>
                <w:szCs w:val="20"/>
                <w:color w:val="auto"/>
              </w:rPr>
            </w:pPr>
            <w:r>
              <w:rPr>
                <w:rFonts w:ascii="Arial" w:cs="Arial" w:eastAsia="Arial" w:hAnsi="Arial"/>
                <w:sz w:val="18"/>
                <w:szCs w:val="18"/>
                <w:color w:val="auto"/>
                <w:w w:val="89"/>
              </w:rPr>
              <w:t>49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General</w:t>
            </w:r>
          </w:p>
        </w:tc>
        <w:tc>
          <w:tcPr>
            <w:tcW w:w="40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gridSpan w:val="3"/>
            <w:shd w:val="clear" w:color="auto" w:fill="CEFFE7"/>
          </w:tcPr>
          <w:p>
            <w:pPr>
              <w:jc w:val="right"/>
              <w:ind w:right="30"/>
              <w:spacing w:after="0"/>
              <w:rPr>
                <w:sz w:val="20"/>
                <w:szCs w:val="20"/>
                <w:color w:val="auto"/>
              </w:rPr>
            </w:pPr>
            <w:r>
              <w:rPr>
                <w:rFonts w:ascii="Arial" w:cs="Arial" w:eastAsia="Arial" w:hAnsi="Arial"/>
                <w:sz w:val="18"/>
                <w:szCs w:val="18"/>
                <w:color w:val="auto"/>
              </w:rPr>
              <w:t>437,054</w:t>
            </w:r>
          </w:p>
        </w:tc>
        <w:tc>
          <w:tcPr>
            <w:tcW w:w="4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w:t>
            </w:r>
          </w:p>
        </w:tc>
        <w:tc>
          <w:tcPr>
            <w:tcW w:w="5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355,920</w:t>
            </w:r>
          </w:p>
        </w:tc>
        <w:tc>
          <w:tcPr>
            <w:tcW w:w="80" w:type="dxa"/>
            <w:vAlign w:val="bottom"/>
            <w:tcBorders>
              <w:bottom w:val="single" w:sz="8" w:color="CEFFE7"/>
            </w:tcBorders>
            <w:shd w:val="clear" w:color="auto" w:fill="CEFFE7"/>
          </w:tcPr>
          <w:p>
            <w:pPr>
              <w:spacing w:after="0"/>
              <w:rPr>
                <w:sz w:val="23"/>
                <w:szCs w:val="23"/>
                <w:color w:val="auto"/>
              </w:rPr>
            </w:pP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center"/>
              <w:ind w:right="610"/>
              <w:spacing w:after="0"/>
              <w:rPr>
                <w:sz w:val="20"/>
                <w:szCs w:val="20"/>
                <w:color w:val="auto"/>
              </w:rPr>
            </w:pPr>
            <w:r>
              <w:rPr>
                <w:rFonts w:ascii="Arial" w:cs="Arial" w:eastAsia="Arial" w:hAnsi="Arial"/>
                <w:sz w:val="18"/>
                <w:szCs w:val="18"/>
                <w:color w:val="auto"/>
                <w:w w:val="89"/>
              </w:rPr>
              <w:t>19</w:t>
            </w:r>
          </w:p>
        </w:tc>
        <w:tc>
          <w:tcPr>
            <w:tcW w:w="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jc w:val="center"/>
              <w:ind w:right="450"/>
              <w:spacing w:after="0"/>
              <w:rPr>
                <w:sz w:val="20"/>
                <w:szCs w:val="20"/>
                <w:color w:val="auto"/>
              </w:rPr>
            </w:pPr>
            <w:r>
              <w:rPr>
                <w:rFonts w:ascii="Arial" w:cs="Arial" w:eastAsia="Arial" w:hAnsi="Arial"/>
                <w:sz w:val="18"/>
                <w:szCs w:val="18"/>
                <w:color w:val="auto"/>
                <w:w w:val="89"/>
              </w:rPr>
              <w:t>10</w:t>
            </w:r>
          </w:p>
        </w:tc>
        <w:tc>
          <w:tcPr>
            <w:tcW w:w="1000" w:type="dxa"/>
            <w:vAlign w:val="bottom"/>
            <w:tcBorders>
              <w:bottom w:val="single" w:sz="8" w:color="CEFFE7"/>
            </w:tcBorders>
            <w:shd w:val="clear" w:color="auto" w:fill="CEFFE7"/>
          </w:tcPr>
          <w:p>
            <w:pPr>
              <w:jc w:val="center"/>
              <w:ind w:right="170"/>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37"/>
        </w:trPr>
        <w:tc>
          <w:tcPr>
            <w:tcW w:w="2180" w:type="dxa"/>
            <w:vAlign w:val="bottom"/>
            <w:gridSpan w:val="2"/>
          </w:tcPr>
          <w:p>
            <w:pPr>
              <w:ind w:left="280"/>
              <w:spacing w:after="0"/>
              <w:rPr>
                <w:sz w:val="20"/>
                <w:szCs w:val="20"/>
                <w:color w:val="auto"/>
              </w:rPr>
            </w:pPr>
            <w:r>
              <w:rPr>
                <w:rFonts w:ascii="Arial" w:cs="Arial" w:eastAsia="Arial" w:hAnsi="Arial"/>
                <w:sz w:val="18"/>
                <w:szCs w:val="18"/>
                <w:color w:val="auto"/>
                <w:w w:val="94"/>
              </w:rPr>
              <w:t>Total gas plant in service</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4"/>
              </w:rPr>
              <w:t>2,918,418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2,468,260</w:t>
            </w: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136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340" w:type="dxa"/>
            <w:vAlign w:val="bottom"/>
          </w:tcPr>
          <w:p>
            <w:pPr>
              <w:spacing w:after="0"/>
              <w:rPr>
                <w:sz w:val="2"/>
                <w:szCs w:val="2"/>
                <w:color w:val="auto"/>
              </w:rPr>
            </w:pPr>
          </w:p>
        </w:tc>
        <w:tc>
          <w:tcPr>
            <w:tcW w:w="56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58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w w:val="99"/>
              </w:rPr>
              <w:t>Construction work in progress</w:t>
            </w:r>
          </w:p>
        </w:tc>
        <w:tc>
          <w:tcPr>
            <w:tcW w:w="76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3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66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w w:val="94"/>
              </w:rPr>
              <w:t>63,080</w:t>
            </w:r>
          </w:p>
        </w:tc>
        <w:tc>
          <w:tcPr>
            <w:tcW w:w="4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5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340" w:type="dxa"/>
            <w:vAlign w:val="bottom"/>
            <w:tcBorders>
              <w:bottom w:val="single" w:sz="8" w:color="CEFFE7"/>
            </w:tcBorders>
            <w:shd w:val="clear" w:color="auto" w:fill="CEFFE7"/>
          </w:tcPr>
          <w:p>
            <w:pPr>
              <w:spacing w:after="0"/>
              <w:rPr>
                <w:sz w:val="23"/>
                <w:szCs w:val="23"/>
                <w:color w:val="auto"/>
              </w:rPr>
            </w:pPr>
          </w:p>
        </w:tc>
        <w:tc>
          <w:tcPr>
            <w:tcW w:w="56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w w:val="90"/>
              </w:rPr>
              <w:t>38,271</w:t>
            </w:r>
          </w:p>
        </w:tc>
        <w:tc>
          <w:tcPr>
            <w:tcW w:w="80" w:type="dxa"/>
            <w:vAlign w:val="bottom"/>
            <w:tcBorders>
              <w:bottom w:val="single" w:sz="8" w:color="CEFFE7"/>
            </w:tcBorders>
            <w:shd w:val="clear" w:color="auto" w:fill="CEFFE7"/>
          </w:tcPr>
          <w:p>
            <w:pPr>
              <w:spacing w:after="0"/>
              <w:rPr>
                <w:sz w:val="23"/>
                <w:szCs w:val="23"/>
                <w:color w:val="auto"/>
              </w:rPr>
            </w:pP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280"/>
              <w:spacing w:after="0"/>
              <w:rPr>
                <w:sz w:val="20"/>
                <w:szCs w:val="20"/>
                <w:color w:val="auto"/>
              </w:rPr>
            </w:pPr>
            <w:r>
              <w:rPr>
                <w:rFonts w:ascii="Arial" w:cs="Arial" w:eastAsia="Arial" w:hAnsi="Arial"/>
                <w:sz w:val="18"/>
                <w:szCs w:val="18"/>
                <w:color w:val="auto"/>
              </w:rPr>
              <w:t>Total gas plant</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color w:val="auto"/>
                <w:w w:val="94"/>
              </w:rPr>
              <w:t>2,981,498</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2,506,531</w:t>
            </w:r>
          </w:p>
        </w:tc>
        <w:tc>
          <w:tcPr>
            <w:tcW w:w="80" w:type="dxa"/>
            <w:vAlign w:val="bottom"/>
            <w:tcBorders>
              <w:top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2360" w:type="dxa"/>
            <w:vAlign w:val="bottom"/>
            <w:gridSpan w:val="4"/>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00" w:type="dxa"/>
            <w:vAlign w:val="bottom"/>
            <w:gridSpan w:val="3"/>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gridSpan w:val="4"/>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8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8"/>
                <w:szCs w:val="18"/>
                <w:color w:val="auto"/>
                <w:w w:val="91"/>
              </w:rPr>
              <w:t>Less accumulated depreciation and amortization</w:t>
            </w:r>
          </w:p>
        </w:tc>
        <w:tc>
          <w:tcPr>
            <w:tcW w:w="320" w:type="dxa"/>
            <w:vAlign w:val="bottom"/>
            <w:tcBorders>
              <w:bottom w:val="single" w:sz="8" w:color="CEFFE7"/>
            </w:tcBorders>
            <w:shd w:val="clear" w:color="auto" w:fill="CEFFE7"/>
          </w:tcPr>
          <w:p>
            <w:pPr>
              <w:spacing w:after="0"/>
              <w:rPr>
                <w:sz w:val="23"/>
                <w:szCs w:val="23"/>
                <w:color w:val="auto"/>
              </w:rPr>
            </w:pPr>
          </w:p>
        </w:tc>
        <w:tc>
          <w:tcPr>
            <w:tcW w:w="40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(336,721)</w:t>
            </w:r>
          </w:p>
        </w:tc>
        <w:tc>
          <w:tcPr>
            <w:tcW w:w="440" w:type="dxa"/>
            <w:vAlign w:val="bottom"/>
            <w:tcBorders>
              <w:bottom w:val="single" w:sz="8" w:color="CEFFE7"/>
            </w:tcBorders>
            <w:shd w:val="clear" w:color="auto" w:fill="CEFFE7"/>
          </w:tcPr>
          <w:p>
            <w:pPr>
              <w:spacing w:after="0"/>
              <w:rPr>
                <w:sz w:val="23"/>
                <w:szCs w:val="23"/>
                <w:color w:val="auto"/>
              </w:rPr>
            </w:pPr>
          </w:p>
        </w:tc>
        <w:tc>
          <w:tcPr>
            <w:tcW w:w="260" w:type="dxa"/>
            <w:vAlign w:val="bottom"/>
            <w:tcBorders>
              <w:bottom w:val="single" w:sz="8" w:color="CEFFE7"/>
            </w:tcBorders>
            <w:shd w:val="clear" w:color="auto" w:fill="CEFFE7"/>
          </w:tcPr>
          <w:p>
            <w:pPr>
              <w:spacing w:after="0"/>
              <w:rPr>
                <w:sz w:val="23"/>
                <w:szCs w:val="23"/>
                <w:color w:val="auto"/>
              </w:rPr>
            </w:pPr>
          </w:p>
        </w:tc>
        <w:tc>
          <w:tcPr>
            <w:tcW w:w="540" w:type="dxa"/>
            <w:vAlign w:val="bottom"/>
            <w:tcBorders>
              <w:bottom w:val="single" w:sz="8" w:color="CEFFE7"/>
            </w:tcBorders>
            <w:shd w:val="clear" w:color="auto" w:fill="CEFFE7"/>
          </w:tcPr>
          <w:p>
            <w:pPr>
              <w:spacing w:after="0"/>
              <w:rPr>
                <w:sz w:val="23"/>
                <w:szCs w:val="23"/>
                <w:color w:val="auto"/>
              </w:rPr>
            </w:pPr>
          </w:p>
        </w:tc>
        <w:tc>
          <w:tcPr>
            <w:tcW w:w="2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gridSpan w:val="4"/>
            <w:shd w:val="clear" w:color="auto" w:fill="CEFFE7"/>
          </w:tcPr>
          <w:p>
            <w:pPr>
              <w:jc w:val="right"/>
              <w:spacing w:after="0"/>
              <w:rPr>
                <w:sz w:val="20"/>
                <w:szCs w:val="20"/>
                <w:color w:val="auto"/>
              </w:rPr>
            </w:pPr>
            <w:r>
              <w:rPr>
                <w:rFonts w:ascii="Arial" w:cs="Arial" w:eastAsia="Arial" w:hAnsi="Arial"/>
                <w:sz w:val="18"/>
                <w:szCs w:val="18"/>
                <w:color w:val="auto"/>
              </w:rPr>
              <w:t>(279,580)</w:t>
            </w:r>
          </w:p>
        </w:tc>
        <w:tc>
          <w:tcPr>
            <w:tcW w:w="4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60" w:type="dxa"/>
            <w:vAlign w:val="bottom"/>
            <w:tcBorders>
              <w:bottom w:val="single" w:sz="8" w:color="CEFFE7"/>
            </w:tcBorders>
            <w:shd w:val="clear" w:color="auto" w:fill="CEFFE7"/>
          </w:tcPr>
          <w:p>
            <w:pPr>
              <w:spacing w:after="0"/>
              <w:rPr>
                <w:sz w:val="23"/>
                <w:szCs w:val="23"/>
                <w:color w:val="auto"/>
              </w:rPr>
            </w:pPr>
          </w:p>
        </w:tc>
        <w:tc>
          <w:tcPr>
            <w:tcW w:w="12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3580" w:type="dxa"/>
            <w:vAlign w:val="bottom"/>
            <w:gridSpan w:val="5"/>
          </w:tcPr>
          <w:p>
            <w:pPr>
              <w:ind w:left="180"/>
              <w:spacing w:after="0"/>
              <w:rPr>
                <w:sz w:val="20"/>
                <w:szCs w:val="20"/>
                <w:color w:val="auto"/>
              </w:rPr>
            </w:pPr>
            <w:r>
              <w:rPr>
                <w:rFonts w:ascii="Arial" w:cs="Arial" w:eastAsia="Arial" w:hAnsi="Arial"/>
                <w:sz w:val="18"/>
                <w:szCs w:val="18"/>
                <w:color w:val="auto"/>
                <w:w w:val="90"/>
              </w:rPr>
              <w:t>Gas plant net of accumulated depreciation and</w:t>
            </w:r>
          </w:p>
        </w:tc>
        <w:tc>
          <w:tcPr>
            <w:tcW w:w="320" w:type="dxa"/>
            <w:vAlign w:val="bottom"/>
            <w:vMerge w:val="restart"/>
          </w:tcPr>
          <w:p>
            <w:pPr>
              <w:spacing w:after="0"/>
              <w:rPr>
                <w:sz w:val="18"/>
                <w:szCs w:val="18"/>
                <w:color w:val="auto"/>
              </w:rPr>
            </w:pPr>
          </w:p>
        </w:tc>
        <w:tc>
          <w:tcPr>
            <w:tcW w:w="400" w:type="dxa"/>
            <w:vAlign w:val="bottom"/>
            <w:tcBorders>
              <w:top w:val="single" w:sz="8" w:color="auto"/>
            </w:tcBorders>
            <w:vMerge w:val="restart"/>
          </w:tcPr>
          <w:p>
            <w:pPr>
              <w:jc w:val="center"/>
              <w:ind w:right="1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vMerge w:val="restart"/>
          </w:tcPr>
          <w:p>
            <w:pPr>
              <w:jc w:val="right"/>
              <w:ind w:right="30"/>
              <w:spacing w:after="0"/>
              <w:rPr>
                <w:sz w:val="20"/>
                <w:szCs w:val="20"/>
                <w:color w:val="auto"/>
              </w:rPr>
            </w:pPr>
            <w:r>
              <w:rPr>
                <w:rFonts w:ascii="Arial" w:cs="Arial" w:eastAsia="Arial" w:hAnsi="Arial"/>
                <w:sz w:val="18"/>
                <w:szCs w:val="18"/>
                <w:color w:val="auto"/>
                <w:w w:val="94"/>
              </w:rPr>
              <w:t>2,644,777</w:t>
            </w: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80" w:type="dxa"/>
            <w:vAlign w:val="bottom"/>
            <w:tcBorders>
              <w:top w:val="single" w:sz="8" w:color="auto"/>
            </w:tcBorders>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8"/>
                <w:szCs w:val="18"/>
                <w:color w:val="auto"/>
              </w:rPr>
              <w:t>2,226,951</w:t>
            </w:r>
          </w:p>
        </w:tc>
        <w:tc>
          <w:tcPr>
            <w:tcW w:w="80" w:type="dxa"/>
            <w:vAlign w:val="bottom"/>
            <w:tcBorders>
              <w:top w:val="single" w:sz="8" w:color="auto"/>
            </w:tcBorders>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180" w:type="dxa"/>
            <w:vAlign w:val="bottom"/>
            <w:gridSpan w:val="2"/>
          </w:tcPr>
          <w:p>
            <w:pPr>
              <w:ind w:left="18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vMerge w:val="continue"/>
          </w:tcPr>
          <w:p>
            <w:pPr>
              <w:spacing w:after="0"/>
              <w:rPr>
                <w:sz w:val="20"/>
                <w:szCs w:val="20"/>
                <w:color w:val="auto"/>
              </w:rPr>
            </w:pPr>
          </w:p>
        </w:tc>
        <w:tc>
          <w:tcPr>
            <w:tcW w:w="40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gridSpan w:val="3"/>
            <w:vMerge w:val="continue"/>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80" w:type="dxa"/>
            <w:vAlign w:val="bottom"/>
            <w:tcBorders>
              <w:bottom w:val="single" w:sz="8" w:color="auto"/>
            </w:tcBorders>
            <w:vMerge w:val="continue"/>
          </w:tcPr>
          <w:p>
            <w:pPr>
              <w:spacing w:after="0"/>
              <w:rPr>
                <w:sz w:val="20"/>
                <w:szCs w:val="20"/>
                <w:color w:val="auto"/>
              </w:rPr>
            </w:pPr>
          </w:p>
        </w:tc>
        <w:tc>
          <w:tcPr>
            <w:tcW w:w="900" w:type="dxa"/>
            <w:vAlign w:val="bottom"/>
            <w:tcBorders>
              <w:bottom w:val="single" w:sz="8" w:color="auto"/>
            </w:tcBorders>
            <w:gridSpan w:val="3"/>
            <w:vMerge w:val="continue"/>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220" w:type="dxa"/>
            <w:vAlign w:val="bottom"/>
            <w:vMerge w:val="restart"/>
          </w:tcPr>
          <w:p>
            <w:pPr>
              <w:spacing w:after="0"/>
              <w:rPr>
                <w:sz w:val="20"/>
                <w:szCs w:val="20"/>
                <w:color w:val="auto"/>
              </w:rPr>
            </w:pPr>
            <w:r>
              <w:rPr>
                <w:rFonts w:ascii="Arial" w:cs="Arial" w:eastAsia="Arial" w:hAnsi="Arial"/>
                <w:sz w:val="18"/>
                <w:szCs w:val="18"/>
                <w:color w:val="auto"/>
                <w:w w:val="92"/>
              </w:rPr>
              <w:t>_____________</w:t>
            </w:r>
          </w:p>
        </w:tc>
        <w:tc>
          <w:tcPr>
            <w:tcW w:w="960" w:type="dxa"/>
            <w:vAlign w:val="bottom"/>
            <w:vMerge w:val="restart"/>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1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4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8160" w:type="dxa"/>
            <w:vAlign w:val="bottom"/>
            <w:gridSpan w:val="19"/>
          </w:tcPr>
          <w:p>
            <w:pPr>
              <w:spacing w:after="0"/>
              <w:rPr>
                <w:sz w:val="20"/>
                <w:szCs w:val="20"/>
                <w:color w:val="auto"/>
              </w:rPr>
            </w:pPr>
            <w:r>
              <w:rPr>
                <w:rFonts w:ascii="Arial" w:cs="Arial" w:eastAsia="Arial" w:hAnsi="Arial"/>
                <w:sz w:val="16"/>
                <w:szCs w:val="16"/>
                <w:color w:val="auto"/>
                <w:w w:val="95"/>
              </w:rPr>
              <w:t>(a)  Depreciation of Cushion gas is determined by the respective regulatory jurisdiction in which the Cushion gas resides.</w:t>
            </w:r>
          </w:p>
        </w:tc>
        <w:tc>
          <w:tcPr>
            <w:tcW w:w="10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87"/>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88"/>
              </w:rPr>
              <w:t>Lives (in years)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4"/>
              </w:rPr>
              <w:t>Less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color w:val="auto"/>
                <w:w w:val="92"/>
              </w:rPr>
              <w:t>Construction</w:t>
            </w:r>
          </w:p>
        </w:tc>
        <w:tc>
          <w:tcPr>
            <w:tcW w:w="136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Total Property</w:t>
            </w:r>
          </w:p>
        </w:tc>
        <w:tc>
          <w:tcPr>
            <w:tcW w:w="116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Depreciation,</w:t>
            </w:r>
          </w:p>
        </w:tc>
        <w:tc>
          <w:tcPr>
            <w:tcW w:w="11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Net Property,</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24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4"/>
              </w:rPr>
              <w:t>Work in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Plant and</w:t>
            </w:r>
          </w:p>
        </w:tc>
        <w:tc>
          <w:tcPr>
            <w:tcW w:w="260" w:type="dxa"/>
            <w:vAlign w:val="bottom"/>
          </w:tcPr>
          <w:p>
            <w:pPr>
              <w:spacing w:after="0"/>
              <w:rPr>
                <w:sz w:val="18"/>
                <w:szCs w:val="18"/>
                <w:color w:val="auto"/>
              </w:rPr>
            </w:pPr>
          </w:p>
        </w:tc>
        <w:tc>
          <w:tcPr>
            <w:tcW w:w="116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Plant and</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2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Progress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Equipment</w:t>
            </w:r>
          </w:p>
        </w:tc>
        <w:tc>
          <w:tcPr>
            <w:tcW w:w="260" w:type="dxa"/>
            <w:vAlign w:val="bottom"/>
          </w:tcPr>
          <w:p>
            <w:pPr>
              <w:spacing w:after="0"/>
              <w:rPr>
                <w:sz w:val="20"/>
                <w:szCs w:val="20"/>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0"/>
              </w:rPr>
              <w:t>Equipment</w:t>
            </w:r>
          </w:p>
        </w:tc>
        <w:tc>
          <w:tcPr>
            <w:tcW w:w="106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Useful Life</w:t>
            </w:r>
          </w:p>
        </w:tc>
        <w:tc>
          <w:tcPr>
            <w:tcW w:w="1200" w:type="dxa"/>
            <w:vAlign w:val="bottom"/>
          </w:tcPr>
          <w:p>
            <w:pPr>
              <w:jc w:val="center"/>
              <w:ind w:left="30"/>
              <w:spacing w:after="0"/>
              <w:rPr>
                <w:sz w:val="20"/>
                <w:szCs w:val="20"/>
                <w:color w:val="auto"/>
              </w:rPr>
            </w:pPr>
            <w:r>
              <w:rPr>
                <w:rFonts w:ascii="Arial" w:cs="Arial" w:eastAsia="Arial" w:hAnsi="Arial"/>
                <w:sz w:val="18"/>
                <w:szCs w:val="18"/>
                <w:color w:val="auto"/>
                <w:w w:val="98"/>
              </w:rPr>
              <w:t>Minimum</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18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Power Generation</w:t>
            </w:r>
          </w:p>
        </w:tc>
        <w:tc>
          <w:tcPr>
            <w:tcW w:w="4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532,397</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2,121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534,518</w:t>
            </w:r>
          </w:p>
        </w:tc>
        <w:tc>
          <w:tcPr>
            <w:tcW w:w="2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(154,362)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EFFE7"/>
            </w:tcBorders>
            <w:gridSpan w:val="3"/>
            <w:shd w:val="clear" w:color="auto" w:fill="CEFFE7"/>
          </w:tcPr>
          <w:p>
            <w:pPr>
              <w:jc w:val="right"/>
              <w:spacing w:after="0"/>
              <w:rPr>
                <w:sz w:val="20"/>
                <w:szCs w:val="20"/>
                <w:color w:val="auto"/>
              </w:rPr>
            </w:pPr>
            <w:r>
              <w:rPr>
                <w:rFonts w:ascii="Arial" w:cs="Arial" w:eastAsia="Arial" w:hAnsi="Arial"/>
                <w:sz w:val="18"/>
                <w:szCs w:val="18"/>
                <w:color w:val="auto"/>
              </w:rPr>
              <w:t>380,156</w:t>
            </w:r>
          </w:p>
        </w:tc>
        <w:tc>
          <w:tcPr>
            <w:tcW w:w="1000" w:type="dxa"/>
            <w:vAlign w:val="bottom"/>
            <w:tcBorders>
              <w:bottom w:val="single" w:sz="8" w:color="CEFFE7"/>
            </w:tcBorders>
            <w:shd w:val="clear" w:color="auto" w:fill="CEFFE7"/>
          </w:tcPr>
          <w:p>
            <w:pPr>
              <w:jc w:val="center"/>
              <w:ind w:left="170"/>
              <w:spacing w:after="0"/>
              <w:rPr>
                <w:sz w:val="20"/>
                <w:szCs w:val="20"/>
                <w:color w:val="auto"/>
              </w:rPr>
            </w:pPr>
            <w:r>
              <w:rPr>
                <w:rFonts w:ascii="Arial" w:cs="Arial" w:eastAsia="Arial" w:hAnsi="Arial"/>
                <w:sz w:val="18"/>
                <w:szCs w:val="18"/>
                <w:color w:val="auto"/>
                <w:w w:val="89"/>
              </w:rPr>
              <w:t>31</w:t>
            </w:r>
          </w:p>
        </w:tc>
        <w:tc>
          <w:tcPr>
            <w:tcW w:w="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center"/>
              <w:ind w:left="30"/>
              <w:spacing w:after="0"/>
              <w:rPr>
                <w:sz w:val="20"/>
                <w:szCs w:val="20"/>
                <w:color w:val="auto"/>
              </w:rPr>
            </w:pPr>
            <w:r>
              <w:rPr>
                <w:rFonts w:ascii="Arial" w:cs="Arial" w:eastAsia="Arial" w:hAnsi="Arial"/>
                <w:sz w:val="18"/>
                <w:szCs w:val="18"/>
                <w:color w:val="auto"/>
                <w:w w:val="79"/>
              </w:rPr>
              <w:t>2</w:t>
            </w:r>
          </w:p>
        </w:tc>
        <w:tc>
          <w:tcPr>
            <w:tcW w:w="10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Mining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179,198</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1,275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180,473</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(118,585)</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61,888</w:t>
            </w: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21"/>
                <w:szCs w:val="21"/>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color w:val="auto"/>
                <w:w w:val="79"/>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810"/>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2018</w:t>
            </w: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ind w:left="20"/>
              <w:spacing w:after="0"/>
              <w:rPr>
                <w:sz w:val="20"/>
                <w:szCs w:val="20"/>
                <w:color w:val="auto"/>
              </w:rPr>
            </w:pPr>
            <w:r>
              <w:rPr>
                <w:rFonts w:ascii="Arial" w:cs="Arial" w:eastAsia="Arial" w:hAnsi="Arial"/>
                <w:sz w:val="18"/>
                <w:szCs w:val="18"/>
                <w:b w:val="1"/>
                <w:bCs w:val="1"/>
                <w:color w:val="auto"/>
                <w:w w:val="88"/>
              </w:rPr>
              <w:t>Lives (in years)</w:t>
            </w: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20" w:type="dxa"/>
            <w:vAlign w:val="bottom"/>
            <w:gridSpan w:val="2"/>
          </w:tcPr>
          <w:p>
            <w:pPr>
              <w:jc w:val="center"/>
              <w:ind w:left="130"/>
              <w:spacing w:after="0"/>
              <w:rPr>
                <w:sz w:val="20"/>
                <w:szCs w:val="20"/>
                <w:color w:val="auto"/>
              </w:rPr>
            </w:pPr>
            <w:r>
              <w:rPr>
                <w:rFonts w:ascii="Arial" w:cs="Arial" w:eastAsia="Arial" w:hAnsi="Arial"/>
                <w:sz w:val="18"/>
                <w:szCs w:val="18"/>
                <w:color w:val="auto"/>
                <w:w w:val="84"/>
              </w:rPr>
              <w:t>Less</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2"/>
              </w:rPr>
              <w:t>Accumulated</w:t>
            </w:r>
          </w:p>
        </w:tc>
        <w:tc>
          <w:tcPr>
            <w:tcW w:w="1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0" w:type="dxa"/>
            <w:vAlign w:val="bottom"/>
            <w:gridSpan w:val="4"/>
          </w:tcPr>
          <w:p>
            <w:pPr>
              <w:jc w:val="center"/>
              <w:spacing w:after="0"/>
              <w:rPr>
                <w:sz w:val="20"/>
                <w:szCs w:val="20"/>
                <w:color w:val="auto"/>
              </w:rPr>
            </w:pPr>
            <w:r>
              <w:rPr>
                <w:rFonts w:ascii="Arial" w:cs="Arial" w:eastAsia="Arial" w:hAnsi="Arial"/>
                <w:sz w:val="18"/>
                <w:szCs w:val="18"/>
                <w:color w:val="auto"/>
                <w:w w:val="92"/>
              </w:rPr>
              <w:t>Construction</w:t>
            </w:r>
          </w:p>
        </w:tc>
        <w:tc>
          <w:tcPr>
            <w:tcW w:w="1360" w:type="dxa"/>
            <w:vAlign w:val="bottom"/>
            <w:gridSpan w:val="4"/>
          </w:tcPr>
          <w:p>
            <w:pPr>
              <w:jc w:val="center"/>
              <w:ind w:right="10"/>
              <w:spacing w:after="0"/>
              <w:rPr>
                <w:sz w:val="20"/>
                <w:szCs w:val="20"/>
                <w:color w:val="auto"/>
              </w:rPr>
            </w:pPr>
            <w:r>
              <w:rPr>
                <w:rFonts w:ascii="Arial" w:cs="Arial" w:eastAsia="Arial" w:hAnsi="Arial"/>
                <w:sz w:val="18"/>
                <w:szCs w:val="18"/>
                <w:color w:val="auto"/>
                <w:w w:val="90"/>
              </w:rPr>
              <w:t>Total Property</w:t>
            </w:r>
          </w:p>
        </w:tc>
        <w:tc>
          <w:tcPr>
            <w:tcW w:w="1160" w:type="dxa"/>
            <w:vAlign w:val="bottom"/>
            <w:gridSpan w:val="3"/>
          </w:tcPr>
          <w:p>
            <w:pPr>
              <w:jc w:val="center"/>
              <w:ind w:right="50"/>
              <w:spacing w:after="0"/>
              <w:rPr>
                <w:sz w:val="20"/>
                <w:szCs w:val="20"/>
                <w:color w:val="auto"/>
              </w:rPr>
            </w:pPr>
            <w:r>
              <w:rPr>
                <w:rFonts w:ascii="Arial" w:cs="Arial" w:eastAsia="Arial" w:hAnsi="Arial"/>
                <w:sz w:val="18"/>
                <w:szCs w:val="18"/>
                <w:color w:val="auto"/>
                <w:w w:val="92"/>
              </w:rPr>
              <w:t>Depreciation,</w:t>
            </w:r>
          </w:p>
        </w:tc>
        <w:tc>
          <w:tcPr>
            <w:tcW w:w="1100" w:type="dxa"/>
            <w:vAlign w:val="bottom"/>
            <w:gridSpan w:val="4"/>
          </w:tcPr>
          <w:p>
            <w:pPr>
              <w:jc w:val="center"/>
              <w:ind w:left="10"/>
              <w:spacing w:after="0"/>
              <w:rPr>
                <w:sz w:val="20"/>
                <w:szCs w:val="20"/>
                <w:color w:val="auto"/>
              </w:rPr>
            </w:pPr>
            <w:r>
              <w:rPr>
                <w:rFonts w:ascii="Arial" w:cs="Arial" w:eastAsia="Arial" w:hAnsi="Arial"/>
                <w:sz w:val="18"/>
                <w:szCs w:val="18"/>
                <w:color w:val="auto"/>
                <w:w w:val="90"/>
              </w:rPr>
              <w:t>Net Property,</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Weighted</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2"/>
              </w:rPr>
              <w:t>Property, Plant</w:t>
            </w:r>
          </w:p>
        </w:tc>
        <w:tc>
          <w:tcPr>
            <w:tcW w:w="240" w:type="dxa"/>
            <w:vAlign w:val="bottom"/>
          </w:tcPr>
          <w:p>
            <w:pPr>
              <w:spacing w:after="0"/>
              <w:rPr>
                <w:sz w:val="18"/>
                <w:szCs w:val="18"/>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94"/>
              </w:rPr>
              <w:t>Work in</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89"/>
              </w:rPr>
              <w:t>Plant and</w:t>
            </w:r>
          </w:p>
        </w:tc>
        <w:tc>
          <w:tcPr>
            <w:tcW w:w="260" w:type="dxa"/>
            <w:vAlign w:val="bottom"/>
          </w:tcPr>
          <w:p>
            <w:pPr>
              <w:spacing w:after="0"/>
              <w:rPr>
                <w:sz w:val="18"/>
                <w:szCs w:val="18"/>
                <w:color w:val="auto"/>
              </w:rPr>
            </w:pPr>
          </w:p>
        </w:tc>
        <w:tc>
          <w:tcPr>
            <w:tcW w:w="1160" w:type="dxa"/>
            <w:vAlign w:val="bottom"/>
            <w:gridSpan w:val="3"/>
          </w:tcPr>
          <w:p>
            <w:pPr>
              <w:jc w:val="center"/>
              <w:ind w:right="50"/>
              <w:spacing w:after="0"/>
              <w:rPr>
                <w:sz w:val="20"/>
                <w:szCs w:val="20"/>
                <w:color w:val="auto"/>
              </w:rPr>
            </w:pPr>
            <w:r>
              <w:rPr>
                <w:rFonts w:ascii="Arial" w:cs="Arial" w:eastAsia="Arial" w:hAnsi="Arial"/>
                <w:sz w:val="18"/>
                <w:szCs w:val="18"/>
                <w:color w:val="auto"/>
                <w:w w:val="91"/>
              </w:rPr>
              <w:t>Depletion and</w:t>
            </w:r>
          </w:p>
        </w:tc>
        <w:tc>
          <w:tcPr>
            <w:tcW w:w="180" w:type="dxa"/>
            <w:vAlign w:val="bottom"/>
          </w:tcPr>
          <w:p>
            <w:pPr>
              <w:spacing w:after="0"/>
              <w:rPr>
                <w:sz w:val="18"/>
                <w:szCs w:val="18"/>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89"/>
              </w:rPr>
              <w:t>Plant and</w:t>
            </w:r>
          </w:p>
        </w:tc>
        <w:tc>
          <w:tcPr>
            <w:tcW w:w="1000" w:type="dxa"/>
            <w:vAlign w:val="bottom"/>
          </w:tcPr>
          <w:p>
            <w:pPr>
              <w:jc w:val="center"/>
              <w:ind w:left="190"/>
              <w:spacing w:after="0"/>
              <w:rPr>
                <w:sz w:val="20"/>
                <w:szCs w:val="20"/>
                <w:color w:val="auto"/>
              </w:rPr>
            </w:pPr>
            <w:r>
              <w:rPr>
                <w:rFonts w:ascii="Arial" w:cs="Arial" w:eastAsia="Arial" w:hAnsi="Arial"/>
                <w:sz w:val="18"/>
                <w:szCs w:val="18"/>
                <w:color w:val="auto"/>
                <w:w w:val="89"/>
              </w:rPr>
              <w:t>Average</w:t>
            </w:r>
          </w:p>
        </w:tc>
        <w:tc>
          <w:tcPr>
            <w:tcW w:w="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160" w:type="dxa"/>
            <w:vAlign w:val="bottom"/>
            <w:gridSpan w:val="2"/>
          </w:tcPr>
          <w:p>
            <w:pPr>
              <w:ind w:left="40"/>
              <w:spacing w:after="0"/>
              <w:rPr>
                <w:sz w:val="20"/>
                <w:szCs w:val="20"/>
                <w:color w:val="auto"/>
              </w:rPr>
            </w:pPr>
            <w:r>
              <w:rPr>
                <w:rFonts w:ascii="Arial" w:cs="Arial" w:eastAsia="Arial" w:hAnsi="Arial"/>
                <w:sz w:val="18"/>
                <w:szCs w:val="18"/>
                <w:color w:val="auto"/>
                <w:w w:val="90"/>
              </w:rPr>
              <w:t>and Equipment</w:t>
            </w:r>
          </w:p>
        </w:tc>
        <w:tc>
          <w:tcPr>
            <w:tcW w:w="240" w:type="dxa"/>
            <w:vAlign w:val="bottom"/>
          </w:tcPr>
          <w:p>
            <w:pPr>
              <w:spacing w:after="0"/>
              <w:rPr>
                <w:sz w:val="20"/>
                <w:szCs w:val="20"/>
                <w:color w:val="auto"/>
              </w:rPr>
            </w:pPr>
          </w:p>
        </w:tc>
        <w:tc>
          <w:tcPr>
            <w:tcW w:w="720" w:type="dxa"/>
            <w:vAlign w:val="bottom"/>
            <w:gridSpan w:val="2"/>
          </w:tcPr>
          <w:p>
            <w:pPr>
              <w:jc w:val="center"/>
              <w:spacing w:after="0"/>
              <w:rPr>
                <w:sz w:val="20"/>
                <w:szCs w:val="20"/>
                <w:color w:val="auto"/>
              </w:rPr>
            </w:pPr>
            <w:r>
              <w:rPr>
                <w:rFonts w:ascii="Arial" w:cs="Arial" w:eastAsia="Arial" w:hAnsi="Arial"/>
                <w:sz w:val="18"/>
                <w:szCs w:val="18"/>
                <w:color w:val="auto"/>
                <w:w w:val="86"/>
              </w:rPr>
              <w:t>Progress</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gridSpan w:val="2"/>
          </w:tcPr>
          <w:p>
            <w:pPr>
              <w:jc w:val="center"/>
              <w:spacing w:after="0"/>
              <w:rPr>
                <w:sz w:val="20"/>
                <w:szCs w:val="20"/>
                <w:color w:val="auto"/>
              </w:rPr>
            </w:pPr>
            <w:r>
              <w:rPr>
                <w:rFonts w:ascii="Arial" w:cs="Arial" w:eastAsia="Arial" w:hAnsi="Arial"/>
                <w:sz w:val="18"/>
                <w:szCs w:val="18"/>
                <w:color w:val="auto"/>
                <w:w w:val="90"/>
              </w:rPr>
              <w:t>Equipment</w:t>
            </w:r>
          </w:p>
        </w:tc>
        <w:tc>
          <w:tcPr>
            <w:tcW w:w="260" w:type="dxa"/>
            <w:vAlign w:val="bottom"/>
          </w:tcPr>
          <w:p>
            <w:pPr>
              <w:spacing w:after="0"/>
              <w:rPr>
                <w:sz w:val="20"/>
                <w:szCs w:val="20"/>
                <w:color w:val="auto"/>
              </w:rPr>
            </w:pPr>
          </w:p>
        </w:tc>
        <w:tc>
          <w:tcPr>
            <w:tcW w:w="1160" w:type="dxa"/>
            <w:vAlign w:val="bottom"/>
            <w:gridSpan w:val="3"/>
          </w:tcPr>
          <w:p>
            <w:pPr>
              <w:jc w:val="center"/>
              <w:ind w:right="30"/>
              <w:spacing w:after="0"/>
              <w:rPr>
                <w:sz w:val="20"/>
                <w:szCs w:val="20"/>
                <w:color w:val="auto"/>
              </w:rPr>
            </w:pPr>
            <w:r>
              <w:rPr>
                <w:rFonts w:ascii="Arial" w:cs="Arial" w:eastAsia="Arial" w:hAnsi="Arial"/>
                <w:sz w:val="18"/>
                <w:szCs w:val="18"/>
                <w:color w:val="auto"/>
                <w:w w:val="95"/>
              </w:rPr>
              <w:t>Amortization</w:t>
            </w:r>
          </w:p>
        </w:tc>
        <w:tc>
          <w:tcPr>
            <w:tcW w:w="180" w:type="dxa"/>
            <w:vAlign w:val="bottom"/>
          </w:tcPr>
          <w:p>
            <w:pPr>
              <w:spacing w:after="0"/>
              <w:rPr>
                <w:sz w:val="20"/>
                <w:szCs w:val="20"/>
                <w:color w:val="auto"/>
              </w:rPr>
            </w:pPr>
          </w:p>
        </w:tc>
        <w:tc>
          <w:tcPr>
            <w:tcW w:w="920" w:type="dxa"/>
            <w:vAlign w:val="bottom"/>
            <w:gridSpan w:val="3"/>
          </w:tcPr>
          <w:p>
            <w:pPr>
              <w:jc w:val="center"/>
              <w:spacing w:after="0"/>
              <w:rPr>
                <w:sz w:val="20"/>
                <w:szCs w:val="20"/>
                <w:color w:val="auto"/>
              </w:rPr>
            </w:pPr>
            <w:r>
              <w:rPr>
                <w:rFonts w:ascii="Arial" w:cs="Arial" w:eastAsia="Arial" w:hAnsi="Arial"/>
                <w:sz w:val="18"/>
                <w:szCs w:val="18"/>
                <w:color w:val="auto"/>
                <w:w w:val="90"/>
              </w:rPr>
              <w:t>Equipment</w:t>
            </w:r>
          </w:p>
        </w:tc>
        <w:tc>
          <w:tcPr>
            <w:tcW w:w="1060" w:type="dxa"/>
            <w:vAlign w:val="bottom"/>
            <w:gridSpan w:val="2"/>
          </w:tcPr>
          <w:p>
            <w:pPr>
              <w:jc w:val="center"/>
              <w:ind w:left="130"/>
              <w:spacing w:after="0"/>
              <w:rPr>
                <w:sz w:val="20"/>
                <w:szCs w:val="20"/>
                <w:color w:val="auto"/>
              </w:rPr>
            </w:pPr>
            <w:r>
              <w:rPr>
                <w:rFonts w:ascii="Arial" w:cs="Arial" w:eastAsia="Arial" w:hAnsi="Arial"/>
                <w:sz w:val="18"/>
                <w:szCs w:val="18"/>
                <w:color w:val="auto"/>
                <w:w w:val="98"/>
              </w:rPr>
              <w:t>Useful Life</w:t>
            </w:r>
          </w:p>
        </w:tc>
        <w:tc>
          <w:tcPr>
            <w:tcW w:w="1200" w:type="dxa"/>
            <w:vAlign w:val="bottom"/>
          </w:tcPr>
          <w:p>
            <w:pPr>
              <w:ind w:left="180"/>
              <w:spacing w:after="0"/>
              <w:rPr>
                <w:sz w:val="20"/>
                <w:szCs w:val="20"/>
                <w:color w:val="auto"/>
              </w:rPr>
            </w:pPr>
            <w:r>
              <w:rPr>
                <w:rFonts w:ascii="Arial" w:cs="Arial" w:eastAsia="Arial" w:hAnsi="Arial"/>
                <w:sz w:val="18"/>
                <w:szCs w:val="18"/>
                <w:color w:val="auto"/>
              </w:rPr>
              <w:t>Minimum</w:t>
            </w:r>
          </w:p>
        </w:tc>
        <w:tc>
          <w:tcPr>
            <w:tcW w:w="1000" w:type="dxa"/>
            <w:vAlign w:val="bottom"/>
          </w:tcPr>
          <w:p>
            <w:pPr>
              <w:jc w:val="center"/>
              <w:spacing w:after="0"/>
              <w:rPr>
                <w:sz w:val="20"/>
                <w:szCs w:val="20"/>
                <w:color w:val="auto"/>
              </w:rPr>
            </w:pPr>
            <w:r>
              <w:rPr>
                <w:rFonts w:ascii="Arial" w:cs="Arial" w:eastAsia="Arial" w:hAnsi="Arial"/>
                <w:sz w:val="18"/>
                <w:szCs w:val="18"/>
                <w:color w:val="auto"/>
                <w:w w:val="94"/>
              </w:rPr>
              <w:t>Maximum</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gridSpan w:val="3"/>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1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18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40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7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8"/>
              </w:rPr>
              <w:t>435,438</w:t>
            </w:r>
          </w:p>
        </w:tc>
        <w:tc>
          <w:tcPr>
            <w:tcW w:w="24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EFFE7"/>
          </w:tcPr>
          <w:p>
            <w:pPr>
              <w:jc w:val="right"/>
              <w:spacing w:after="0"/>
              <w:rPr>
                <w:sz w:val="20"/>
                <w:szCs w:val="20"/>
                <w:color w:val="auto"/>
              </w:rPr>
            </w:pPr>
            <w:r>
              <w:rPr>
                <w:rFonts w:ascii="Arial" w:cs="Arial" w:eastAsia="Arial" w:hAnsi="Arial"/>
                <w:sz w:val="18"/>
                <w:szCs w:val="18"/>
                <w:color w:val="auto"/>
              </w:rPr>
              <w:t>11,796</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EFFE7"/>
          </w:tcPr>
          <w:p>
            <w:pPr>
              <w:jc w:val="right"/>
              <w:spacing w:after="0"/>
              <w:rPr>
                <w:sz w:val="20"/>
                <w:szCs w:val="20"/>
                <w:color w:val="auto"/>
              </w:rPr>
            </w:pPr>
            <w:r>
              <w:rPr>
                <w:rFonts w:ascii="Arial" w:cs="Arial" w:eastAsia="Arial" w:hAnsi="Arial"/>
                <w:sz w:val="18"/>
                <w:szCs w:val="18"/>
                <w:color w:val="auto"/>
              </w:rPr>
              <w:t>447,234</w:t>
            </w:r>
          </w:p>
        </w:tc>
        <w:tc>
          <w:tcPr>
            <w:tcW w:w="26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shd w:val="clear" w:color="auto" w:fill="CEFFE7"/>
          </w:tcPr>
          <w:p>
            <w:pPr>
              <w:jc w:val="right"/>
              <w:spacing w:after="0"/>
              <w:rPr>
                <w:sz w:val="20"/>
                <w:szCs w:val="20"/>
                <w:color w:val="auto"/>
              </w:rPr>
            </w:pPr>
            <w:r>
              <w:rPr>
                <w:rFonts w:ascii="Arial" w:cs="Arial" w:eastAsia="Arial" w:hAnsi="Arial"/>
                <w:sz w:val="18"/>
                <w:szCs w:val="18"/>
                <w:color w:val="auto"/>
              </w:rPr>
              <w:t>(137,832)</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3"/>
            <w:shd w:val="clear" w:color="auto" w:fill="CEFFE7"/>
          </w:tcPr>
          <w:p>
            <w:pPr>
              <w:jc w:val="right"/>
              <w:spacing w:after="0"/>
              <w:rPr>
                <w:sz w:val="20"/>
                <w:szCs w:val="20"/>
                <w:color w:val="auto"/>
              </w:rPr>
            </w:pPr>
            <w:r>
              <w:rPr>
                <w:rFonts w:ascii="Arial" w:cs="Arial" w:eastAsia="Arial" w:hAnsi="Arial"/>
                <w:sz w:val="18"/>
                <w:szCs w:val="18"/>
                <w:color w:val="auto"/>
              </w:rPr>
              <w:t>309,402</w:t>
            </w:r>
          </w:p>
        </w:tc>
        <w:tc>
          <w:tcPr>
            <w:tcW w:w="1000" w:type="dxa"/>
            <w:vAlign w:val="bottom"/>
            <w:shd w:val="clear" w:color="auto" w:fill="CEFFE7"/>
          </w:tcPr>
          <w:p>
            <w:pPr>
              <w:jc w:val="center"/>
              <w:ind w:left="170"/>
              <w:spacing w:after="0"/>
              <w:rPr>
                <w:sz w:val="20"/>
                <w:szCs w:val="20"/>
                <w:color w:val="auto"/>
              </w:rPr>
            </w:pPr>
            <w:r>
              <w:rPr>
                <w:rFonts w:ascii="Arial" w:cs="Arial" w:eastAsia="Arial" w:hAnsi="Arial"/>
                <w:sz w:val="18"/>
                <w:szCs w:val="18"/>
                <w:color w:val="auto"/>
                <w:w w:val="89"/>
              </w:rPr>
              <w:t>31</w:t>
            </w:r>
          </w:p>
        </w:tc>
        <w:tc>
          <w:tcPr>
            <w:tcW w:w="60" w:type="dxa"/>
            <w:vAlign w:val="bottom"/>
            <w:shd w:val="clear" w:color="auto" w:fill="CEFFE7"/>
          </w:tcPr>
          <w:p>
            <w:pPr>
              <w:spacing w:after="0"/>
              <w:rPr>
                <w:sz w:val="23"/>
                <w:szCs w:val="23"/>
                <w:color w:val="auto"/>
              </w:rPr>
            </w:pPr>
          </w:p>
        </w:tc>
        <w:tc>
          <w:tcPr>
            <w:tcW w:w="1200" w:type="dxa"/>
            <w:vAlign w:val="bottom"/>
            <w:shd w:val="clear" w:color="auto" w:fill="CEFFE7"/>
          </w:tcPr>
          <w:p>
            <w:pPr>
              <w:jc w:val="center"/>
              <w:ind w:left="30"/>
              <w:spacing w:after="0"/>
              <w:rPr>
                <w:sz w:val="20"/>
                <w:szCs w:val="20"/>
                <w:color w:val="auto"/>
              </w:rPr>
            </w:pPr>
            <w:r>
              <w:rPr>
                <w:rFonts w:ascii="Arial" w:cs="Arial" w:eastAsia="Arial" w:hAnsi="Arial"/>
                <w:sz w:val="18"/>
                <w:szCs w:val="18"/>
                <w:color w:val="auto"/>
                <w:w w:val="79"/>
              </w:rPr>
              <w:t>2</w:t>
            </w:r>
          </w:p>
        </w:tc>
        <w:tc>
          <w:tcPr>
            <w:tcW w:w="10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43"/>
        </w:trPr>
        <w:tc>
          <w:tcPr>
            <w:tcW w:w="2180" w:type="dxa"/>
            <w:vAlign w:val="bottom"/>
            <w:gridSpan w:val="2"/>
          </w:tcPr>
          <w:p>
            <w:pPr>
              <w:ind w:left="40"/>
              <w:spacing w:after="0"/>
              <w:rPr>
                <w:sz w:val="20"/>
                <w:szCs w:val="20"/>
                <w:color w:val="auto"/>
              </w:rPr>
            </w:pPr>
            <w:r>
              <w:rPr>
                <w:rFonts w:ascii="Arial" w:cs="Arial" w:eastAsia="Arial" w:hAnsi="Arial"/>
                <w:sz w:val="18"/>
                <w:szCs w:val="18"/>
                <w:color w:val="auto"/>
              </w:rPr>
              <w:t>Mining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w w:val="98"/>
              </w:rPr>
              <w:t>175,650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175,650</w:t>
            </w:r>
          </w:p>
        </w:tc>
        <w:tc>
          <w:tcPr>
            <w:tcW w:w="26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(111,689)</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w w:val="87"/>
              </w:rPr>
              <w:t>63,961</w:t>
            </w:r>
          </w:p>
        </w:tc>
        <w:tc>
          <w:tcPr>
            <w:tcW w:w="1000" w:type="dxa"/>
            <w:vAlign w:val="bottom"/>
          </w:tcPr>
          <w:p>
            <w:pPr>
              <w:jc w:val="center"/>
              <w:ind w:left="170"/>
              <w:spacing w:after="0"/>
              <w:rPr>
                <w:sz w:val="20"/>
                <w:szCs w:val="20"/>
                <w:color w:val="auto"/>
              </w:rPr>
            </w:pPr>
            <w:r>
              <w:rPr>
                <w:rFonts w:ascii="Arial" w:cs="Arial" w:eastAsia="Arial" w:hAnsi="Arial"/>
                <w:sz w:val="18"/>
                <w:szCs w:val="18"/>
                <w:color w:val="auto"/>
                <w:w w:val="89"/>
              </w:rPr>
              <w:t>13</w:t>
            </w:r>
          </w:p>
        </w:tc>
        <w:tc>
          <w:tcPr>
            <w:tcW w:w="60" w:type="dxa"/>
            <w:vAlign w:val="bottom"/>
          </w:tcPr>
          <w:p>
            <w:pPr>
              <w:spacing w:after="0"/>
              <w:rPr>
                <w:sz w:val="21"/>
                <w:szCs w:val="21"/>
                <w:color w:val="auto"/>
              </w:rPr>
            </w:pPr>
          </w:p>
        </w:tc>
        <w:tc>
          <w:tcPr>
            <w:tcW w:w="1200" w:type="dxa"/>
            <w:vAlign w:val="bottom"/>
          </w:tcPr>
          <w:p>
            <w:pPr>
              <w:jc w:val="center"/>
              <w:ind w:left="30"/>
              <w:spacing w:after="0"/>
              <w:rPr>
                <w:sz w:val="20"/>
                <w:szCs w:val="20"/>
                <w:color w:val="auto"/>
              </w:rPr>
            </w:pPr>
            <w:r>
              <w:rPr>
                <w:rFonts w:ascii="Arial" w:cs="Arial" w:eastAsia="Arial" w:hAnsi="Arial"/>
                <w:sz w:val="18"/>
                <w:szCs w:val="18"/>
                <w:color w:val="auto"/>
                <w:w w:val="79"/>
              </w:rPr>
              <w:t>2</w:t>
            </w:r>
          </w:p>
        </w:tc>
        <w:tc>
          <w:tcPr>
            <w:tcW w:w="10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0" w:type="dxa"/>
            <w:vAlign w:val="bottom"/>
          </w:tcPr>
          <w:p>
            <w:pPr>
              <w:spacing w:after="0"/>
              <w:rPr>
                <w:sz w:val="1"/>
                <w:szCs w:val="1"/>
                <w:color w:val="auto"/>
              </w:rPr>
            </w:pPr>
          </w:p>
        </w:tc>
      </w:tr>
      <w:tr>
        <w:trPr>
          <w:trHeight w:val="243"/>
        </w:trPr>
        <w:tc>
          <w:tcPr>
            <w:tcW w:w="1220" w:type="dxa"/>
            <w:vAlign w:val="bottom"/>
          </w:tcPr>
          <w:p>
            <w:pPr>
              <w:spacing w:after="0"/>
              <w:rPr>
                <w:sz w:val="20"/>
                <w:szCs w:val="20"/>
                <w:color w:val="auto"/>
              </w:rPr>
            </w:pPr>
            <w:r>
              <w:rPr>
                <w:rFonts w:ascii="Arial" w:cs="Arial" w:eastAsia="Arial" w:hAnsi="Arial"/>
                <w:sz w:val="18"/>
                <w:szCs w:val="18"/>
                <w:color w:val="auto"/>
                <w:w w:val="92"/>
              </w:rPr>
              <w:t>_____________</w:t>
            </w: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bl>
    <w:p>
      <w:pPr>
        <w:ind w:left="340" w:right="20" w:hanging="332"/>
        <w:spacing w:after="0" w:line="254" w:lineRule="auto"/>
        <w:tabs>
          <w:tab w:leader="none" w:pos="340" w:val="left"/>
        </w:tabs>
        <w:numPr>
          <w:ilvl w:val="0"/>
          <w:numId w:val="64"/>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hyperlink>
      <w:r>
        <w:rPr>
          <w:rFonts w:ascii="Arial" w:cs="Arial" w:eastAsia="Arial" w:hAnsi="Arial"/>
          <w:sz w:val="16"/>
          <w:szCs w:val="16"/>
          <w:color w:val="auto"/>
        </w:rPr>
        <w:t>, Property, plant and equipment, Accumulated depreciation and amortization, and Net property, plant and equipment were revised as of December 31, 2018 which resulted in an increase (decrease) of $261 million, ($73) million and $188 million, respectively. There was no impact on our consolidated Plant, property and equipment.</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420"/>
          </w:cols>
          <w:pgMar w:left="240" w:top="117" w:right="239" w:bottom="1440" w:gutter="0" w:footer="0" w:header="0"/>
        </w:sectPr>
      </w:pPr>
    </w:p>
    <w:bookmarkStart w:id="96" w:name="page97"/>
    <w:bookmarkEnd w:id="9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8"/>
                <w:szCs w:val="18"/>
                <w:b w:val="1"/>
                <w:bCs w:val="1"/>
                <w:color w:val="auto"/>
              </w:rPr>
              <w:t>2019</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6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92"/>
              </w:rPr>
              <w:t>Less Accumulated</w:t>
            </w:r>
          </w:p>
        </w:tc>
        <w:tc>
          <w:tcPr>
            <w:tcW w:w="1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8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5"/>
              </w:rPr>
              <w:t>Total Property</w:t>
            </w:r>
          </w:p>
        </w:tc>
        <w:tc>
          <w:tcPr>
            <w:tcW w:w="16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color w:val="auto"/>
                <w:w w:val="94"/>
              </w:rPr>
              <w:t>Depreciation,</w:t>
            </w:r>
          </w:p>
        </w:tc>
        <w:tc>
          <w:tcPr>
            <w:tcW w:w="140" w:type="dxa"/>
            <w:vAlign w:val="bottom"/>
          </w:tcPr>
          <w:p>
            <w:pPr>
              <w:spacing w:after="0"/>
              <w:rPr>
                <w:sz w:val="12"/>
                <w:szCs w:val="12"/>
                <w:color w:val="auto"/>
              </w:rPr>
            </w:pPr>
          </w:p>
        </w:tc>
        <w:tc>
          <w:tcPr>
            <w:tcW w:w="940" w:type="dxa"/>
            <w:vAlign w:val="bottom"/>
          </w:tcPr>
          <w:p>
            <w:pPr>
              <w:jc w:val="center"/>
              <w:ind w:right="26"/>
              <w:spacing w:after="0" w:line="149"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49"/>
        </w:trPr>
        <w:tc>
          <w:tcPr>
            <w:tcW w:w="2300" w:type="dxa"/>
            <w:vAlign w:val="bottom"/>
          </w:tcPr>
          <w:p>
            <w:pPr>
              <w:spacing w:after="0"/>
              <w:rPr>
                <w:sz w:val="12"/>
                <w:szCs w:val="12"/>
                <w:color w:val="auto"/>
              </w:rPr>
            </w:pPr>
          </w:p>
        </w:tc>
        <w:tc>
          <w:tcPr>
            <w:tcW w:w="232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94"/>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1"/>
              </w:rPr>
              <w:t>Plant and</w:t>
            </w:r>
          </w:p>
        </w:tc>
        <w:tc>
          <w:tcPr>
            <w:tcW w:w="160" w:type="dxa"/>
            <w:vAlign w:val="bottom"/>
          </w:tcPr>
          <w:p>
            <w:pPr>
              <w:spacing w:after="0"/>
              <w:rPr>
                <w:sz w:val="12"/>
                <w:szCs w:val="12"/>
                <w:color w:val="auto"/>
              </w:rPr>
            </w:pPr>
          </w:p>
        </w:tc>
        <w:tc>
          <w:tcPr>
            <w:tcW w:w="1000" w:type="dxa"/>
            <w:vAlign w:val="bottom"/>
          </w:tcPr>
          <w:p>
            <w:pPr>
              <w:jc w:val="center"/>
              <w:ind w:right="66"/>
              <w:spacing w:after="0" w:line="149" w:lineRule="exact"/>
              <w:rPr>
                <w:sz w:val="20"/>
                <w:szCs w:val="20"/>
                <w:color w:val="auto"/>
              </w:rPr>
            </w:pPr>
            <w:r>
              <w:rPr>
                <w:rFonts w:ascii="Arial" w:cs="Arial" w:eastAsia="Arial" w:hAnsi="Arial"/>
                <w:sz w:val="14"/>
                <w:szCs w:val="14"/>
                <w:color w:val="auto"/>
                <w:w w:val="94"/>
              </w:rPr>
              <w:t>Depletion and</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300" w:type="dxa"/>
            <w:vAlign w:val="bottom"/>
            <w:tcBorders>
              <w:bottom w:val="single" w:sz="8" w:color="CEFFE7"/>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center"/>
              <w:ind w:right="46"/>
              <w:spacing w:after="0"/>
              <w:rPr>
                <w:sz w:val="20"/>
                <w:szCs w:val="20"/>
                <w:color w:val="auto"/>
              </w:rPr>
            </w:pPr>
            <w:r>
              <w:rPr>
                <w:rFonts w:ascii="Arial" w:cs="Arial" w:eastAsia="Arial" w:hAnsi="Arial"/>
                <w:sz w:val="14"/>
                <w:szCs w:val="14"/>
                <w:color w:val="auto"/>
                <w:w w:val="97"/>
              </w:rPr>
              <w:t>Amortization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right"/>
              <w:ind w:right="183"/>
              <w:spacing w:after="0"/>
              <w:rPr>
                <w:sz w:val="20"/>
                <w:szCs w:val="20"/>
                <w:color w:val="auto"/>
              </w:rPr>
            </w:pPr>
            <w:r>
              <w:rPr>
                <w:rFonts w:ascii="Arial" w:cs="Arial" w:eastAsia="Arial" w:hAnsi="Arial"/>
                <w:sz w:val="14"/>
                <w:szCs w:val="14"/>
                <w:color w:val="auto"/>
              </w:rPr>
              <w:t>Maximum</w:t>
            </w:r>
          </w:p>
        </w:tc>
      </w:tr>
      <w:tr>
        <w:trPr>
          <w:trHeight w:val="223"/>
        </w:trPr>
        <w:tc>
          <w:tcPr>
            <w:tcW w:w="2300" w:type="dxa"/>
            <w:vAlign w:val="bottom"/>
            <w:shd w:val="clear" w:color="auto" w:fill="CEFFE7"/>
          </w:tcPr>
          <w:p>
            <w:pPr>
              <w:ind w:left="40"/>
              <w:spacing w:after="0"/>
              <w:rPr>
                <w:sz w:val="20"/>
                <w:szCs w:val="20"/>
                <w:color w:val="auto"/>
              </w:rPr>
            </w:pPr>
            <w:r>
              <w:rPr>
                <w:rFonts w:ascii="Arial" w:cs="Arial" w:eastAsia="Arial" w:hAnsi="Arial"/>
                <w:sz w:val="16"/>
                <w:szCs w:val="16"/>
                <w:color w:val="auto"/>
              </w:rPr>
              <w:t>Corporate</w:t>
            </w:r>
          </w:p>
        </w:tc>
        <w:tc>
          <w:tcPr>
            <w:tcW w:w="200" w:type="dxa"/>
            <w:vAlign w:val="bottom"/>
            <w:shd w:val="clear" w:color="auto" w:fill="CEFFE7"/>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ind w:right="3"/>
              <w:spacing w:after="0"/>
              <w:rPr>
                <w:sz w:val="20"/>
                <w:szCs w:val="20"/>
                <w:color w:val="auto"/>
              </w:rPr>
            </w:pPr>
            <w:r>
              <w:rPr>
                <w:rFonts w:ascii="Arial" w:cs="Arial" w:eastAsia="Arial" w:hAnsi="Arial"/>
                <w:sz w:val="16"/>
                <w:szCs w:val="16"/>
                <w:color w:val="auto"/>
              </w:rPr>
              <w:t>5,721</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23,334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ind w:right="6"/>
              <w:spacing w:after="0"/>
              <w:rPr>
                <w:sz w:val="20"/>
                <w:szCs w:val="20"/>
                <w:color w:val="auto"/>
              </w:rPr>
            </w:pPr>
            <w:r>
              <w:rPr>
                <w:rFonts w:ascii="Arial" w:cs="Arial" w:eastAsia="Arial" w:hAnsi="Arial"/>
                <w:sz w:val="16"/>
                <w:szCs w:val="16"/>
                <w:color w:val="auto"/>
              </w:rPr>
              <w:t>29,055</w:t>
            </w:r>
          </w:p>
        </w:tc>
        <w:tc>
          <w:tcPr>
            <w:tcW w:w="1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shd w:val="clear" w:color="auto" w:fill="CEFFE7"/>
          </w:tcPr>
          <w:p>
            <w:pPr>
              <w:jc w:val="right"/>
              <w:spacing w:after="0"/>
              <w:rPr>
                <w:sz w:val="20"/>
                <w:szCs w:val="20"/>
                <w:color w:val="auto"/>
              </w:rPr>
            </w:pPr>
            <w:r>
              <w:rPr>
                <w:rFonts w:ascii="Arial" w:cs="Arial" w:eastAsia="Arial" w:hAnsi="Arial"/>
                <w:sz w:val="16"/>
                <w:szCs w:val="16"/>
                <w:color w:val="auto"/>
              </w:rPr>
              <w:t>(964)</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ind w:right="6"/>
              <w:spacing w:after="0"/>
              <w:rPr>
                <w:sz w:val="20"/>
                <w:szCs w:val="20"/>
                <w:color w:val="auto"/>
              </w:rPr>
            </w:pPr>
            <w:r>
              <w:rPr>
                <w:rFonts w:ascii="Arial" w:cs="Arial" w:eastAsia="Arial" w:hAnsi="Arial"/>
                <w:sz w:val="16"/>
                <w:szCs w:val="16"/>
                <w:color w:val="auto"/>
              </w:rPr>
              <w:t>28,091</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10</w:t>
            </w:r>
          </w:p>
        </w:tc>
        <w:tc>
          <w:tcPr>
            <w:tcW w:w="132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30</w:t>
            </w:r>
          </w:p>
        </w:tc>
      </w:tr>
      <w:tr>
        <w:trPr>
          <w:trHeight w:val="33"/>
        </w:trPr>
        <w:tc>
          <w:tcPr>
            <w:tcW w:w="2300" w:type="dxa"/>
            <w:vAlign w:val="bottom"/>
            <w:shd w:val="clear" w:color="auto" w:fill="CEFFE7"/>
          </w:tcPr>
          <w:p>
            <w:pPr>
              <w:spacing w:after="0"/>
              <w:rPr>
                <w:sz w:val="2"/>
                <w:szCs w:val="2"/>
                <w:color w:val="auto"/>
              </w:rPr>
            </w:pPr>
          </w:p>
        </w:tc>
        <w:tc>
          <w:tcPr>
            <w:tcW w:w="200" w:type="dxa"/>
            <w:vAlign w:val="bottom"/>
            <w:shd w:val="clear" w:color="auto" w:fill="CEFFE7"/>
          </w:tcPr>
          <w:p>
            <w:pPr>
              <w:spacing w:after="0"/>
              <w:rPr>
                <w:sz w:val="2"/>
                <w:szCs w:val="2"/>
                <w:color w:val="auto"/>
              </w:rPr>
            </w:pPr>
          </w:p>
        </w:tc>
        <w:tc>
          <w:tcPr>
            <w:tcW w:w="920" w:type="dxa"/>
            <w:vAlign w:val="bottom"/>
            <w:shd w:val="clear" w:color="auto" w:fill="CEFFE7"/>
          </w:tcPr>
          <w:p>
            <w:pPr>
              <w:spacing w:after="0"/>
              <w:rPr>
                <w:sz w:val="2"/>
                <w:szCs w:val="2"/>
                <w:color w:val="auto"/>
              </w:rPr>
            </w:pPr>
          </w:p>
        </w:tc>
        <w:tc>
          <w:tcPr>
            <w:tcW w:w="220" w:type="dxa"/>
            <w:vAlign w:val="bottom"/>
            <w:shd w:val="clear" w:color="auto" w:fill="CEFFE7"/>
          </w:tcPr>
          <w:p>
            <w:pPr>
              <w:spacing w:after="0"/>
              <w:rPr>
                <w:sz w:val="2"/>
                <w:szCs w:val="2"/>
                <w:color w:val="auto"/>
              </w:rPr>
            </w:pPr>
          </w:p>
        </w:tc>
        <w:tc>
          <w:tcPr>
            <w:tcW w:w="980" w:type="dxa"/>
            <w:vAlign w:val="bottom"/>
            <w:shd w:val="clear" w:color="auto" w:fill="CEFFE7"/>
          </w:tcPr>
          <w:p>
            <w:pPr>
              <w:spacing w:after="0"/>
              <w:rPr>
                <w:sz w:val="2"/>
                <w:szCs w:val="2"/>
                <w:color w:val="auto"/>
              </w:rPr>
            </w:pPr>
          </w:p>
        </w:tc>
        <w:tc>
          <w:tcPr>
            <w:tcW w:w="140" w:type="dxa"/>
            <w:vAlign w:val="bottom"/>
            <w:shd w:val="clear" w:color="auto" w:fill="CEFFE7"/>
          </w:tcPr>
          <w:p>
            <w:pPr>
              <w:spacing w:after="0"/>
              <w:rPr>
                <w:sz w:val="2"/>
                <w:szCs w:val="2"/>
                <w:color w:val="auto"/>
              </w:rPr>
            </w:pPr>
          </w:p>
        </w:tc>
        <w:tc>
          <w:tcPr>
            <w:tcW w:w="980" w:type="dxa"/>
            <w:vAlign w:val="bottom"/>
            <w:shd w:val="clear" w:color="auto" w:fill="CEFFE7"/>
          </w:tcPr>
          <w:p>
            <w:pPr>
              <w:spacing w:after="0"/>
              <w:rPr>
                <w:sz w:val="2"/>
                <w:szCs w:val="2"/>
                <w:color w:val="auto"/>
              </w:rPr>
            </w:pPr>
          </w:p>
        </w:tc>
        <w:tc>
          <w:tcPr>
            <w:tcW w:w="160" w:type="dxa"/>
            <w:vAlign w:val="bottom"/>
            <w:shd w:val="clear" w:color="auto" w:fill="CEFFE7"/>
          </w:tcPr>
          <w:p>
            <w:pPr>
              <w:spacing w:after="0"/>
              <w:rPr>
                <w:sz w:val="2"/>
                <w:szCs w:val="2"/>
                <w:color w:val="auto"/>
              </w:rPr>
            </w:pPr>
          </w:p>
        </w:tc>
        <w:tc>
          <w:tcPr>
            <w:tcW w:w="1000" w:type="dxa"/>
            <w:vAlign w:val="bottom"/>
            <w:shd w:val="clear" w:color="auto" w:fill="CEFFE7"/>
          </w:tcPr>
          <w:p>
            <w:pPr>
              <w:spacing w:after="0"/>
              <w:rPr>
                <w:sz w:val="2"/>
                <w:szCs w:val="2"/>
                <w:color w:val="auto"/>
              </w:rPr>
            </w:pPr>
          </w:p>
        </w:tc>
        <w:tc>
          <w:tcPr>
            <w:tcW w:w="140" w:type="dxa"/>
            <w:vAlign w:val="bottom"/>
            <w:shd w:val="clear" w:color="auto" w:fill="CEFFE7"/>
          </w:tcPr>
          <w:p>
            <w:pPr>
              <w:spacing w:after="0"/>
              <w:rPr>
                <w:sz w:val="2"/>
                <w:szCs w:val="2"/>
                <w:color w:val="auto"/>
              </w:rPr>
            </w:pPr>
          </w:p>
        </w:tc>
        <w:tc>
          <w:tcPr>
            <w:tcW w:w="94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c>
          <w:tcPr>
            <w:tcW w:w="1320" w:type="dxa"/>
            <w:vAlign w:val="bottom"/>
            <w:shd w:val="clear" w:color="auto" w:fill="CEFFE7"/>
          </w:tcPr>
          <w:p>
            <w:pPr>
              <w:spacing w:after="0"/>
              <w:rPr>
                <w:sz w:val="2"/>
                <w:szCs w:val="2"/>
                <w:color w:val="auto"/>
              </w:rPr>
            </w:pPr>
          </w:p>
        </w:tc>
        <w:tc>
          <w:tcPr>
            <w:tcW w:w="98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jc w:val="right"/>
              <w:ind w:right="339"/>
              <w:spacing w:after="0"/>
              <w:rPr>
                <w:sz w:val="20"/>
                <w:szCs w:val="20"/>
                <w:color w:val="auto"/>
              </w:rPr>
            </w:pPr>
            <w:r>
              <w:rPr>
                <w:rFonts w:ascii="Arial" w:cs="Arial" w:eastAsia="Arial" w:hAnsi="Arial"/>
                <w:sz w:val="18"/>
                <w:szCs w:val="18"/>
                <w:b w:val="1"/>
                <w:bCs w:val="1"/>
                <w:color w:val="auto"/>
              </w:rPr>
              <w:t>2018</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320" w:type="dxa"/>
            <w:vAlign w:val="bottom"/>
          </w:tcPr>
          <w:p>
            <w:pPr>
              <w:jc w:val="center"/>
              <w:ind w:right="59"/>
              <w:spacing w:after="0"/>
              <w:rPr>
                <w:sz w:val="20"/>
                <w:szCs w:val="20"/>
                <w:color w:val="auto"/>
              </w:rPr>
            </w:pPr>
            <w:r>
              <w:rPr>
                <w:rFonts w:ascii="Arial" w:cs="Arial" w:eastAsia="Arial" w:hAnsi="Arial"/>
                <w:sz w:val="18"/>
                <w:szCs w:val="18"/>
                <w:b w:val="1"/>
                <w:bCs w:val="1"/>
                <w:color w:val="auto"/>
                <w:w w:val="89"/>
              </w:rPr>
              <w:t>Lives (in years)</w:t>
            </w:r>
          </w:p>
        </w:tc>
        <w:tc>
          <w:tcPr>
            <w:tcW w:w="980" w:type="dxa"/>
            <w:vAlign w:val="bottom"/>
          </w:tcPr>
          <w:p>
            <w:pPr>
              <w:spacing w:after="0"/>
              <w:rPr>
                <w:sz w:val="20"/>
                <w:szCs w:val="20"/>
                <w:color w:val="auto"/>
              </w:rPr>
            </w:pPr>
          </w:p>
        </w:tc>
      </w:tr>
      <w:tr>
        <w:trPr>
          <w:trHeight w:val="27"/>
        </w:trPr>
        <w:tc>
          <w:tcPr>
            <w:tcW w:w="23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150"/>
        </w:trPr>
        <w:tc>
          <w:tcPr>
            <w:tcW w:w="2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80" w:type="dxa"/>
            <w:vAlign w:val="bottom"/>
          </w:tcPr>
          <w:p>
            <w:pPr>
              <w:jc w:val="center"/>
              <w:ind w:right="26"/>
              <w:spacing w:after="0" w:line="151" w:lineRule="exact"/>
              <w:rPr>
                <w:sz w:val="20"/>
                <w:szCs w:val="20"/>
                <w:color w:val="auto"/>
              </w:rPr>
            </w:pPr>
            <w:r>
              <w:rPr>
                <w:rFonts w:ascii="Arial" w:cs="Arial" w:eastAsia="Arial" w:hAnsi="Arial"/>
                <w:sz w:val="14"/>
                <w:szCs w:val="14"/>
                <w:color w:val="auto"/>
                <w:w w:val="95"/>
              </w:rPr>
              <w:t>Total Property</w:t>
            </w:r>
          </w:p>
        </w:tc>
        <w:tc>
          <w:tcPr>
            <w:tcW w:w="1160" w:type="dxa"/>
            <w:vAlign w:val="bottom"/>
            <w:gridSpan w:val="2"/>
          </w:tcPr>
          <w:p>
            <w:pPr>
              <w:jc w:val="center"/>
              <w:spacing w:after="0" w:line="151" w:lineRule="exact"/>
              <w:rPr>
                <w:sz w:val="20"/>
                <w:szCs w:val="20"/>
                <w:color w:val="auto"/>
              </w:rPr>
            </w:pPr>
            <w:r>
              <w:rPr>
                <w:rFonts w:ascii="Arial" w:cs="Arial" w:eastAsia="Arial" w:hAnsi="Arial"/>
                <w:sz w:val="14"/>
                <w:szCs w:val="14"/>
                <w:color w:val="auto"/>
                <w:w w:val="92"/>
              </w:rPr>
              <w:t>Less Accumulated</w:t>
            </w:r>
          </w:p>
        </w:tc>
        <w:tc>
          <w:tcPr>
            <w:tcW w:w="140" w:type="dxa"/>
            <w:vAlign w:val="bottom"/>
          </w:tcPr>
          <w:p>
            <w:pPr>
              <w:spacing w:after="0"/>
              <w:rPr>
                <w:sz w:val="13"/>
                <w:szCs w:val="13"/>
                <w:color w:val="auto"/>
              </w:rPr>
            </w:pPr>
          </w:p>
        </w:tc>
        <w:tc>
          <w:tcPr>
            <w:tcW w:w="940" w:type="dxa"/>
            <w:vAlign w:val="bottom"/>
          </w:tcPr>
          <w:p>
            <w:pPr>
              <w:jc w:val="center"/>
              <w:ind w:right="26"/>
              <w:spacing w:after="0" w:line="151" w:lineRule="exact"/>
              <w:rPr>
                <w:sz w:val="20"/>
                <w:szCs w:val="20"/>
                <w:color w:val="auto"/>
              </w:rPr>
            </w:pPr>
            <w:r>
              <w:rPr>
                <w:rFonts w:ascii="Arial" w:cs="Arial" w:eastAsia="Arial" w:hAnsi="Arial"/>
                <w:sz w:val="14"/>
                <w:szCs w:val="14"/>
                <w:color w:val="auto"/>
                <w:w w:val="92"/>
              </w:rPr>
              <w:t>Net Property,</w:t>
            </w:r>
          </w:p>
        </w:tc>
        <w:tc>
          <w:tcPr>
            <w:tcW w:w="11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980" w:type="dxa"/>
            <w:vAlign w:val="bottom"/>
          </w:tcPr>
          <w:p>
            <w:pPr>
              <w:spacing w:after="0"/>
              <w:rPr>
                <w:sz w:val="13"/>
                <w:szCs w:val="13"/>
                <w:color w:val="auto"/>
              </w:rPr>
            </w:pPr>
          </w:p>
        </w:tc>
      </w:tr>
      <w:tr>
        <w:trPr>
          <w:trHeight w:val="149"/>
        </w:trPr>
        <w:tc>
          <w:tcPr>
            <w:tcW w:w="2300" w:type="dxa"/>
            <w:vAlign w:val="bottom"/>
          </w:tcPr>
          <w:p>
            <w:pPr>
              <w:spacing w:after="0"/>
              <w:rPr>
                <w:sz w:val="12"/>
                <w:szCs w:val="12"/>
                <w:color w:val="auto"/>
              </w:rPr>
            </w:pPr>
          </w:p>
        </w:tc>
        <w:tc>
          <w:tcPr>
            <w:tcW w:w="2320" w:type="dxa"/>
            <w:vAlign w:val="bottom"/>
            <w:gridSpan w:val="4"/>
          </w:tcPr>
          <w:p>
            <w:pPr>
              <w:ind w:left="40"/>
              <w:spacing w:after="0" w:line="149" w:lineRule="exact"/>
              <w:rPr>
                <w:sz w:val="20"/>
                <w:szCs w:val="20"/>
                <w:color w:val="auto"/>
              </w:rPr>
            </w:pPr>
            <w:r>
              <w:rPr>
                <w:rFonts w:ascii="Arial" w:cs="Arial" w:eastAsia="Arial" w:hAnsi="Arial"/>
                <w:sz w:val="14"/>
                <w:szCs w:val="14"/>
                <w:color w:val="auto"/>
                <w:w w:val="94"/>
              </w:rPr>
              <w:t>Property, Plant and Construction Work</w:t>
            </w:r>
          </w:p>
        </w:tc>
        <w:tc>
          <w:tcPr>
            <w:tcW w:w="140" w:type="dxa"/>
            <w:vAlign w:val="bottom"/>
          </w:tcPr>
          <w:p>
            <w:pPr>
              <w:spacing w:after="0"/>
              <w:rPr>
                <w:sz w:val="12"/>
                <w:szCs w:val="12"/>
                <w:color w:val="auto"/>
              </w:rPr>
            </w:pPr>
          </w:p>
        </w:tc>
        <w:tc>
          <w:tcPr>
            <w:tcW w:w="980" w:type="dxa"/>
            <w:vAlign w:val="bottom"/>
          </w:tcPr>
          <w:p>
            <w:pPr>
              <w:jc w:val="center"/>
              <w:ind w:right="6"/>
              <w:spacing w:after="0" w:line="149" w:lineRule="exact"/>
              <w:rPr>
                <w:sz w:val="20"/>
                <w:szCs w:val="20"/>
                <w:color w:val="auto"/>
              </w:rPr>
            </w:pPr>
            <w:r>
              <w:rPr>
                <w:rFonts w:ascii="Arial" w:cs="Arial" w:eastAsia="Arial" w:hAnsi="Arial"/>
                <w:sz w:val="14"/>
                <w:szCs w:val="14"/>
                <w:color w:val="auto"/>
                <w:w w:val="91"/>
              </w:rPr>
              <w:t>Plant and</w:t>
            </w:r>
          </w:p>
        </w:tc>
        <w:tc>
          <w:tcPr>
            <w:tcW w:w="116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2"/>
              </w:rPr>
              <w:t>Depreciation and</w:t>
            </w:r>
          </w:p>
        </w:tc>
        <w:tc>
          <w:tcPr>
            <w:tcW w:w="140" w:type="dxa"/>
            <w:vAlign w:val="bottom"/>
          </w:tcPr>
          <w:p>
            <w:pPr>
              <w:spacing w:after="0"/>
              <w:rPr>
                <w:sz w:val="12"/>
                <w:szCs w:val="12"/>
                <w:color w:val="auto"/>
              </w:rPr>
            </w:pPr>
          </w:p>
        </w:tc>
        <w:tc>
          <w:tcPr>
            <w:tcW w:w="940" w:type="dxa"/>
            <w:vAlign w:val="bottom"/>
          </w:tcPr>
          <w:p>
            <w:pPr>
              <w:jc w:val="center"/>
              <w:ind w:right="46"/>
              <w:spacing w:after="0" w:line="149" w:lineRule="exact"/>
              <w:rPr>
                <w:sz w:val="20"/>
                <w:szCs w:val="20"/>
                <w:color w:val="auto"/>
              </w:rPr>
            </w:pPr>
            <w:r>
              <w:rPr>
                <w:rFonts w:ascii="Arial" w:cs="Arial" w:eastAsia="Arial" w:hAnsi="Arial"/>
                <w:sz w:val="14"/>
                <w:szCs w:val="14"/>
                <w:color w:val="auto"/>
                <w:w w:val="91"/>
              </w:rPr>
              <w:t>Plant and</w:t>
            </w:r>
          </w:p>
        </w:tc>
        <w:tc>
          <w:tcPr>
            <w:tcW w:w="1140" w:type="dxa"/>
            <w:vAlign w:val="bottom"/>
          </w:tcPr>
          <w:p>
            <w:pPr>
              <w:jc w:val="center"/>
              <w:ind w:left="5"/>
              <w:spacing w:after="0" w:line="149" w:lineRule="exact"/>
              <w:rPr>
                <w:sz w:val="20"/>
                <w:szCs w:val="20"/>
                <w:color w:val="auto"/>
              </w:rPr>
            </w:pPr>
            <w:r>
              <w:rPr>
                <w:rFonts w:ascii="Arial" w:cs="Arial" w:eastAsia="Arial" w:hAnsi="Arial"/>
                <w:sz w:val="14"/>
                <w:szCs w:val="14"/>
                <w:color w:val="auto"/>
                <w:w w:val="92"/>
              </w:rPr>
              <w:t>Weighted Average</w:t>
            </w:r>
          </w:p>
        </w:tc>
        <w:tc>
          <w:tcPr>
            <w:tcW w:w="1320" w:type="dxa"/>
            <w:vAlign w:val="bottom"/>
          </w:tcPr>
          <w:p>
            <w:pPr>
              <w:spacing w:after="0"/>
              <w:rPr>
                <w:sz w:val="12"/>
                <w:szCs w:val="12"/>
                <w:color w:val="auto"/>
              </w:rPr>
            </w:pPr>
          </w:p>
        </w:tc>
        <w:tc>
          <w:tcPr>
            <w:tcW w:w="980" w:type="dxa"/>
            <w:vAlign w:val="bottom"/>
          </w:tcPr>
          <w:p>
            <w:pPr>
              <w:spacing w:after="0"/>
              <w:rPr>
                <w:sz w:val="12"/>
                <w:szCs w:val="12"/>
                <w:color w:val="auto"/>
              </w:rPr>
            </w:pPr>
          </w:p>
        </w:tc>
      </w:tr>
      <w:tr>
        <w:trPr>
          <w:trHeight w:val="188"/>
        </w:trPr>
        <w:tc>
          <w:tcPr>
            <w:tcW w:w="2300" w:type="dxa"/>
            <w:vAlign w:val="bottom"/>
            <w:tcBorders>
              <w:bottom w:val="single" w:sz="8" w:color="CEFFE7"/>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43"/>
              <w:spacing w:after="0"/>
              <w:rPr>
                <w:sz w:val="20"/>
                <w:szCs w:val="20"/>
                <w:color w:val="auto"/>
              </w:rPr>
            </w:pPr>
            <w:r>
              <w:rPr>
                <w:rFonts w:ascii="Arial" w:cs="Arial" w:eastAsia="Arial" w:hAnsi="Arial"/>
                <w:sz w:val="14"/>
                <w:szCs w:val="14"/>
                <w:color w:val="auto"/>
              </w:rPr>
              <w:t>Equipment</w:t>
            </w: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color w:val="auto"/>
                <w:w w:val="98"/>
              </w:rPr>
              <w:t>in Progress</w:t>
            </w: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7"/>
              </w:rPr>
              <w:t>Amortization</w:t>
            </w:r>
          </w:p>
        </w:tc>
        <w:tc>
          <w:tcPr>
            <w:tcW w:w="1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26"/>
              <w:spacing w:after="0"/>
              <w:rPr>
                <w:sz w:val="20"/>
                <w:szCs w:val="20"/>
                <w:color w:val="auto"/>
              </w:rPr>
            </w:pPr>
            <w:r>
              <w:rPr>
                <w:rFonts w:ascii="Arial" w:cs="Arial" w:eastAsia="Arial" w:hAnsi="Arial"/>
                <w:sz w:val="14"/>
                <w:szCs w:val="14"/>
                <w:color w:val="auto"/>
                <w:w w:val="95"/>
              </w:rPr>
              <w:t>Equipment</w:t>
            </w:r>
          </w:p>
        </w:tc>
        <w:tc>
          <w:tcPr>
            <w:tcW w:w="1140" w:type="dxa"/>
            <w:vAlign w:val="bottom"/>
            <w:tcBorders>
              <w:bottom w:val="single" w:sz="8" w:color="auto"/>
            </w:tcBorders>
          </w:tcPr>
          <w:p>
            <w:pPr>
              <w:jc w:val="center"/>
              <w:ind w:left="5"/>
              <w:spacing w:after="0"/>
              <w:rPr>
                <w:sz w:val="20"/>
                <w:szCs w:val="20"/>
                <w:color w:val="auto"/>
              </w:rPr>
            </w:pPr>
            <w:r>
              <w:rPr>
                <w:rFonts w:ascii="Arial" w:cs="Arial" w:eastAsia="Arial" w:hAnsi="Arial"/>
                <w:sz w:val="14"/>
                <w:szCs w:val="14"/>
                <w:color w:val="auto"/>
                <w:w w:val="99"/>
              </w:rPr>
              <w:t>Useful Life</w:t>
            </w:r>
          </w:p>
        </w:tc>
        <w:tc>
          <w:tcPr>
            <w:tcW w:w="1320" w:type="dxa"/>
            <w:vAlign w:val="bottom"/>
            <w:tcBorders>
              <w:bottom w:val="single" w:sz="8" w:color="auto"/>
            </w:tcBorders>
          </w:tcPr>
          <w:p>
            <w:pPr>
              <w:jc w:val="center"/>
              <w:ind w:right="39"/>
              <w:spacing w:after="0"/>
              <w:rPr>
                <w:sz w:val="20"/>
                <w:szCs w:val="20"/>
                <w:color w:val="auto"/>
              </w:rPr>
            </w:pPr>
            <w:r>
              <w:rPr>
                <w:rFonts w:ascii="Arial" w:cs="Arial" w:eastAsia="Arial" w:hAnsi="Arial"/>
                <w:sz w:val="14"/>
                <w:szCs w:val="14"/>
                <w:color w:val="auto"/>
                <w:w w:val="98"/>
              </w:rPr>
              <w:t>Minimum</w:t>
            </w:r>
          </w:p>
        </w:tc>
        <w:tc>
          <w:tcPr>
            <w:tcW w:w="980" w:type="dxa"/>
            <w:vAlign w:val="bottom"/>
            <w:tcBorders>
              <w:bottom w:val="single" w:sz="8" w:color="auto"/>
            </w:tcBorders>
          </w:tcPr>
          <w:p>
            <w:pPr>
              <w:jc w:val="center"/>
              <w:ind w:right="63"/>
              <w:spacing w:after="0"/>
              <w:rPr>
                <w:sz w:val="20"/>
                <w:szCs w:val="20"/>
                <w:color w:val="auto"/>
              </w:rPr>
            </w:pPr>
            <w:r>
              <w:rPr>
                <w:rFonts w:ascii="Arial" w:cs="Arial" w:eastAsia="Arial" w:hAnsi="Arial"/>
                <w:sz w:val="14"/>
                <w:szCs w:val="14"/>
                <w:color w:val="auto"/>
                <w:w w:val="98"/>
              </w:rPr>
              <w:t>Maximum</w:t>
            </w:r>
          </w:p>
        </w:tc>
      </w:tr>
      <w:tr>
        <w:trPr>
          <w:trHeight w:val="256"/>
        </w:trPr>
        <w:tc>
          <w:tcPr>
            <w:tcW w:w="2300" w:type="dxa"/>
            <w:vAlign w:val="bottom"/>
            <w:shd w:val="clear" w:color="auto" w:fill="CEFFE7"/>
          </w:tcPr>
          <w:p>
            <w:pPr>
              <w:jc w:val="right"/>
              <w:ind w:right="1374"/>
              <w:spacing w:after="0"/>
              <w:rPr>
                <w:sz w:val="20"/>
                <w:szCs w:val="20"/>
                <w:color w:val="auto"/>
              </w:rPr>
            </w:pPr>
            <w:r>
              <w:rPr>
                <w:rFonts w:ascii="Arial" w:cs="Arial" w:eastAsia="Arial" w:hAnsi="Arial"/>
                <w:sz w:val="16"/>
                <w:szCs w:val="16"/>
                <w:color w:val="auto"/>
                <w:w w:val="88"/>
              </w:rPr>
              <w:t xml:space="preserve">Corporate </w:t>
            </w:r>
            <w:r>
              <w:rPr>
                <w:rFonts w:ascii="Arial" w:cs="Arial" w:eastAsia="Arial" w:hAnsi="Arial"/>
                <w:sz w:val="21"/>
                <w:szCs w:val="21"/>
                <w:color w:val="auto"/>
                <w:w w:val="88"/>
                <w:vertAlign w:val="superscript"/>
              </w:rPr>
              <w:t>(a)</w:t>
            </w:r>
          </w:p>
        </w:tc>
        <w:tc>
          <w:tcPr>
            <w:tcW w:w="200" w:type="dxa"/>
            <w:vAlign w:val="bottom"/>
            <w:shd w:val="clear" w:color="auto" w:fill="CEFFE7"/>
          </w:tcPr>
          <w:p>
            <w:pPr>
              <w:ind w:left="40"/>
              <w:spacing w:after="0"/>
              <w:rPr>
                <w:sz w:val="20"/>
                <w:szCs w:val="20"/>
                <w:color w:val="auto"/>
              </w:rPr>
            </w:pPr>
            <w:r>
              <w:rPr>
                <w:rFonts w:ascii="Arial" w:cs="Arial" w:eastAsia="Arial" w:hAnsi="Arial"/>
                <w:sz w:val="16"/>
                <w:szCs w:val="16"/>
                <w:color w:val="auto"/>
              </w:rPr>
              <w:t>$</w:t>
            </w:r>
          </w:p>
        </w:tc>
        <w:tc>
          <w:tcPr>
            <w:tcW w:w="920" w:type="dxa"/>
            <w:vAlign w:val="bottom"/>
            <w:shd w:val="clear" w:color="auto" w:fill="CEFFE7"/>
          </w:tcPr>
          <w:p>
            <w:pPr>
              <w:jc w:val="right"/>
              <w:ind w:right="3"/>
              <w:spacing w:after="0"/>
              <w:rPr>
                <w:sz w:val="20"/>
                <w:szCs w:val="20"/>
                <w:color w:val="auto"/>
              </w:rPr>
            </w:pPr>
            <w:r>
              <w:rPr>
                <w:rFonts w:ascii="Arial" w:cs="Arial" w:eastAsia="Arial" w:hAnsi="Arial"/>
                <w:sz w:val="16"/>
                <w:szCs w:val="16"/>
                <w:color w:val="auto"/>
              </w:rPr>
              <w:t>5,721</w:t>
            </w:r>
          </w:p>
        </w:tc>
        <w:tc>
          <w:tcPr>
            <w:tcW w:w="2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ind w:right="39"/>
              <w:spacing w:after="0"/>
              <w:rPr>
                <w:sz w:val="20"/>
                <w:szCs w:val="20"/>
                <w:color w:val="auto"/>
              </w:rPr>
            </w:pPr>
            <w:r>
              <w:rPr>
                <w:rFonts w:ascii="Arial" w:cs="Arial" w:eastAsia="Arial" w:hAnsi="Arial"/>
                <w:sz w:val="16"/>
                <w:szCs w:val="16"/>
                <w:color w:val="auto"/>
              </w:rPr>
              <w:t>16,548</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ind w:right="6"/>
              <w:spacing w:after="0"/>
              <w:rPr>
                <w:sz w:val="20"/>
                <w:szCs w:val="20"/>
                <w:color w:val="auto"/>
              </w:rPr>
            </w:pPr>
            <w:r>
              <w:rPr>
                <w:rFonts w:ascii="Arial" w:cs="Arial" w:eastAsia="Arial" w:hAnsi="Arial"/>
                <w:sz w:val="16"/>
                <w:szCs w:val="16"/>
                <w:color w:val="auto"/>
              </w:rPr>
              <w:t>22,269</w:t>
            </w:r>
          </w:p>
        </w:tc>
        <w:tc>
          <w:tcPr>
            <w:tcW w:w="1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shd w:val="clear" w:color="auto" w:fill="CEFFE7"/>
          </w:tcPr>
          <w:p>
            <w:pPr>
              <w:jc w:val="right"/>
              <w:spacing w:after="0"/>
              <w:rPr>
                <w:sz w:val="20"/>
                <w:szCs w:val="20"/>
                <w:color w:val="auto"/>
              </w:rPr>
            </w:pPr>
            <w:r>
              <w:rPr>
                <w:rFonts w:ascii="Arial" w:cs="Arial" w:eastAsia="Arial" w:hAnsi="Arial"/>
                <w:sz w:val="16"/>
                <w:szCs w:val="16"/>
                <w:color w:val="auto"/>
              </w:rPr>
              <w:t>(670)</w:t>
            </w:r>
          </w:p>
        </w:tc>
        <w:tc>
          <w:tcPr>
            <w:tcW w:w="140" w:type="dxa"/>
            <w:vAlign w:val="bottom"/>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EFFE7"/>
          </w:tcPr>
          <w:p>
            <w:pPr>
              <w:jc w:val="right"/>
              <w:ind w:right="6"/>
              <w:spacing w:after="0"/>
              <w:rPr>
                <w:sz w:val="20"/>
                <w:szCs w:val="20"/>
                <w:color w:val="auto"/>
              </w:rPr>
            </w:pPr>
            <w:r>
              <w:rPr>
                <w:rFonts w:ascii="Arial" w:cs="Arial" w:eastAsia="Arial" w:hAnsi="Arial"/>
                <w:sz w:val="16"/>
                <w:szCs w:val="16"/>
                <w:color w:val="auto"/>
              </w:rPr>
              <w:t>21,599</w:t>
            </w:r>
          </w:p>
        </w:tc>
        <w:tc>
          <w:tcPr>
            <w:tcW w:w="1140" w:type="dxa"/>
            <w:vAlign w:val="bottom"/>
            <w:shd w:val="clear" w:color="auto" w:fill="CEFFE7"/>
          </w:tcPr>
          <w:p>
            <w:pPr>
              <w:jc w:val="center"/>
              <w:spacing w:after="0"/>
              <w:rPr>
                <w:sz w:val="20"/>
                <w:szCs w:val="20"/>
                <w:color w:val="auto"/>
              </w:rPr>
            </w:pPr>
            <w:r>
              <w:rPr>
                <w:rFonts w:ascii="Arial" w:cs="Arial" w:eastAsia="Arial" w:hAnsi="Arial"/>
                <w:sz w:val="16"/>
                <w:szCs w:val="16"/>
                <w:color w:val="auto"/>
                <w:w w:val="89"/>
              </w:rPr>
              <w:t>8</w:t>
            </w:r>
          </w:p>
        </w:tc>
        <w:tc>
          <w:tcPr>
            <w:tcW w:w="1320" w:type="dxa"/>
            <w:vAlign w:val="bottom"/>
            <w:shd w:val="clear" w:color="auto" w:fill="CEFFE7"/>
          </w:tcPr>
          <w:p>
            <w:pPr>
              <w:jc w:val="center"/>
              <w:ind w:right="39"/>
              <w:spacing w:after="0"/>
              <w:rPr>
                <w:sz w:val="20"/>
                <w:szCs w:val="20"/>
                <w:color w:val="auto"/>
              </w:rPr>
            </w:pPr>
            <w:r>
              <w:rPr>
                <w:rFonts w:ascii="Arial" w:cs="Arial" w:eastAsia="Arial" w:hAnsi="Arial"/>
                <w:sz w:val="16"/>
                <w:szCs w:val="16"/>
                <w:color w:val="auto"/>
                <w:w w:val="89"/>
              </w:rPr>
              <w:t>3</w:t>
            </w:r>
          </w:p>
        </w:tc>
        <w:tc>
          <w:tcPr>
            <w:tcW w:w="980" w:type="dxa"/>
            <w:vAlign w:val="bottom"/>
            <w:shd w:val="clear" w:color="auto" w:fill="CEFFE7"/>
          </w:tcPr>
          <w:p>
            <w:pPr>
              <w:jc w:val="right"/>
              <w:ind w:right="403"/>
              <w:spacing w:after="0"/>
              <w:rPr>
                <w:sz w:val="20"/>
                <w:szCs w:val="20"/>
                <w:color w:val="auto"/>
              </w:rPr>
            </w:pPr>
            <w:r>
              <w:rPr>
                <w:rFonts w:ascii="Arial" w:cs="Arial" w:eastAsia="Arial" w:hAnsi="Arial"/>
                <w:sz w:val="16"/>
                <w:szCs w:val="16"/>
                <w:color w:val="auto"/>
              </w:rPr>
              <w:t>30</w:t>
            </w:r>
          </w:p>
        </w:tc>
      </w:tr>
      <w:tr>
        <w:trPr>
          <w:trHeight w:val="220"/>
        </w:trPr>
        <w:tc>
          <w:tcPr>
            <w:tcW w:w="2300" w:type="dxa"/>
            <w:vAlign w:val="bottom"/>
          </w:tcPr>
          <w:p>
            <w:pPr>
              <w:jc w:val="right"/>
              <w:ind w:right="1214"/>
              <w:spacing w:after="0"/>
              <w:rPr>
                <w:sz w:val="20"/>
                <w:szCs w:val="20"/>
                <w:color w:val="auto"/>
              </w:rPr>
            </w:pPr>
            <w:r>
              <w:rPr>
                <w:rFonts w:ascii="Arial" w:cs="Arial" w:eastAsia="Arial" w:hAnsi="Arial"/>
                <w:sz w:val="18"/>
                <w:szCs w:val="18"/>
                <w:color w:val="auto"/>
                <w:w w:val="88"/>
              </w:rPr>
              <w:t>___________</w:t>
            </w:r>
          </w:p>
        </w:tc>
        <w:tc>
          <w:tcPr>
            <w:tcW w:w="2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980" w:type="dxa"/>
            <w:vAlign w:val="bottom"/>
          </w:tcPr>
          <w:p>
            <w:pPr>
              <w:spacing w:after="0"/>
              <w:rPr>
                <w:sz w:val="19"/>
                <w:szCs w:val="19"/>
                <w:color w:val="auto"/>
              </w:rPr>
            </w:pPr>
          </w:p>
        </w:tc>
      </w:tr>
    </w:tbl>
    <w:p>
      <w:pPr>
        <w:ind w:left="340" w:right="100" w:hanging="332"/>
        <w:spacing w:after="0" w:line="252" w:lineRule="auto"/>
        <w:tabs>
          <w:tab w:leader="none" w:pos="340" w:val="left"/>
        </w:tabs>
        <w:numPr>
          <w:ilvl w:val="0"/>
          <w:numId w:val="65"/>
        </w:numPr>
        <w:rPr>
          <w:rFonts w:ascii="Arial" w:cs="Arial" w:eastAsia="Arial" w:hAnsi="Arial"/>
          <w:sz w:val="16"/>
          <w:szCs w:val="16"/>
          <w:color w:val="auto"/>
        </w:rPr>
      </w:pPr>
      <w:r>
        <w:rPr>
          <w:rFonts w:ascii="Arial" w:cs="Arial" w:eastAsia="Arial" w:hAnsi="Arial"/>
          <w:sz w:val="16"/>
          <w:szCs w:val="16"/>
          <w:color w:val="auto"/>
        </w:rPr>
        <w:t xml:space="preserve">Due to the changes in our segment disclosures discussed in </w:t>
      </w:r>
      <w:hyperlink w:anchor="page98">
        <w:r>
          <w:rPr>
            <w:rFonts w:ascii="Arial" w:cs="Arial" w:eastAsia="Arial" w:hAnsi="Arial"/>
            <w:sz w:val="16"/>
            <w:szCs w:val="16"/>
            <w:u w:val="single" w:color="auto"/>
            <w:color w:val="0000EE"/>
          </w:rPr>
          <w:t>Note 5</w:t>
        </w:r>
      </w:hyperlink>
      <w:r>
        <w:rPr>
          <w:rFonts w:ascii="Arial" w:cs="Arial" w:eastAsia="Arial" w:hAnsi="Arial"/>
          <w:sz w:val="16"/>
          <w:szCs w:val="16"/>
          <w:color w:val="auto"/>
        </w:rPr>
        <w:t>, Corporate Accumulated depreciation and amortization and Net property, plant and equipment were revised as of December 31, 2018 which resulted in an increase (decrease) of ($18) million and ($18) million respectively. There was no impact on our consolidated Plant, property and equipment.</w:t>
      </w:r>
    </w:p>
    <w:p>
      <w:pPr>
        <w:spacing w:after="0" w:line="39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(4)</w:t>
        <w:tab/>
        <w:t>JOINTLY OWNED FACILITIES</w:t>
      </w:r>
    </w:p>
    <w:p>
      <w:pPr>
        <w:spacing w:after="0" w:line="22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Our consolidated financial statements include our share of several jointly-owned utility and non-regulated facilities as described below. Our share of the facilities’ expenses are reflected in the appropriate categories of operating expenses in the Consolidated Statements of Income. Each owner of the facility is responsible for financing its investment in the jointly-owned facilities.</w:t>
      </w:r>
    </w:p>
    <w:p>
      <w:pPr>
        <w:spacing w:after="0" w:line="181" w:lineRule="exact"/>
        <w:rPr>
          <w:sz w:val="20"/>
          <w:szCs w:val="20"/>
          <w:color w:val="auto"/>
        </w:rPr>
      </w:pPr>
    </w:p>
    <w:p>
      <w:pPr>
        <w:ind w:left="500" w:right="80" w:hanging="330"/>
        <w:spacing w:after="0" w:line="255"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South Dakota Electric owns a 20% interest in the Wyodak Plant, a coal-fired electric generating station located in Campbell County, Wyoming. PacifiCorp owns the remaining ownership percentage and operates the Wyodak Plant. South Dakota Electric receives its proportionate share of the Wyodak Plant’s capacity and is committed to pay its proportionate share of its additions, replacements and operating and maintenance expenses. In addition to supplying South Dakota Electric with coal for its share of the Wyodak Plant, our Mining subsidiary, WRDC, supplies PacifiCorp’s share of the coal to the Wyodak Plant under a separate long-term agreement. This coal supply agreement is collateralized by a mortgage on and a security interest in some of WRDC’s coal reserves.</w:t>
      </w:r>
    </w:p>
    <w:p>
      <w:pPr>
        <w:spacing w:after="0" w:line="193" w:lineRule="exact"/>
        <w:rPr>
          <w:rFonts w:ascii="Arial" w:cs="Arial" w:eastAsia="Arial" w:hAnsi="Arial"/>
          <w:sz w:val="18"/>
          <w:szCs w:val="18"/>
          <w:color w:val="auto"/>
        </w:rPr>
      </w:pPr>
    </w:p>
    <w:p>
      <w:pPr>
        <w:ind w:left="500" w:right="240" w:hanging="330"/>
        <w:spacing w:after="0" w:line="276" w:lineRule="auto"/>
        <w:tabs>
          <w:tab w:leader="none" w:pos="500" w:val="left"/>
        </w:tabs>
        <w:numPr>
          <w:ilvl w:val="0"/>
          <w:numId w:val="66"/>
        </w:numPr>
        <w:rPr>
          <w:rFonts w:ascii="Arial" w:cs="Arial" w:eastAsia="Arial" w:hAnsi="Arial"/>
          <w:sz w:val="17"/>
          <w:szCs w:val="17"/>
          <w:color w:val="auto"/>
        </w:rPr>
      </w:pPr>
      <w:r>
        <w:rPr>
          <w:rFonts w:ascii="Arial" w:cs="Arial" w:eastAsia="Arial" w:hAnsi="Arial"/>
          <w:sz w:val="17"/>
          <w:szCs w:val="17"/>
          <w:color w:val="auto"/>
        </w:rPr>
        <w:t>South Dakota Electric also owns a 35% interest in, and is the operator of, the Converter Station Site and South Rapid City Interconnection (the transmission tie), an AC-DC-AC transmission tie. Basin Electric owns the remaining ownership percentage. The transmission tie provides an interconnection between the Western and Eastern transmission grids, which provides us with access to both the WECC and SPP regions. The total transfer capacity of the tie is 400 MW, including 200 MW from West to East and 200 MW from East to West. South Dakota Electric is committed to pay its proportionate share of the additions and replacements and operating and maintenance expenses of the transmission tie.</w:t>
      </w:r>
    </w:p>
    <w:p>
      <w:pPr>
        <w:spacing w:after="0" w:line="172" w:lineRule="exact"/>
        <w:rPr>
          <w:rFonts w:ascii="Arial" w:cs="Arial" w:eastAsia="Arial" w:hAnsi="Arial"/>
          <w:sz w:val="17"/>
          <w:szCs w:val="17"/>
          <w:color w:val="auto"/>
        </w:rPr>
      </w:pPr>
    </w:p>
    <w:p>
      <w:pPr>
        <w:ind w:left="500" w:right="140" w:hanging="330"/>
        <w:spacing w:after="0" w:line="259"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South Dakota Electric owns 52% of the Wygen III generation facility. MDU and the City of Gillette each owns an undivided ownership interest in Wygen III and are obligated to make payments for costs associated with administrative services and their proportionate share of the costs of operating the plant for the life of the facility. South Dakota Electric retains responsibility for plant operations. Our Mining subsidiary supplies fuel to Wygen III for the life of the plant.</w:t>
      </w:r>
    </w:p>
    <w:p>
      <w:pPr>
        <w:spacing w:after="0" w:line="186" w:lineRule="exact"/>
        <w:rPr>
          <w:rFonts w:ascii="Arial" w:cs="Arial" w:eastAsia="Arial" w:hAnsi="Arial"/>
          <w:sz w:val="18"/>
          <w:szCs w:val="18"/>
          <w:color w:val="auto"/>
        </w:rPr>
      </w:pPr>
    </w:p>
    <w:p>
      <w:pPr>
        <w:ind w:left="500" w:right="140" w:hanging="330"/>
        <w:spacing w:after="0" w:line="264" w:lineRule="auto"/>
        <w:tabs>
          <w:tab w:leader="none" w:pos="5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Black Hills Wyoming owns 76.5% of the Wygen I plant while MEAN owns the remaining ownership percentage. MEAN is obligated to make payments for its share of the costs associated with administrative services, plant operations and coal supply provided by our Mining subsidiary during the life of the facility. Black Hills Wyoming retains responsibility for plant operations.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420"/>
          </w:cols>
          <w:pgMar w:left="240" w:top="126" w:right="239" w:bottom="1440" w:gutter="0" w:footer="0" w:header="0"/>
        </w:sectPr>
      </w:pPr>
    </w:p>
    <w:bookmarkStart w:id="97" w:name="page98"/>
    <w:bookmarkEnd w:id="97"/>
    <w:tbl>
      <w:tblPr>
        <w:tblLayout w:type="fixed"/>
        <w:tblInd w:w="0" w:type="dxa"/>
        <w:tblCellMar>
          <w:top w:w="0" w:type="dxa"/>
          <w:left w:w="0" w:type="dxa"/>
          <w:bottom w:w="0" w:type="dxa"/>
          <w:right w:w="0" w:type="dxa"/>
        </w:tblCellMar>
      </w:tblPr>
      <w:tr>
        <w:trPr>
          <w:trHeight w:val="184"/>
        </w:trPr>
        <w:tc>
          <w:tcPr>
            <w:tcW w:w="40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4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8260" w:type="dxa"/>
            <w:vAlign w:val="bottom"/>
            <w:gridSpan w:val="7"/>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39"/>
        </w:trPr>
        <w:tc>
          <w:tcPr>
            <w:tcW w:w="9480" w:type="dxa"/>
            <w:vAlign w:val="bottom"/>
            <w:gridSpan w:val="8"/>
          </w:tcPr>
          <w:p>
            <w:pPr>
              <w:spacing w:after="0"/>
              <w:rPr>
                <w:sz w:val="20"/>
                <w:szCs w:val="20"/>
                <w:color w:val="auto"/>
              </w:rPr>
            </w:pPr>
            <w:r>
              <w:rPr>
                <w:rFonts w:ascii="Arial" w:cs="Arial" w:eastAsia="Arial" w:hAnsi="Arial"/>
                <w:sz w:val="18"/>
                <w:szCs w:val="18"/>
                <w:color w:val="auto"/>
                <w:w w:val="98"/>
              </w:rPr>
              <w:t>At December 31, 2019, our interests in jointly-owned generating facilities and transmission systems were (in thousands):</w:t>
            </w:r>
          </w:p>
        </w:tc>
        <w:tc>
          <w:tcPr>
            <w:tcW w:w="320" w:type="dxa"/>
            <w:vAlign w:val="bottom"/>
          </w:tcPr>
          <w:p>
            <w:pPr>
              <w:spacing w:after="0"/>
              <w:rPr>
                <w:sz w:val="24"/>
                <w:szCs w:val="24"/>
                <w:color w:val="auto"/>
              </w:rPr>
            </w:pPr>
          </w:p>
        </w:tc>
        <w:tc>
          <w:tcPr>
            <w:tcW w:w="1620" w:type="dxa"/>
            <w:vAlign w:val="bottom"/>
          </w:tcPr>
          <w:p>
            <w:pPr>
              <w:spacing w:after="0"/>
              <w:rPr>
                <w:sz w:val="24"/>
                <w:szCs w:val="24"/>
                <w:color w:val="auto"/>
              </w:rPr>
            </w:pPr>
          </w:p>
        </w:tc>
      </w:tr>
      <w:tr>
        <w:trPr>
          <w:trHeight w:val="364"/>
        </w:trPr>
        <w:tc>
          <w:tcPr>
            <w:tcW w:w="122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w w:val="93"/>
              </w:rPr>
              <w:t>Construction Work in</w:t>
            </w:r>
          </w:p>
        </w:tc>
        <w:tc>
          <w:tcPr>
            <w:tcW w:w="220" w:type="dxa"/>
            <w:vAlign w:val="bottom"/>
          </w:tcPr>
          <w:p>
            <w:pPr>
              <w:spacing w:after="0"/>
              <w:rPr>
                <w:sz w:val="24"/>
                <w:szCs w:val="24"/>
                <w:color w:val="auto"/>
              </w:rPr>
            </w:pPr>
          </w:p>
        </w:tc>
        <w:tc>
          <w:tcPr>
            <w:tcW w:w="1640" w:type="dxa"/>
            <w:vAlign w:val="bottom"/>
          </w:tcPr>
          <w:p>
            <w:pPr>
              <w:jc w:val="right"/>
              <w:ind w:right="150"/>
              <w:spacing w:after="0"/>
              <w:rPr>
                <w:sz w:val="20"/>
                <w:szCs w:val="20"/>
                <w:color w:val="auto"/>
              </w:rPr>
            </w:pPr>
            <w:r>
              <w:rPr>
                <w:rFonts w:ascii="Arial" w:cs="Arial" w:eastAsia="Arial" w:hAnsi="Arial"/>
                <w:sz w:val="18"/>
                <w:szCs w:val="18"/>
                <w:color w:val="auto"/>
                <w:w w:val="93"/>
              </w:rPr>
              <w:t>Less Accumulated</w:t>
            </w:r>
          </w:p>
        </w:tc>
        <w:tc>
          <w:tcPr>
            <w:tcW w:w="1940" w:type="dxa"/>
            <w:vAlign w:val="bottom"/>
            <w:gridSpan w:val="2"/>
          </w:tcPr>
          <w:p>
            <w:pPr>
              <w:ind w:left="40"/>
              <w:spacing w:after="0"/>
              <w:rPr>
                <w:sz w:val="20"/>
                <w:szCs w:val="20"/>
                <w:color w:val="auto"/>
              </w:rPr>
            </w:pPr>
            <w:r>
              <w:rPr>
                <w:rFonts w:ascii="Arial" w:cs="Arial" w:eastAsia="Arial" w:hAnsi="Arial"/>
                <w:sz w:val="18"/>
                <w:szCs w:val="18"/>
                <w:color w:val="auto"/>
                <w:w w:val="92"/>
              </w:rPr>
              <w:t>Plant Net of Accumulated</w:t>
            </w:r>
          </w:p>
        </w:tc>
      </w:tr>
      <w:tr>
        <w:trPr>
          <w:trHeight w:val="230"/>
        </w:trPr>
        <w:tc>
          <w:tcPr>
            <w:tcW w:w="12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w w:val="99"/>
              </w:rPr>
              <w:t>Plant in Service</w:t>
            </w:r>
          </w:p>
        </w:tc>
        <w:tc>
          <w:tcPr>
            <w:tcW w:w="160" w:type="dxa"/>
            <w:vAlign w:val="bottom"/>
          </w:tcPr>
          <w:p>
            <w:pPr>
              <w:spacing w:after="0"/>
              <w:rPr>
                <w:sz w:val="20"/>
                <w:szCs w:val="20"/>
                <w:color w:val="auto"/>
              </w:rPr>
            </w:pPr>
          </w:p>
        </w:tc>
        <w:tc>
          <w:tcPr>
            <w:tcW w:w="1660" w:type="dxa"/>
            <w:vAlign w:val="bottom"/>
          </w:tcPr>
          <w:p>
            <w:pPr>
              <w:jc w:val="right"/>
              <w:ind w:right="470"/>
              <w:spacing w:after="0"/>
              <w:rPr>
                <w:sz w:val="20"/>
                <w:szCs w:val="20"/>
                <w:color w:val="auto"/>
              </w:rPr>
            </w:pPr>
            <w:r>
              <w:rPr>
                <w:rFonts w:ascii="Arial" w:cs="Arial" w:eastAsia="Arial" w:hAnsi="Arial"/>
                <w:sz w:val="18"/>
                <w:szCs w:val="18"/>
                <w:color w:val="auto"/>
              </w:rPr>
              <w:t>Progress</w:t>
            </w:r>
          </w:p>
        </w:tc>
        <w:tc>
          <w:tcPr>
            <w:tcW w:w="220" w:type="dxa"/>
            <w:vAlign w:val="bottom"/>
          </w:tcPr>
          <w:p>
            <w:pPr>
              <w:spacing w:after="0"/>
              <w:rPr>
                <w:sz w:val="20"/>
                <w:szCs w:val="20"/>
                <w:color w:val="auto"/>
              </w:rPr>
            </w:pPr>
          </w:p>
        </w:tc>
        <w:tc>
          <w:tcPr>
            <w:tcW w:w="1640" w:type="dxa"/>
            <w:vAlign w:val="bottom"/>
          </w:tcPr>
          <w:p>
            <w:pPr>
              <w:jc w:val="right"/>
              <w:ind w:right="350"/>
              <w:spacing w:after="0"/>
              <w:rPr>
                <w:sz w:val="20"/>
                <w:szCs w:val="20"/>
                <w:color w:val="auto"/>
              </w:rPr>
            </w:pPr>
            <w:r>
              <w:rPr>
                <w:rFonts w:ascii="Arial" w:cs="Arial" w:eastAsia="Arial" w:hAnsi="Arial"/>
                <w:sz w:val="18"/>
                <w:szCs w:val="18"/>
                <w:color w:val="auto"/>
              </w:rPr>
              <w:t>Depreciation</w:t>
            </w:r>
          </w:p>
        </w:tc>
        <w:tc>
          <w:tcPr>
            <w:tcW w:w="320" w:type="dxa"/>
            <w:vAlign w:val="bottom"/>
          </w:tcPr>
          <w:p>
            <w:pPr>
              <w:spacing w:after="0"/>
              <w:rPr>
                <w:sz w:val="20"/>
                <w:szCs w:val="20"/>
                <w:color w:val="auto"/>
              </w:rPr>
            </w:pPr>
          </w:p>
        </w:tc>
        <w:tc>
          <w:tcPr>
            <w:tcW w:w="1620" w:type="dxa"/>
            <w:vAlign w:val="bottom"/>
          </w:tcPr>
          <w:p>
            <w:pPr>
              <w:jc w:val="right"/>
              <w:ind w:right="410"/>
              <w:spacing w:after="0"/>
              <w:rPr>
                <w:sz w:val="20"/>
                <w:szCs w:val="20"/>
                <w:color w:val="auto"/>
              </w:rPr>
            </w:pPr>
            <w:r>
              <w:rPr>
                <w:rFonts w:ascii="Arial" w:cs="Arial" w:eastAsia="Arial" w:hAnsi="Arial"/>
                <w:sz w:val="18"/>
                <w:szCs w:val="18"/>
                <w:color w:val="auto"/>
              </w:rPr>
              <w:t>Depreciation</w:t>
            </w:r>
          </w:p>
        </w:tc>
      </w:tr>
      <w:tr>
        <w:trPr>
          <w:trHeight w:val="27"/>
        </w:trPr>
        <w:tc>
          <w:tcPr>
            <w:tcW w:w="1220" w:type="dxa"/>
            <w:vAlign w:val="bottom"/>
            <w:tcBorders>
              <w:bottom w:val="single" w:sz="8" w:color="CEFFE7"/>
            </w:tcBorders>
          </w:tcPr>
          <w:p>
            <w:pPr>
              <w:spacing w:after="0"/>
              <w:rPr>
                <w:sz w:val="2"/>
                <w:szCs w:val="2"/>
                <w:color w:val="auto"/>
              </w:rPr>
            </w:pPr>
          </w:p>
        </w:tc>
        <w:tc>
          <w:tcPr>
            <w:tcW w:w="2780" w:type="dxa"/>
            <w:vAlign w:val="bottom"/>
            <w:tcBorders>
              <w:bottom w:val="single" w:sz="8" w:color="CEFFE7"/>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Wyodak Plant</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116,074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(64,413)</w:t>
            </w:r>
          </w:p>
        </w:tc>
        <w:tc>
          <w:tcPr>
            <w:tcW w:w="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52,390</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Transmission Tie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19,862</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4,161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(6,612)</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17,411</w:t>
            </w:r>
          </w:p>
        </w:tc>
      </w:tr>
      <w:tr>
        <w:trPr>
          <w:trHeight w:val="27"/>
        </w:trPr>
        <w:tc>
          <w:tcPr>
            <w:tcW w:w="1220" w:type="dxa"/>
            <w:vAlign w:val="bottom"/>
          </w:tcPr>
          <w:p>
            <w:pPr>
              <w:spacing w:after="0"/>
              <w:rPr>
                <w:sz w:val="2"/>
                <w:szCs w:val="2"/>
                <w:color w:val="auto"/>
              </w:rPr>
            </w:pPr>
          </w:p>
        </w:tc>
        <w:tc>
          <w:tcPr>
            <w:tcW w:w="2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0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Wygen I</w:t>
            </w:r>
          </w:p>
        </w:tc>
        <w:tc>
          <w:tcPr>
            <w:tcW w:w="24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120,824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289</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(48,703)</w:t>
            </w:r>
          </w:p>
        </w:tc>
        <w:tc>
          <w:tcPr>
            <w:tcW w:w="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72,410</w:t>
            </w:r>
          </w:p>
        </w:tc>
      </w:tr>
      <w:tr>
        <w:trPr>
          <w:trHeight w:val="243"/>
        </w:trPr>
        <w:tc>
          <w:tcPr>
            <w:tcW w:w="4000" w:type="dxa"/>
            <w:vAlign w:val="bottom"/>
            <w:gridSpan w:val="2"/>
          </w:tcPr>
          <w:p>
            <w:pPr>
              <w:ind w:left="40"/>
              <w:spacing w:after="0"/>
              <w:rPr>
                <w:sz w:val="20"/>
                <w:szCs w:val="20"/>
                <w:color w:val="auto"/>
              </w:rPr>
            </w:pPr>
            <w:r>
              <w:rPr>
                <w:rFonts w:ascii="Arial" w:cs="Arial" w:eastAsia="Arial" w:hAnsi="Arial"/>
                <w:sz w:val="18"/>
                <w:szCs w:val="18"/>
                <w:color w:val="auto"/>
              </w:rPr>
              <w:t>Wygen III</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spacing w:after="0"/>
              <w:rPr>
                <w:sz w:val="20"/>
                <w:szCs w:val="20"/>
                <w:color w:val="auto"/>
              </w:rPr>
            </w:pPr>
            <w:r>
              <w:rPr>
                <w:rFonts w:ascii="Arial" w:cs="Arial" w:eastAsia="Arial" w:hAnsi="Arial"/>
                <w:sz w:val="18"/>
                <w:szCs w:val="18"/>
                <w:color w:val="auto"/>
              </w:rPr>
              <w:t>146,161</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660" w:type="dxa"/>
            <w:vAlign w:val="bottom"/>
          </w:tcPr>
          <w:p>
            <w:pPr>
              <w:jc w:val="right"/>
              <w:spacing w:after="0"/>
              <w:rPr>
                <w:sz w:val="20"/>
                <w:szCs w:val="20"/>
                <w:color w:val="auto"/>
              </w:rPr>
            </w:pPr>
            <w:r>
              <w:rPr>
                <w:rFonts w:ascii="Arial" w:cs="Arial" w:eastAsia="Arial" w:hAnsi="Arial"/>
                <w:sz w:val="18"/>
                <w:szCs w:val="18"/>
                <w:color w:val="auto"/>
              </w:rPr>
              <w:t>400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(25,518)</w:t>
            </w:r>
          </w:p>
        </w:tc>
        <w:tc>
          <w:tcPr>
            <w:tcW w:w="320" w:type="dxa"/>
            <w:vAlign w:val="bottom"/>
          </w:tcPr>
          <w:p>
            <w:pPr>
              <w:ind w:left="4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121,043</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Jointly Owned Facility - Related Party</w:t>
      </w:r>
    </w:p>
    <w:p>
      <w:pPr>
        <w:spacing w:after="0" w:line="229"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Colorado Electric owns 50% of Busch Ranch I while Black Hills Electric Generation owns the remaining 50% ownership interest. Each company is obligated to make payments for costs associated with their proportionate share of the costs of operating the wind farm over the life of the facility. On December 11, 2018, Black Hills Electric Generation purchased its 50% ownership interest in Busch Ranch I for $16 million. Colorado Electric retains responsibility for operations of the wind farm. We recorded this purchase as an asset acquisition at fair value with $8.7 million of the purchase price recorded as wind generation assets, and $7.6 million recorded as an intangible asset, reflective of the fair value of the PPA. Black Hills Electric Generation provides its share of energy from the wind farm to Colorado Electric through a PPA, which expires in October 2037.</w:t>
      </w:r>
    </w:p>
    <w:p>
      <w:pPr>
        <w:spacing w:after="0" w:line="174"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(5)</w:t>
      </w:r>
      <w:r>
        <w:rPr>
          <w:sz w:val="20"/>
          <w:szCs w:val="20"/>
          <w:color w:val="auto"/>
        </w:rPr>
        <w:tab/>
      </w:r>
      <w:r>
        <w:rPr>
          <w:rFonts w:ascii="Arial" w:cs="Arial" w:eastAsia="Arial" w:hAnsi="Arial"/>
          <w:sz w:val="17"/>
          <w:szCs w:val="17"/>
          <w:b w:val="1"/>
          <w:bCs w:val="1"/>
          <w:color w:val="auto"/>
        </w:rPr>
        <w:t>BUSINESS SEGMENT INFORMATION</w:t>
      </w:r>
    </w:p>
    <w:p>
      <w:pPr>
        <w:spacing w:after="0" w:line="22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Our reportable segments are based on our method of internal reporting, which is generally segregated by differences in products, services and regulation. All of our operations and assets are located within the United States.</w:t>
      </w:r>
    </w:p>
    <w:p>
      <w:pPr>
        <w:spacing w:after="0" w:line="170"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Accounting standards for presentation of segments require an approach based on the way we organize the segments for making operating decisions and how the chief operating decision maker (CODM) assesses performance. Effective January 1, 2019, we concluded that adjusted operating income, instead of net income available for common stock which was used previously, is the most relevant metric for measuring segment performance. The change to our segment performance measure resulted in a revision of the Company’s segment disclosures for all periods to report adjusted operating income as the measure of segment performance.</w:t>
      </w:r>
    </w:p>
    <w:p>
      <w:pPr>
        <w:spacing w:after="0" w:line="188" w:lineRule="exact"/>
        <w:rPr>
          <w:sz w:val="20"/>
          <w:szCs w:val="20"/>
          <w:color w:val="auto"/>
        </w:rPr>
      </w:pPr>
    </w:p>
    <w:p>
      <w:pPr>
        <w:jc w:val="both"/>
        <w:ind w:right="80"/>
        <w:spacing w:after="0" w:line="302" w:lineRule="auto"/>
        <w:rPr>
          <w:sz w:val="20"/>
          <w:szCs w:val="20"/>
          <w:color w:val="auto"/>
        </w:rPr>
      </w:pPr>
      <w:r>
        <w:rPr>
          <w:rFonts w:ascii="Arial" w:cs="Arial" w:eastAsia="Arial" w:hAnsi="Arial"/>
          <w:sz w:val="16"/>
          <w:szCs w:val="16"/>
          <w:color w:val="auto"/>
        </w:rPr>
        <w:t>Prior to January 1, 2019, operating income for the Electric Utilities and Power Generation segments and Corporate and Other included the impacts of finance lease accounting relating to Colorado Electric’s PPA with Black Hills Colorado IPP. This PPA provides 200 MW of energy and capacity to Colorado Electric from Black Hills Colorado IPP’s combined-cycle turbines and expires on December 31, 2031. Finance lease accounting required us to de-recognize the asset from Black Hills Colorado IPP (Power Generation segment), which legally owns the asset, and recognize it at Colorado Electric (Electric Utilities segment).</w:t>
      </w:r>
    </w:p>
    <w:p>
      <w:pPr>
        <w:spacing w:after="0" w:line="154"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The CODM assesses the performance of our segments using adjusted operating income, which recognizes intersegment revenues, costs, and assets for Colorado Electric’s PPA with Black Hills Colorado IPP on an accrual basis rather than as a finance lease. Effective January 1, 2019, we changed how we account for this PPA at the segment level, which impacts disclosures for all periods for revenues, fuel and purchased power cost, operating income and total assets for the Electric Utilities and Power Generation segments as well as Corporate and Other. There were no revisions to Gas Utilities and Mining segments and this change had no effect on our consolidated revenues, fuel and purchased power cost, operating income or total assets.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420"/>
          </w:cols>
          <w:pgMar w:left="240" w:top="118" w:right="239" w:bottom="1440" w:gutter="0" w:footer="0" w:header="0"/>
        </w:sectPr>
      </w:pPr>
    </w:p>
    <w:bookmarkStart w:id="98" w:name="page99"/>
    <w:bookmarkEnd w:id="98"/>
    <w:tbl>
      <w:tblPr>
        <w:tblLayout w:type="fixed"/>
        <w:tblInd w:w="0" w:type="dxa"/>
        <w:tblCellMar>
          <w:top w:w="0" w:type="dxa"/>
          <w:left w:w="0" w:type="dxa"/>
          <w:bottom w:w="0" w:type="dxa"/>
          <w:right w:w="0" w:type="dxa"/>
        </w:tblCellMar>
      </w:tblPr>
      <w:tr>
        <w:trPr>
          <w:trHeight w:val="184"/>
        </w:trPr>
        <w:tc>
          <w:tcPr>
            <w:tcW w:w="82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3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240" w:type="dxa"/>
            <w:vAlign w:val="bottom"/>
            <w:gridSpan w:val="2"/>
          </w:tcPr>
          <w:p>
            <w:pPr>
              <w:spacing w:after="0"/>
              <w:rPr>
                <w:sz w:val="20"/>
                <w:szCs w:val="20"/>
                <w:color w:val="auto"/>
              </w:rPr>
            </w:pPr>
            <w:r>
              <w:rPr>
                <w:rFonts w:ascii="Arial" w:cs="Arial" w:eastAsia="Arial" w:hAnsi="Arial"/>
                <w:sz w:val="18"/>
                <w:szCs w:val="18"/>
                <w:color w:val="auto"/>
              </w:rPr>
              <w:t>Segment information was as follows (in thousands):</w:t>
            </w:r>
          </w:p>
        </w:tc>
        <w:tc>
          <w:tcPr>
            <w:tcW w:w="3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Total Assets (net of intercompany eliminations) as of December 31,</w:t>
            </w: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1220" w:type="dxa"/>
            <w:vAlign w:val="bottom"/>
            <w:tcBorders>
              <w:bottom w:val="single" w:sz="8" w:color="auto"/>
            </w:tcBorders>
          </w:tcPr>
          <w:p>
            <w:pPr>
              <w:spacing w:after="0"/>
              <w:rPr>
                <w:sz w:val="2"/>
                <w:szCs w:val="2"/>
                <w:color w:val="auto"/>
              </w:rPr>
            </w:pPr>
          </w:p>
        </w:tc>
        <w:tc>
          <w:tcPr>
            <w:tcW w:w="70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gridSpan w:val="2"/>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2,900,983</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2,707,695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4,032,339</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3,623,475</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2"/>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417,715</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342,085</w:t>
            </w:r>
          </w:p>
        </w:tc>
        <w:tc>
          <w:tcPr>
            <w:tcW w:w="0" w:type="dxa"/>
            <w:vAlign w:val="bottom"/>
          </w:tcPr>
          <w:p>
            <w:pPr>
              <w:spacing w:after="0"/>
              <w:rPr>
                <w:sz w:val="1"/>
                <w:szCs w:val="1"/>
                <w:color w:val="auto"/>
              </w:rPr>
            </w:pPr>
          </w:p>
        </w:tc>
      </w:tr>
      <w:tr>
        <w:trPr>
          <w:trHeight w:val="243"/>
        </w:trPr>
        <w:tc>
          <w:tcPr>
            <w:tcW w:w="8240" w:type="dxa"/>
            <w:vAlign w:val="bottom"/>
            <w:gridSpan w:val="2"/>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77,175</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80,594</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70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130,245</w:t>
            </w:r>
          </w:p>
        </w:tc>
        <w:tc>
          <w:tcPr>
            <w:tcW w:w="4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209,478</w:t>
            </w:r>
          </w:p>
        </w:tc>
        <w:tc>
          <w:tcPr>
            <w:tcW w:w="0" w:type="dxa"/>
            <w:vAlign w:val="bottom"/>
          </w:tcPr>
          <w:p>
            <w:pPr>
              <w:spacing w:after="0"/>
              <w:rPr>
                <w:sz w:val="1"/>
                <w:szCs w:val="1"/>
                <w:color w:val="auto"/>
              </w:rPr>
            </w:pPr>
          </w:p>
        </w:tc>
      </w:tr>
      <w:tr>
        <w:trPr>
          <w:trHeight w:val="257"/>
        </w:trPr>
        <w:tc>
          <w:tcPr>
            <w:tcW w:w="8240" w:type="dxa"/>
            <w:vAlign w:val="bottom"/>
            <w:gridSpan w:val="2"/>
          </w:tcPr>
          <w:p>
            <w:pPr>
              <w:ind w:left="40"/>
              <w:spacing w:after="0"/>
              <w:rPr>
                <w:sz w:val="20"/>
                <w:szCs w:val="20"/>
                <w:color w:val="auto"/>
              </w:rPr>
            </w:pPr>
            <w:r>
              <w:rPr>
                <w:rFonts w:ascii="Arial" w:cs="Arial" w:eastAsia="Arial" w:hAnsi="Arial"/>
                <w:sz w:val="18"/>
                <w:szCs w:val="18"/>
                <w:color w:val="auto"/>
              </w:rPr>
              <w:t>Total assets</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7,558,457</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6,963,327</w:t>
            </w:r>
          </w:p>
        </w:tc>
        <w:tc>
          <w:tcPr>
            <w:tcW w:w="0" w:type="dxa"/>
            <w:vAlign w:val="bottom"/>
          </w:tcPr>
          <w:p>
            <w:pPr>
              <w:spacing w:after="0"/>
              <w:rPr>
                <w:sz w:val="1"/>
                <w:szCs w:val="1"/>
                <w:color w:val="auto"/>
              </w:rPr>
            </w:pPr>
          </w:p>
        </w:tc>
      </w:tr>
      <w:tr>
        <w:trPr>
          <w:trHeight w:val="20"/>
        </w:trPr>
        <w:tc>
          <w:tcPr>
            <w:tcW w:w="8240" w:type="dxa"/>
            <w:vAlign w:val="bottom"/>
            <w:gridSpan w:val="2"/>
            <w:vMerge w:val="restart"/>
          </w:tcPr>
          <w:p>
            <w:pPr>
              <w:spacing w:after="0"/>
              <w:rPr>
                <w:sz w:val="20"/>
                <w:szCs w:val="20"/>
                <w:color w:val="auto"/>
              </w:rPr>
            </w:pPr>
            <w:r>
              <w:rPr>
                <w:rFonts w:ascii="Arial" w:cs="Arial" w:eastAsia="Arial" w:hAnsi="Arial"/>
                <w:sz w:val="20"/>
                <w:szCs w:val="20"/>
                <w:color w:val="auto"/>
              </w:rPr>
              <w:t>__________________</w:t>
            </w: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8240" w:type="dxa"/>
            <w:vAlign w:val="bottom"/>
            <w:gridSpan w:val="2"/>
            <w:vMerge w:val="continue"/>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right="200" w:hanging="332"/>
        <w:spacing w:after="0" w:line="257" w:lineRule="auto"/>
        <w:tabs>
          <w:tab w:leader="none" w:pos="340" w:val="left"/>
        </w:tabs>
        <w:numPr>
          <w:ilvl w:val="0"/>
          <w:numId w:val="67"/>
        </w:numPr>
        <w:rPr>
          <w:rFonts w:ascii="Arial" w:cs="Arial" w:eastAsia="Arial" w:hAnsi="Arial"/>
          <w:sz w:val="16"/>
          <w:szCs w:val="16"/>
          <w:color w:val="auto"/>
        </w:rPr>
      </w:pPr>
      <w:r>
        <w:rPr>
          <w:rFonts w:ascii="Arial" w:cs="Arial" w:eastAsia="Arial" w:hAnsi="Arial"/>
          <w:sz w:val="16"/>
          <w:szCs w:val="16"/>
          <w:color w:val="auto"/>
        </w:rPr>
        <w:t>Due to the changes in our segment disclosures, Electric Utilities and Power Generation Total assets were revised as of December 31, 2018 which resulted in an increase (decrease) of ($188) million and $188 million, respectively. There was no impact on our consolidated Total assets.</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287"/>
        </w:trPr>
        <w:tc>
          <w:tcPr>
            <w:tcW w:w="8240" w:type="dxa"/>
            <w:vAlign w:val="bottom"/>
            <w:tcBorders>
              <w:bottom w:val="single" w:sz="8" w:color="auto"/>
            </w:tcBorders>
            <w:gridSpan w:val="3"/>
          </w:tcPr>
          <w:p>
            <w:pPr>
              <w:ind w:left="40"/>
              <w:spacing w:after="0"/>
              <w:rPr>
                <w:sz w:val="20"/>
                <w:szCs w:val="20"/>
                <w:color w:val="auto"/>
              </w:rPr>
            </w:pPr>
            <w:r>
              <w:rPr>
                <w:rFonts w:ascii="Arial" w:cs="Arial" w:eastAsia="Arial" w:hAnsi="Arial"/>
                <w:sz w:val="18"/>
                <w:szCs w:val="18"/>
                <w:color w:val="auto"/>
              </w:rPr>
              <w:t xml:space="preserve">Capital Expenditures </w:t>
            </w:r>
            <w:r>
              <w:rPr>
                <w:rFonts w:ascii="Arial" w:cs="Arial" w:eastAsia="Arial" w:hAnsi="Arial"/>
                <w:sz w:val="25"/>
                <w:szCs w:val="25"/>
                <w:color w:val="auto"/>
                <w:vertAlign w:val="superscript"/>
              </w:rPr>
              <w:t>(a)</w:t>
            </w:r>
            <w:r>
              <w:rPr>
                <w:rFonts w:ascii="Arial" w:cs="Arial" w:eastAsia="Arial" w:hAnsi="Arial"/>
                <w:sz w:val="18"/>
                <w:szCs w:val="18"/>
                <w:color w:val="auto"/>
              </w:rPr>
              <w:t xml:space="preserve"> for the years ended December 31,</w:t>
            </w:r>
          </w:p>
        </w:tc>
        <w:tc>
          <w:tcPr>
            <w:tcW w:w="3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2019</w:t>
            </w:r>
          </w:p>
        </w:tc>
        <w:tc>
          <w:tcPr>
            <w:tcW w:w="4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Capital expenditures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Electric Utilities</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222,911</w:t>
            </w:r>
          </w:p>
        </w:tc>
        <w:tc>
          <w:tcPr>
            <w:tcW w:w="42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152,524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gridSpan w:val="3"/>
            <w:shd w:val="clear" w:color="auto" w:fill="CEFFE7"/>
          </w:tcPr>
          <w:p>
            <w:pPr>
              <w:ind w:left="380"/>
              <w:spacing w:after="0"/>
              <w:rPr>
                <w:sz w:val="20"/>
                <w:szCs w:val="20"/>
                <w:color w:val="auto"/>
              </w:rPr>
            </w:pPr>
            <w:r>
              <w:rPr>
                <w:rFonts w:ascii="Arial" w:cs="Arial" w:eastAsia="Arial" w:hAnsi="Arial"/>
                <w:sz w:val="18"/>
                <w:szCs w:val="18"/>
                <w:color w:val="auto"/>
              </w:rPr>
              <w:t>Gas Utilities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512,366</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288,438</w:t>
            </w:r>
          </w:p>
        </w:tc>
        <w:tc>
          <w:tcPr>
            <w:tcW w:w="0" w:type="dxa"/>
            <w:vAlign w:val="bottom"/>
          </w:tcPr>
          <w:p>
            <w:pPr>
              <w:spacing w:after="0"/>
              <w:rPr>
                <w:sz w:val="1"/>
                <w:szCs w:val="1"/>
                <w:color w:val="auto"/>
              </w:rPr>
            </w:pPr>
          </w:p>
        </w:tc>
      </w:tr>
      <w:tr>
        <w:trPr>
          <w:trHeight w:val="243"/>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Power Generation</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85,346</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30,945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240" w:type="dxa"/>
            <w:vAlign w:val="bottom"/>
            <w:tcBorders>
              <w:bottom w:val="single" w:sz="8" w:color="CEFFE7"/>
            </w:tcBorders>
            <w:gridSpan w:val="3"/>
            <w:shd w:val="clear" w:color="auto" w:fill="CEFFE7"/>
          </w:tcPr>
          <w:p>
            <w:pPr>
              <w:ind w:left="380"/>
              <w:spacing w:after="0"/>
              <w:rPr>
                <w:sz w:val="20"/>
                <w:szCs w:val="20"/>
                <w:color w:val="auto"/>
              </w:rPr>
            </w:pPr>
            <w:r>
              <w:rPr>
                <w:rFonts w:ascii="Arial" w:cs="Arial" w:eastAsia="Arial" w:hAnsi="Arial"/>
                <w:sz w:val="18"/>
                <w:szCs w:val="18"/>
                <w:color w:val="auto"/>
              </w:rPr>
              <w:t>Mining</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8,430</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18,794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380"/>
              <w:spacing w:after="0"/>
              <w:rPr>
                <w:sz w:val="20"/>
                <w:szCs w:val="20"/>
                <w:color w:val="auto"/>
              </w:rPr>
            </w:pPr>
            <w:r>
              <w:rPr>
                <w:rFonts w:ascii="Arial" w:cs="Arial" w:eastAsia="Arial" w:hAnsi="Arial"/>
                <w:sz w:val="18"/>
                <w:szCs w:val="18"/>
                <w:color w:val="auto"/>
              </w:rPr>
              <w:t>Corporate and Other</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20,702</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11,723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50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2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Total capital expenditures of continuing operations</w:t>
            </w:r>
          </w:p>
        </w:tc>
        <w:tc>
          <w:tcPr>
            <w:tcW w:w="3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849,755</w:t>
            </w:r>
          </w:p>
        </w:tc>
        <w:tc>
          <w:tcPr>
            <w:tcW w:w="42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502,424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capital expenditures of discontinued operations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2,402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500" w:type="dxa"/>
            <w:vAlign w:val="bottom"/>
            <w:tcBorders>
              <w:bottom w:val="single" w:sz="8" w:color="CEFFE7"/>
            </w:tcBorders>
          </w:tcPr>
          <w:p>
            <w:pPr>
              <w:spacing w:after="0"/>
              <w:rPr>
                <w:sz w:val="2"/>
                <w:szCs w:val="2"/>
                <w:color w:val="auto"/>
              </w:rPr>
            </w:pPr>
          </w:p>
        </w:tc>
        <w:tc>
          <w:tcPr>
            <w:tcW w:w="30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24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Total capital expenditures</w:t>
            </w: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849,755</w:t>
            </w:r>
          </w:p>
        </w:tc>
        <w:tc>
          <w:tcPr>
            <w:tcW w:w="42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504,826</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_________________</w:t>
            </w:r>
          </w:p>
        </w:tc>
        <w:tc>
          <w:tcPr>
            <w:tcW w:w="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4700" w:type="dxa"/>
            <w:vAlign w:val="bottom"/>
            <w:vMerge w:val="continue"/>
          </w:tcPr>
          <w:p>
            <w:pPr>
              <w:spacing w:after="0"/>
              <w:rPr>
                <w:sz w:val="14"/>
                <w:szCs w:val="14"/>
                <w:color w:val="auto"/>
              </w:rPr>
            </w:pPr>
          </w:p>
        </w:tc>
        <w:tc>
          <w:tcPr>
            <w:tcW w:w="5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8240" w:type="dxa"/>
            <w:vAlign w:val="bottom"/>
            <w:gridSpan w:val="3"/>
          </w:tcPr>
          <w:p>
            <w:pPr>
              <w:spacing w:after="0" w:line="172" w:lineRule="exact"/>
              <w:rPr>
                <w:rFonts w:ascii="Arial" w:cs="Arial" w:eastAsia="Arial" w:hAnsi="Arial"/>
                <w:sz w:val="16"/>
                <w:szCs w:val="16"/>
                <w:color w:val="auto"/>
              </w:rPr>
            </w:pPr>
            <w:r>
              <w:rPr>
                <w:rFonts w:ascii="Arial" w:cs="Arial" w:eastAsia="Arial" w:hAnsi="Arial"/>
                <w:sz w:val="16"/>
                <w:szCs w:val="16"/>
                <w:color w:val="auto"/>
              </w:rPr>
              <w:t xml:space="preserve">(a)  Includes accruals for property, plant and equipment as disclosed in </w:t>
            </w:r>
            <w:hyperlink w:anchor="page129">
              <w:r>
                <w:rPr>
                  <w:rFonts w:ascii="Arial" w:cs="Arial" w:eastAsia="Arial" w:hAnsi="Arial"/>
                  <w:sz w:val="16"/>
                  <w:szCs w:val="16"/>
                  <w:color w:val="0000EE"/>
                </w:rPr>
                <w:t>Note 17</w:t>
              </w:r>
            </w:hyperlink>
            <w:r>
              <w:rPr>
                <w:rFonts w:ascii="Arial" w:cs="Arial" w:eastAsia="Arial" w:hAnsi="Arial"/>
                <w:sz w:val="16"/>
                <w:szCs w:val="16"/>
                <w:color w:val="auto"/>
              </w:rPr>
              <w:t>.</w:t>
            </w:r>
          </w:p>
        </w:tc>
        <w:tc>
          <w:tcPr>
            <w:tcW w:w="3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74"/>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as of December 31,</w:t>
            </w:r>
          </w:p>
        </w:tc>
        <w:tc>
          <w:tcPr>
            <w:tcW w:w="500" w:type="dxa"/>
            <w:vAlign w:val="bottom"/>
            <w:tcBorders>
              <w:top w:val="single" w:sz="8" w:color="0000EE"/>
            </w:tcBorders>
          </w:tcPr>
          <w:p>
            <w:pPr>
              <w:spacing w:after="0"/>
              <w:rPr>
                <w:sz w:val="24"/>
                <w:szCs w:val="24"/>
                <w:color w:val="auto"/>
              </w:rPr>
            </w:pPr>
          </w:p>
        </w:tc>
        <w:tc>
          <w:tcPr>
            <w:tcW w:w="30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2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240" w:type="dxa"/>
            <w:vAlign w:val="bottom"/>
            <w:gridSpan w:val="3"/>
            <w:shd w:val="clear" w:color="auto" w:fill="CEFFE7"/>
          </w:tcPr>
          <w:p>
            <w:pPr>
              <w:ind w:left="180"/>
              <w:spacing w:after="0" w:line="264"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(a)</w:t>
            </w:r>
          </w:p>
        </w:tc>
        <w:tc>
          <w:tcPr>
            <w:tcW w:w="36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3,059,135</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2,848,331</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Gas Utilities</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2,981,498</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2,506,531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gridSpan w:val="3"/>
            <w:shd w:val="clear" w:color="auto" w:fill="CEFFE7"/>
          </w:tcPr>
          <w:p>
            <w:pPr>
              <w:ind w:left="18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(a)</w:t>
            </w:r>
          </w:p>
        </w:tc>
        <w:tc>
          <w:tcPr>
            <w:tcW w:w="3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534,518</w:t>
            </w:r>
          </w:p>
        </w:tc>
        <w:tc>
          <w:tcPr>
            <w:tcW w:w="420" w:type="dxa"/>
            <w:vAlign w:val="bottom"/>
            <w:shd w:val="clear" w:color="auto" w:fill="CEFFE7"/>
          </w:tcPr>
          <w:p>
            <w:pPr>
              <w:spacing w:after="0"/>
              <w:rPr>
                <w:sz w:val="23"/>
                <w:szCs w:val="23"/>
                <w:color w:val="auto"/>
              </w:rPr>
            </w:pP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447,234</w:t>
            </w:r>
          </w:p>
        </w:tc>
        <w:tc>
          <w:tcPr>
            <w:tcW w:w="0" w:type="dxa"/>
            <w:vAlign w:val="bottom"/>
          </w:tcPr>
          <w:p>
            <w:pPr>
              <w:spacing w:after="0"/>
              <w:rPr>
                <w:sz w:val="1"/>
                <w:szCs w:val="1"/>
                <w:color w:val="auto"/>
              </w:rPr>
            </w:pPr>
          </w:p>
        </w:tc>
      </w:tr>
      <w:tr>
        <w:trPr>
          <w:trHeight w:val="243"/>
        </w:trPr>
        <w:tc>
          <w:tcPr>
            <w:tcW w:w="8240" w:type="dxa"/>
            <w:vAlign w:val="bottom"/>
            <w:gridSpan w:val="3"/>
          </w:tcPr>
          <w:p>
            <w:pPr>
              <w:ind w:left="180"/>
              <w:spacing w:after="0"/>
              <w:rPr>
                <w:sz w:val="20"/>
                <w:szCs w:val="20"/>
                <w:color w:val="auto"/>
              </w:rPr>
            </w:pPr>
            <w:r>
              <w:rPr>
                <w:rFonts w:ascii="Arial" w:cs="Arial" w:eastAsia="Arial" w:hAnsi="Arial"/>
                <w:sz w:val="18"/>
                <w:szCs w:val="18"/>
                <w:color w:val="auto"/>
              </w:rPr>
              <w:t>Mining</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180,473</w:t>
            </w:r>
          </w:p>
        </w:tc>
        <w:tc>
          <w:tcPr>
            <w:tcW w:w="4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175,650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500" w:type="dxa"/>
            <w:vAlign w:val="bottom"/>
          </w:tcPr>
          <w:p>
            <w:pPr>
              <w:spacing w:after="0"/>
              <w:rPr>
                <w:sz w:val="2"/>
                <w:szCs w:val="2"/>
                <w:color w:val="auto"/>
              </w:rPr>
            </w:pPr>
          </w:p>
        </w:tc>
        <w:tc>
          <w:tcPr>
            <w:tcW w:w="30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240" w:type="dxa"/>
            <w:vAlign w:val="bottom"/>
            <w:tcBorders>
              <w:bottom w:val="single" w:sz="8" w:color="CEFFE7"/>
            </w:tcBorders>
            <w:gridSpan w:val="3"/>
            <w:shd w:val="clear" w:color="auto" w:fill="CEFFE7"/>
          </w:tcPr>
          <w:p>
            <w:pPr>
              <w:ind w:left="180"/>
              <w:spacing w:after="0"/>
              <w:rPr>
                <w:sz w:val="20"/>
                <w:szCs w:val="20"/>
                <w:color w:val="auto"/>
              </w:rPr>
            </w:pPr>
            <w:r>
              <w:rPr>
                <w:rFonts w:ascii="Arial" w:cs="Arial" w:eastAsia="Arial" w:hAnsi="Arial"/>
                <w:sz w:val="18"/>
                <w:szCs w:val="18"/>
                <w:color w:val="auto"/>
              </w:rPr>
              <w:t>Corporate and Other</w:t>
            </w:r>
          </w:p>
        </w:tc>
        <w:tc>
          <w:tcPr>
            <w:tcW w:w="3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29,055</w:t>
            </w:r>
          </w:p>
        </w:tc>
        <w:tc>
          <w:tcPr>
            <w:tcW w:w="42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22,269</w:t>
            </w:r>
          </w:p>
        </w:tc>
        <w:tc>
          <w:tcPr>
            <w:tcW w:w="0" w:type="dxa"/>
            <w:vAlign w:val="bottom"/>
          </w:tcPr>
          <w:p>
            <w:pPr>
              <w:spacing w:after="0"/>
              <w:rPr>
                <w:sz w:val="1"/>
                <w:szCs w:val="1"/>
                <w:color w:val="auto"/>
              </w:rPr>
            </w:pPr>
          </w:p>
        </w:tc>
      </w:tr>
      <w:tr>
        <w:trPr>
          <w:trHeight w:val="257"/>
        </w:trPr>
        <w:tc>
          <w:tcPr>
            <w:tcW w:w="8240" w:type="dxa"/>
            <w:vAlign w:val="bottom"/>
            <w:gridSpan w:val="3"/>
          </w:tcPr>
          <w:p>
            <w:pPr>
              <w:ind w:left="40"/>
              <w:spacing w:after="0"/>
              <w:rPr>
                <w:sz w:val="20"/>
                <w:szCs w:val="20"/>
                <w:color w:val="auto"/>
              </w:rPr>
            </w:pPr>
            <w:r>
              <w:rPr>
                <w:rFonts w:ascii="Arial" w:cs="Arial" w:eastAsia="Arial" w:hAnsi="Arial"/>
                <w:sz w:val="18"/>
                <w:szCs w:val="18"/>
                <w:color w:val="auto"/>
              </w:rPr>
              <w:t>Total property, plant and equipment</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6,784,679</w:t>
            </w:r>
          </w:p>
        </w:tc>
        <w:tc>
          <w:tcPr>
            <w:tcW w:w="4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6,000,015</w:t>
            </w:r>
          </w:p>
        </w:tc>
        <w:tc>
          <w:tcPr>
            <w:tcW w:w="0" w:type="dxa"/>
            <w:vAlign w:val="bottom"/>
          </w:tcPr>
          <w:p>
            <w:pPr>
              <w:spacing w:after="0"/>
              <w:rPr>
                <w:sz w:val="1"/>
                <w:szCs w:val="1"/>
                <w:color w:val="auto"/>
              </w:rPr>
            </w:pPr>
          </w:p>
        </w:tc>
      </w:tr>
      <w:tr>
        <w:trPr>
          <w:trHeight w:val="20"/>
        </w:trPr>
        <w:tc>
          <w:tcPr>
            <w:tcW w:w="470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500" w:type="dxa"/>
            <w:vAlign w:val="bottom"/>
          </w:tcPr>
          <w:p>
            <w:pPr>
              <w:spacing w:after="0" w:line="20" w:lineRule="exact"/>
              <w:rPr>
                <w:sz w:val="1"/>
                <w:szCs w:val="1"/>
                <w:color w:val="auto"/>
              </w:rPr>
            </w:pPr>
          </w:p>
        </w:tc>
        <w:tc>
          <w:tcPr>
            <w:tcW w:w="30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70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60" w:hanging="332"/>
        <w:spacing w:after="0" w:line="328" w:lineRule="auto"/>
        <w:tabs>
          <w:tab w:leader="none" w:pos="340" w:val="left"/>
        </w:tabs>
        <w:numPr>
          <w:ilvl w:val="0"/>
          <w:numId w:val="68"/>
        </w:numPr>
        <w:rPr>
          <w:rFonts w:ascii="Arial" w:cs="Arial" w:eastAsia="Arial" w:hAnsi="Arial"/>
          <w:sz w:val="14"/>
          <w:szCs w:val="14"/>
          <w:color w:val="auto"/>
        </w:rPr>
      </w:pPr>
      <w:r>
        <w:rPr>
          <w:rFonts w:ascii="Arial" w:cs="Arial" w:eastAsia="Arial" w:hAnsi="Arial"/>
          <w:sz w:val="14"/>
          <w:szCs w:val="14"/>
          <w:color w:val="auto"/>
        </w:rPr>
        <w:t>Due to the changes in our segment disclosures, Electric Utilities and Power Generation Property, Plant and Equipment were revised as of December 31, 2018 which resulted in an increase (decrease) of ($261) million and $261 million, respectively. There was no impact on our consolidated Property, Plant and Equipment.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420"/>
          </w:cols>
          <w:pgMar w:left="240" w:top="117" w:right="239" w:bottom="1440" w:gutter="0" w:footer="0" w:header="0"/>
        </w:sectPr>
      </w:pPr>
    </w:p>
    <w:bookmarkStart w:id="99" w:name="page100"/>
    <w:bookmarkEnd w:id="99"/>
    <w:tbl>
      <w:tblPr>
        <w:tblLayout w:type="fixed"/>
        <w:tblInd w:w="0" w:type="dxa"/>
        <w:tblCellMar>
          <w:top w:w="0" w:type="dxa"/>
          <w:left w:w="0" w:type="dxa"/>
          <w:bottom w:w="0" w:type="dxa"/>
          <w:right w:w="0" w:type="dxa"/>
        </w:tblCellMar>
      </w:tblPr>
      <w:tr>
        <w:trPr>
          <w:trHeight w:val="184"/>
        </w:trPr>
        <w:tc>
          <w:tcPr>
            <w:tcW w:w="428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r>
      <w:tr>
        <w:trPr>
          <w:trHeight w:val="595"/>
        </w:trPr>
        <w:tc>
          <w:tcPr>
            <w:tcW w:w="2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20" w:type="dxa"/>
            <w:vAlign w:val="bottom"/>
            <w:gridSpan w:val="5"/>
          </w:tcPr>
          <w:p>
            <w:pPr>
              <w:jc w:val="right"/>
              <w:ind w:right="199"/>
              <w:spacing w:after="0"/>
              <w:rPr>
                <w:sz w:val="20"/>
                <w:szCs w:val="20"/>
                <w:color w:val="auto"/>
              </w:rPr>
            </w:pPr>
            <w:r>
              <w:rPr>
                <w:rFonts w:ascii="Arial" w:cs="Arial" w:eastAsia="Arial" w:hAnsi="Arial"/>
                <w:sz w:val="16"/>
                <w:szCs w:val="16"/>
                <w:b w:val="1"/>
                <w:bCs w:val="1"/>
                <w:color w:val="auto"/>
              </w:rPr>
              <w:t>Consolidating Income Statement</w:t>
            </w: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13"/>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jc w:val="right"/>
              <w:ind w:right="139"/>
              <w:spacing w:after="0"/>
              <w:rPr>
                <w:sz w:val="20"/>
                <w:szCs w:val="20"/>
                <w:color w:val="auto"/>
              </w:rPr>
            </w:pPr>
            <w:r>
              <w:rPr>
                <w:rFonts w:ascii="Arial" w:cs="Arial" w:eastAsia="Arial" w:hAnsi="Arial"/>
                <w:sz w:val="16"/>
                <w:szCs w:val="16"/>
                <w:color w:val="auto"/>
              </w:rPr>
              <w:t>Electric</w:t>
            </w: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ind w:right="179"/>
              <w:spacing w:after="0"/>
              <w:rPr>
                <w:sz w:val="20"/>
                <w:szCs w:val="20"/>
                <w:color w:val="auto"/>
              </w:rPr>
            </w:pPr>
            <w:r>
              <w:rPr>
                <w:rFonts w:ascii="Arial" w:cs="Arial" w:eastAsia="Arial" w:hAnsi="Arial"/>
                <w:sz w:val="16"/>
                <w:szCs w:val="16"/>
                <w:color w:val="auto"/>
              </w:rPr>
              <w:t>Power</w:t>
            </w: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Inter-Company</w:t>
            </w: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06"/>
        </w:trPr>
        <w:tc>
          <w:tcPr>
            <w:tcW w:w="260" w:type="dxa"/>
            <w:vAlign w:val="bottom"/>
          </w:tcPr>
          <w:p>
            <w:pPr>
              <w:spacing w:after="0"/>
              <w:rPr>
                <w:sz w:val="17"/>
                <w:szCs w:val="17"/>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Year ended December 31, 2019</w:t>
            </w:r>
          </w:p>
        </w:tc>
        <w:tc>
          <w:tcPr>
            <w:tcW w:w="180" w:type="dxa"/>
            <w:vAlign w:val="bottom"/>
          </w:tcPr>
          <w:p>
            <w:pPr>
              <w:spacing w:after="0"/>
              <w:rPr>
                <w:sz w:val="17"/>
                <w:szCs w:val="17"/>
                <w:color w:val="auto"/>
              </w:rPr>
            </w:pPr>
          </w:p>
        </w:tc>
        <w:tc>
          <w:tcPr>
            <w:tcW w:w="800" w:type="dxa"/>
            <w:vAlign w:val="bottom"/>
          </w:tcPr>
          <w:p>
            <w:pPr>
              <w:jc w:val="right"/>
              <w:ind w:right="119"/>
              <w:spacing w:after="0"/>
              <w:rPr>
                <w:sz w:val="20"/>
                <w:szCs w:val="20"/>
                <w:color w:val="auto"/>
              </w:rPr>
            </w:pPr>
            <w:r>
              <w:rPr>
                <w:rFonts w:ascii="Arial" w:cs="Arial" w:eastAsia="Arial" w:hAnsi="Arial"/>
                <w:sz w:val="16"/>
                <w:szCs w:val="16"/>
                <w:color w:val="auto"/>
              </w:rPr>
              <w:t>Utilities</w:t>
            </w:r>
          </w:p>
        </w:tc>
        <w:tc>
          <w:tcPr>
            <w:tcW w:w="1020" w:type="dxa"/>
            <w:vAlign w:val="bottom"/>
            <w:gridSpan w:val="2"/>
          </w:tcPr>
          <w:p>
            <w:pPr>
              <w:jc w:val="right"/>
              <w:spacing w:after="0"/>
              <w:rPr>
                <w:sz w:val="20"/>
                <w:szCs w:val="20"/>
                <w:color w:val="auto"/>
              </w:rPr>
            </w:pPr>
            <w:r>
              <w:rPr>
                <w:rFonts w:ascii="Arial" w:cs="Arial" w:eastAsia="Arial" w:hAnsi="Arial"/>
                <w:sz w:val="16"/>
                <w:szCs w:val="16"/>
                <w:color w:val="auto"/>
              </w:rPr>
              <w:t>Gas Utilities</w:t>
            </w:r>
          </w:p>
        </w:tc>
        <w:tc>
          <w:tcPr>
            <w:tcW w:w="180" w:type="dxa"/>
            <w:vAlign w:val="bottom"/>
          </w:tcPr>
          <w:p>
            <w:pPr>
              <w:spacing w:after="0"/>
              <w:rPr>
                <w:sz w:val="17"/>
                <w:szCs w:val="17"/>
                <w:color w:val="auto"/>
              </w:rPr>
            </w:pPr>
          </w:p>
        </w:tc>
        <w:tc>
          <w:tcPr>
            <w:tcW w:w="840" w:type="dxa"/>
            <w:vAlign w:val="bottom"/>
          </w:tcPr>
          <w:p>
            <w:pPr>
              <w:jc w:val="right"/>
              <w:ind w:right="19"/>
              <w:spacing w:after="0"/>
              <w:rPr>
                <w:sz w:val="20"/>
                <w:szCs w:val="20"/>
                <w:color w:val="auto"/>
              </w:rPr>
            </w:pPr>
            <w:r>
              <w:rPr>
                <w:rFonts w:ascii="Arial" w:cs="Arial" w:eastAsia="Arial" w:hAnsi="Arial"/>
                <w:sz w:val="16"/>
                <w:szCs w:val="16"/>
                <w:color w:val="auto"/>
                <w:w w:val="90"/>
              </w:rPr>
              <w:t>Generation</w:t>
            </w:r>
          </w:p>
        </w:tc>
        <w:tc>
          <w:tcPr>
            <w:tcW w:w="240" w:type="dxa"/>
            <w:vAlign w:val="bottom"/>
          </w:tcPr>
          <w:p>
            <w:pPr>
              <w:spacing w:after="0"/>
              <w:rPr>
                <w:sz w:val="17"/>
                <w:szCs w:val="17"/>
                <w:color w:val="auto"/>
              </w:rPr>
            </w:pPr>
          </w:p>
        </w:tc>
        <w:tc>
          <w:tcPr>
            <w:tcW w:w="760" w:type="dxa"/>
            <w:vAlign w:val="bottom"/>
          </w:tcPr>
          <w:p>
            <w:pPr>
              <w:jc w:val="right"/>
              <w:ind w:right="13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17"/>
                <w:szCs w:val="17"/>
                <w:color w:val="auto"/>
              </w:rPr>
            </w:pPr>
          </w:p>
        </w:tc>
        <w:tc>
          <w:tcPr>
            <w:tcW w:w="800" w:type="dxa"/>
            <w:vAlign w:val="bottom"/>
          </w:tcPr>
          <w:p>
            <w:pPr>
              <w:jc w:val="right"/>
              <w:ind w:right="39"/>
              <w:spacing w:after="0"/>
              <w:rPr>
                <w:sz w:val="20"/>
                <w:szCs w:val="20"/>
                <w:color w:val="auto"/>
              </w:rPr>
            </w:pPr>
            <w:r>
              <w:rPr>
                <w:rFonts w:ascii="Arial" w:cs="Arial" w:eastAsia="Arial" w:hAnsi="Arial"/>
                <w:sz w:val="16"/>
                <w:szCs w:val="16"/>
                <w:color w:val="auto"/>
                <w:w w:val="92"/>
              </w:rPr>
              <w:t>Corporate</w:t>
            </w:r>
          </w:p>
        </w:tc>
        <w:tc>
          <w:tcPr>
            <w:tcW w:w="180" w:type="dxa"/>
            <w:vAlign w:val="bottom"/>
          </w:tcPr>
          <w:p>
            <w:pPr>
              <w:spacing w:after="0"/>
              <w:rPr>
                <w:sz w:val="17"/>
                <w:szCs w:val="17"/>
                <w:color w:val="auto"/>
              </w:rPr>
            </w:pPr>
          </w:p>
        </w:tc>
        <w:tc>
          <w:tcPr>
            <w:tcW w:w="980" w:type="dxa"/>
            <w:vAlign w:val="bottom"/>
          </w:tcPr>
          <w:p>
            <w:pPr>
              <w:jc w:val="right"/>
              <w:ind w:right="59"/>
              <w:spacing w:after="0"/>
              <w:rPr>
                <w:sz w:val="20"/>
                <w:szCs w:val="20"/>
                <w:color w:val="auto"/>
              </w:rPr>
            </w:pPr>
            <w:r>
              <w:rPr>
                <w:rFonts w:ascii="Arial" w:cs="Arial" w:eastAsia="Arial" w:hAnsi="Arial"/>
                <w:sz w:val="16"/>
                <w:szCs w:val="16"/>
                <w:color w:val="auto"/>
                <w:w w:val="95"/>
              </w:rPr>
              <w:t>Eliminations</w:t>
            </w:r>
          </w:p>
        </w:tc>
        <w:tc>
          <w:tcPr>
            <w:tcW w:w="160" w:type="dxa"/>
            <w:vAlign w:val="bottom"/>
          </w:tcPr>
          <w:p>
            <w:pPr>
              <w:spacing w:after="0"/>
              <w:rPr>
                <w:sz w:val="17"/>
                <w:szCs w:val="17"/>
                <w:color w:val="auto"/>
              </w:rPr>
            </w:pPr>
          </w:p>
        </w:tc>
        <w:tc>
          <w:tcPr>
            <w:tcW w:w="820" w:type="dxa"/>
            <w:vAlign w:val="bottom"/>
          </w:tcPr>
          <w:p>
            <w:pPr>
              <w:jc w:val="right"/>
              <w:ind w:right="239"/>
              <w:spacing w:after="0"/>
              <w:rPr>
                <w:sz w:val="20"/>
                <w:szCs w:val="20"/>
                <w:color w:val="auto"/>
              </w:rPr>
            </w:pPr>
            <w:r>
              <w:rPr>
                <w:rFonts w:ascii="Arial" w:cs="Arial" w:eastAsia="Arial" w:hAnsi="Arial"/>
                <w:sz w:val="16"/>
                <w:szCs w:val="16"/>
                <w:color w:val="auto"/>
              </w:rPr>
              <w:t>Total</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6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30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20" w:type="dxa"/>
            <w:vAlign w:val="bottom"/>
          </w:tcPr>
          <w:p>
            <w:pPr>
              <w:spacing w:after="0"/>
              <w:rPr>
                <w:sz w:val="22"/>
                <w:szCs w:val="22"/>
                <w:color w:val="auto"/>
              </w:rPr>
            </w:pPr>
          </w:p>
        </w:tc>
      </w:tr>
      <w:tr>
        <w:trPr>
          <w:trHeight w:val="237"/>
        </w:trPr>
        <w:tc>
          <w:tcPr>
            <w:tcW w:w="260" w:type="dxa"/>
            <w:vAlign w:val="bottom"/>
          </w:tcPr>
          <w:p>
            <w:pPr>
              <w:spacing w:after="0"/>
              <w:rPr>
                <w:sz w:val="20"/>
                <w:szCs w:val="20"/>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Revenue -</w:t>
            </w: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spacing w:after="0"/>
              <w:rPr>
                <w:sz w:val="20"/>
                <w:szCs w:val="20"/>
                <w:color w:val="auto"/>
              </w:rPr>
            </w:pPr>
          </w:p>
        </w:tc>
      </w:tr>
      <w:tr>
        <w:trPr>
          <w:trHeight w:val="224"/>
        </w:trPr>
        <w:tc>
          <w:tcPr>
            <w:tcW w:w="26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684,445</w:t>
            </w:r>
          </w:p>
        </w:tc>
        <w:tc>
          <w:tcPr>
            <w:tcW w:w="22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1,007,187</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7,580</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27,180</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1,726,392</w:t>
            </w: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40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5,191</w:t>
            </w:r>
          </w:p>
        </w:tc>
        <w:tc>
          <w:tcPr>
            <w:tcW w:w="22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384</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1,859</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1,074</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8,508</w:t>
            </w:r>
          </w:p>
        </w:tc>
      </w:tr>
      <w:tr>
        <w:trPr>
          <w:trHeight w:val="217"/>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689,636</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1,007,571</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9,439</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28,254</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1,734,900</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30"/>
        </w:trPr>
        <w:tc>
          <w:tcPr>
            <w:tcW w:w="260" w:type="dxa"/>
            <w:vAlign w:val="bottom"/>
          </w:tcPr>
          <w:p>
            <w:pPr>
              <w:spacing w:after="0"/>
              <w:rPr>
                <w:sz w:val="20"/>
                <w:szCs w:val="20"/>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Inter-company operating revenue -</w:t>
            </w: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22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spacing w:after="0"/>
              <w:rPr>
                <w:sz w:val="20"/>
                <w:szCs w:val="20"/>
                <w:color w:val="auto"/>
              </w:rPr>
            </w:pP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spacing w:after="0"/>
              <w:rPr>
                <w:sz w:val="20"/>
                <w:szCs w:val="20"/>
                <w:color w:val="auto"/>
              </w:rPr>
            </w:pPr>
          </w:p>
        </w:tc>
        <w:tc>
          <w:tcPr>
            <w:tcW w:w="18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spacing w:after="0"/>
              <w:rPr>
                <w:sz w:val="20"/>
                <w:szCs w:val="20"/>
                <w:color w:val="auto"/>
              </w:rPr>
            </w:pP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spacing w:after="0"/>
              <w:rPr>
                <w:sz w:val="20"/>
                <w:szCs w:val="20"/>
                <w:color w:val="auto"/>
              </w:rPr>
            </w:pPr>
          </w:p>
        </w:tc>
      </w:tr>
      <w:tr>
        <w:trPr>
          <w:trHeight w:val="224"/>
        </w:trPr>
        <w:tc>
          <w:tcPr>
            <w:tcW w:w="260" w:type="dxa"/>
            <w:vAlign w:val="bottom"/>
          </w:tcPr>
          <w:p>
            <w:pPr>
              <w:spacing w:after="0"/>
              <w:rPr>
                <w:sz w:val="19"/>
                <w:szCs w:val="19"/>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Contracts with customers</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23,116</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2,459</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91,577</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32,053</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230</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(149,435)</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40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242</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1,322</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343,975</w:t>
            </w:r>
          </w:p>
        </w:tc>
        <w:tc>
          <w:tcPr>
            <w:tcW w:w="1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(345,539)</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06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23,116</w:t>
            </w: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2,459</w:t>
            </w: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91,819</w:t>
            </w:r>
          </w:p>
        </w:tc>
        <w:tc>
          <w:tcPr>
            <w:tcW w:w="2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33,375</w:t>
            </w:r>
          </w:p>
        </w:tc>
        <w:tc>
          <w:tcPr>
            <w:tcW w:w="18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344,205</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(494,974)</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40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712,752</w:t>
            </w: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8"/>
              </w:rPr>
              <w:t>1,010,030</w:t>
            </w: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101,258</w:t>
            </w: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61,629</w:t>
            </w: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344,205</w:t>
            </w: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(494,974)</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1,734,900</w:t>
            </w:r>
          </w:p>
        </w:tc>
      </w:tr>
      <w:tr>
        <w:trPr>
          <w:trHeight w:val="277"/>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r>
      <w:tr>
        <w:trPr>
          <w:trHeight w:val="237"/>
        </w:trPr>
        <w:tc>
          <w:tcPr>
            <w:tcW w:w="260" w:type="dxa"/>
            <w:vAlign w:val="bottom"/>
          </w:tcPr>
          <w:p>
            <w:pPr>
              <w:spacing w:after="0"/>
              <w:rPr>
                <w:sz w:val="20"/>
                <w:szCs w:val="20"/>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Fuel, purchased power and cost of natural gas sold</w:t>
            </w: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268,297</w:t>
            </w:r>
          </w:p>
        </w:tc>
        <w:tc>
          <w:tcPr>
            <w:tcW w:w="22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425,898</w:t>
            </w:r>
          </w:p>
        </w:tc>
        <w:tc>
          <w:tcPr>
            <w:tcW w:w="18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9,059</w:t>
            </w:r>
          </w:p>
        </w:tc>
        <w:tc>
          <w:tcPr>
            <w:tcW w:w="24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268</w:t>
            </w:r>
          </w:p>
        </w:tc>
        <w:tc>
          <w:tcPr>
            <w:tcW w:w="18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(132,693)</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570,829</w:t>
            </w:r>
          </w:p>
        </w:tc>
      </w:tr>
      <w:tr>
        <w:trPr>
          <w:trHeight w:val="224"/>
        </w:trPr>
        <w:tc>
          <w:tcPr>
            <w:tcW w:w="260" w:type="dxa"/>
            <w:vAlign w:val="bottom"/>
          </w:tcPr>
          <w:p>
            <w:pPr>
              <w:spacing w:after="0"/>
              <w:rPr>
                <w:sz w:val="19"/>
                <w:szCs w:val="19"/>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Operations and maintenance</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195,581</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301,844</w:t>
            </w:r>
          </w:p>
        </w:tc>
        <w:tc>
          <w:tcPr>
            <w:tcW w:w="1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28,429</w:t>
            </w:r>
          </w:p>
        </w:tc>
        <w:tc>
          <w:tcPr>
            <w:tcW w:w="24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40,032</w:t>
            </w:r>
          </w:p>
        </w:tc>
        <w:tc>
          <w:tcPr>
            <w:tcW w:w="18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286,799</w:t>
            </w:r>
          </w:p>
        </w:tc>
        <w:tc>
          <w:tcPr>
            <w:tcW w:w="1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(303,776)</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548,909</w:t>
            </w: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7"/>
        </w:trPr>
        <w:tc>
          <w:tcPr>
            <w:tcW w:w="260" w:type="dxa"/>
            <w:vAlign w:val="bottom"/>
          </w:tcPr>
          <w:p>
            <w:pPr>
              <w:spacing w:after="0"/>
              <w:rPr>
                <w:sz w:val="22"/>
                <w:szCs w:val="22"/>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88,577</w:t>
            </w:r>
          </w:p>
        </w:tc>
        <w:tc>
          <w:tcPr>
            <w:tcW w:w="22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92,317</w:t>
            </w:r>
          </w:p>
        </w:tc>
        <w:tc>
          <w:tcPr>
            <w:tcW w:w="18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18,991</w:t>
            </w:r>
          </w:p>
        </w:tc>
        <w:tc>
          <w:tcPr>
            <w:tcW w:w="24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8,970</w:t>
            </w:r>
          </w:p>
        </w:tc>
        <w:tc>
          <w:tcPr>
            <w:tcW w:w="18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22,065</w:t>
            </w:r>
          </w:p>
        </w:tc>
        <w:tc>
          <w:tcPr>
            <w:tcW w:w="1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(21,800)</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209,120</w:t>
            </w:r>
          </w:p>
        </w:tc>
      </w:tr>
      <w:tr>
        <w:trPr>
          <w:trHeight w:val="217"/>
        </w:trPr>
        <w:tc>
          <w:tcPr>
            <w:tcW w:w="26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Adjusted operating income (loss)</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160,297</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189,971</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44,779</w:t>
            </w:r>
          </w:p>
        </w:tc>
        <w:tc>
          <w:tcPr>
            <w:tcW w:w="2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12,627</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35,073</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(36,705)</w:t>
            </w: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406,042</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64"/>
        </w:trPr>
        <w:tc>
          <w:tcPr>
            <w:tcW w:w="260" w:type="dxa"/>
            <w:vAlign w:val="bottom"/>
          </w:tcPr>
          <w:p>
            <w:pPr>
              <w:spacing w:after="0"/>
              <w:rPr>
                <w:sz w:val="22"/>
                <w:szCs w:val="22"/>
                <w:color w:val="auto"/>
              </w:rPr>
            </w:pPr>
          </w:p>
        </w:tc>
        <w:tc>
          <w:tcPr>
            <w:tcW w:w="960" w:type="dxa"/>
            <w:vAlign w:val="bottom"/>
            <w:shd w:val="clear" w:color="auto" w:fill="CEFFE7"/>
          </w:tcPr>
          <w:p>
            <w:pPr>
              <w:spacing w:after="0"/>
              <w:rPr>
                <w:sz w:val="22"/>
                <w:szCs w:val="22"/>
                <w:color w:val="auto"/>
              </w:rPr>
            </w:pPr>
          </w:p>
        </w:tc>
        <w:tc>
          <w:tcPr>
            <w:tcW w:w="306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00" w:type="dxa"/>
            <w:vAlign w:val="bottom"/>
            <w:shd w:val="clear" w:color="auto" w:fill="CEFFE7"/>
          </w:tcPr>
          <w:p>
            <w:pPr>
              <w:spacing w:after="0"/>
              <w:rPr>
                <w:sz w:val="22"/>
                <w:szCs w:val="22"/>
                <w:color w:val="auto"/>
              </w:rPr>
            </w:pPr>
          </w:p>
        </w:tc>
        <w:tc>
          <w:tcPr>
            <w:tcW w:w="220" w:type="dxa"/>
            <w:vAlign w:val="bottom"/>
            <w:shd w:val="clear" w:color="auto" w:fill="CEFFE7"/>
          </w:tcPr>
          <w:p>
            <w:pPr>
              <w:spacing w:after="0"/>
              <w:rPr>
                <w:sz w:val="22"/>
                <w:szCs w:val="22"/>
                <w:color w:val="auto"/>
              </w:rPr>
            </w:pPr>
          </w:p>
        </w:tc>
        <w:tc>
          <w:tcPr>
            <w:tcW w:w="80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40" w:type="dxa"/>
            <w:vAlign w:val="bottom"/>
            <w:shd w:val="clear" w:color="auto" w:fill="CEFFE7"/>
          </w:tcPr>
          <w:p>
            <w:pPr>
              <w:spacing w:after="0"/>
              <w:rPr>
                <w:sz w:val="22"/>
                <w:szCs w:val="22"/>
                <w:color w:val="auto"/>
              </w:rPr>
            </w:pPr>
          </w:p>
        </w:tc>
        <w:tc>
          <w:tcPr>
            <w:tcW w:w="240" w:type="dxa"/>
            <w:vAlign w:val="bottom"/>
            <w:shd w:val="clear" w:color="auto" w:fill="CEFFE7"/>
          </w:tcPr>
          <w:p>
            <w:pPr>
              <w:spacing w:after="0"/>
              <w:rPr>
                <w:sz w:val="22"/>
                <w:szCs w:val="22"/>
                <w:color w:val="auto"/>
              </w:rPr>
            </w:pPr>
          </w:p>
        </w:tc>
        <w:tc>
          <w:tcPr>
            <w:tcW w:w="76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800" w:type="dxa"/>
            <w:vAlign w:val="bottom"/>
            <w:shd w:val="clear" w:color="auto" w:fill="CEFFE7"/>
          </w:tcPr>
          <w:p>
            <w:pPr>
              <w:spacing w:after="0"/>
              <w:rPr>
                <w:sz w:val="22"/>
                <w:szCs w:val="22"/>
                <w:color w:val="auto"/>
              </w:rPr>
            </w:pPr>
          </w:p>
        </w:tc>
        <w:tc>
          <w:tcPr>
            <w:tcW w:w="180" w:type="dxa"/>
            <w:vAlign w:val="bottom"/>
            <w:shd w:val="clear" w:color="auto" w:fill="CEFFE7"/>
          </w:tcPr>
          <w:p>
            <w:pPr>
              <w:spacing w:after="0"/>
              <w:rPr>
                <w:sz w:val="22"/>
                <w:szCs w:val="22"/>
                <w:color w:val="auto"/>
              </w:rPr>
            </w:pPr>
          </w:p>
        </w:tc>
        <w:tc>
          <w:tcPr>
            <w:tcW w:w="980" w:type="dxa"/>
            <w:vAlign w:val="bottom"/>
            <w:shd w:val="clear" w:color="auto" w:fill="CEFFE7"/>
          </w:tcPr>
          <w:p>
            <w:pPr>
              <w:spacing w:after="0"/>
              <w:rPr>
                <w:sz w:val="22"/>
                <w:szCs w:val="22"/>
                <w:color w:val="auto"/>
              </w:rPr>
            </w:pPr>
          </w:p>
        </w:tc>
        <w:tc>
          <w:tcPr>
            <w:tcW w:w="160" w:type="dxa"/>
            <w:vAlign w:val="bottom"/>
            <w:shd w:val="clear" w:color="auto" w:fill="CEFFE7"/>
          </w:tcPr>
          <w:p>
            <w:pPr>
              <w:spacing w:after="0"/>
              <w:rPr>
                <w:sz w:val="22"/>
                <w:szCs w:val="22"/>
                <w:color w:val="auto"/>
              </w:rPr>
            </w:pPr>
          </w:p>
        </w:tc>
        <w:tc>
          <w:tcPr>
            <w:tcW w:w="820" w:type="dxa"/>
            <w:vAlign w:val="bottom"/>
            <w:shd w:val="clear" w:color="auto" w:fill="CEFFE7"/>
          </w:tcPr>
          <w:p>
            <w:pPr>
              <w:spacing w:after="0"/>
              <w:rPr>
                <w:sz w:val="22"/>
                <w:szCs w:val="22"/>
                <w:color w:val="auto"/>
              </w:rPr>
            </w:pPr>
          </w:p>
        </w:tc>
      </w:tr>
      <w:tr>
        <w:trPr>
          <w:trHeight w:val="237"/>
        </w:trPr>
        <w:tc>
          <w:tcPr>
            <w:tcW w:w="26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(137,659)</w:t>
            </w: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4020" w:type="dxa"/>
            <w:vAlign w:val="bottom"/>
            <w:gridSpan w:val="2"/>
            <w:shd w:val="clear" w:color="auto" w:fill="CEFFE7"/>
          </w:tcPr>
          <w:p>
            <w:pPr>
              <w:ind w:left="20"/>
              <w:spacing w:after="0"/>
              <w:rPr>
                <w:sz w:val="20"/>
                <w:szCs w:val="20"/>
                <w:color w:val="auto"/>
              </w:rPr>
            </w:pPr>
            <w:r>
              <w:rPr>
                <w:rFonts w:ascii="Arial" w:cs="Arial" w:eastAsia="Arial" w:hAnsi="Arial"/>
                <w:sz w:val="16"/>
                <w:szCs w:val="16"/>
                <w:color w:val="auto"/>
              </w:rPr>
              <w:t xml:space="preserve">Impairment of investment </w:t>
            </w:r>
            <w:r>
              <w:rPr>
                <w:rFonts w:ascii="Arial" w:cs="Arial" w:eastAsia="Arial" w:hAnsi="Arial"/>
                <w:sz w:val="21"/>
                <w:szCs w:val="21"/>
                <w:color w:val="auto"/>
                <w:vertAlign w:val="superscript"/>
              </w:rPr>
              <w:t>(a)</w:t>
            </w:r>
          </w:p>
        </w:tc>
        <w:tc>
          <w:tcPr>
            <w:tcW w:w="180" w:type="dxa"/>
            <w:vAlign w:val="bottom"/>
            <w:shd w:val="clear" w:color="auto" w:fill="CEFFE7"/>
          </w:tcPr>
          <w:p>
            <w:pPr>
              <w:spacing w:after="0"/>
              <w:rPr>
                <w:sz w:val="23"/>
                <w:szCs w:val="23"/>
                <w:color w:val="auto"/>
              </w:rPr>
            </w:pPr>
          </w:p>
        </w:tc>
        <w:tc>
          <w:tcPr>
            <w:tcW w:w="800" w:type="dxa"/>
            <w:vAlign w:val="bottom"/>
            <w:shd w:val="clear" w:color="auto" w:fill="CEFFE7"/>
          </w:tcPr>
          <w:p>
            <w:pPr>
              <w:spacing w:after="0"/>
              <w:rPr>
                <w:sz w:val="23"/>
                <w:szCs w:val="23"/>
                <w:color w:val="auto"/>
              </w:rPr>
            </w:pPr>
          </w:p>
        </w:tc>
        <w:tc>
          <w:tcPr>
            <w:tcW w:w="220" w:type="dxa"/>
            <w:vAlign w:val="bottom"/>
            <w:shd w:val="clear" w:color="auto" w:fill="CEFFE7"/>
          </w:tcPr>
          <w:p>
            <w:pPr>
              <w:spacing w:after="0"/>
              <w:rPr>
                <w:sz w:val="23"/>
                <w:szCs w:val="23"/>
                <w:color w:val="auto"/>
              </w:rPr>
            </w:pPr>
          </w:p>
        </w:tc>
        <w:tc>
          <w:tcPr>
            <w:tcW w:w="8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840" w:type="dxa"/>
            <w:vAlign w:val="bottom"/>
            <w:shd w:val="clear" w:color="auto" w:fill="CEFFE7"/>
          </w:tcPr>
          <w:p>
            <w:pPr>
              <w:spacing w:after="0"/>
              <w:rPr>
                <w:sz w:val="23"/>
                <w:szCs w:val="23"/>
                <w:color w:val="auto"/>
              </w:rPr>
            </w:pPr>
          </w:p>
        </w:tc>
        <w:tc>
          <w:tcPr>
            <w:tcW w:w="240" w:type="dxa"/>
            <w:vAlign w:val="bottom"/>
            <w:shd w:val="clear" w:color="auto" w:fill="CEFFE7"/>
          </w:tcPr>
          <w:p>
            <w:pPr>
              <w:spacing w:after="0"/>
              <w:rPr>
                <w:sz w:val="23"/>
                <w:szCs w:val="23"/>
                <w:color w:val="auto"/>
              </w:rPr>
            </w:pPr>
          </w:p>
        </w:tc>
        <w:tc>
          <w:tcPr>
            <w:tcW w:w="76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800" w:type="dxa"/>
            <w:vAlign w:val="bottom"/>
            <w:shd w:val="clear" w:color="auto" w:fill="CEFFE7"/>
          </w:tcPr>
          <w:p>
            <w:pPr>
              <w:spacing w:after="0"/>
              <w:rPr>
                <w:sz w:val="23"/>
                <w:szCs w:val="23"/>
                <w:color w:val="auto"/>
              </w:rPr>
            </w:pPr>
          </w:p>
        </w:tc>
        <w:tc>
          <w:tcPr>
            <w:tcW w:w="180" w:type="dxa"/>
            <w:vAlign w:val="bottom"/>
            <w:shd w:val="clear" w:color="auto" w:fill="CEFFE7"/>
          </w:tcPr>
          <w:p>
            <w:pPr>
              <w:spacing w:after="0"/>
              <w:rPr>
                <w:sz w:val="23"/>
                <w:szCs w:val="23"/>
                <w:color w:val="auto"/>
              </w:rPr>
            </w:pPr>
          </w:p>
        </w:tc>
        <w:tc>
          <w:tcPr>
            <w:tcW w:w="9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6"/>
                <w:szCs w:val="16"/>
                <w:color w:val="auto"/>
              </w:rPr>
              <w:t>(19,741)</w:t>
            </w:r>
          </w:p>
        </w:tc>
      </w:tr>
      <w:tr>
        <w:trPr>
          <w:trHeight w:val="237"/>
        </w:trPr>
        <w:tc>
          <w:tcPr>
            <w:tcW w:w="260" w:type="dxa"/>
            <w:vAlign w:val="bottom"/>
          </w:tcPr>
          <w:p>
            <w:pPr>
              <w:spacing w:after="0"/>
              <w:rPr>
                <w:sz w:val="20"/>
                <w:szCs w:val="20"/>
                <w:color w:val="auto"/>
              </w:rPr>
            </w:pPr>
          </w:p>
        </w:tc>
        <w:tc>
          <w:tcPr>
            <w:tcW w:w="4020" w:type="dxa"/>
            <w:vAlign w:val="bottom"/>
            <w:gridSpan w:val="2"/>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(5,740)</w:t>
            </w: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30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260" w:type="dxa"/>
            <w:vAlign w:val="bottom"/>
          </w:tcPr>
          <w:p>
            <w:pPr>
              <w:spacing w:after="0"/>
              <w:rPr>
                <w:sz w:val="23"/>
                <w:szCs w:val="23"/>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Income tax benefit (expense)</w:t>
            </w:r>
          </w:p>
        </w:tc>
        <w:tc>
          <w:tcPr>
            <w:tcW w:w="18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spacing w:after="0"/>
              <w:rPr>
                <w:sz w:val="23"/>
                <w:szCs w:val="23"/>
                <w:color w:val="auto"/>
              </w:rPr>
            </w:pPr>
          </w:p>
        </w:tc>
        <w:tc>
          <w:tcPr>
            <w:tcW w:w="22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840" w:type="dxa"/>
            <w:vAlign w:val="bottom"/>
            <w:tcBorders>
              <w:bottom w:val="single" w:sz="8" w:color="CEFFE7"/>
            </w:tcBorders>
            <w:shd w:val="clear" w:color="auto" w:fill="CEFFE7"/>
          </w:tcPr>
          <w:p>
            <w:pPr>
              <w:spacing w:after="0"/>
              <w:rPr>
                <w:sz w:val="23"/>
                <w:szCs w:val="23"/>
                <w:color w:val="auto"/>
              </w:rPr>
            </w:pPr>
          </w:p>
        </w:tc>
        <w:tc>
          <w:tcPr>
            <w:tcW w:w="24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spacing w:after="0"/>
              <w:rPr>
                <w:sz w:val="23"/>
                <w:szCs w:val="23"/>
                <w:color w:val="auto"/>
              </w:rPr>
            </w:pPr>
          </w:p>
        </w:tc>
        <w:tc>
          <w:tcPr>
            <w:tcW w:w="18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(29,580)</w:t>
            </w:r>
          </w:p>
        </w:tc>
      </w:tr>
      <w:tr>
        <w:trPr>
          <w:trHeight w:val="217"/>
        </w:trPr>
        <w:tc>
          <w:tcPr>
            <w:tcW w:w="26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Income from continuing operations</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213,322</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17"/>
        </w:trPr>
        <w:tc>
          <w:tcPr>
            <w:tcW w:w="260" w:type="dxa"/>
            <w:vAlign w:val="bottom"/>
          </w:tcPr>
          <w:p>
            <w:pPr>
              <w:spacing w:after="0"/>
              <w:rPr>
                <w:sz w:val="18"/>
                <w:szCs w:val="18"/>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Net income</w:t>
            </w: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213,322</w:t>
            </w: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30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22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0"/>
        </w:trPr>
        <w:tc>
          <w:tcPr>
            <w:tcW w:w="260" w:type="dxa"/>
            <w:vAlign w:val="bottom"/>
          </w:tcPr>
          <w:p>
            <w:pPr>
              <w:spacing w:after="0"/>
              <w:rPr>
                <w:sz w:val="21"/>
                <w:szCs w:val="21"/>
                <w:color w:val="auto"/>
              </w:rPr>
            </w:pPr>
          </w:p>
        </w:tc>
        <w:tc>
          <w:tcPr>
            <w:tcW w:w="40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22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(14,012)</w:t>
            </w:r>
          </w:p>
        </w:tc>
      </w:tr>
      <w:tr>
        <w:trPr>
          <w:trHeight w:val="244"/>
        </w:trPr>
        <w:tc>
          <w:tcPr>
            <w:tcW w:w="260" w:type="dxa"/>
            <w:vAlign w:val="bottom"/>
          </w:tcPr>
          <w:p>
            <w:pPr>
              <w:spacing w:after="0"/>
              <w:rPr>
                <w:sz w:val="21"/>
                <w:szCs w:val="21"/>
                <w:color w:val="auto"/>
              </w:rPr>
            </w:pPr>
          </w:p>
        </w:tc>
        <w:tc>
          <w:tcPr>
            <w:tcW w:w="4020" w:type="dxa"/>
            <w:vAlign w:val="bottom"/>
            <w:gridSpan w:val="2"/>
          </w:tcPr>
          <w:p>
            <w:pPr>
              <w:ind w:left="160"/>
              <w:spacing w:after="0"/>
              <w:rPr>
                <w:sz w:val="20"/>
                <w:szCs w:val="20"/>
                <w:color w:val="auto"/>
              </w:rPr>
            </w:pPr>
            <w:r>
              <w:rPr>
                <w:rFonts w:ascii="Arial" w:cs="Arial" w:eastAsia="Arial" w:hAnsi="Arial"/>
                <w:sz w:val="16"/>
                <w:szCs w:val="16"/>
                <w:color w:val="auto"/>
              </w:rPr>
              <w:t>Net income available for common stock</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8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199,310</w:t>
            </w:r>
          </w:p>
        </w:tc>
      </w:tr>
      <w:tr>
        <w:trPr>
          <w:trHeight w:val="20"/>
        </w:trPr>
        <w:tc>
          <w:tcPr>
            <w:tcW w:w="2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69"/>
        </w:numPr>
        <w:rPr>
          <w:rFonts w:ascii="Arial" w:cs="Arial" w:eastAsia="Arial" w:hAnsi="Arial"/>
          <w:sz w:val="14"/>
          <w:szCs w:val="14"/>
          <w:color w:val="auto"/>
        </w:rPr>
      </w:pPr>
      <w:r>
        <w:rPr>
          <w:rFonts w:ascii="Arial" w:cs="Arial" w:eastAsia="Arial" w:hAnsi="Arial"/>
          <w:sz w:val="14"/>
          <w:szCs w:val="14"/>
          <w:color w:val="auto"/>
        </w:rPr>
        <w:t xml:space="preserve">In 2019 we recorded an impairment of our investment in equity securities of a privately held oil and gas company. See </w:t>
      </w:r>
      <w:hyperlink w:anchor="page83">
        <w:r>
          <w:rPr>
            <w:rFonts w:ascii="Arial" w:cs="Arial" w:eastAsia="Arial" w:hAnsi="Arial"/>
            <w:sz w:val="14"/>
            <w:szCs w:val="14"/>
            <w:u w:val="single" w:color="auto"/>
            <w:color w:val="0000EE"/>
          </w:rPr>
          <w:t>Note 1</w:t>
        </w:r>
        <w:r>
          <w:rPr>
            <w:rFonts w:ascii="Arial" w:cs="Arial" w:eastAsia="Arial" w:hAnsi="Arial"/>
            <w:sz w:val="14"/>
            <w:szCs w:val="14"/>
            <w:u w:val="single" w:color="auto"/>
            <w:color w:val="auto"/>
          </w:rPr>
          <w:t xml:space="preserve"> </w:t>
        </w:r>
      </w:hyperlink>
      <w:r>
        <w:rPr>
          <w:rFonts w:ascii="Arial" w:cs="Arial" w:eastAsia="Arial" w:hAnsi="Arial"/>
          <w:sz w:val="14"/>
          <w:szCs w:val="14"/>
          <w:color w:val="auto"/>
        </w:rPr>
        <w:t>for additional information.</w:t>
      </w:r>
    </w:p>
    <w:p>
      <w:pPr>
        <w:spacing w:after="0" w:line="200" w:lineRule="exact"/>
        <w:rPr>
          <w:sz w:val="20"/>
          <w:szCs w:val="20"/>
          <w:color w:val="auto"/>
        </w:rPr>
      </w:pP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420"/>
          </w:cols>
          <w:pgMar w:left="240" w:top="118" w:right="239" w:bottom="1440" w:gutter="0" w:footer="0" w:header="0"/>
        </w:sectPr>
      </w:pPr>
    </w:p>
    <w:bookmarkStart w:id="100" w:name="page101"/>
    <w:bookmarkEnd w:id="100"/>
    <w:tbl>
      <w:tblPr>
        <w:tblLayout w:type="fixed"/>
        <w:tblInd w:w="0" w:type="dxa"/>
        <w:tblCellMar>
          <w:top w:w="0" w:type="dxa"/>
          <w:left w:w="0" w:type="dxa"/>
          <w:bottom w:w="0" w:type="dxa"/>
          <w:right w:w="0" w:type="dxa"/>
        </w:tblCellMar>
      </w:tblPr>
      <w:tr>
        <w:trPr>
          <w:trHeight w:val="184"/>
        </w:trPr>
        <w:tc>
          <w:tcPr>
            <w:tcW w:w="38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2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860" w:type="dxa"/>
            <w:vAlign w:val="bottom"/>
            <w:gridSpan w:val="5"/>
          </w:tcPr>
          <w:p>
            <w:pPr>
              <w:jc w:val="right"/>
              <w:ind w:right="239"/>
              <w:spacing w:after="0"/>
              <w:rPr>
                <w:sz w:val="20"/>
                <w:szCs w:val="20"/>
                <w:color w:val="auto"/>
              </w:rPr>
            </w:pPr>
            <w:r>
              <w:rPr>
                <w:rFonts w:ascii="Arial" w:cs="Arial" w:eastAsia="Arial" w:hAnsi="Arial"/>
                <w:sz w:val="16"/>
                <w:szCs w:val="16"/>
                <w:b w:val="1"/>
                <w:bCs w:val="1"/>
                <w:color w:val="auto"/>
              </w:rPr>
              <w:t>Consolidating Income Statement</w:t>
            </w: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Electric</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color w:val="auto"/>
                <w:w w:val="93"/>
              </w:rPr>
              <w:t>Power Generation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w w:val="94"/>
              </w:rPr>
              <w:t>Inter-Company</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6"/>
                <w:szCs w:val="16"/>
                <w:color w:val="auto"/>
              </w:rPr>
              <w:t>Year ended December 31, 2018</w:t>
            </w:r>
          </w:p>
        </w:tc>
        <w:tc>
          <w:tcPr>
            <w:tcW w:w="120" w:type="dxa"/>
            <w:vAlign w:val="bottom"/>
          </w:tcPr>
          <w:p>
            <w:pPr>
              <w:spacing w:after="0"/>
              <w:rPr>
                <w:sz w:val="7"/>
                <w:szCs w:val="7"/>
                <w:color w:val="auto"/>
              </w:rPr>
            </w:pPr>
          </w:p>
        </w:tc>
        <w:tc>
          <w:tcPr>
            <w:tcW w:w="840" w:type="dxa"/>
            <w:vAlign w:val="bottom"/>
            <w:vMerge w:val="restart"/>
          </w:tcPr>
          <w:p>
            <w:pPr>
              <w:jc w:val="right"/>
              <w:ind w:right="39"/>
              <w:spacing w:after="0" w:line="239" w:lineRule="exact"/>
              <w:rPr>
                <w:sz w:val="20"/>
                <w:szCs w:val="20"/>
                <w:color w:val="auto"/>
              </w:rPr>
            </w:pPr>
            <w:r>
              <w:rPr>
                <w:rFonts w:ascii="Arial" w:cs="Arial" w:eastAsia="Arial" w:hAnsi="Arial"/>
                <w:sz w:val="16"/>
                <w:szCs w:val="16"/>
                <w:color w:val="auto"/>
                <w:w w:val="95"/>
              </w:rPr>
              <w:t xml:space="preserve">Utilities </w:t>
            </w:r>
            <w:r>
              <w:rPr>
                <w:rFonts w:ascii="Arial" w:cs="Arial" w:eastAsia="Arial" w:hAnsi="Arial"/>
                <w:sz w:val="21"/>
                <w:szCs w:val="21"/>
                <w:color w:val="auto"/>
                <w:w w:val="95"/>
                <w:vertAlign w:val="superscript"/>
              </w:rPr>
              <w:t>(b)</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Gas Utilities</w:t>
            </w:r>
          </w:p>
        </w:tc>
        <w:tc>
          <w:tcPr>
            <w:tcW w:w="13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820" w:type="dxa"/>
            <w:vAlign w:val="bottom"/>
            <w:vMerge w:val="restart"/>
          </w:tcPr>
          <w:p>
            <w:pPr>
              <w:jc w:val="right"/>
              <w:ind w:right="59"/>
              <w:spacing w:after="0"/>
              <w:rPr>
                <w:sz w:val="20"/>
                <w:szCs w:val="20"/>
                <w:color w:val="auto"/>
              </w:rPr>
            </w:pPr>
            <w:r>
              <w:rPr>
                <w:rFonts w:ascii="Arial" w:cs="Arial" w:eastAsia="Arial" w:hAnsi="Arial"/>
                <w:sz w:val="16"/>
                <w:szCs w:val="16"/>
                <w:color w:val="auto"/>
                <w:w w:val="92"/>
              </w:rPr>
              <w:t>Corporate</w:t>
            </w:r>
          </w:p>
        </w:tc>
        <w:tc>
          <w:tcPr>
            <w:tcW w:w="160" w:type="dxa"/>
            <w:vAlign w:val="bottom"/>
          </w:tcPr>
          <w:p>
            <w:pPr>
              <w:spacing w:after="0"/>
              <w:rPr>
                <w:sz w:val="7"/>
                <w:szCs w:val="7"/>
                <w:color w:val="auto"/>
              </w:rPr>
            </w:pPr>
          </w:p>
        </w:tc>
        <w:tc>
          <w:tcPr>
            <w:tcW w:w="1360" w:type="dxa"/>
            <w:vAlign w:val="bottom"/>
            <w:gridSpan w:val="2"/>
            <w:vMerge w:val="restart"/>
          </w:tcPr>
          <w:p>
            <w:pPr>
              <w:jc w:val="right"/>
              <w:ind w:right="340"/>
              <w:spacing w:after="0" w:line="239" w:lineRule="exact"/>
              <w:rPr>
                <w:sz w:val="20"/>
                <w:szCs w:val="20"/>
                <w:color w:val="auto"/>
              </w:rPr>
            </w:pPr>
            <w:r>
              <w:rPr>
                <w:rFonts w:ascii="Arial" w:cs="Arial" w:eastAsia="Arial" w:hAnsi="Arial"/>
                <w:sz w:val="16"/>
                <w:szCs w:val="16"/>
                <w:color w:val="auto"/>
                <w:w w:val="92"/>
              </w:rPr>
              <w:t xml:space="preserve">Eliminations </w:t>
            </w:r>
            <w:r>
              <w:rPr>
                <w:rFonts w:ascii="Arial" w:cs="Arial" w:eastAsia="Arial" w:hAnsi="Arial"/>
                <w:sz w:val="21"/>
                <w:szCs w:val="21"/>
                <w:color w:val="auto"/>
                <w:w w:val="92"/>
                <w:vertAlign w:val="superscript"/>
              </w:rPr>
              <w:t>(b)</w:t>
            </w: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358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1"/>
              <w:spacing w:after="0"/>
              <w:rPr>
                <w:sz w:val="20"/>
                <w:szCs w:val="20"/>
                <w:color w:val="auto"/>
              </w:rPr>
            </w:pPr>
            <w:r>
              <w:rPr>
                <w:rFonts w:ascii="Arial" w:cs="Arial" w:eastAsia="Arial" w:hAnsi="Arial"/>
                <w:sz w:val="11"/>
                <w:szCs w:val="11"/>
                <w:color w:val="auto"/>
              </w:rPr>
              <w:t>(b)</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Revenue -</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Contracts with customers</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686,272</w:t>
            </w:r>
          </w:p>
        </w:tc>
        <w:tc>
          <w:tcPr>
            <w:tcW w:w="240" w:type="dxa"/>
            <w:vAlign w:val="bottom"/>
          </w:tcPr>
          <w:p>
            <w:pPr>
              <w:jc w:val="right"/>
              <w:spacing w:after="0"/>
              <w:rPr>
                <w:sz w:val="20"/>
                <w:szCs w:val="20"/>
                <w:color w:val="auto"/>
              </w:rPr>
            </w:pPr>
            <w:r>
              <w:rPr>
                <w:rFonts w:ascii="Arial" w:cs="Arial" w:eastAsia="Arial" w:hAnsi="Arial"/>
                <w:sz w:val="16"/>
                <w:szCs w:val="16"/>
                <w:color w:val="auto"/>
              </w:rPr>
              <w:t>$</w:t>
            </w:r>
          </w:p>
        </w:tc>
        <w:tc>
          <w:tcPr>
            <w:tcW w:w="800" w:type="dxa"/>
            <w:vAlign w:val="bottom"/>
          </w:tcPr>
          <w:p>
            <w:pPr>
              <w:jc w:val="right"/>
              <w:spacing w:after="0"/>
              <w:rPr>
                <w:sz w:val="20"/>
                <w:szCs w:val="20"/>
                <w:color w:val="auto"/>
              </w:rPr>
            </w:pPr>
            <w:r>
              <w:rPr>
                <w:rFonts w:ascii="Arial" w:cs="Arial" w:eastAsia="Arial" w:hAnsi="Arial"/>
                <w:sz w:val="16"/>
                <w:szCs w:val="16"/>
                <w:color w:val="auto"/>
                <w:w w:val="98"/>
              </w:rPr>
              <w:t>1,022,828</w:t>
            </w:r>
          </w:p>
        </w:tc>
        <w:tc>
          <w:tcPr>
            <w:tcW w:w="380" w:type="dxa"/>
            <w:vAlign w:val="bottom"/>
          </w:tcPr>
          <w:p>
            <w:pPr>
              <w:ind w:left="60"/>
              <w:spacing w:after="0"/>
              <w:rPr>
                <w:sz w:val="20"/>
                <w:szCs w:val="20"/>
                <w:color w:val="auto"/>
              </w:rPr>
            </w:pPr>
            <w:r>
              <w:rPr>
                <w:rFonts w:ascii="Arial" w:cs="Arial" w:eastAsia="Arial" w:hAnsi="Arial"/>
                <w:sz w:val="16"/>
                <w:szCs w:val="16"/>
                <w:color w:val="auto"/>
              </w:rPr>
              <w:t>$</w:t>
            </w: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5,833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Pr>
          <w:p>
            <w:pPr>
              <w:jc w:val="right"/>
              <w:spacing w:after="0"/>
              <w:rPr>
                <w:sz w:val="20"/>
                <w:szCs w:val="20"/>
                <w:color w:val="auto"/>
              </w:rPr>
            </w:pPr>
            <w:r>
              <w:rPr>
                <w:rFonts w:ascii="Arial" w:cs="Arial" w:eastAsia="Arial" w:hAnsi="Arial"/>
                <w:sz w:val="16"/>
                <w:szCs w:val="16"/>
                <w:color w:val="auto"/>
              </w:rPr>
              <w:t>33,609</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tcPr>
          <w:p>
            <w:pPr>
              <w:jc w:val="right"/>
              <w:ind w:right="19"/>
              <w:spacing w:after="0"/>
              <w:rPr>
                <w:sz w:val="20"/>
                <w:szCs w:val="20"/>
                <w:color w:val="auto"/>
              </w:rPr>
            </w:pPr>
            <w:r>
              <w:rPr>
                <w:rFonts w:ascii="Arial" w:cs="Arial" w:eastAsia="Arial" w:hAnsi="Arial"/>
                <w:sz w:val="16"/>
                <w:szCs w:val="16"/>
                <w:color w:val="auto"/>
                <w:w w:val="98"/>
              </w:rPr>
              <w:t>1,748,542</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tcPr>
          <w:p>
            <w:pPr>
              <w:spacing w:after="0"/>
              <w:rPr>
                <w:sz w:val="22"/>
                <w:szCs w:val="22"/>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2,427</w:t>
            </w:r>
          </w:p>
        </w:tc>
        <w:tc>
          <w:tcPr>
            <w:tcW w:w="2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955</w:t>
            </w:r>
          </w:p>
        </w:tc>
        <w:tc>
          <w:tcPr>
            <w:tcW w:w="3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1,413</w:t>
            </w:r>
          </w:p>
        </w:tc>
        <w:tc>
          <w:tcPr>
            <w:tcW w:w="18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931</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60" w:type="dxa"/>
            <w:vAlign w:val="bottom"/>
            <w:tcBorders>
              <w:bottom w:val="single" w:sz="8" w:color="CEFFE7"/>
            </w:tcBorders>
            <w:gridSpan w:val="2"/>
            <w:shd w:val="clear" w:color="auto" w:fill="CEFFE7"/>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5,726</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688,699</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8"/>
              </w:rPr>
              <w:t>1,023,783</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7,246</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34,540</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w w:val="98"/>
              </w:rPr>
              <w:t>1,754,268</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Inter-company operating revenue -</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Contracts with customers</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22,752</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1,524</w:t>
            </w:r>
          </w:p>
        </w:tc>
        <w:tc>
          <w:tcPr>
            <w:tcW w:w="38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84,959</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32,194</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148</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(141,577)</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tcPr>
          <w:p>
            <w:pPr>
              <w:spacing w:after="0"/>
              <w:rPr>
                <w:sz w:val="22"/>
                <w:szCs w:val="22"/>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Other revenues</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246</w:t>
            </w:r>
          </w:p>
        </w:tc>
        <w:tc>
          <w:tcPr>
            <w:tcW w:w="18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1,299</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379,775</w:t>
            </w:r>
          </w:p>
        </w:tc>
        <w:tc>
          <w:tcPr>
            <w:tcW w:w="16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(381,320)</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22,752</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1,524</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85,205</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33,493</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379,923</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(522,897)</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711,451</w:t>
            </w: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98"/>
              </w:rPr>
              <w:t>1,025,307</w:t>
            </w: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92,451</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68,033</w:t>
            </w: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379,923</w:t>
            </w: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(522,897)</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1,754,268</w:t>
            </w: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w w:val="97"/>
              </w:rPr>
              <w:t>Fuel, purchased power and cost of natural gas sold</w:t>
            </w:r>
          </w:p>
        </w:tc>
        <w:tc>
          <w:tcPr>
            <w:tcW w:w="1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283,840</w:t>
            </w:r>
          </w:p>
        </w:tc>
        <w:tc>
          <w:tcPr>
            <w:tcW w:w="240" w:type="dxa"/>
            <w:vAlign w:val="bottom"/>
            <w:tcBorders>
              <w:bottom w:val="single" w:sz="8" w:color="CEFFE7"/>
            </w:tcBorders>
            <w:shd w:val="clear" w:color="auto" w:fill="CEFFE7"/>
          </w:tcPr>
          <w:p>
            <w:pPr>
              <w:spacing w:after="0"/>
              <w:rPr>
                <w:sz w:val="20"/>
                <w:szCs w:val="20"/>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462,153</w:t>
            </w:r>
          </w:p>
        </w:tc>
        <w:tc>
          <w:tcPr>
            <w:tcW w:w="3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8,592</w:t>
            </w:r>
          </w:p>
        </w:tc>
        <w:tc>
          <w:tcPr>
            <w:tcW w:w="18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44</w:t>
            </w:r>
          </w:p>
        </w:tc>
        <w:tc>
          <w:tcPr>
            <w:tcW w:w="160" w:type="dxa"/>
            <w:vAlign w:val="bottom"/>
            <w:tcBorders>
              <w:bottom w:val="single" w:sz="8" w:color="CEFFE7"/>
            </w:tcBorders>
            <w:shd w:val="clear" w:color="auto" w:fill="CEFFE7"/>
          </w:tcPr>
          <w:p>
            <w:pPr>
              <w:spacing w:after="0"/>
              <w:rPr>
                <w:sz w:val="20"/>
                <w:szCs w:val="20"/>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(129,019)</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625,610</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186,175</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291,481</w:t>
            </w:r>
          </w:p>
        </w:tc>
        <w:tc>
          <w:tcPr>
            <w:tcW w:w="380" w:type="dxa"/>
            <w:vAlign w:val="bottom"/>
          </w:tcPr>
          <w:p>
            <w:pPr>
              <w:spacing w:after="0"/>
              <w:rPr>
                <w:sz w:val="19"/>
                <w:szCs w:val="19"/>
                <w:color w:val="auto"/>
              </w:rPr>
            </w:pPr>
          </w:p>
        </w:tc>
        <w:tc>
          <w:tcPr>
            <w:tcW w:w="920" w:type="dxa"/>
            <w:vAlign w:val="bottom"/>
          </w:tcPr>
          <w:p>
            <w:pPr>
              <w:jc w:val="right"/>
              <w:ind w:right="41"/>
              <w:spacing w:after="0"/>
              <w:rPr>
                <w:sz w:val="20"/>
                <w:szCs w:val="20"/>
                <w:color w:val="auto"/>
              </w:rPr>
            </w:pPr>
            <w:r>
              <w:rPr>
                <w:rFonts w:ascii="Arial" w:cs="Arial" w:eastAsia="Arial" w:hAnsi="Arial"/>
                <w:sz w:val="16"/>
                <w:szCs w:val="16"/>
                <w:color w:val="auto"/>
              </w:rPr>
              <w:t>25,135</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43,728</w:t>
            </w:r>
          </w:p>
        </w:tc>
        <w:tc>
          <w:tcPr>
            <w:tcW w:w="18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324,916</w:t>
            </w:r>
          </w:p>
        </w:tc>
        <w:tc>
          <w:tcPr>
            <w:tcW w:w="16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(336,142)</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535,293</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tcPr>
          <w:p>
            <w:pPr>
              <w:spacing w:after="0"/>
              <w:rPr>
                <w:sz w:val="22"/>
                <w:szCs w:val="22"/>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85,567</w:t>
            </w:r>
          </w:p>
        </w:tc>
        <w:tc>
          <w:tcPr>
            <w:tcW w:w="240" w:type="dxa"/>
            <w:vAlign w:val="bottom"/>
            <w:tcBorders>
              <w:bottom w:val="single" w:sz="8" w:color="CEFFE7"/>
            </w:tcBorders>
            <w:shd w:val="clear" w:color="auto" w:fill="CEFFE7"/>
          </w:tcPr>
          <w:p>
            <w:pPr>
              <w:spacing w:after="0"/>
              <w:rPr>
                <w:sz w:val="22"/>
                <w:szCs w:val="22"/>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86,434</w:t>
            </w:r>
          </w:p>
        </w:tc>
        <w:tc>
          <w:tcPr>
            <w:tcW w:w="3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41"/>
              <w:spacing w:after="0"/>
              <w:rPr>
                <w:sz w:val="20"/>
                <w:szCs w:val="20"/>
                <w:color w:val="auto"/>
              </w:rPr>
            </w:pPr>
            <w:r>
              <w:rPr>
                <w:rFonts w:ascii="Arial" w:cs="Arial" w:eastAsia="Arial" w:hAnsi="Arial"/>
                <w:sz w:val="16"/>
                <w:szCs w:val="16"/>
                <w:color w:val="auto"/>
              </w:rPr>
              <w:t>16,110</w:t>
            </w:r>
          </w:p>
        </w:tc>
        <w:tc>
          <w:tcPr>
            <w:tcW w:w="18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7,965</w:t>
            </w:r>
          </w:p>
        </w:tc>
        <w:tc>
          <w:tcPr>
            <w:tcW w:w="18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21,161</w:t>
            </w:r>
          </w:p>
        </w:tc>
        <w:tc>
          <w:tcPr>
            <w:tcW w:w="160" w:type="dxa"/>
            <w:vAlign w:val="bottom"/>
            <w:tcBorders>
              <w:bottom w:val="single" w:sz="8" w:color="CEFFE7"/>
            </w:tcBorders>
            <w:shd w:val="clear" w:color="auto" w:fill="CEFFE7"/>
          </w:tcPr>
          <w:p>
            <w:pPr>
              <w:spacing w:after="0"/>
              <w:rPr>
                <w:sz w:val="22"/>
                <w:szCs w:val="22"/>
                <w:color w:val="auto"/>
              </w:rPr>
            </w:pP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(20,909)</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196,328</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Adjusted operating income (loss)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155,869</w:t>
            </w:r>
          </w:p>
        </w:tc>
        <w:tc>
          <w:tcPr>
            <w:tcW w:w="24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185,239</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1"/>
              <w:spacing w:after="0"/>
              <w:rPr>
                <w:sz w:val="20"/>
                <w:szCs w:val="20"/>
                <w:color w:val="auto"/>
              </w:rPr>
            </w:pPr>
            <w:r>
              <w:rPr>
                <w:rFonts w:ascii="Arial" w:cs="Arial" w:eastAsia="Arial" w:hAnsi="Arial"/>
                <w:sz w:val="16"/>
                <w:szCs w:val="16"/>
                <w:color w:val="auto"/>
              </w:rPr>
              <w:t>42,614</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16,340</w:t>
            </w: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33,802</w:t>
            </w: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(36,827)</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397,037</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960" w:type="dxa"/>
            <w:vAlign w:val="bottom"/>
            <w:shd w:val="clear" w:color="auto" w:fill="CEFFE7"/>
          </w:tcPr>
          <w:p>
            <w:pPr>
              <w:spacing w:after="0"/>
              <w:rPr>
                <w:sz w:val="21"/>
                <w:szCs w:val="21"/>
                <w:color w:val="auto"/>
              </w:rPr>
            </w:pPr>
          </w:p>
        </w:tc>
        <w:tc>
          <w:tcPr>
            <w:tcW w:w="2620" w:type="dxa"/>
            <w:vAlign w:val="bottom"/>
            <w:shd w:val="clear" w:color="auto" w:fill="CEFFE7"/>
          </w:tcPr>
          <w:p>
            <w:pPr>
              <w:spacing w:after="0"/>
              <w:rPr>
                <w:sz w:val="21"/>
                <w:szCs w:val="21"/>
                <w:color w:val="auto"/>
              </w:rPr>
            </w:pPr>
          </w:p>
        </w:tc>
        <w:tc>
          <w:tcPr>
            <w:tcW w:w="12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120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(139,975)</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(1,180)</w:t>
            </w:r>
          </w:p>
        </w:tc>
        <w:tc>
          <w:tcPr>
            <w:tcW w:w="0" w:type="dxa"/>
            <w:vAlign w:val="bottom"/>
          </w:tcPr>
          <w:p>
            <w:pPr>
              <w:spacing w:after="0"/>
              <w:rPr>
                <w:sz w:val="1"/>
                <w:szCs w:val="1"/>
                <w:color w:val="auto"/>
              </w:rPr>
            </w:pPr>
          </w:p>
        </w:tc>
      </w:tr>
      <w:tr>
        <w:trPr>
          <w:trHeight w:val="270"/>
        </w:trPr>
        <w:tc>
          <w:tcPr>
            <w:tcW w:w="260" w:type="dxa"/>
            <w:vAlign w:val="bottom"/>
          </w:tcPr>
          <w:p>
            <w:pPr>
              <w:spacing w:after="0"/>
              <w:rPr>
                <w:sz w:val="23"/>
                <w:szCs w:val="23"/>
                <w:color w:val="auto"/>
              </w:rPr>
            </w:pPr>
          </w:p>
        </w:tc>
        <w:tc>
          <w:tcPr>
            <w:tcW w:w="358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 xml:space="preserve">Income tax benefit (expense) </w:t>
            </w:r>
            <w:r>
              <w:rPr>
                <w:rFonts w:ascii="Arial" w:cs="Arial" w:eastAsia="Arial" w:hAnsi="Arial"/>
                <w:sz w:val="21"/>
                <w:szCs w:val="21"/>
                <w:color w:val="auto"/>
                <w:vertAlign w:val="superscript"/>
              </w:rPr>
              <w:t>(a)</w:t>
            </w:r>
          </w:p>
        </w:tc>
        <w:tc>
          <w:tcPr>
            <w:tcW w:w="120" w:type="dxa"/>
            <w:vAlign w:val="bottom"/>
            <w:tcBorders>
              <w:bottom w:val="single" w:sz="8" w:color="CEFFE7"/>
            </w:tcBorders>
          </w:tcPr>
          <w:p>
            <w:pPr>
              <w:spacing w:after="0"/>
              <w:rPr>
                <w:sz w:val="23"/>
                <w:szCs w:val="23"/>
                <w:color w:val="auto"/>
              </w:rPr>
            </w:pPr>
          </w:p>
        </w:tc>
        <w:tc>
          <w:tcPr>
            <w:tcW w:w="840" w:type="dxa"/>
            <w:vAlign w:val="bottom"/>
            <w:tcBorders>
              <w:bottom w:val="single" w:sz="8" w:color="CEFFE7"/>
            </w:tcBorders>
          </w:tcPr>
          <w:p>
            <w:pPr>
              <w:spacing w:after="0"/>
              <w:rPr>
                <w:sz w:val="23"/>
                <w:szCs w:val="23"/>
                <w:color w:val="auto"/>
              </w:rPr>
            </w:pPr>
          </w:p>
        </w:tc>
        <w:tc>
          <w:tcPr>
            <w:tcW w:w="240" w:type="dxa"/>
            <w:vAlign w:val="bottom"/>
            <w:tcBorders>
              <w:bottom w:val="single" w:sz="8" w:color="CEFFE7"/>
            </w:tcBorders>
          </w:tcPr>
          <w:p>
            <w:pPr>
              <w:spacing w:after="0"/>
              <w:rPr>
                <w:sz w:val="23"/>
                <w:szCs w:val="23"/>
                <w:color w:val="auto"/>
              </w:rPr>
            </w:pPr>
          </w:p>
        </w:tc>
        <w:tc>
          <w:tcPr>
            <w:tcW w:w="800" w:type="dxa"/>
            <w:vAlign w:val="bottom"/>
            <w:tcBorders>
              <w:bottom w:val="single" w:sz="8" w:color="CEFFE7"/>
            </w:tcBorders>
          </w:tcPr>
          <w:p>
            <w:pPr>
              <w:spacing w:after="0"/>
              <w:rPr>
                <w:sz w:val="23"/>
                <w:szCs w:val="23"/>
                <w:color w:val="auto"/>
              </w:rPr>
            </w:pPr>
          </w:p>
        </w:tc>
        <w:tc>
          <w:tcPr>
            <w:tcW w:w="380" w:type="dxa"/>
            <w:vAlign w:val="bottom"/>
            <w:tcBorders>
              <w:bottom w:val="single" w:sz="8" w:color="CEFFE7"/>
            </w:tcBorders>
          </w:tcPr>
          <w:p>
            <w:pPr>
              <w:spacing w:after="0"/>
              <w:rPr>
                <w:sz w:val="23"/>
                <w:szCs w:val="23"/>
                <w:color w:val="auto"/>
              </w:rPr>
            </w:pPr>
          </w:p>
        </w:tc>
        <w:tc>
          <w:tcPr>
            <w:tcW w:w="920" w:type="dxa"/>
            <w:vAlign w:val="bottom"/>
            <w:tcBorders>
              <w:bottom w:val="single" w:sz="8" w:color="CEFFE7"/>
            </w:tcBorders>
          </w:tcPr>
          <w:p>
            <w:pPr>
              <w:spacing w:after="0"/>
              <w:rPr>
                <w:sz w:val="23"/>
                <w:szCs w:val="23"/>
                <w:color w:val="auto"/>
              </w:rPr>
            </w:pPr>
          </w:p>
        </w:tc>
        <w:tc>
          <w:tcPr>
            <w:tcW w:w="180" w:type="dxa"/>
            <w:vAlign w:val="bottom"/>
            <w:tcBorders>
              <w:bottom w:val="single" w:sz="8" w:color="CEFFE7"/>
            </w:tcBorders>
          </w:tcPr>
          <w:p>
            <w:pPr>
              <w:spacing w:after="0"/>
              <w:rPr>
                <w:sz w:val="23"/>
                <w:szCs w:val="23"/>
                <w:color w:val="auto"/>
              </w:rPr>
            </w:pPr>
          </w:p>
        </w:tc>
        <w:tc>
          <w:tcPr>
            <w:tcW w:w="760" w:type="dxa"/>
            <w:vAlign w:val="bottom"/>
            <w:tcBorders>
              <w:bottom w:val="single" w:sz="8" w:color="CEFFE7"/>
            </w:tcBorders>
          </w:tcPr>
          <w:p>
            <w:pPr>
              <w:spacing w:after="0"/>
              <w:rPr>
                <w:sz w:val="23"/>
                <w:szCs w:val="23"/>
                <w:color w:val="auto"/>
              </w:rPr>
            </w:pPr>
          </w:p>
        </w:tc>
        <w:tc>
          <w:tcPr>
            <w:tcW w:w="180" w:type="dxa"/>
            <w:vAlign w:val="bottom"/>
            <w:tcBorders>
              <w:bottom w:val="single" w:sz="8" w:color="CEFFE7"/>
            </w:tcBorders>
          </w:tcPr>
          <w:p>
            <w:pPr>
              <w:spacing w:after="0"/>
              <w:rPr>
                <w:sz w:val="23"/>
                <w:szCs w:val="23"/>
                <w:color w:val="auto"/>
              </w:rPr>
            </w:pPr>
          </w:p>
        </w:tc>
        <w:tc>
          <w:tcPr>
            <w:tcW w:w="820" w:type="dxa"/>
            <w:vAlign w:val="bottom"/>
            <w:tcBorders>
              <w:bottom w:val="single" w:sz="8" w:color="CEFFE7"/>
            </w:tcBorders>
          </w:tcPr>
          <w:p>
            <w:pPr>
              <w:spacing w:after="0"/>
              <w:rPr>
                <w:sz w:val="23"/>
                <w:szCs w:val="23"/>
                <w:color w:val="auto"/>
              </w:rPr>
            </w:pPr>
          </w:p>
        </w:tc>
        <w:tc>
          <w:tcPr>
            <w:tcW w:w="160" w:type="dxa"/>
            <w:vAlign w:val="bottom"/>
            <w:tcBorders>
              <w:bottom w:val="single" w:sz="8" w:color="CEFFE7"/>
            </w:tcBorders>
          </w:tcPr>
          <w:p>
            <w:pPr>
              <w:spacing w:after="0"/>
              <w:rPr>
                <w:sz w:val="23"/>
                <w:szCs w:val="23"/>
                <w:color w:val="auto"/>
              </w:rPr>
            </w:pPr>
          </w:p>
        </w:tc>
        <w:tc>
          <w:tcPr>
            <w:tcW w:w="1200" w:type="dxa"/>
            <w:vAlign w:val="bottom"/>
            <w:tcBorders>
              <w:bottom w:val="single" w:sz="8" w:color="CEFFE7"/>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23,667</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Income from continuing operations</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279,549</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(Loss) from discontinued operations, net of tax</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(6,887)</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2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240" w:type="dxa"/>
            <w:vAlign w:val="bottom"/>
            <w:tcBorders>
              <w:bottom w:val="single" w:sz="8" w:color="CEFFE7"/>
            </w:tcBorders>
            <w:shd w:val="clear" w:color="auto" w:fill="CEFFE7"/>
          </w:tcPr>
          <w:p>
            <w:pPr>
              <w:spacing w:after="0"/>
              <w:rPr>
                <w:sz w:val="21"/>
                <w:szCs w:val="21"/>
                <w:color w:val="auto"/>
              </w:rPr>
            </w:pPr>
          </w:p>
        </w:tc>
        <w:tc>
          <w:tcPr>
            <w:tcW w:w="8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272,662</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(14,220)</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80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820" w:type="dxa"/>
            <w:vAlign w:val="bottom"/>
            <w:tcBorders>
              <w:bottom w:val="single" w:sz="8" w:color="CEFFE7"/>
            </w:tcBorders>
          </w:tcPr>
          <w:p>
            <w:pPr>
              <w:spacing w:after="0"/>
              <w:rPr>
                <w:sz w:val="2"/>
                <w:szCs w:val="2"/>
                <w:color w:val="auto"/>
              </w:rPr>
            </w:pPr>
          </w:p>
        </w:tc>
        <w:tc>
          <w:tcPr>
            <w:tcW w:w="16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35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240" w:type="dxa"/>
            <w:vAlign w:val="bottom"/>
            <w:shd w:val="clear" w:color="auto" w:fill="CEFFE7"/>
          </w:tcPr>
          <w:p>
            <w:pPr>
              <w:spacing w:after="0"/>
              <w:rPr>
                <w:sz w:val="21"/>
                <w:szCs w:val="21"/>
                <w:color w:val="auto"/>
              </w:rPr>
            </w:pPr>
          </w:p>
        </w:tc>
        <w:tc>
          <w:tcPr>
            <w:tcW w:w="80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13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258,442</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Borders>
              <w:top w:val="single" w:sz="8" w:color="CEFFE7"/>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240" w:type="dxa"/>
            <w:vAlign w:val="bottom"/>
            <w:tcBorders>
              <w:top w:val="single" w:sz="8" w:color="CEFFE7"/>
            </w:tcBorders>
          </w:tcPr>
          <w:p>
            <w:pPr>
              <w:spacing w:after="0" w:line="20" w:lineRule="exact"/>
              <w:rPr>
                <w:sz w:val="1"/>
                <w:szCs w:val="1"/>
                <w:color w:val="auto"/>
              </w:rPr>
            </w:pPr>
          </w:p>
        </w:tc>
        <w:tc>
          <w:tcPr>
            <w:tcW w:w="80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76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82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CEFFE7"/>
            </w:tcBorders>
          </w:tcPr>
          <w:p>
            <w:pPr>
              <w:spacing w:after="0" w:line="20" w:lineRule="exact"/>
              <w:rPr>
                <w:sz w:val="1"/>
                <w:szCs w:val="1"/>
                <w:color w:val="auto"/>
              </w:rPr>
            </w:pPr>
          </w:p>
        </w:tc>
        <w:tc>
          <w:tcPr>
            <w:tcW w:w="12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 xml:space="preserve">Income tax benefit (expense) includes a tax benefit of $73 million resulting from legal entity restructuring. See </w:t>
      </w:r>
      <w:hyperlink w:anchor="page124">
        <w:r>
          <w:rPr>
            <w:rFonts w:ascii="Arial" w:cs="Arial" w:eastAsia="Arial" w:hAnsi="Arial"/>
            <w:sz w:val="14"/>
            <w:szCs w:val="14"/>
            <w:u w:val="single" w:color="auto"/>
            <w:color w:val="0000EE"/>
          </w:rPr>
          <w:t>Note 15</w:t>
        </w:r>
      </w:hyperlink>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500" w:hanging="332"/>
        <w:spacing w:after="0" w:line="255" w:lineRule="auto"/>
        <w:tabs>
          <w:tab w:leader="none" w:pos="340" w:val="left"/>
        </w:tabs>
        <w:numPr>
          <w:ilvl w:val="0"/>
          <w:numId w:val="70"/>
        </w:numPr>
        <w:rPr>
          <w:rFonts w:ascii="Arial" w:cs="Arial" w:eastAsia="Arial" w:hAnsi="Arial"/>
          <w:sz w:val="14"/>
          <w:szCs w:val="14"/>
          <w:color w:val="auto"/>
        </w:rPr>
      </w:pPr>
      <w:r>
        <w:rPr>
          <w:rFonts w:ascii="Arial" w:cs="Arial" w:eastAsia="Arial" w:hAnsi="Arial"/>
          <w:sz w:val="14"/>
          <w:szCs w:val="14"/>
          <w:color w:val="auto"/>
        </w:rPr>
        <w:t>Due to changes in our segment disclosures, Adjusted operating income and related income statement accounts were revised for the year ended December 31, 2018, which resulted in an increase (decrease) as follows (in millions):</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w w:val="92"/>
              </w:rPr>
              <w:t>Inter-Company</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8"/>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2018</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Electric Utilities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Power Generation</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r>
      <w:tr>
        <w:trPr>
          <w:trHeight w:val="216"/>
        </w:trPr>
        <w:tc>
          <w:tcPr>
            <w:tcW w:w="3620" w:type="dxa"/>
            <w:vAlign w:val="bottom"/>
            <w:shd w:val="clear" w:color="auto" w:fill="CEFFE7"/>
          </w:tcPr>
          <w:p>
            <w:pPr>
              <w:ind w:left="40"/>
              <w:spacing w:after="0"/>
              <w:rPr>
                <w:sz w:val="20"/>
                <w:szCs w:val="20"/>
                <w:color w:val="auto"/>
              </w:rPr>
            </w:pPr>
            <w:r>
              <w:rPr>
                <w:rFonts w:ascii="Arial" w:cs="Arial" w:eastAsia="Arial" w:hAnsi="Arial"/>
                <w:sz w:val="14"/>
                <w:szCs w:val="14"/>
                <w:color w:val="auto"/>
                <w:w w:val="94"/>
              </w:rPr>
              <w:t>Inter-company operating revenue - Contracts with customers</w:t>
            </w:r>
          </w:p>
        </w:tc>
        <w:tc>
          <w:tcPr>
            <w:tcW w:w="420" w:type="dxa"/>
            <w:vAlign w:val="bottom"/>
            <w:shd w:val="clear" w:color="auto" w:fill="CEFFE7"/>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3.5</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(3.5)</w:t>
            </w:r>
          </w:p>
        </w:tc>
        <w:tc>
          <w:tcPr>
            <w:tcW w:w="24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ind w:left="660"/>
              <w:spacing w:after="0"/>
              <w:rPr>
                <w:sz w:val="20"/>
                <w:szCs w:val="20"/>
                <w:color w:val="auto"/>
              </w:rPr>
            </w:pPr>
            <w:r>
              <w:rPr>
                <w:rFonts w:ascii="Arial" w:cs="Arial" w:eastAsia="Arial" w:hAnsi="Arial"/>
                <w:sz w:val="14"/>
                <w:szCs w:val="14"/>
                <w:color w:val="auto"/>
              </w:rPr>
              <w:t>—</w:t>
            </w: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Fuel, purchased power and cost of natural gas sold</w:t>
            </w:r>
          </w:p>
        </w:tc>
        <w:tc>
          <w:tcPr>
            <w:tcW w:w="4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6.7</w:t>
            </w:r>
          </w:p>
        </w:tc>
        <w:tc>
          <w:tcPr>
            <w:tcW w:w="4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(6.7)</w:t>
            </w:r>
          </w:p>
        </w:tc>
        <w:tc>
          <w:tcPr>
            <w:tcW w:w="24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4"/>
                <w:szCs w:val="14"/>
                <w:color w:val="auto"/>
              </w:rPr>
              <w:t>—</w:t>
            </w:r>
          </w:p>
        </w:tc>
      </w:tr>
      <w:tr>
        <w:trPr>
          <w:trHeight w:val="216"/>
        </w:trPr>
        <w:tc>
          <w:tcPr>
            <w:tcW w:w="3620" w:type="dxa"/>
            <w:vAlign w:val="bottom"/>
            <w:shd w:val="clear" w:color="auto" w:fill="CEFFE7"/>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420" w:type="dxa"/>
            <w:vAlign w:val="bottom"/>
            <w:tcBorders>
              <w:bottom w:val="single" w:sz="8" w:color="auto"/>
            </w:tcBorders>
            <w:shd w:val="clear" w:color="auto" w:fill="CEFFE7"/>
          </w:tcPr>
          <w:p>
            <w:pPr>
              <w:spacing w:after="0"/>
              <w:rPr>
                <w:sz w:val="18"/>
                <w:szCs w:val="18"/>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(13.1)</w:t>
            </w:r>
          </w:p>
        </w:tc>
        <w:tc>
          <w:tcPr>
            <w:tcW w:w="48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9.2</w:t>
            </w:r>
          </w:p>
        </w:tc>
        <w:tc>
          <w:tcPr>
            <w:tcW w:w="12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3.9</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ind w:left="660"/>
              <w:spacing w:after="0"/>
              <w:rPr>
                <w:sz w:val="20"/>
                <w:szCs w:val="20"/>
                <w:color w:val="auto"/>
              </w:rPr>
            </w:pPr>
            <w:r>
              <w:rPr>
                <w:rFonts w:ascii="Arial" w:cs="Arial" w:eastAsia="Arial" w:hAnsi="Arial"/>
                <w:sz w:val="14"/>
                <w:szCs w:val="14"/>
                <w:color w:val="auto"/>
              </w:rPr>
              <w:t>—</w:t>
            </w:r>
          </w:p>
        </w:tc>
      </w:tr>
      <w:tr>
        <w:trPr>
          <w:trHeight w:val="216"/>
        </w:trPr>
        <w:tc>
          <w:tcPr>
            <w:tcW w:w="3620" w:type="dxa"/>
            <w:vAlign w:val="bottom"/>
          </w:tcPr>
          <w:p>
            <w:pPr>
              <w:ind w:left="40"/>
              <w:spacing w:after="0"/>
              <w:rPr>
                <w:sz w:val="20"/>
                <w:szCs w:val="20"/>
                <w:color w:val="auto"/>
              </w:rPr>
            </w:pPr>
            <w:r>
              <w:rPr>
                <w:rFonts w:ascii="Arial" w:cs="Arial" w:eastAsia="Arial" w:hAnsi="Arial"/>
                <w:sz w:val="14"/>
                <w:szCs w:val="14"/>
                <w:color w:val="auto"/>
              </w:rPr>
              <w:t>Adjusted operating income (loss)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6.4</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(5.7)</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(0.7)</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r>
        <w:trPr>
          <w:trHeight w:val="20"/>
        </w:trPr>
        <w:tc>
          <w:tcPr>
            <w:tcW w:w="36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420"/>
          </w:cols>
          <w:pgMar w:left="240" w:top="118" w:right="23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84"/>
        </w:trPr>
        <w:tc>
          <w:tcPr>
            <w:tcW w:w="384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260" w:type="dxa"/>
            <w:vAlign w:val="bottom"/>
            <w:tcBorders>
              <w:top w:val="single" w:sz="8" w:color="0000EE"/>
            </w:tcBorders>
          </w:tcPr>
          <w:p>
            <w:pPr>
              <w:spacing w:after="0"/>
              <w:rPr>
                <w:sz w:val="24"/>
                <w:szCs w:val="24"/>
                <w:color w:val="auto"/>
              </w:rPr>
            </w:pPr>
          </w:p>
        </w:tc>
        <w:tc>
          <w:tcPr>
            <w:tcW w:w="960" w:type="dxa"/>
            <w:vAlign w:val="bottom"/>
            <w:tcBorders>
              <w:top w:val="single" w:sz="8" w:color="0000EE"/>
            </w:tcBorders>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20" w:type="dxa"/>
            <w:vAlign w:val="bottom"/>
            <w:gridSpan w:val="5"/>
          </w:tcPr>
          <w:p>
            <w:pPr>
              <w:jc w:val="right"/>
              <w:ind w:right="399"/>
              <w:spacing w:after="0"/>
              <w:rPr>
                <w:sz w:val="20"/>
                <w:szCs w:val="20"/>
                <w:color w:val="auto"/>
              </w:rPr>
            </w:pPr>
            <w:r>
              <w:rPr>
                <w:rFonts w:ascii="Arial" w:cs="Arial" w:eastAsia="Arial" w:hAnsi="Arial"/>
                <w:sz w:val="16"/>
                <w:szCs w:val="16"/>
                <w:b w:val="1"/>
                <w:bCs w:val="1"/>
                <w:color w:val="auto"/>
              </w:rPr>
              <w:t>Consolidating Income Statement</w:t>
            </w: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jc w:val="right"/>
              <w:ind w:right="119"/>
              <w:spacing w:after="0"/>
              <w:rPr>
                <w:sz w:val="20"/>
                <w:szCs w:val="20"/>
                <w:color w:val="auto"/>
              </w:rPr>
            </w:pPr>
            <w:r>
              <w:rPr>
                <w:rFonts w:ascii="Arial" w:cs="Arial" w:eastAsia="Arial" w:hAnsi="Arial"/>
                <w:sz w:val="16"/>
                <w:szCs w:val="16"/>
                <w:color w:val="auto"/>
              </w:rPr>
              <w:t>Electric</w:t>
            </w: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300" w:type="dxa"/>
            <w:vAlign w:val="bottom"/>
            <w:gridSpan w:val="2"/>
            <w:vMerge w:val="restart"/>
          </w:tcPr>
          <w:p>
            <w:pPr>
              <w:ind w:left="80"/>
              <w:spacing w:after="0"/>
              <w:rPr>
                <w:sz w:val="20"/>
                <w:szCs w:val="20"/>
                <w:color w:val="auto"/>
              </w:rPr>
            </w:pPr>
            <w:r>
              <w:rPr>
                <w:rFonts w:ascii="Arial" w:cs="Arial" w:eastAsia="Arial" w:hAnsi="Arial"/>
                <w:sz w:val="16"/>
                <w:szCs w:val="16"/>
                <w:color w:val="auto"/>
                <w:w w:val="93"/>
              </w:rPr>
              <w:t>Power Generation</w:t>
            </w: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360" w:type="dxa"/>
            <w:vAlign w:val="bottom"/>
            <w:gridSpan w:val="2"/>
          </w:tcPr>
          <w:p>
            <w:pPr>
              <w:jc w:val="right"/>
              <w:ind w:right="340"/>
              <w:spacing w:after="0"/>
              <w:rPr>
                <w:sz w:val="20"/>
                <w:szCs w:val="20"/>
                <w:color w:val="auto"/>
              </w:rPr>
            </w:pPr>
            <w:r>
              <w:rPr>
                <w:rFonts w:ascii="Arial" w:cs="Arial" w:eastAsia="Arial" w:hAnsi="Arial"/>
                <w:sz w:val="16"/>
                <w:szCs w:val="16"/>
                <w:color w:val="auto"/>
                <w:w w:val="94"/>
              </w:rPr>
              <w:t>Inter-Company</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1"/>
        </w:trPr>
        <w:tc>
          <w:tcPr>
            <w:tcW w:w="260" w:type="dxa"/>
            <w:vAlign w:val="bottom"/>
          </w:tcPr>
          <w:p>
            <w:pPr>
              <w:spacing w:after="0"/>
              <w:rPr>
                <w:sz w:val="7"/>
                <w:szCs w:val="7"/>
                <w:color w:val="auto"/>
              </w:rPr>
            </w:pPr>
          </w:p>
        </w:tc>
        <w:tc>
          <w:tcPr>
            <w:tcW w:w="3580" w:type="dxa"/>
            <w:vAlign w:val="bottom"/>
            <w:gridSpan w:val="2"/>
            <w:vMerge w:val="restart"/>
          </w:tcPr>
          <w:p>
            <w:pPr>
              <w:ind w:left="20"/>
              <w:spacing w:after="0"/>
              <w:rPr>
                <w:sz w:val="20"/>
                <w:szCs w:val="20"/>
                <w:color w:val="auto"/>
              </w:rPr>
            </w:pPr>
            <w:r>
              <w:rPr>
                <w:rFonts w:ascii="Arial" w:cs="Arial" w:eastAsia="Arial" w:hAnsi="Arial"/>
                <w:sz w:val="16"/>
                <w:szCs w:val="16"/>
                <w:color w:val="auto"/>
              </w:rPr>
              <w:t>Year ended December 31, 2017</w:t>
            </w:r>
          </w:p>
        </w:tc>
        <w:tc>
          <w:tcPr>
            <w:tcW w:w="120" w:type="dxa"/>
            <w:vAlign w:val="bottom"/>
          </w:tcPr>
          <w:p>
            <w:pPr>
              <w:spacing w:after="0"/>
              <w:rPr>
                <w:sz w:val="7"/>
                <w:szCs w:val="7"/>
                <w:color w:val="auto"/>
              </w:rPr>
            </w:pPr>
          </w:p>
        </w:tc>
        <w:tc>
          <w:tcPr>
            <w:tcW w:w="840" w:type="dxa"/>
            <w:vAlign w:val="bottom"/>
            <w:vMerge w:val="restart"/>
          </w:tcPr>
          <w:p>
            <w:pPr>
              <w:jc w:val="right"/>
              <w:ind w:right="39"/>
              <w:spacing w:after="0" w:line="239" w:lineRule="exact"/>
              <w:rPr>
                <w:sz w:val="20"/>
                <w:szCs w:val="20"/>
                <w:color w:val="auto"/>
              </w:rPr>
            </w:pPr>
            <w:r>
              <w:rPr>
                <w:rFonts w:ascii="Arial" w:cs="Arial" w:eastAsia="Arial" w:hAnsi="Arial"/>
                <w:sz w:val="16"/>
                <w:szCs w:val="16"/>
                <w:color w:val="auto"/>
                <w:w w:val="95"/>
              </w:rPr>
              <w:t xml:space="preserve">Utilities </w:t>
            </w:r>
            <w:r>
              <w:rPr>
                <w:rFonts w:ascii="Arial" w:cs="Arial" w:eastAsia="Arial" w:hAnsi="Arial"/>
                <w:sz w:val="21"/>
                <w:szCs w:val="21"/>
                <w:color w:val="auto"/>
                <w:w w:val="95"/>
                <w:vertAlign w:val="superscript"/>
              </w:rPr>
              <w:t>(b)</w:t>
            </w:r>
          </w:p>
        </w:tc>
        <w:tc>
          <w:tcPr>
            <w:tcW w:w="1040" w:type="dxa"/>
            <w:vAlign w:val="bottom"/>
            <w:gridSpan w:val="2"/>
            <w:vMerge w:val="restart"/>
          </w:tcPr>
          <w:p>
            <w:pPr>
              <w:jc w:val="right"/>
              <w:spacing w:after="0"/>
              <w:rPr>
                <w:sz w:val="20"/>
                <w:szCs w:val="20"/>
                <w:color w:val="auto"/>
              </w:rPr>
            </w:pPr>
            <w:r>
              <w:rPr>
                <w:rFonts w:ascii="Arial" w:cs="Arial" w:eastAsia="Arial" w:hAnsi="Arial"/>
                <w:sz w:val="16"/>
                <w:szCs w:val="16"/>
                <w:color w:val="auto"/>
              </w:rPr>
              <w:t>Gas Utilities</w:t>
            </w:r>
          </w:p>
        </w:tc>
        <w:tc>
          <w:tcPr>
            <w:tcW w:w="1300" w:type="dxa"/>
            <w:vAlign w:val="bottom"/>
            <w:gridSpan w:val="2"/>
            <w:vMerge w:val="continue"/>
          </w:tcPr>
          <w:p>
            <w:pPr>
              <w:spacing w:after="0"/>
              <w:rPr>
                <w:sz w:val="7"/>
                <w:szCs w:val="7"/>
                <w:color w:val="auto"/>
              </w:rPr>
            </w:pPr>
          </w:p>
        </w:tc>
        <w:tc>
          <w:tcPr>
            <w:tcW w:w="180" w:type="dxa"/>
            <w:vAlign w:val="bottom"/>
          </w:tcPr>
          <w:p>
            <w:pPr>
              <w:spacing w:after="0"/>
              <w:rPr>
                <w:sz w:val="7"/>
                <w:szCs w:val="7"/>
                <w:color w:val="auto"/>
              </w:rPr>
            </w:pPr>
          </w:p>
        </w:tc>
        <w:tc>
          <w:tcPr>
            <w:tcW w:w="760" w:type="dxa"/>
            <w:vAlign w:val="bottom"/>
            <w:vMerge w:val="restart"/>
          </w:tcPr>
          <w:p>
            <w:pPr>
              <w:jc w:val="right"/>
              <w:ind w:right="119"/>
              <w:spacing w:after="0"/>
              <w:rPr>
                <w:sz w:val="20"/>
                <w:szCs w:val="20"/>
                <w:color w:val="auto"/>
              </w:rPr>
            </w:pPr>
            <w:r>
              <w:rPr>
                <w:rFonts w:ascii="Arial" w:cs="Arial" w:eastAsia="Arial" w:hAnsi="Arial"/>
                <w:sz w:val="16"/>
                <w:szCs w:val="16"/>
                <w:color w:val="auto"/>
              </w:rPr>
              <w:t>Mining</w:t>
            </w:r>
          </w:p>
        </w:tc>
        <w:tc>
          <w:tcPr>
            <w:tcW w:w="180" w:type="dxa"/>
            <w:vAlign w:val="bottom"/>
          </w:tcPr>
          <w:p>
            <w:pPr>
              <w:spacing w:after="0"/>
              <w:rPr>
                <w:sz w:val="7"/>
                <w:szCs w:val="7"/>
                <w:color w:val="auto"/>
              </w:rPr>
            </w:pPr>
          </w:p>
        </w:tc>
        <w:tc>
          <w:tcPr>
            <w:tcW w:w="980" w:type="dxa"/>
            <w:vAlign w:val="bottom"/>
            <w:vMerge w:val="restart"/>
          </w:tcPr>
          <w:p>
            <w:pPr>
              <w:jc w:val="right"/>
              <w:ind w:right="219"/>
              <w:spacing w:after="0"/>
              <w:rPr>
                <w:sz w:val="20"/>
                <w:szCs w:val="20"/>
                <w:color w:val="auto"/>
              </w:rPr>
            </w:pPr>
            <w:r>
              <w:rPr>
                <w:rFonts w:ascii="Arial" w:cs="Arial" w:eastAsia="Arial" w:hAnsi="Arial"/>
                <w:sz w:val="16"/>
                <w:szCs w:val="16"/>
                <w:color w:val="auto"/>
                <w:w w:val="92"/>
              </w:rPr>
              <w:t>Corporate</w:t>
            </w:r>
          </w:p>
        </w:tc>
        <w:tc>
          <w:tcPr>
            <w:tcW w:w="1360" w:type="dxa"/>
            <w:vAlign w:val="bottom"/>
            <w:gridSpan w:val="2"/>
            <w:vMerge w:val="restart"/>
          </w:tcPr>
          <w:p>
            <w:pPr>
              <w:jc w:val="right"/>
              <w:ind w:right="340"/>
              <w:spacing w:after="0" w:line="239" w:lineRule="exact"/>
              <w:rPr>
                <w:sz w:val="20"/>
                <w:szCs w:val="20"/>
                <w:color w:val="auto"/>
              </w:rPr>
            </w:pPr>
            <w:r>
              <w:rPr>
                <w:rFonts w:ascii="Arial" w:cs="Arial" w:eastAsia="Arial" w:hAnsi="Arial"/>
                <w:sz w:val="16"/>
                <w:szCs w:val="16"/>
                <w:color w:val="auto"/>
                <w:w w:val="92"/>
              </w:rPr>
              <w:t xml:space="preserve">Eliminations </w:t>
            </w:r>
            <w:r>
              <w:rPr>
                <w:rFonts w:ascii="Arial" w:cs="Arial" w:eastAsia="Arial" w:hAnsi="Arial"/>
                <w:sz w:val="21"/>
                <w:szCs w:val="21"/>
                <w:color w:val="auto"/>
                <w:w w:val="92"/>
                <w:vertAlign w:val="superscript"/>
              </w:rPr>
              <w:t>(b)</w:t>
            </w:r>
          </w:p>
        </w:tc>
        <w:tc>
          <w:tcPr>
            <w:tcW w:w="820" w:type="dxa"/>
            <w:vAlign w:val="bottom"/>
            <w:vMerge w:val="restart"/>
          </w:tcPr>
          <w:p>
            <w:pPr>
              <w:jc w:val="right"/>
              <w:ind w:right="23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158"/>
        </w:trPr>
        <w:tc>
          <w:tcPr>
            <w:tcW w:w="260" w:type="dxa"/>
            <w:vAlign w:val="bottom"/>
          </w:tcPr>
          <w:p>
            <w:pPr>
              <w:spacing w:after="0"/>
              <w:rPr>
                <w:sz w:val="13"/>
                <w:szCs w:val="13"/>
                <w:color w:val="auto"/>
              </w:rPr>
            </w:pPr>
          </w:p>
        </w:tc>
        <w:tc>
          <w:tcPr>
            <w:tcW w:w="3580" w:type="dxa"/>
            <w:vAlign w:val="bottom"/>
            <w:tcBorders>
              <w:bottom w:val="single" w:sz="8" w:color="auto"/>
            </w:tcBorders>
            <w:gridSpan w:val="2"/>
            <w:vMerge w:val="continue"/>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vMerge w:val="continue"/>
          </w:tcPr>
          <w:p>
            <w:pPr>
              <w:spacing w:after="0"/>
              <w:rPr>
                <w:sz w:val="13"/>
                <w:szCs w:val="13"/>
                <w:color w:val="auto"/>
              </w:rPr>
            </w:pPr>
          </w:p>
        </w:tc>
        <w:tc>
          <w:tcPr>
            <w:tcW w:w="1040" w:type="dxa"/>
            <w:vAlign w:val="bottom"/>
            <w:tcBorders>
              <w:bottom w:val="single" w:sz="8" w:color="auto"/>
            </w:tcBorders>
            <w:gridSpan w:val="2"/>
            <w:vMerge w:val="continue"/>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2"/>
              <w:spacing w:after="0"/>
              <w:rPr>
                <w:sz w:val="20"/>
                <w:szCs w:val="20"/>
                <w:color w:val="auto"/>
              </w:rPr>
            </w:pPr>
            <w:r>
              <w:rPr>
                <w:rFonts w:ascii="Arial" w:cs="Arial" w:eastAsia="Arial" w:hAnsi="Arial"/>
                <w:sz w:val="11"/>
                <w:szCs w:val="11"/>
                <w:color w:val="auto"/>
              </w:rPr>
              <w:t>(b)</w:t>
            </w:r>
          </w:p>
        </w:tc>
        <w:tc>
          <w:tcPr>
            <w:tcW w:w="18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vMerge w:val="continue"/>
          </w:tcPr>
          <w:p>
            <w:pPr>
              <w:spacing w:after="0"/>
              <w:rPr>
                <w:sz w:val="13"/>
                <w:szCs w:val="13"/>
                <w:color w:val="auto"/>
              </w:rPr>
            </w:pPr>
          </w:p>
        </w:tc>
        <w:tc>
          <w:tcPr>
            <w:tcW w:w="1360" w:type="dxa"/>
            <w:vAlign w:val="bottom"/>
            <w:tcBorders>
              <w:bottom w:val="single" w:sz="8" w:color="auto"/>
            </w:tcBorders>
            <w:gridSpan w:val="2"/>
            <w:vMerge w:val="continue"/>
          </w:tcPr>
          <w:p>
            <w:pPr>
              <w:spacing w:after="0"/>
              <w:rPr>
                <w:sz w:val="13"/>
                <w:szCs w:val="13"/>
                <w:color w:val="auto"/>
              </w:rPr>
            </w:pPr>
          </w:p>
        </w:tc>
        <w:tc>
          <w:tcPr>
            <w:tcW w:w="820" w:type="dxa"/>
            <w:vAlign w:val="bottom"/>
            <w:tcBorders>
              <w:bottom w:val="single" w:sz="8" w:color="auto"/>
            </w:tcBorders>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318"/>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Revenue</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689,945</w:t>
            </w:r>
          </w:p>
        </w:tc>
        <w:tc>
          <w:tcPr>
            <w:tcW w:w="30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947,595</w:t>
            </w:r>
          </w:p>
        </w:tc>
        <w:tc>
          <w:tcPr>
            <w:tcW w:w="3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7,263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35,463</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  $</w:t>
            </w:r>
          </w:p>
        </w:tc>
        <w:tc>
          <w:tcPr>
            <w:tcW w:w="136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  $</w:t>
            </w: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Inter-company revenue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14,705</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35</w:t>
            </w:r>
          </w:p>
        </w:tc>
        <w:tc>
          <w:tcPr>
            <w:tcW w:w="3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87,357</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31,158</w:t>
            </w:r>
          </w:p>
        </w:tc>
        <w:tc>
          <w:tcPr>
            <w:tcW w:w="18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344,685</w:t>
            </w:r>
          </w:p>
        </w:tc>
        <w:tc>
          <w:tcPr>
            <w:tcW w:w="1200" w:type="dxa"/>
            <w:vAlign w:val="bottom"/>
          </w:tcPr>
          <w:p>
            <w:pPr>
              <w:jc w:val="right"/>
              <w:spacing w:after="0"/>
              <w:rPr>
                <w:sz w:val="20"/>
                <w:szCs w:val="20"/>
                <w:color w:val="auto"/>
              </w:rPr>
            </w:pPr>
            <w:r>
              <w:rPr>
                <w:rFonts w:ascii="Arial" w:cs="Arial" w:eastAsia="Arial" w:hAnsi="Arial"/>
                <w:sz w:val="16"/>
                <w:szCs w:val="16"/>
                <w:color w:val="auto"/>
              </w:rPr>
              <w:t>(477,940)</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Total revenue</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704,650</w:t>
            </w: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947,630</w:t>
            </w: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94,620</w:t>
            </w: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66,621</w:t>
            </w: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344,685</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(477,940)</w:t>
            </w: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98"/>
              </w:rPr>
              <w:t>1,680,266</w:t>
            </w:r>
          </w:p>
        </w:tc>
        <w:tc>
          <w:tcPr>
            <w:tcW w:w="0" w:type="dxa"/>
            <w:vAlign w:val="bottom"/>
          </w:tcPr>
          <w:p>
            <w:pPr>
              <w:spacing w:after="0"/>
              <w:rPr>
                <w:sz w:val="1"/>
                <w:szCs w:val="1"/>
                <w:color w:val="auto"/>
              </w:rPr>
            </w:pPr>
          </w:p>
        </w:tc>
      </w:tr>
      <w:tr>
        <w:trPr>
          <w:trHeight w:val="277"/>
        </w:trPr>
        <w:tc>
          <w:tcPr>
            <w:tcW w:w="2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74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76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w w:val="97"/>
              </w:rPr>
              <w:t>Fuel, purchased power and cost of natural gas sold</w:t>
            </w:r>
          </w:p>
        </w:tc>
        <w:tc>
          <w:tcPr>
            <w:tcW w:w="120" w:type="dxa"/>
            <w:vAlign w:val="bottom"/>
            <w:tcBorders>
              <w:bottom w:val="single" w:sz="8" w:color="CEFFE7"/>
            </w:tcBorders>
            <w:shd w:val="clear" w:color="auto" w:fill="CEFFE7"/>
          </w:tcPr>
          <w:p>
            <w:pPr>
              <w:spacing w:after="0"/>
              <w:rPr>
                <w:sz w:val="20"/>
                <w:szCs w:val="20"/>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274,363</w:t>
            </w:r>
          </w:p>
        </w:tc>
        <w:tc>
          <w:tcPr>
            <w:tcW w:w="300" w:type="dxa"/>
            <w:vAlign w:val="bottom"/>
            <w:tcBorders>
              <w:bottom w:val="single" w:sz="8" w:color="CEFFE7"/>
            </w:tcBorders>
            <w:shd w:val="clear" w:color="auto" w:fill="CEFFE7"/>
          </w:tcPr>
          <w:p>
            <w:pPr>
              <w:spacing w:after="0"/>
              <w:rPr>
                <w:sz w:val="20"/>
                <w:szCs w:val="20"/>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409,603</w:t>
            </w:r>
          </w:p>
        </w:tc>
        <w:tc>
          <w:tcPr>
            <w:tcW w:w="380" w:type="dxa"/>
            <w:vAlign w:val="bottom"/>
            <w:tcBorders>
              <w:bottom w:val="single" w:sz="8" w:color="CEFFE7"/>
            </w:tcBorders>
            <w:shd w:val="clear" w:color="auto" w:fill="CEFFE7"/>
          </w:tcPr>
          <w:p>
            <w:pPr>
              <w:spacing w:after="0"/>
              <w:rPr>
                <w:sz w:val="20"/>
                <w:szCs w:val="20"/>
                <w:color w:val="auto"/>
              </w:rPr>
            </w:pPr>
          </w:p>
        </w:tc>
        <w:tc>
          <w:tcPr>
            <w:tcW w:w="92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9,340</w:t>
            </w:r>
          </w:p>
        </w:tc>
        <w:tc>
          <w:tcPr>
            <w:tcW w:w="18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0" w:type="dxa"/>
            <w:vAlign w:val="bottom"/>
            <w:tcBorders>
              <w:bottom w:val="single" w:sz="8" w:color="CEFFE7"/>
            </w:tcBorders>
            <w:shd w:val="clear" w:color="auto" w:fill="CEFFE7"/>
          </w:tcPr>
          <w:p>
            <w:pPr>
              <w:spacing w:after="0"/>
              <w:rPr>
                <w:sz w:val="20"/>
                <w:szCs w:val="20"/>
                <w:color w:val="auto"/>
              </w:rPr>
            </w:pPr>
          </w:p>
        </w:tc>
        <w:tc>
          <w:tcPr>
            <w:tcW w:w="9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151</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(130,169)</w:t>
            </w:r>
          </w:p>
        </w:tc>
        <w:tc>
          <w:tcPr>
            <w:tcW w:w="160" w:type="dxa"/>
            <w:vAlign w:val="bottom"/>
            <w:tcBorders>
              <w:bottom w:val="single" w:sz="8" w:color="CEFFE7"/>
            </w:tcBorders>
            <w:shd w:val="clear" w:color="auto" w:fill="CEFFE7"/>
          </w:tcPr>
          <w:p>
            <w:pPr>
              <w:spacing w:after="0"/>
              <w:rPr>
                <w:sz w:val="20"/>
                <w:szCs w:val="20"/>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563,288</w:t>
            </w:r>
          </w:p>
        </w:tc>
        <w:tc>
          <w:tcPr>
            <w:tcW w:w="0" w:type="dxa"/>
            <w:vAlign w:val="bottom"/>
          </w:tcPr>
          <w:p>
            <w:pPr>
              <w:spacing w:after="0"/>
              <w:rPr>
                <w:sz w:val="1"/>
                <w:szCs w:val="1"/>
                <w:color w:val="auto"/>
              </w:rPr>
            </w:pPr>
          </w:p>
        </w:tc>
      </w:tr>
      <w:tr>
        <w:trPr>
          <w:trHeight w:val="224"/>
        </w:trPr>
        <w:tc>
          <w:tcPr>
            <w:tcW w:w="260" w:type="dxa"/>
            <w:vAlign w:val="bottom"/>
          </w:tcPr>
          <w:p>
            <w:pPr>
              <w:spacing w:after="0"/>
              <w:rPr>
                <w:sz w:val="19"/>
                <w:szCs w:val="19"/>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Operations and maintenance</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172,307</w:t>
            </w: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269,190</w:t>
            </w:r>
          </w:p>
        </w:tc>
        <w:tc>
          <w:tcPr>
            <w:tcW w:w="380" w:type="dxa"/>
            <w:vAlign w:val="bottom"/>
          </w:tcPr>
          <w:p>
            <w:pPr>
              <w:spacing w:after="0"/>
              <w:rPr>
                <w:sz w:val="19"/>
                <w:szCs w:val="19"/>
                <w:color w:val="auto"/>
              </w:rPr>
            </w:pPr>
          </w:p>
        </w:tc>
        <w:tc>
          <w:tcPr>
            <w:tcW w:w="920" w:type="dxa"/>
            <w:vAlign w:val="bottom"/>
          </w:tcPr>
          <w:p>
            <w:pPr>
              <w:jc w:val="right"/>
              <w:ind w:right="42"/>
              <w:spacing w:after="0"/>
              <w:rPr>
                <w:sz w:val="20"/>
                <w:szCs w:val="20"/>
                <w:color w:val="auto"/>
              </w:rPr>
            </w:pPr>
            <w:r>
              <w:rPr>
                <w:rFonts w:ascii="Arial" w:cs="Arial" w:eastAsia="Arial" w:hAnsi="Arial"/>
                <w:sz w:val="16"/>
                <w:szCs w:val="16"/>
                <w:color w:val="auto"/>
              </w:rPr>
              <w:t>23,042</w:t>
            </w:r>
          </w:p>
        </w:tc>
        <w:tc>
          <w:tcPr>
            <w:tcW w:w="1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44,882</w:t>
            </w:r>
          </w:p>
        </w:tc>
        <w:tc>
          <w:tcPr>
            <w:tcW w:w="180" w:type="dxa"/>
            <w:vAlign w:val="bottom"/>
          </w:tcPr>
          <w:p>
            <w:pPr>
              <w:spacing w:after="0"/>
              <w:rPr>
                <w:sz w:val="19"/>
                <w:szCs w:val="19"/>
                <w:color w:val="auto"/>
              </w:rPr>
            </w:pPr>
          </w:p>
        </w:tc>
        <w:tc>
          <w:tcPr>
            <w:tcW w:w="980" w:type="dxa"/>
            <w:vAlign w:val="bottom"/>
          </w:tcPr>
          <w:p>
            <w:pPr>
              <w:jc w:val="right"/>
              <w:ind w:right="159"/>
              <w:spacing w:after="0"/>
              <w:rPr>
                <w:sz w:val="20"/>
                <w:szCs w:val="20"/>
                <w:color w:val="auto"/>
              </w:rPr>
            </w:pPr>
            <w:r>
              <w:rPr>
                <w:rFonts w:ascii="Arial" w:cs="Arial" w:eastAsia="Arial" w:hAnsi="Arial"/>
                <w:sz w:val="16"/>
                <w:szCs w:val="16"/>
                <w:color w:val="auto"/>
              </w:rPr>
              <w:t>296,067</w:t>
            </w:r>
          </w:p>
        </w:tc>
        <w:tc>
          <w:tcPr>
            <w:tcW w:w="1200" w:type="dxa"/>
            <w:vAlign w:val="bottom"/>
          </w:tcPr>
          <w:p>
            <w:pPr>
              <w:jc w:val="right"/>
              <w:spacing w:after="0"/>
              <w:rPr>
                <w:sz w:val="20"/>
                <w:szCs w:val="20"/>
                <w:color w:val="auto"/>
              </w:rPr>
            </w:pPr>
            <w:r>
              <w:rPr>
                <w:rFonts w:ascii="Arial" w:cs="Arial" w:eastAsia="Arial" w:hAnsi="Arial"/>
                <w:sz w:val="16"/>
                <w:szCs w:val="16"/>
                <w:color w:val="auto"/>
              </w:rPr>
              <w:t>(293,492)</w:t>
            </w:r>
          </w:p>
        </w:tc>
        <w:tc>
          <w:tcPr>
            <w:tcW w:w="160" w:type="dxa"/>
            <w:vAlign w:val="bottom"/>
          </w:tcPr>
          <w:p>
            <w:pPr>
              <w:spacing w:after="0"/>
              <w:rPr>
                <w:sz w:val="19"/>
                <w:szCs w:val="19"/>
                <w:color w:val="auto"/>
              </w:rPr>
            </w:pPr>
          </w:p>
        </w:tc>
        <w:tc>
          <w:tcPr>
            <w:tcW w:w="820" w:type="dxa"/>
            <w:vAlign w:val="bottom"/>
          </w:tcPr>
          <w:p>
            <w:pPr>
              <w:jc w:val="right"/>
              <w:ind w:right="19"/>
              <w:spacing w:after="0"/>
              <w:rPr>
                <w:sz w:val="20"/>
                <w:szCs w:val="20"/>
                <w:color w:val="auto"/>
              </w:rPr>
            </w:pPr>
            <w:r>
              <w:rPr>
                <w:rFonts w:ascii="Arial" w:cs="Arial" w:eastAsia="Arial" w:hAnsi="Arial"/>
                <w:sz w:val="16"/>
                <w:szCs w:val="16"/>
                <w:color w:val="auto"/>
              </w:rPr>
              <w:t>511,996</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260" w:type="dxa"/>
            <w:vAlign w:val="bottom"/>
          </w:tcPr>
          <w:p>
            <w:pPr>
              <w:spacing w:after="0"/>
              <w:rPr>
                <w:sz w:val="22"/>
                <w:szCs w:val="22"/>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Depreciation, depletion and amortization</w:t>
            </w:r>
          </w:p>
        </w:tc>
        <w:tc>
          <w:tcPr>
            <w:tcW w:w="120" w:type="dxa"/>
            <w:vAlign w:val="bottom"/>
            <w:tcBorders>
              <w:bottom w:val="single" w:sz="8" w:color="CEFFE7"/>
            </w:tcBorders>
            <w:shd w:val="clear" w:color="auto" w:fill="CEFFE7"/>
          </w:tcPr>
          <w:p>
            <w:pPr>
              <w:spacing w:after="0"/>
              <w:rPr>
                <w:sz w:val="22"/>
                <w:szCs w:val="22"/>
                <w:color w:val="auto"/>
              </w:rPr>
            </w:pP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80,243</w:t>
            </w:r>
          </w:p>
        </w:tc>
        <w:tc>
          <w:tcPr>
            <w:tcW w:w="300" w:type="dxa"/>
            <w:vAlign w:val="bottom"/>
            <w:tcBorders>
              <w:bottom w:val="single" w:sz="8" w:color="CEFFE7"/>
            </w:tcBorders>
            <w:shd w:val="clear" w:color="auto" w:fill="CEFFE7"/>
          </w:tcPr>
          <w:p>
            <w:pPr>
              <w:spacing w:after="0"/>
              <w:rPr>
                <w:sz w:val="22"/>
                <w:szCs w:val="22"/>
                <w:color w:val="auto"/>
              </w:rPr>
            </w:pPr>
          </w:p>
        </w:tc>
        <w:tc>
          <w:tcPr>
            <w:tcW w:w="7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83,732</w:t>
            </w:r>
          </w:p>
        </w:tc>
        <w:tc>
          <w:tcPr>
            <w:tcW w:w="380" w:type="dxa"/>
            <w:vAlign w:val="bottom"/>
            <w:tcBorders>
              <w:bottom w:val="single" w:sz="8" w:color="CEFFE7"/>
            </w:tcBorders>
            <w:shd w:val="clear" w:color="auto" w:fill="CEFFE7"/>
          </w:tcPr>
          <w:p>
            <w:pPr>
              <w:spacing w:after="0"/>
              <w:rPr>
                <w:sz w:val="22"/>
                <w:szCs w:val="22"/>
                <w:color w:val="auto"/>
              </w:rPr>
            </w:pPr>
          </w:p>
        </w:tc>
        <w:tc>
          <w:tcPr>
            <w:tcW w:w="920" w:type="dxa"/>
            <w:vAlign w:val="bottom"/>
            <w:tcBorders>
              <w:bottom w:val="single" w:sz="8" w:color="CEFFE7"/>
            </w:tcBorders>
            <w:shd w:val="clear" w:color="auto" w:fill="CEFFE7"/>
          </w:tcPr>
          <w:p>
            <w:pPr>
              <w:jc w:val="right"/>
              <w:ind w:right="42"/>
              <w:spacing w:after="0"/>
              <w:rPr>
                <w:sz w:val="20"/>
                <w:szCs w:val="20"/>
                <w:color w:val="auto"/>
              </w:rPr>
            </w:pPr>
            <w:r>
              <w:rPr>
                <w:rFonts w:ascii="Arial" w:cs="Arial" w:eastAsia="Arial" w:hAnsi="Arial"/>
                <w:sz w:val="16"/>
                <w:szCs w:val="16"/>
                <w:color w:val="auto"/>
              </w:rPr>
              <w:t>15,548</w:t>
            </w:r>
          </w:p>
        </w:tc>
        <w:tc>
          <w:tcPr>
            <w:tcW w:w="18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8,239</w:t>
            </w:r>
          </w:p>
        </w:tc>
        <w:tc>
          <w:tcPr>
            <w:tcW w:w="180" w:type="dxa"/>
            <w:vAlign w:val="bottom"/>
            <w:tcBorders>
              <w:bottom w:val="single" w:sz="8" w:color="CEFFE7"/>
            </w:tcBorders>
            <w:shd w:val="clear" w:color="auto" w:fill="CEFFE7"/>
          </w:tcPr>
          <w:p>
            <w:pPr>
              <w:spacing w:after="0"/>
              <w:rPr>
                <w:sz w:val="22"/>
                <w:szCs w:val="22"/>
                <w:color w:val="auto"/>
              </w:rPr>
            </w:pPr>
          </w:p>
        </w:tc>
        <w:tc>
          <w:tcPr>
            <w:tcW w:w="98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21,031</w:t>
            </w:r>
          </w:p>
        </w:tc>
        <w:tc>
          <w:tcPr>
            <w:tcW w:w="1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(20,547)</w:t>
            </w:r>
          </w:p>
        </w:tc>
        <w:tc>
          <w:tcPr>
            <w:tcW w:w="16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188,246</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gridSpan w:val="2"/>
          </w:tcPr>
          <w:p>
            <w:pPr>
              <w:ind w:left="160"/>
              <w:spacing w:after="0"/>
              <w:rPr>
                <w:sz w:val="20"/>
                <w:szCs w:val="20"/>
                <w:color w:val="auto"/>
              </w:rPr>
            </w:pPr>
            <w:r>
              <w:rPr>
                <w:rFonts w:ascii="Arial" w:cs="Arial" w:eastAsia="Arial" w:hAnsi="Arial"/>
                <w:sz w:val="16"/>
                <w:szCs w:val="16"/>
                <w:color w:val="auto"/>
              </w:rPr>
              <w:t>Adjusted operating income (loss)</w:t>
            </w:r>
          </w:p>
        </w:tc>
        <w:tc>
          <w:tcPr>
            <w:tcW w:w="12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177,737</w:t>
            </w: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185,105</w:t>
            </w:r>
          </w:p>
        </w:tc>
        <w:tc>
          <w:tcPr>
            <w:tcW w:w="38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jc w:val="right"/>
              <w:ind w:right="42"/>
              <w:spacing w:after="0"/>
              <w:rPr>
                <w:sz w:val="20"/>
                <w:szCs w:val="20"/>
                <w:color w:val="auto"/>
              </w:rPr>
            </w:pPr>
            <w:r>
              <w:rPr>
                <w:rFonts w:ascii="Arial" w:cs="Arial" w:eastAsia="Arial" w:hAnsi="Arial"/>
                <w:sz w:val="16"/>
                <w:szCs w:val="16"/>
                <w:color w:val="auto"/>
              </w:rPr>
              <w:t>46,690</w:t>
            </w: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13,500</w:t>
            </w:r>
          </w:p>
        </w:tc>
        <w:tc>
          <w:tcPr>
            <w:tcW w:w="1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ind w:right="159"/>
              <w:spacing w:after="0"/>
              <w:rPr>
                <w:sz w:val="20"/>
                <w:szCs w:val="20"/>
                <w:color w:val="auto"/>
              </w:rPr>
            </w:pPr>
            <w:r>
              <w:rPr>
                <w:rFonts w:ascii="Arial" w:cs="Arial" w:eastAsia="Arial" w:hAnsi="Arial"/>
                <w:sz w:val="16"/>
                <w:szCs w:val="16"/>
                <w:color w:val="auto"/>
              </w:rPr>
              <w:t>27,436</w:t>
            </w: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(33,732)</w:t>
            </w: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416,736</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960" w:type="dxa"/>
            <w:vAlign w:val="bottom"/>
            <w:shd w:val="clear" w:color="auto" w:fill="CEFFE7"/>
          </w:tcPr>
          <w:p>
            <w:pPr>
              <w:spacing w:after="0"/>
              <w:rPr>
                <w:sz w:val="21"/>
                <w:szCs w:val="21"/>
                <w:color w:val="auto"/>
              </w:rPr>
            </w:pPr>
          </w:p>
        </w:tc>
        <w:tc>
          <w:tcPr>
            <w:tcW w:w="2620" w:type="dxa"/>
            <w:vAlign w:val="bottom"/>
            <w:shd w:val="clear" w:color="auto" w:fill="CEFFE7"/>
          </w:tcPr>
          <w:p>
            <w:pPr>
              <w:spacing w:after="0"/>
              <w:rPr>
                <w:sz w:val="21"/>
                <w:szCs w:val="21"/>
                <w:color w:val="auto"/>
              </w:rPr>
            </w:pPr>
          </w:p>
        </w:tc>
        <w:tc>
          <w:tcPr>
            <w:tcW w:w="12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74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980" w:type="dxa"/>
            <w:vAlign w:val="bottom"/>
            <w:shd w:val="clear" w:color="auto" w:fill="CEFFE7"/>
          </w:tcPr>
          <w:p>
            <w:pPr>
              <w:spacing w:after="0"/>
              <w:rPr>
                <w:sz w:val="21"/>
                <w:szCs w:val="21"/>
                <w:color w:val="auto"/>
              </w:rPr>
            </w:pPr>
          </w:p>
        </w:tc>
        <w:tc>
          <w:tcPr>
            <w:tcW w:w="1200" w:type="dxa"/>
            <w:vAlign w:val="bottom"/>
            <w:shd w:val="clear" w:color="auto" w:fill="CEFFE7"/>
          </w:tcPr>
          <w:p>
            <w:pPr>
              <w:spacing w:after="0"/>
              <w:rPr>
                <w:sz w:val="21"/>
                <w:szCs w:val="21"/>
                <w:color w:val="auto"/>
              </w:rPr>
            </w:pPr>
          </w:p>
        </w:tc>
        <w:tc>
          <w:tcPr>
            <w:tcW w:w="160" w:type="dxa"/>
            <w:vAlign w:val="bottom"/>
            <w:shd w:val="clear" w:color="auto" w:fill="CEFFE7"/>
          </w:tcPr>
          <w:p>
            <w:pPr>
              <w:spacing w:after="0"/>
              <w:rPr>
                <w:sz w:val="21"/>
                <w:szCs w:val="21"/>
                <w:color w:val="auto"/>
              </w:rPr>
            </w:pPr>
          </w:p>
        </w:tc>
        <w:tc>
          <w:tcPr>
            <w:tcW w:w="820" w:type="dxa"/>
            <w:vAlign w:val="bottom"/>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Interest expense, net</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(137,102)</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2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6"/>
                <w:szCs w:val="16"/>
                <w:color w:val="auto"/>
              </w:rPr>
              <w:t>Other income (expense), net</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2,108</w:t>
            </w:r>
          </w:p>
        </w:tc>
        <w:tc>
          <w:tcPr>
            <w:tcW w:w="0" w:type="dxa"/>
            <w:vAlign w:val="bottom"/>
          </w:tcPr>
          <w:p>
            <w:pPr>
              <w:spacing w:after="0"/>
              <w:rPr>
                <w:sz w:val="1"/>
                <w:szCs w:val="1"/>
                <w:color w:val="auto"/>
              </w:rPr>
            </w:pPr>
          </w:p>
        </w:tc>
      </w:tr>
      <w:tr>
        <w:trPr>
          <w:trHeight w:val="237"/>
        </w:trPr>
        <w:tc>
          <w:tcPr>
            <w:tcW w:w="260" w:type="dxa"/>
            <w:vAlign w:val="bottom"/>
          </w:tcPr>
          <w:p>
            <w:pPr>
              <w:spacing w:after="0"/>
              <w:rPr>
                <w:sz w:val="20"/>
                <w:szCs w:val="20"/>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Income tax benefit (expense)</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(73,367)</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74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Income from continuing operations</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208,375</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tcPr>
          <w:p>
            <w:pPr>
              <w:ind w:left="20"/>
              <w:spacing w:after="0"/>
              <w:rPr>
                <w:sz w:val="20"/>
                <w:szCs w:val="20"/>
                <w:color w:val="auto"/>
              </w:rPr>
            </w:pPr>
            <w:r>
              <w:rPr>
                <w:rFonts w:ascii="Arial" w:cs="Arial" w:eastAsia="Arial" w:hAnsi="Arial"/>
                <w:sz w:val="16"/>
                <w:szCs w:val="16"/>
                <w:color w:val="auto"/>
              </w:rPr>
              <w:t>(Loss) from discontinued operations, net of tax</w:t>
            </w:r>
            <w:r>
              <w:rPr>
                <w:rFonts w:ascii="Arial" w:cs="Arial" w:eastAsia="Arial" w:hAnsi="Arial"/>
                <w:sz w:val="21"/>
                <w:szCs w:val="21"/>
                <w:color w:val="auto"/>
                <w:vertAlign w:val="superscript"/>
              </w:rPr>
              <w:t>(a)</w:t>
            </w:r>
          </w:p>
        </w:tc>
        <w:tc>
          <w:tcPr>
            <w:tcW w:w="120" w:type="dxa"/>
            <w:vAlign w:val="bottom"/>
            <w:tcBorders>
              <w:bottom w:val="single" w:sz="8" w:color="CEFFE7"/>
            </w:tcBorders>
          </w:tcPr>
          <w:p>
            <w:pPr>
              <w:spacing w:after="0"/>
              <w:rPr>
                <w:sz w:val="21"/>
                <w:szCs w:val="21"/>
                <w:color w:val="auto"/>
              </w:rPr>
            </w:pPr>
          </w:p>
        </w:tc>
        <w:tc>
          <w:tcPr>
            <w:tcW w:w="840" w:type="dxa"/>
            <w:vAlign w:val="bottom"/>
            <w:tcBorders>
              <w:bottom w:val="single" w:sz="8" w:color="CEFFE7"/>
            </w:tcBorders>
          </w:tcPr>
          <w:p>
            <w:pPr>
              <w:spacing w:after="0"/>
              <w:rPr>
                <w:sz w:val="21"/>
                <w:szCs w:val="21"/>
                <w:color w:val="auto"/>
              </w:rPr>
            </w:pPr>
          </w:p>
        </w:tc>
        <w:tc>
          <w:tcPr>
            <w:tcW w:w="300" w:type="dxa"/>
            <w:vAlign w:val="bottom"/>
            <w:tcBorders>
              <w:bottom w:val="single" w:sz="8" w:color="CEFFE7"/>
            </w:tcBorders>
          </w:tcPr>
          <w:p>
            <w:pPr>
              <w:spacing w:after="0"/>
              <w:rPr>
                <w:sz w:val="21"/>
                <w:szCs w:val="21"/>
                <w:color w:val="auto"/>
              </w:rPr>
            </w:pPr>
          </w:p>
        </w:tc>
        <w:tc>
          <w:tcPr>
            <w:tcW w:w="740" w:type="dxa"/>
            <w:vAlign w:val="bottom"/>
            <w:tcBorders>
              <w:bottom w:val="single" w:sz="8" w:color="CEFFE7"/>
            </w:tcBorders>
          </w:tcPr>
          <w:p>
            <w:pPr>
              <w:spacing w:after="0"/>
              <w:rPr>
                <w:sz w:val="21"/>
                <w:szCs w:val="21"/>
                <w:color w:val="auto"/>
              </w:rPr>
            </w:pPr>
          </w:p>
        </w:tc>
        <w:tc>
          <w:tcPr>
            <w:tcW w:w="380" w:type="dxa"/>
            <w:vAlign w:val="bottom"/>
            <w:tcBorders>
              <w:bottom w:val="single" w:sz="8" w:color="CEFFE7"/>
            </w:tcBorders>
          </w:tcPr>
          <w:p>
            <w:pPr>
              <w:spacing w:after="0"/>
              <w:rPr>
                <w:sz w:val="21"/>
                <w:szCs w:val="21"/>
                <w:color w:val="auto"/>
              </w:rPr>
            </w:pPr>
          </w:p>
        </w:tc>
        <w:tc>
          <w:tcPr>
            <w:tcW w:w="920" w:type="dxa"/>
            <w:vAlign w:val="bottom"/>
            <w:tcBorders>
              <w:bottom w:val="single" w:sz="8" w:color="CEFFE7"/>
            </w:tcBorders>
          </w:tcPr>
          <w:p>
            <w:pPr>
              <w:spacing w:after="0"/>
              <w:rPr>
                <w:sz w:val="21"/>
                <w:szCs w:val="21"/>
                <w:color w:val="auto"/>
              </w:rPr>
            </w:pPr>
          </w:p>
        </w:tc>
        <w:tc>
          <w:tcPr>
            <w:tcW w:w="180" w:type="dxa"/>
            <w:vAlign w:val="bottom"/>
            <w:tcBorders>
              <w:bottom w:val="single" w:sz="8" w:color="CEFFE7"/>
            </w:tcBorders>
          </w:tcPr>
          <w:p>
            <w:pPr>
              <w:spacing w:after="0"/>
              <w:rPr>
                <w:sz w:val="21"/>
                <w:szCs w:val="21"/>
                <w:color w:val="auto"/>
              </w:rPr>
            </w:pPr>
          </w:p>
        </w:tc>
        <w:tc>
          <w:tcPr>
            <w:tcW w:w="760" w:type="dxa"/>
            <w:vAlign w:val="bottom"/>
            <w:tcBorders>
              <w:bottom w:val="single" w:sz="8" w:color="CEFFE7"/>
            </w:tcBorders>
          </w:tcPr>
          <w:p>
            <w:pPr>
              <w:spacing w:after="0"/>
              <w:rPr>
                <w:sz w:val="21"/>
                <w:szCs w:val="21"/>
                <w:color w:val="auto"/>
              </w:rPr>
            </w:pPr>
          </w:p>
        </w:tc>
        <w:tc>
          <w:tcPr>
            <w:tcW w:w="180" w:type="dxa"/>
            <w:vAlign w:val="bottom"/>
            <w:tcBorders>
              <w:bottom w:val="single" w:sz="8" w:color="CEFFE7"/>
            </w:tcBorders>
          </w:tcPr>
          <w:p>
            <w:pPr>
              <w:spacing w:after="0"/>
              <w:rPr>
                <w:sz w:val="21"/>
                <w:szCs w:val="21"/>
                <w:color w:val="auto"/>
              </w:rPr>
            </w:pPr>
          </w:p>
        </w:tc>
        <w:tc>
          <w:tcPr>
            <w:tcW w:w="980" w:type="dxa"/>
            <w:vAlign w:val="bottom"/>
            <w:tcBorders>
              <w:bottom w:val="single" w:sz="8" w:color="CEFFE7"/>
            </w:tcBorders>
          </w:tcPr>
          <w:p>
            <w:pPr>
              <w:spacing w:after="0"/>
              <w:rPr>
                <w:sz w:val="21"/>
                <w:szCs w:val="21"/>
                <w:color w:val="auto"/>
              </w:rPr>
            </w:pPr>
          </w:p>
        </w:tc>
        <w:tc>
          <w:tcPr>
            <w:tcW w:w="1200" w:type="dxa"/>
            <w:vAlign w:val="bottom"/>
            <w:tcBorders>
              <w:bottom w:val="single" w:sz="8" w:color="CEFFE7"/>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(17,099)</w:t>
            </w:r>
          </w:p>
        </w:tc>
        <w:tc>
          <w:tcPr>
            <w:tcW w:w="0" w:type="dxa"/>
            <w:vAlign w:val="bottom"/>
          </w:tcPr>
          <w:p>
            <w:pPr>
              <w:spacing w:after="0"/>
              <w:rPr>
                <w:sz w:val="1"/>
                <w:szCs w:val="1"/>
                <w:color w:val="auto"/>
              </w:rPr>
            </w:pPr>
          </w:p>
        </w:tc>
      </w:tr>
      <w:tr>
        <w:trPr>
          <w:trHeight w:val="250"/>
        </w:trPr>
        <w:tc>
          <w:tcPr>
            <w:tcW w:w="260" w:type="dxa"/>
            <w:vAlign w:val="bottom"/>
          </w:tcPr>
          <w:p>
            <w:pPr>
              <w:spacing w:after="0"/>
              <w:rPr>
                <w:sz w:val="21"/>
                <w:szCs w:val="21"/>
                <w:color w:val="auto"/>
              </w:rPr>
            </w:pPr>
          </w:p>
        </w:tc>
        <w:tc>
          <w:tcPr>
            <w:tcW w:w="358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6"/>
                <w:szCs w:val="16"/>
                <w:color w:val="auto"/>
              </w:rPr>
              <w:t>Net income</w:t>
            </w:r>
          </w:p>
        </w:tc>
        <w:tc>
          <w:tcPr>
            <w:tcW w:w="12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spacing w:after="0"/>
              <w:rPr>
                <w:sz w:val="21"/>
                <w:szCs w:val="21"/>
                <w:color w:val="auto"/>
              </w:rPr>
            </w:pPr>
          </w:p>
        </w:tc>
        <w:tc>
          <w:tcPr>
            <w:tcW w:w="300" w:type="dxa"/>
            <w:vAlign w:val="bottom"/>
            <w:tcBorders>
              <w:bottom w:val="single" w:sz="8" w:color="CEFFE7"/>
            </w:tcBorders>
            <w:shd w:val="clear" w:color="auto" w:fill="CEFFE7"/>
          </w:tcPr>
          <w:p>
            <w:pPr>
              <w:spacing w:after="0"/>
              <w:rPr>
                <w:sz w:val="21"/>
                <w:szCs w:val="21"/>
                <w:color w:val="auto"/>
              </w:rPr>
            </w:pPr>
          </w:p>
        </w:tc>
        <w:tc>
          <w:tcPr>
            <w:tcW w:w="74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spacing w:after="0"/>
              <w:rPr>
                <w:sz w:val="21"/>
                <w:szCs w:val="21"/>
                <w:color w:val="auto"/>
              </w:rPr>
            </w:pPr>
          </w:p>
        </w:tc>
        <w:tc>
          <w:tcPr>
            <w:tcW w:w="1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spacing w:after="0"/>
              <w:rPr>
                <w:sz w:val="21"/>
                <w:szCs w:val="21"/>
                <w:color w:val="auto"/>
              </w:rPr>
            </w:pPr>
          </w:p>
        </w:tc>
        <w:tc>
          <w:tcPr>
            <w:tcW w:w="120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191,276</w:t>
            </w:r>
          </w:p>
        </w:tc>
        <w:tc>
          <w:tcPr>
            <w:tcW w:w="0" w:type="dxa"/>
            <w:vAlign w:val="bottom"/>
          </w:tcPr>
          <w:p>
            <w:pPr>
              <w:spacing w:after="0"/>
              <w:rPr>
                <w:sz w:val="1"/>
                <w:szCs w:val="1"/>
                <w:color w:val="auto"/>
              </w:rPr>
            </w:pPr>
          </w:p>
        </w:tc>
      </w:tr>
      <w:tr>
        <w:trPr>
          <w:trHeight w:val="217"/>
        </w:trPr>
        <w:tc>
          <w:tcPr>
            <w:tcW w:w="260" w:type="dxa"/>
            <w:vAlign w:val="bottom"/>
          </w:tcPr>
          <w:p>
            <w:pPr>
              <w:spacing w:after="0"/>
              <w:rPr>
                <w:sz w:val="18"/>
                <w:szCs w:val="18"/>
                <w:color w:val="auto"/>
              </w:rPr>
            </w:pPr>
          </w:p>
        </w:tc>
        <w:tc>
          <w:tcPr>
            <w:tcW w:w="3580" w:type="dxa"/>
            <w:vAlign w:val="bottom"/>
            <w:gridSpan w:val="2"/>
          </w:tcPr>
          <w:p>
            <w:pPr>
              <w:ind w:left="20"/>
              <w:spacing w:after="0"/>
              <w:rPr>
                <w:sz w:val="20"/>
                <w:szCs w:val="20"/>
                <w:color w:val="auto"/>
              </w:rPr>
            </w:pPr>
            <w:r>
              <w:rPr>
                <w:rFonts w:ascii="Arial" w:cs="Arial" w:eastAsia="Arial" w:hAnsi="Arial"/>
                <w:sz w:val="16"/>
                <w:szCs w:val="16"/>
                <w:color w:val="auto"/>
              </w:rPr>
              <w:t>Net income attributable to noncontrolling interest</w:t>
            </w: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(14,242)</w:t>
            </w:r>
          </w:p>
        </w:tc>
        <w:tc>
          <w:tcPr>
            <w:tcW w:w="0" w:type="dxa"/>
            <w:vAlign w:val="bottom"/>
          </w:tcPr>
          <w:p>
            <w:pPr>
              <w:spacing w:after="0"/>
              <w:rPr>
                <w:sz w:val="1"/>
                <w:szCs w:val="1"/>
                <w:color w:val="auto"/>
              </w:rPr>
            </w:pPr>
          </w:p>
        </w:tc>
      </w:tr>
      <w:tr>
        <w:trPr>
          <w:trHeight w:val="33"/>
        </w:trPr>
        <w:tc>
          <w:tcPr>
            <w:tcW w:w="260" w:type="dxa"/>
            <w:vAlign w:val="bottom"/>
          </w:tcPr>
          <w:p>
            <w:pPr>
              <w:spacing w:after="0"/>
              <w:rPr>
                <w:sz w:val="2"/>
                <w:szCs w:val="2"/>
                <w:color w:val="auto"/>
              </w:rPr>
            </w:pPr>
          </w:p>
        </w:tc>
        <w:tc>
          <w:tcPr>
            <w:tcW w:w="960" w:type="dxa"/>
            <w:vAlign w:val="bottom"/>
            <w:tcBorders>
              <w:bottom w:val="single" w:sz="8" w:color="CEFFE7"/>
            </w:tcBorders>
          </w:tcPr>
          <w:p>
            <w:pPr>
              <w:spacing w:after="0"/>
              <w:rPr>
                <w:sz w:val="2"/>
                <w:szCs w:val="2"/>
                <w:color w:val="auto"/>
              </w:rPr>
            </w:pPr>
          </w:p>
        </w:tc>
        <w:tc>
          <w:tcPr>
            <w:tcW w:w="2620" w:type="dxa"/>
            <w:vAlign w:val="bottom"/>
            <w:tcBorders>
              <w:bottom w:val="single" w:sz="8" w:color="CEFFE7"/>
            </w:tcBorders>
          </w:tcPr>
          <w:p>
            <w:pPr>
              <w:spacing w:after="0"/>
              <w:rPr>
                <w:sz w:val="2"/>
                <w:szCs w:val="2"/>
                <w:color w:val="auto"/>
              </w:rPr>
            </w:pPr>
          </w:p>
        </w:tc>
        <w:tc>
          <w:tcPr>
            <w:tcW w:w="120" w:type="dxa"/>
            <w:vAlign w:val="bottom"/>
            <w:tcBorders>
              <w:bottom w:val="single" w:sz="8" w:color="CEFFE7"/>
            </w:tcBorders>
          </w:tcPr>
          <w:p>
            <w:pPr>
              <w:spacing w:after="0"/>
              <w:rPr>
                <w:sz w:val="2"/>
                <w:szCs w:val="2"/>
                <w:color w:val="auto"/>
              </w:rPr>
            </w:pPr>
          </w:p>
        </w:tc>
        <w:tc>
          <w:tcPr>
            <w:tcW w:w="840" w:type="dxa"/>
            <w:vAlign w:val="bottom"/>
            <w:tcBorders>
              <w:bottom w:val="single" w:sz="8" w:color="CEFFE7"/>
            </w:tcBorders>
          </w:tcPr>
          <w:p>
            <w:pPr>
              <w:spacing w:after="0"/>
              <w:rPr>
                <w:sz w:val="2"/>
                <w:szCs w:val="2"/>
                <w:color w:val="auto"/>
              </w:rPr>
            </w:pPr>
          </w:p>
        </w:tc>
        <w:tc>
          <w:tcPr>
            <w:tcW w:w="300" w:type="dxa"/>
            <w:vAlign w:val="bottom"/>
            <w:tcBorders>
              <w:bottom w:val="single" w:sz="8" w:color="CEFFE7"/>
            </w:tcBorders>
          </w:tcPr>
          <w:p>
            <w:pPr>
              <w:spacing w:after="0"/>
              <w:rPr>
                <w:sz w:val="2"/>
                <w:szCs w:val="2"/>
                <w:color w:val="auto"/>
              </w:rPr>
            </w:pPr>
          </w:p>
        </w:tc>
        <w:tc>
          <w:tcPr>
            <w:tcW w:w="740" w:type="dxa"/>
            <w:vAlign w:val="bottom"/>
            <w:tcBorders>
              <w:bottom w:val="single" w:sz="8" w:color="CEFFE7"/>
            </w:tcBorders>
          </w:tcPr>
          <w:p>
            <w:pPr>
              <w:spacing w:after="0"/>
              <w:rPr>
                <w:sz w:val="2"/>
                <w:szCs w:val="2"/>
                <w:color w:val="auto"/>
              </w:rPr>
            </w:pPr>
          </w:p>
        </w:tc>
        <w:tc>
          <w:tcPr>
            <w:tcW w:w="38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760" w:type="dxa"/>
            <w:vAlign w:val="bottom"/>
            <w:tcBorders>
              <w:bottom w:val="single" w:sz="8" w:color="CEFFE7"/>
            </w:tcBorders>
          </w:tcPr>
          <w:p>
            <w:pPr>
              <w:spacing w:after="0"/>
              <w:rPr>
                <w:sz w:val="2"/>
                <w:szCs w:val="2"/>
                <w:color w:val="auto"/>
              </w:rPr>
            </w:pPr>
          </w:p>
        </w:tc>
        <w:tc>
          <w:tcPr>
            <w:tcW w:w="180" w:type="dxa"/>
            <w:vAlign w:val="bottom"/>
            <w:tcBorders>
              <w:bottom w:val="single" w:sz="8" w:color="CEFFE7"/>
            </w:tcBorders>
          </w:tcPr>
          <w:p>
            <w:pPr>
              <w:spacing w:after="0"/>
              <w:rPr>
                <w:sz w:val="2"/>
                <w:szCs w:val="2"/>
                <w:color w:val="auto"/>
              </w:rPr>
            </w:pPr>
          </w:p>
        </w:tc>
        <w:tc>
          <w:tcPr>
            <w:tcW w:w="980" w:type="dxa"/>
            <w:vAlign w:val="bottom"/>
            <w:tcBorders>
              <w:bottom w:val="single" w:sz="8" w:color="CEFFE7"/>
            </w:tcBorders>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60" w:type="dxa"/>
            <w:vAlign w:val="bottom"/>
          </w:tcPr>
          <w:p>
            <w:pPr>
              <w:spacing w:after="0"/>
              <w:rPr>
                <w:sz w:val="21"/>
                <w:szCs w:val="21"/>
                <w:color w:val="auto"/>
              </w:rPr>
            </w:pPr>
          </w:p>
        </w:tc>
        <w:tc>
          <w:tcPr>
            <w:tcW w:w="3580" w:type="dxa"/>
            <w:vAlign w:val="bottom"/>
            <w:gridSpan w:val="2"/>
            <w:shd w:val="clear" w:color="auto" w:fill="CEFFE7"/>
          </w:tcPr>
          <w:p>
            <w:pPr>
              <w:ind w:left="160"/>
              <w:spacing w:after="0"/>
              <w:rPr>
                <w:sz w:val="20"/>
                <w:szCs w:val="20"/>
                <w:color w:val="auto"/>
              </w:rPr>
            </w:pPr>
            <w:r>
              <w:rPr>
                <w:rFonts w:ascii="Arial" w:cs="Arial" w:eastAsia="Arial" w:hAnsi="Arial"/>
                <w:sz w:val="16"/>
                <w:szCs w:val="16"/>
                <w:color w:val="auto"/>
              </w:rPr>
              <w:t>Net income available for common stock</w:t>
            </w:r>
          </w:p>
        </w:tc>
        <w:tc>
          <w:tcPr>
            <w:tcW w:w="120" w:type="dxa"/>
            <w:vAlign w:val="bottom"/>
            <w:shd w:val="clear" w:color="auto" w:fill="CEFFE7"/>
          </w:tcPr>
          <w:p>
            <w:pPr>
              <w:spacing w:after="0"/>
              <w:rPr>
                <w:sz w:val="21"/>
                <w:szCs w:val="21"/>
                <w:color w:val="auto"/>
              </w:rPr>
            </w:pPr>
          </w:p>
        </w:tc>
        <w:tc>
          <w:tcPr>
            <w:tcW w:w="840" w:type="dxa"/>
            <w:vAlign w:val="bottom"/>
            <w:shd w:val="clear" w:color="auto" w:fill="CEFFE7"/>
          </w:tcPr>
          <w:p>
            <w:pPr>
              <w:spacing w:after="0"/>
              <w:rPr>
                <w:sz w:val="21"/>
                <w:szCs w:val="21"/>
                <w:color w:val="auto"/>
              </w:rPr>
            </w:pPr>
          </w:p>
        </w:tc>
        <w:tc>
          <w:tcPr>
            <w:tcW w:w="300" w:type="dxa"/>
            <w:vAlign w:val="bottom"/>
            <w:shd w:val="clear" w:color="auto" w:fill="CEFFE7"/>
          </w:tcPr>
          <w:p>
            <w:pPr>
              <w:spacing w:after="0"/>
              <w:rPr>
                <w:sz w:val="21"/>
                <w:szCs w:val="21"/>
                <w:color w:val="auto"/>
              </w:rPr>
            </w:pPr>
          </w:p>
        </w:tc>
        <w:tc>
          <w:tcPr>
            <w:tcW w:w="740" w:type="dxa"/>
            <w:vAlign w:val="bottom"/>
            <w:shd w:val="clear" w:color="auto" w:fill="CEFFE7"/>
          </w:tcPr>
          <w:p>
            <w:pPr>
              <w:spacing w:after="0"/>
              <w:rPr>
                <w:sz w:val="21"/>
                <w:szCs w:val="21"/>
                <w:color w:val="auto"/>
              </w:rPr>
            </w:pPr>
          </w:p>
        </w:tc>
        <w:tc>
          <w:tcPr>
            <w:tcW w:w="380" w:type="dxa"/>
            <w:vAlign w:val="bottom"/>
            <w:shd w:val="clear" w:color="auto" w:fill="CEFFE7"/>
          </w:tcPr>
          <w:p>
            <w:pPr>
              <w:spacing w:after="0"/>
              <w:rPr>
                <w:sz w:val="21"/>
                <w:szCs w:val="21"/>
                <w:color w:val="auto"/>
              </w:rPr>
            </w:pPr>
          </w:p>
        </w:tc>
        <w:tc>
          <w:tcPr>
            <w:tcW w:w="92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760" w:type="dxa"/>
            <w:vAlign w:val="bottom"/>
            <w:shd w:val="clear" w:color="auto" w:fill="CEFFE7"/>
          </w:tcPr>
          <w:p>
            <w:pPr>
              <w:spacing w:after="0"/>
              <w:rPr>
                <w:sz w:val="21"/>
                <w:szCs w:val="21"/>
                <w:color w:val="auto"/>
              </w:rPr>
            </w:pPr>
          </w:p>
        </w:tc>
        <w:tc>
          <w:tcPr>
            <w:tcW w:w="180" w:type="dxa"/>
            <w:vAlign w:val="bottom"/>
            <w:shd w:val="clear" w:color="auto" w:fill="CEFFE7"/>
          </w:tcPr>
          <w:p>
            <w:pPr>
              <w:spacing w:after="0"/>
              <w:rPr>
                <w:sz w:val="21"/>
                <w:szCs w:val="21"/>
                <w:color w:val="auto"/>
              </w:rPr>
            </w:pPr>
          </w:p>
        </w:tc>
        <w:tc>
          <w:tcPr>
            <w:tcW w:w="980" w:type="dxa"/>
            <w:vAlign w:val="bottom"/>
            <w:shd w:val="clear" w:color="auto" w:fill="CEFFE7"/>
          </w:tcPr>
          <w:p>
            <w:pPr>
              <w:spacing w:after="0"/>
              <w:rPr>
                <w:sz w:val="21"/>
                <w:szCs w:val="21"/>
                <w:color w:val="auto"/>
              </w:rPr>
            </w:pPr>
          </w:p>
        </w:tc>
        <w:tc>
          <w:tcPr>
            <w:tcW w:w="1360" w:type="dxa"/>
            <w:vAlign w:val="bottom"/>
            <w:gridSpan w:val="2"/>
            <w:shd w:val="clear" w:color="auto" w:fill="CEFFE7"/>
          </w:tcPr>
          <w:p>
            <w:pPr>
              <w:jc w:val="right"/>
              <w:ind w:right="60"/>
              <w:spacing w:after="0"/>
              <w:rPr>
                <w:sz w:val="20"/>
                <w:szCs w:val="20"/>
                <w:color w:val="auto"/>
              </w:rPr>
            </w:pPr>
            <w:r>
              <w:rPr>
                <w:rFonts w:ascii="Arial" w:cs="Arial" w:eastAsia="Arial" w:hAnsi="Arial"/>
                <w:sz w:val="16"/>
                <w:szCs w:val="16"/>
                <w:color w:val="auto"/>
              </w:rPr>
              <w:t>$</w:t>
            </w:r>
          </w:p>
        </w:tc>
        <w:tc>
          <w:tcPr>
            <w:tcW w:w="82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177,034</w:t>
            </w: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960" w:type="dxa"/>
            <w:vAlign w:val="bottom"/>
            <w:tcBorders>
              <w:top w:val="single" w:sz="8" w:color="CEFFE7"/>
            </w:tcBorders>
          </w:tcPr>
          <w:p>
            <w:pPr>
              <w:spacing w:after="0" w:line="20" w:lineRule="exact"/>
              <w:rPr>
                <w:sz w:val="1"/>
                <w:szCs w:val="1"/>
                <w:color w:val="auto"/>
              </w:rPr>
            </w:pPr>
          </w:p>
        </w:tc>
        <w:tc>
          <w:tcPr>
            <w:tcW w:w="2620" w:type="dxa"/>
            <w:vAlign w:val="bottom"/>
            <w:tcBorders>
              <w:top w:val="single" w:sz="8" w:color="CEFFE7"/>
            </w:tcBorders>
          </w:tcPr>
          <w:p>
            <w:pPr>
              <w:spacing w:after="0" w:line="20" w:lineRule="exact"/>
              <w:rPr>
                <w:sz w:val="1"/>
                <w:szCs w:val="1"/>
                <w:color w:val="auto"/>
              </w:rPr>
            </w:pPr>
          </w:p>
        </w:tc>
        <w:tc>
          <w:tcPr>
            <w:tcW w:w="120" w:type="dxa"/>
            <w:vAlign w:val="bottom"/>
            <w:tcBorders>
              <w:top w:val="single" w:sz="8" w:color="CEFFE7"/>
            </w:tcBorders>
          </w:tcPr>
          <w:p>
            <w:pPr>
              <w:spacing w:after="0" w:line="20" w:lineRule="exact"/>
              <w:rPr>
                <w:sz w:val="1"/>
                <w:szCs w:val="1"/>
                <w:color w:val="auto"/>
              </w:rPr>
            </w:pPr>
          </w:p>
        </w:tc>
        <w:tc>
          <w:tcPr>
            <w:tcW w:w="840" w:type="dxa"/>
            <w:vAlign w:val="bottom"/>
            <w:tcBorders>
              <w:top w:val="single" w:sz="8" w:color="CEFFE7"/>
            </w:tcBorders>
          </w:tcPr>
          <w:p>
            <w:pPr>
              <w:spacing w:after="0" w:line="20" w:lineRule="exact"/>
              <w:rPr>
                <w:sz w:val="1"/>
                <w:szCs w:val="1"/>
                <w:color w:val="auto"/>
              </w:rPr>
            </w:pPr>
          </w:p>
        </w:tc>
        <w:tc>
          <w:tcPr>
            <w:tcW w:w="300" w:type="dxa"/>
            <w:vAlign w:val="bottom"/>
            <w:tcBorders>
              <w:top w:val="single" w:sz="8" w:color="CEFFE7"/>
            </w:tcBorders>
          </w:tcPr>
          <w:p>
            <w:pPr>
              <w:spacing w:after="0" w:line="20" w:lineRule="exact"/>
              <w:rPr>
                <w:sz w:val="1"/>
                <w:szCs w:val="1"/>
                <w:color w:val="auto"/>
              </w:rPr>
            </w:pPr>
          </w:p>
        </w:tc>
        <w:tc>
          <w:tcPr>
            <w:tcW w:w="740" w:type="dxa"/>
            <w:vAlign w:val="bottom"/>
            <w:tcBorders>
              <w:top w:val="single" w:sz="8" w:color="CEFFE7"/>
            </w:tcBorders>
          </w:tcPr>
          <w:p>
            <w:pPr>
              <w:spacing w:after="0" w:line="20" w:lineRule="exact"/>
              <w:rPr>
                <w:sz w:val="1"/>
                <w:szCs w:val="1"/>
                <w:color w:val="auto"/>
              </w:rPr>
            </w:pPr>
          </w:p>
        </w:tc>
        <w:tc>
          <w:tcPr>
            <w:tcW w:w="380" w:type="dxa"/>
            <w:vAlign w:val="bottom"/>
            <w:tcBorders>
              <w:top w:val="single" w:sz="8" w:color="CEFFE7"/>
            </w:tcBorders>
          </w:tcPr>
          <w:p>
            <w:pPr>
              <w:spacing w:after="0" w:line="20" w:lineRule="exact"/>
              <w:rPr>
                <w:sz w:val="1"/>
                <w:szCs w:val="1"/>
                <w:color w:val="auto"/>
              </w:rPr>
            </w:pPr>
          </w:p>
        </w:tc>
        <w:tc>
          <w:tcPr>
            <w:tcW w:w="92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760" w:type="dxa"/>
            <w:vAlign w:val="bottom"/>
            <w:tcBorders>
              <w:top w:val="single" w:sz="8" w:color="CEFFE7"/>
            </w:tcBorders>
          </w:tcPr>
          <w:p>
            <w:pPr>
              <w:spacing w:after="0" w:line="20" w:lineRule="exact"/>
              <w:rPr>
                <w:sz w:val="1"/>
                <w:szCs w:val="1"/>
                <w:color w:val="auto"/>
              </w:rPr>
            </w:pPr>
          </w:p>
        </w:tc>
        <w:tc>
          <w:tcPr>
            <w:tcW w:w="180" w:type="dxa"/>
            <w:vAlign w:val="bottom"/>
            <w:tcBorders>
              <w:top w:val="single" w:sz="8" w:color="CEFFE7"/>
            </w:tcBorders>
          </w:tcPr>
          <w:p>
            <w:pPr>
              <w:spacing w:after="0" w:line="20" w:lineRule="exact"/>
              <w:rPr>
                <w:sz w:val="1"/>
                <w:szCs w:val="1"/>
                <w:color w:val="auto"/>
              </w:rPr>
            </w:pPr>
          </w:p>
        </w:tc>
        <w:tc>
          <w:tcPr>
            <w:tcW w:w="980" w:type="dxa"/>
            <w:vAlign w:val="bottom"/>
            <w:tcBorders>
              <w:top w:val="single" w:sz="8" w:color="CEFFE7"/>
            </w:tcBorders>
          </w:tcPr>
          <w:p>
            <w:pPr>
              <w:spacing w:after="0" w:line="20" w:lineRule="exact"/>
              <w:rPr>
                <w:sz w:val="1"/>
                <w:szCs w:val="1"/>
                <w:color w:val="auto"/>
              </w:rPr>
            </w:pPr>
          </w:p>
        </w:tc>
        <w:tc>
          <w:tcPr>
            <w:tcW w:w="1200" w:type="dxa"/>
            <w:vAlign w:val="bottom"/>
            <w:tcBorders>
              <w:top w:val="single" w:sz="8" w:color="CEFFE7"/>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w:t>
      </w:r>
    </w:p>
    <w:p>
      <w:pPr>
        <w:spacing w:after="0" w:line="13" w:lineRule="exact"/>
        <w:rPr>
          <w:sz w:val="20"/>
          <w:szCs w:val="20"/>
          <w:color w:val="auto"/>
        </w:rPr>
      </w:pPr>
    </w:p>
    <w:p>
      <w:pPr>
        <w:ind w:left="340" w:hanging="332"/>
        <w:spacing w:after="0"/>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 xml:space="preserve">Discontinued operations includes oil and gas property impairments. See </w:t>
      </w:r>
      <w:hyperlink w:anchor="page141">
        <w:r>
          <w:rPr>
            <w:rFonts w:ascii="Arial" w:cs="Arial" w:eastAsia="Arial" w:hAnsi="Arial"/>
            <w:sz w:val="14"/>
            <w:szCs w:val="14"/>
            <w:u w:val="single" w:color="auto"/>
            <w:color w:val="0000EE"/>
          </w:rPr>
          <w:t>Note 21</w:t>
        </w:r>
      </w:hyperlink>
      <w:r>
        <w:rPr>
          <w:rFonts w:ascii="Arial" w:cs="Arial" w:eastAsia="Arial" w:hAnsi="Arial"/>
          <w:sz w:val="14"/>
          <w:szCs w:val="14"/>
          <w:color w:val="auto"/>
        </w:rPr>
        <w:t>.</w:t>
      </w:r>
    </w:p>
    <w:p>
      <w:pPr>
        <w:spacing w:after="0" w:line="1" w:lineRule="exact"/>
        <w:rPr>
          <w:rFonts w:ascii="Arial" w:cs="Arial" w:eastAsia="Arial" w:hAnsi="Arial"/>
          <w:sz w:val="14"/>
          <w:szCs w:val="14"/>
          <w:color w:val="auto"/>
        </w:rPr>
      </w:pPr>
    </w:p>
    <w:p>
      <w:pPr>
        <w:ind w:left="340" w:right="500" w:hanging="332"/>
        <w:spacing w:after="0" w:line="255" w:lineRule="auto"/>
        <w:tabs>
          <w:tab w:leader="none" w:pos="340" w:val="left"/>
        </w:tabs>
        <w:numPr>
          <w:ilvl w:val="0"/>
          <w:numId w:val="71"/>
        </w:numPr>
        <w:rPr>
          <w:rFonts w:ascii="Arial" w:cs="Arial" w:eastAsia="Arial" w:hAnsi="Arial"/>
          <w:sz w:val="14"/>
          <w:szCs w:val="14"/>
          <w:color w:val="auto"/>
        </w:rPr>
      </w:pPr>
      <w:r>
        <w:rPr>
          <w:rFonts w:ascii="Arial" w:cs="Arial" w:eastAsia="Arial" w:hAnsi="Arial"/>
          <w:sz w:val="14"/>
          <w:szCs w:val="14"/>
          <w:color w:val="auto"/>
        </w:rPr>
        <w:t>Due to changes in our segment disclosures, Adjusted operating income and related income statement accounts were revised for the year ended December 31, 2017, which resulted in an increase (decrease) as follows (in millions):</w:t>
      </w:r>
    </w:p>
    <w:p>
      <w:pPr>
        <w:spacing w:after="0" w:line="120" w:lineRule="exact"/>
        <w:rPr>
          <w:sz w:val="20"/>
          <w:szCs w:val="20"/>
          <w:color w:val="auto"/>
        </w:rPr>
      </w:pPr>
    </w:p>
    <w:tbl>
      <w:tblPr>
        <w:tblLayout w:type="fixed"/>
        <w:tblInd w:w="1660" w:type="dxa"/>
        <w:tblCellMar>
          <w:top w:w="0" w:type="dxa"/>
          <w:left w:w="0" w:type="dxa"/>
          <w:bottom w:w="0" w:type="dxa"/>
          <w:right w:w="0" w:type="dxa"/>
        </w:tblCellMar>
      </w:tblPr>
      <w:tr>
        <w:trPr>
          <w:trHeight w:val="161"/>
        </w:trPr>
        <w:tc>
          <w:tcPr>
            <w:tcW w:w="36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ind w:right="68"/>
              <w:spacing w:after="0"/>
              <w:rPr>
                <w:sz w:val="20"/>
                <w:szCs w:val="20"/>
                <w:color w:val="auto"/>
              </w:rPr>
            </w:pPr>
            <w:r>
              <w:rPr>
                <w:rFonts w:ascii="Arial" w:cs="Arial" w:eastAsia="Arial" w:hAnsi="Arial"/>
                <w:sz w:val="14"/>
                <w:szCs w:val="14"/>
                <w:color w:val="auto"/>
                <w:w w:val="92"/>
              </w:rPr>
              <w:t>Inter-Company</w:t>
            </w: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88"/>
        </w:trPr>
        <w:tc>
          <w:tcPr>
            <w:tcW w:w="3620" w:type="dxa"/>
            <w:vAlign w:val="bottom"/>
            <w:tcBorders>
              <w:bottom w:val="single" w:sz="8" w:color="auto"/>
            </w:tcBorders>
          </w:tcPr>
          <w:p>
            <w:pPr>
              <w:ind w:left="40"/>
              <w:spacing w:after="0"/>
              <w:rPr>
                <w:sz w:val="20"/>
                <w:szCs w:val="20"/>
                <w:color w:val="auto"/>
              </w:rPr>
            </w:pPr>
            <w:r>
              <w:rPr>
                <w:rFonts w:ascii="Arial" w:cs="Arial" w:eastAsia="Arial" w:hAnsi="Arial"/>
                <w:sz w:val="14"/>
                <w:szCs w:val="14"/>
                <w:color w:val="auto"/>
              </w:rPr>
              <w:t>Year ended December 31, 2017</w:t>
            </w:r>
          </w:p>
        </w:tc>
        <w:tc>
          <w:tcPr>
            <w:tcW w:w="11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color w:val="auto"/>
              </w:rPr>
              <w:t>Electric Utilities</w:t>
            </w: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w w:val="95"/>
              </w:rPr>
              <w:t>Power Generation</w:t>
            </w: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color w:val="auto"/>
              </w:rPr>
              <w:t>Eliminations</w:t>
            </w: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ind w:left="160"/>
              <w:spacing w:after="0"/>
              <w:rPr>
                <w:sz w:val="20"/>
                <w:szCs w:val="20"/>
                <w:color w:val="auto"/>
              </w:rPr>
            </w:pPr>
            <w:r>
              <w:rPr>
                <w:rFonts w:ascii="Arial" w:cs="Arial" w:eastAsia="Arial" w:hAnsi="Arial"/>
                <w:sz w:val="14"/>
                <w:szCs w:val="14"/>
                <w:color w:val="auto"/>
              </w:rPr>
              <w:t>Total</w:t>
            </w:r>
          </w:p>
        </w:tc>
      </w:tr>
      <w:tr>
        <w:trPr>
          <w:trHeight w:val="216"/>
        </w:trPr>
        <w:tc>
          <w:tcPr>
            <w:tcW w:w="3620" w:type="dxa"/>
            <w:vAlign w:val="bottom"/>
            <w:shd w:val="clear" w:color="auto" w:fill="CEFFE7"/>
          </w:tcPr>
          <w:p>
            <w:pPr>
              <w:ind w:left="40"/>
              <w:spacing w:after="0"/>
              <w:rPr>
                <w:sz w:val="20"/>
                <w:szCs w:val="20"/>
                <w:color w:val="auto"/>
              </w:rPr>
            </w:pPr>
            <w:r>
              <w:rPr>
                <w:rFonts w:ascii="Arial" w:cs="Arial" w:eastAsia="Arial" w:hAnsi="Arial"/>
                <w:sz w:val="14"/>
                <w:szCs w:val="14"/>
                <w:color w:val="auto"/>
              </w:rPr>
              <w:t>Inter-company revenue</w:t>
            </w:r>
          </w:p>
        </w:tc>
        <w:tc>
          <w:tcPr>
            <w:tcW w:w="420" w:type="dxa"/>
            <w:vAlign w:val="bottom"/>
            <w:shd w:val="clear" w:color="auto" w:fill="CEFFE7"/>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w:t>
            </w:r>
          </w:p>
        </w:tc>
        <w:tc>
          <w:tcPr>
            <w:tcW w:w="480" w:type="dxa"/>
            <w:vAlign w:val="bottom"/>
            <w:shd w:val="clear" w:color="auto" w:fill="CEFFE7"/>
          </w:tcPr>
          <w:p>
            <w:pPr>
              <w:jc w:val="right"/>
              <w:ind w:right="308"/>
              <w:spacing w:after="0"/>
              <w:rPr>
                <w:sz w:val="20"/>
                <w:szCs w:val="20"/>
                <w:color w:val="auto"/>
              </w:rPr>
            </w:pPr>
            <w:r>
              <w:rPr>
                <w:rFonts w:ascii="Arial" w:cs="Arial" w:eastAsia="Arial" w:hAnsi="Arial"/>
                <w:sz w:val="14"/>
                <w:szCs w:val="14"/>
                <w:color w:val="auto"/>
              </w:rPr>
              <w:t>$</w:t>
            </w:r>
          </w:p>
        </w:tc>
        <w:tc>
          <w:tcPr>
            <w:tcW w:w="660" w:type="dxa"/>
            <w:vAlign w:val="bottom"/>
            <w:shd w:val="clear" w:color="auto" w:fill="CEFFE7"/>
          </w:tcPr>
          <w:p>
            <w:pPr>
              <w:jc w:val="right"/>
              <w:ind w:right="8"/>
              <w:spacing w:after="0"/>
              <w:rPr>
                <w:sz w:val="20"/>
                <w:szCs w:val="20"/>
                <w:color w:val="auto"/>
              </w:rPr>
            </w:pPr>
            <w:r>
              <w:rPr>
                <w:rFonts w:ascii="Arial" w:cs="Arial" w:eastAsia="Arial" w:hAnsi="Arial"/>
                <w:sz w:val="14"/>
                <w:szCs w:val="14"/>
                <w:color w:val="auto"/>
              </w:rPr>
              <w:t>3.1</w:t>
            </w:r>
          </w:p>
        </w:tc>
        <w:tc>
          <w:tcPr>
            <w:tcW w:w="1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w:t>
            </w:r>
          </w:p>
        </w:tc>
        <w:tc>
          <w:tcPr>
            <w:tcW w:w="1020" w:type="dxa"/>
            <w:vAlign w:val="bottom"/>
            <w:shd w:val="clear" w:color="auto" w:fill="CEFFE7"/>
          </w:tcPr>
          <w:p>
            <w:pPr>
              <w:jc w:val="right"/>
              <w:spacing w:after="0"/>
              <w:rPr>
                <w:sz w:val="20"/>
                <w:szCs w:val="20"/>
                <w:color w:val="auto"/>
              </w:rPr>
            </w:pPr>
            <w:r>
              <w:rPr>
                <w:rFonts w:ascii="Arial" w:cs="Arial" w:eastAsia="Arial" w:hAnsi="Arial"/>
                <w:sz w:val="14"/>
                <w:szCs w:val="14"/>
                <w:color w:val="auto"/>
              </w:rPr>
              <w:t>(3.1)</w:t>
            </w:r>
          </w:p>
        </w:tc>
        <w:tc>
          <w:tcPr>
            <w:tcW w:w="240" w:type="dxa"/>
            <w:vAlign w:val="bottom"/>
            <w:shd w:val="clear" w:color="auto" w:fill="CEFFE7"/>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shd w:val="clear" w:color="auto" w:fill="CEFFE7"/>
          </w:tcPr>
          <w:p>
            <w:pPr>
              <w:ind w:left="660"/>
              <w:spacing w:after="0"/>
              <w:rPr>
                <w:sz w:val="20"/>
                <w:szCs w:val="20"/>
                <w:color w:val="auto"/>
              </w:rPr>
            </w:pPr>
            <w:r>
              <w:rPr>
                <w:rFonts w:ascii="Arial" w:cs="Arial" w:eastAsia="Arial" w:hAnsi="Arial"/>
                <w:sz w:val="14"/>
                <w:szCs w:val="14"/>
                <w:color w:val="auto"/>
              </w:rPr>
              <w:t>—</w:t>
            </w: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Fuel, purchased power and cost of natural gas sold</w:t>
            </w:r>
          </w:p>
        </w:tc>
        <w:tc>
          <w:tcPr>
            <w:tcW w:w="420" w:type="dxa"/>
            <w:vAlign w:val="bottom"/>
          </w:tcPr>
          <w:p>
            <w:pPr>
              <w:spacing w:after="0"/>
              <w:rPr>
                <w:sz w:val="18"/>
                <w:szCs w:val="18"/>
                <w:color w:val="auto"/>
              </w:rPr>
            </w:pPr>
          </w:p>
        </w:tc>
        <w:tc>
          <w:tcPr>
            <w:tcW w:w="700" w:type="dxa"/>
            <w:vAlign w:val="bottom"/>
          </w:tcPr>
          <w:p>
            <w:pPr>
              <w:jc w:val="right"/>
              <w:ind w:right="8"/>
              <w:spacing w:after="0"/>
              <w:rPr>
                <w:sz w:val="20"/>
                <w:szCs w:val="20"/>
                <w:color w:val="auto"/>
              </w:rPr>
            </w:pPr>
            <w:r>
              <w:rPr>
                <w:rFonts w:ascii="Arial" w:cs="Arial" w:eastAsia="Arial" w:hAnsi="Arial"/>
                <w:sz w:val="14"/>
                <w:szCs w:val="14"/>
                <w:color w:val="auto"/>
              </w:rPr>
              <w:t>6.0</w:t>
            </w:r>
          </w:p>
        </w:tc>
        <w:tc>
          <w:tcPr>
            <w:tcW w:w="480" w:type="dxa"/>
            <w:vAlign w:val="bottom"/>
          </w:tcPr>
          <w:p>
            <w:pPr>
              <w:spacing w:after="0"/>
              <w:rPr>
                <w:sz w:val="18"/>
                <w:szCs w:val="18"/>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w:t>
            </w:r>
          </w:p>
        </w:tc>
        <w:tc>
          <w:tcPr>
            <w:tcW w:w="240" w:type="dxa"/>
            <w:vAlign w:val="bottom"/>
          </w:tcPr>
          <w:p>
            <w:pPr>
              <w:spacing w:after="0"/>
              <w:rPr>
                <w:sz w:val="18"/>
                <w:szCs w:val="18"/>
                <w:color w:val="auto"/>
              </w:rPr>
            </w:pPr>
          </w:p>
        </w:tc>
        <w:tc>
          <w:tcPr>
            <w:tcW w:w="840" w:type="dxa"/>
            <w:vAlign w:val="bottom"/>
          </w:tcPr>
          <w:p>
            <w:pPr>
              <w:ind w:left="660"/>
              <w:spacing w:after="0"/>
              <w:rPr>
                <w:sz w:val="20"/>
                <w:szCs w:val="20"/>
                <w:color w:val="auto"/>
              </w:rPr>
            </w:pPr>
            <w:r>
              <w:rPr>
                <w:rFonts w:ascii="Arial" w:cs="Arial" w:eastAsia="Arial" w:hAnsi="Arial"/>
                <w:sz w:val="14"/>
                <w:szCs w:val="14"/>
                <w:color w:val="auto"/>
              </w:rPr>
              <w:t>—</w:t>
            </w:r>
          </w:p>
        </w:tc>
      </w:tr>
      <w:tr>
        <w:trPr>
          <w:trHeight w:val="216"/>
        </w:trPr>
        <w:tc>
          <w:tcPr>
            <w:tcW w:w="3620" w:type="dxa"/>
            <w:vAlign w:val="bottom"/>
            <w:shd w:val="clear" w:color="auto" w:fill="CEFFE7"/>
          </w:tcPr>
          <w:p>
            <w:pPr>
              <w:ind w:left="40"/>
              <w:spacing w:after="0"/>
              <w:rPr>
                <w:sz w:val="20"/>
                <w:szCs w:val="20"/>
                <w:color w:val="auto"/>
              </w:rPr>
            </w:pPr>
            <w:r>
              <w:rPr>
                <w:rFonts w:ascii="Arial" w:cs="Arial" w:eastAsia="Arial" w:hAnsi="Arial"/>
                <w:sz w:val="14"/>
                <w:szCs w:val="14"/>
                <w:color w:val="auto"/>
              </w:rPr>
              <w:t>Depreciation, depletion and amortization</w:t>
            </w:r>
          </w:p>
        </w:tc>
        <w:tc>
          <w:tcPr>
            <w:tcW w:w="420" w:type="dxa"/>
            <w:vAlign w:val="bottom"/>
            <w:tcBorders>
              <w:bottom w:val="single" w:sz="8" w:color="auto"/>
            </w:tcBorders>
            <w:shd w:val="clear" w:color="auto" w:fill="CEFFE7"/>
          </w:tcPr>
          <w:p>
            <w:pPr>
              <w:spacing w:after="0"/>
              <w:rPr>
                <w:sz w:val="18"/>
                <w:szCs w:val="18"/>
                <w:color w:val="auto"/>
              </w:rPr>
            </w:pP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4"/>
                <w:szCs w:val="14"/>
                <w:color w:val="auto"/>
              </w:rPr>
              <w:t>(13.1)</w:t>
            </w:r>
          </w:p>
        </w:tc>
        <w:tc>
          <w:tcPr>
            <w:tcW w:w="480" w:type="dxa"/>
            <w:vAlign w:val="bottom"/>
            <w:tcBorders>
              <w:bottom w:val="single" w:sz="8" w:color="auto"/>
            </w:tcBorders>
            <w:shd w:val="clear" w:color="auto" w:fill="CEFFE7"/>
          </w:tcPr>
          <w:p>
            <w:pPr>
              <w:spacing w:after="0"/>
              <w:rPr>
                <w:sz w:val="18"/>
                <w:szCs w:val="18"/>
                <w:color w:val="auto"/>
              </w:rPr>
            </w:pPr>
          </w:p>
        </w:tc>
        <w:tc>
          <w:tcPr>
            <w:tcW w:w="66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9.6</w:t>
            </w:r>
          </w:p>
        </w:tc>
        <w:tc>
          <w:tcPr>
            <w:tcW w:w="120" w:type="dxa"/>
            <w:vAlign w:val="bottom"/>
            <w:tcBorders>
              <w:bottom w:val="single" w:sz="8" w:color="auto"/>
            </w:tcBorders>
            <w:shd w:val="clear" w:color="auto" w:fill="CEFFE7"/>
          </w:tcPr>
          <w:p>
            <w:pPr>
              <w:spacing w:after="0"/>
              <w:rPr>
                <w:sz w:val="18"/>
                <w:szCs w:val="18"/>
                <w:color w:val="auto"/>
              </w:rPr>
            </w:pPr>
          </w:p>
        </w:tc>
        <w:tc>
          <w:tcPr>
            <w:tcW w:w="1020" w:type="dxa"/>
            <w:vAlign w:val="bottom"/>
            <w:tcBorders>
              <w:bottom w:val="single" w:sz="8" w:color="auto"/>
            </w:tcBorders>
            <w:shd w:val="clear" w:color="auto" w:fill="CEFFE7"/>
          </w:tcPr>
          <w:p>
            <w:pPr>
              <w:jc w:val="right"/>
              <w:ind w:right="8"/>
              <w:spacing w:after="0"/>
              <w:rPr>
                <w:sz w:val="20"/>
                <w:szCs w:val="20"/>
                <w:color w:val="auto"/>
              </w:rPr>
            </w:pPr>
            <w:r>
              <w:rPr>
                <w:rFonts w:ascii="Arial" w:cs="Arial" w:eastAsia="Arial" w:hAnsi="Arial"/>
                <w:sz w:val="14"/>
                <w:szCs w:val="14"/>
                <w:color w:val="auto"/>
              </w:rPr>
              <w:t>3.5</w:t>
            </w:r>
          </w:p>
        </w:tc>
        <w:tc>
          <w:tcPr>
            <w:tcW w:w="240" w:type="dxa"/>
            <w:vAlign w:val="bottom"/>
            <w:tcBorders>
              <w:bottom w:val="single" w:sz="8" w:color="auto"/>
            </w:tcBorders>
            <w:shd w:val="clear" w:color="auto" w:fill="CEFFE7"/>
          </w:tcPr>
          <w:p>
            <w:pPr>
              <w:spacing w:after="0"/>
              <w:rPr>
                <w:sz w:val="18"/>
                <w:szCs w:val="18"/>
                <w:color w:val="auto"/>
              </w:rPr>
            </w:pPr>
          </w:p>
        </w:tc>
        <w:tc>
          <w:tcPr>
            <w:tcW w:w="840" w:type="dxa"/>
            <w:vAlign w:val="bottom"/>
            <w:tcBorders>
              <w:bottom w:val="single" w:sz="8" w:color="auto"/>
            </w:tcBorders>
            <w:shd w:val="clear" w:color="auto" w:fill="CEFFE7"/>
          </w:tcPr>
          <w:p>
            <w:pPr>
              <w:ind w:left="660"/>
              <w:spacing w:after="0"/>
              <w:rPr>
                <w:sz w:val="20"/>
                <w:szCs w:val="20"/>
                <w:color w:val="auto"/>
              </w:rPr>
            </w:pPr>
            <w:r>
              <w:rPr>
                <w:rFonts w:ascii="Arial" w:cs="Arial" w:eastAsia="Arial" w:hAnsi="Arial"/>
                <w:sz w:val="14"/>
                <w:szCs w:val="14"/>
                <w:color w:val="auto"/>
              </w:rPr>
              <w:t>—</w:t>
            </w:r>
          </w:p>
        </w:tc>
      </w:tr>
      <w:tr>
        <w:trPr>
          <w:trHeight w:val="210"/>
        </w:trPr>
        <w:tc>
          <w:tcPr>
            <w:tcW w:w="3620" w:type="dxa"/>
            <w:vAlign w:val="bottom"/>
          </w:tcPr>
          <w:p>
            <w:pPr>
              <w:ind w:left="40"/>
              <w:spacing w:after="0"/>
              <w:rPr>
                <w:sz w:val="20"/>
                <w:szCs w:val="20"/>
                <w:color w:val="auto"/>
              </w:rPr>
            </w:pPr>
            <w:r>
              <w:rPr>
                <w:rFonts w:ascii="Arial" w:cs="Arial" w:eastAsia="Arial" w:hAnsi="Arial"/>
                <w:sz w:val="14"/>
                <w:szCs w:val="14"/>
                <w:color w:val="auto"/>
              </w:rPr>
              <w:t>Adjusted operating income (loss)</w:t>
            </w:r>
          </w:p>
        </w:tc>
        <w:tc>
          <w:tcPr>
            <w:tcW w:w="42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7.1</w:t>
            </w:r>
          </w:p>
        </w:tc>
        <w:tc>
          <w:tcPr>
            <w:tcW w:w="480" w:type="dxa"/>
            <w:vAlign w:val="bottom"/>
            <w:tcBorders>
              <w:bottom w:val="single" w:sz="8" w:color="auto"/>
            </w:tcBorders>
          </w:tcPr>
          <w:p>
            <w:pPr>
              <w:jc w:val="right"/>
              <w:ind w:right="308"/>
              <w:spacing w:after="0"/>
              <w:rPr>
                <w:sz w:val="20"/>
                <w:szCs w:val="20"/>
                <w:color w:val="auto"/>
              </w:rPr>
            </w:pPr>
            <w:r>
              <w:rPr>
                <w:rFonts w:ascii="Arial" w:cs="Arial" w:eastAsia="Arial" w:hAnsi="Arial"/>
                <w:sz w:val="14"/>
                <w:szCs w:val="14"/>
                <w:color w:val="auto"/>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(0.6)</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40" w:type="dxa"/>
            <w:vAlign w:val="bottom"/>
            <w:tcBorders>
              <w:bottom w:val="single" w:sz="8" w:color="auto"/>
            </w:tcBorders>
          </w:tcPr>
          <w:p>
            <w:pPr>
              <w:ind w:left="660"/>
              <w:spacing w:after="0"/>
              <w:rPr>
                <w:sz w:val="20"/>
                <w:szCs w:val="20"/>
                <w:color w:val="auto"/>
              </w:rPr>
            </w:pPr>
            <w:r>
              <w:rPr>
                <w:rFonts w:ascii="Arial" w:cs="Arial" w:eastAsia="Arial" w:hAnsi="Arial"/>
                <w:sz w:val="14"/>
                <w:szCs w:val="14"/>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(6)</w:t>
        <w:tab/>
        <w:t>LONG-TERM DEBT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Long-term debt outstanding was as follows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3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89"/>
              </w:rPr>
              <w:t>Interest Rate at</w:t>
            </w:r>
          </w:p>
        </w:tc>
        <w:tc>
          <w:tcPr>
            <w:tcW w:w="100" w:type="dxa"/>
            <w:vAlign w:val="bottom"/>
          </w:tcPr>
          <w:p>
            <w:pPr>
              <w:spacing w:after="0"/>
              <w:rPr>
                <w:sz w:val="17"/>
                <w:szCs w:val="17"/>
                <w:color w:val="auto"/>
              </w:rPr>
            </w:pPr>
          </w:p>
        </w:tc>
        <w:tc>
          <w:tcPr>
            <w:tcW w:w="2080" w:type="dxa"/>
            <w:vAlign w:val="bottom"/>
            <w:gridSpan w:val="2"/>
          </w:tcPr>
          <w:p>
            <w:pPr>
              <w:jc w:val="right"/>
              <w:spacing w:after="0"/>
              <w:rPr>
                <w:sz w:val="20"/>
                <w:szCs w:val="20"/>
                <w:color w:val="auto"/>
              </w:rPr>
            </w:pPr>
            <w:r>
              <w:rPr>
                <w:rFonts w:ascii="Arial" w:cs="Arial" w:eastAsia="Arial" w:hAnsi="Arial"/>
                <w:sz w:val="16"/>
                <w:szCs w:val="16"/>
                <w:color w:val="auto"/>
              </w:rPr>
              <w:t>Balance Outstanding</w:t>
            </w: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1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320" w:type="dxa"/>
            <w:vAlign w:val="bottom"/>
          </w:tcPr>
          <w:p>
            <w:pPr>
              <w:spacing w:after="0"/>
              <w:rPr>
                <w:sz w:val="23"/>
                <w:szCs w:val="23"/>
                <w:color w:val="auto"/>
              </w:rPr>
            </w:pPr>
          </w:p>
        </w:tc>
        <w:tc>
          <w:tcPr>
            <w:tcW w:w="1940" w:type="dxa"/>
            <w:vAlign w:val="bottom"/>
          </w:tcPr>
          <w:p>
            <w:pPr>
              <w:jc w:val="center"/>
              <w:ind w:left="39"/>
              <w:spacing w:after="0"/>
              <w:rPr>
                <w:sz w:val="20"/>
                <w:szCs w:val="20"/>
                <w:color w:val="auto"/>
              </w:rPr>
            </w:pPr>
            <w:r>
              <w:rPr>
                <w:rFonts w:ascii="Arial" w:cs="Arial" w:eastAsia="Arial" w:hAnsi="Arial"/>
                <w:sz w:val="16"/>
                <w:szCs w:val="16"/>
                <w:color w:val="auto"/>
                <w:w w:val="91"/>
              </w:rPr>
              <w:t>Due Date</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89"/>
              </w:rPr>
              <w:t>December 31, 2019</w:t>
            </w:r>
          </w:p>
        </w:tc>
        <w:tc>
          <w:tcPr>
            <w:tcW w:w="100" w:type="dxa"/>
            <w:vAlign w:val="bottom"/>
          </w:tcPr>
          <w:p>
            <w:pPr>
              <w:spacing w:after="0"/>
              <w:rPr>
                <w:sz w:val="23"/>
                <w:szCs w:val="23"/>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w w:val="89"/>
              </w:rPr>
              <w:t>December 31, 2019</w:t>
            </w:r>
          </w:p>
        </w:tc>
        <w:tc>
          <w:tcPr>
            <w:tcW w:w="1480" w:type="dxa"/>
            <w:vAlign w:val="bottom"/>
            <w:gridSpan w:val="2"/>
          </w:tcPr>
          <w:p>
            <w:pPr>
              <w:jc w:val="right"/>
              <w:ind w:right="19"/>
              <w:spacing w:after="0"/>
              <w:rPr>
                <w:sz w:val="20"/>
                <w:szCs w:val="20"/>
                <w:color w:val="auto"/>
              </w:rPr>
            </w:pPr>
            <w:r>
              <w:rPr>
                <w:rFonts w:ascii="Arial" w:cs="Arial" w:eastAsia="Arial" w:hAnsi="Arial"/>
                <w:sz w:val="16"/>
                <w:szCs w:val="16"/>
                <w:color w:val="auto"/>
                <w:w w:val="96"/>
              </w:rPr>
              <w:t>December 31, 2018</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4740" w:type="dxa"/>
            <w:vAlign w:val="bottom"/>
            <w:gridSpan w:val="4"/>
            <w:vMerge w:val="restart"/>
          </w:tcPr>
          <w:p>
            <w:pPr>
              <w:spacing w:after="0"/>
              <w:rPr>
                <w:sz w:val="20"/>
                <w:szCs w:val="20"/>
                <w:color w:val="auto"/>
              </w:rPr>
            </w:pPr>
            <w:r>
              <w:rPr>
                <w:rFonts w:ascii="Arial" w:cs="Arial" w:eastAsia="Arial" w:hAnsi="Arial"/>
                <w:sz w:val="16"/>
                <w:szCs w:val="16"/>
                <w:color w:val="auto"/>
              </w:rPr>
              <w:t>Corporate</w:t>
            </w:r>
          </w:p>
        </w:tc>
        <w:tc>
          <w:tcPr>
            <w:tcW w:w="19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4740" w:type="dxa"/>
            <w:vAlign w:val="bottom"/>
            <w:gridSpan w:val="4"/>
            <w:vMerge w:val="continue"/>
          </w:tcPr>
          <w:p>
            <w:pPr>
              <w:spacing w:after="0"/>
              <w:rPr>
                <w:sz w:val="17"/>
                <w:szCs w:val="17"/>
                <w:color w:val="auto"/>
              </w:rPr>
            </w:pPr>
          </w:p>
        </w:tc>
        <w:tc>
          <w:tcPr>
            <w:tcW w:w="1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40" w:type="dxa"/>
            <w:vAlign w:val="bottom"/>
          </w:tcPr>
          <w:p>
            <w:pPr>
              <w:spacing w:after="0"/>
              <w:rPr>
                <w:sz w:val="4"/>
                <w:szCs w:val="4"/>
                <w:color w:val="auto"/>
              </w:rPr>
            </w:pPr>
          </w:p>
        </w:tc>
        <w:tc>
          <w:tcPr>
            <w:tcW w:w="2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2023</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1"/>
              </w:rPr>
              <w:t>November 30, 2023</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4.25%</w:t>
            </w:r>
          </w:p>
        </w:tc>
        <w:tc>
          <w:tcPr>
            <w:tcW w:w="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525,000</w:t>
            </w:r>
          </w:p>
        </w:tc>
        <w:tc>
          <w:tcPr>
            <w:tcW w:w="720" w:type="dxa"/>
            <w:vAlign w:val="bottom"/>
            <w:tcBorders>
              <w:bottom w:val="single" w:sz="8" w:color="CEFFE7"/>
            </w:tcBorders>
            <w:shd w:val="clear" w:color="auto" w:fill="CEFFE7"/>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525,000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Senior unsecured notes due 2020</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2"/>
              </w:rPr>
              <w:t>July 15, 2020</w:t>
            </w:r>
          </w:p>
        </w:tc>
        <w:tc>
          <w:tcPr>
            <w:tcW w:w="1620" w:type="dxa"/>
            <w:vAlign w:val="bottom"/>
          </w:tcPr>
          <w:p>
            <w:pPr>
              <w:jc w:val="center"/>
              <w:ind w:left="59"/>
              <w:spacing w:after="0"/>
              <w:rPr>
                <w:sz w:val="20"/>
                <w:szCs w:val="20"/>
                <w:color w:val="auto"/>
              </w:rPr>
            </w:pPr>
            <w:r>
              <w:rPr>
                <w:rFonts w:ascii="Arial" w:cs="Arial" w:eastAsia="Arial" w:hAnsi="Arial"/>
                <w:sz w:val="16"/>
                <w:szCs w:val="16"/>
                <w:color w:val="auto"/>
              </w:rPr>
              <w:t>N/A</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2026</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0"/>
              </w:rPr>
              <w:t>January 15, 2026</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3.95%</w:t>
            </w: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300,000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Senior unsecured notes due 2027</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0"/>
              </w:rPr>
              <w:t>January 15, 2027</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3.15%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400,000</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100"/>
              <w:spacing w:after="0"/>
              <w:rPr>
                <w:sz w:val="20"/>
                <w:szCs w:val="20"/>
                <w:color w:val="auto"/>
              </w:rPr>
            </w:pPr>
            <w:r>
              <w:rPr>
                <w:rFonts w:ascii="Arial" w:cs="Arial" w:eastAsia="Arial" w:hAnsi="Arial"/>
                <w:sz w:val="16"/>
                <w:szCs w:val="16"/>
                <w:color w:val="auto"/>
              </w:rPr>
              <w:t>Senior unsecured notes due 2033</w:t>
            </w:r>
          </w:p>
        </w:tc>
        <w:tc>
          <w:tcPr>
            <w:tcW w:w="194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3"/>
              </w:rPr>
              <w:t>May 1, 2033</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4.35%</w:t>
            </w: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400,000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400,000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Senior unsecured notes, due 2046</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w w:val="89"/>
              </w:rPr>
              <w:t>September 15, 2046</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4.20%</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300,000</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100"/>
              <w:spacing w:after="0"/>
              <w:rPr>
                <w:sz w:val="20"/>
                <w:szCs w:val="20"/>
                <w:color w:val="auto"/>
              </w:rPr>
            </w:pPr>
            <w:r>
              <w:rPr>
                <w:rFonts w:ascii="Arial" w:cs="Arial" w:eastAsia="Arial" w:hAnsi="Arial"/>
                <w:sz w:val="16"/>
                <w:szCs w:val="16"/>
                <w:color w:val="auto"/>
              </w:rPr>
              <w:t>Senior unsecured notes, due 2029</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0"/>
              </w:rPr>
              <w:t>October 15, 2029</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3.05%</w:t>
            </w: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400,000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Senior unsecured notes, due 2049</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0"/>
              </w:rPr>
              <w:t>October 15, 2049</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3.88%</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300,000</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4740" w:type="dxa"/>
            <w:vAlign w:val="bottom"/>
            <w:gridSpan w:val="4"/>
            <w:shd w:val="clear" w:color="auto" w:fill="CEFFE7"/>
          </w:tcPr>
          <w:p>
            <w:pPr>
              <w:ind w:left="100"/>
              <w:spacing w:after="0"/>
              <w:rPr>
                <w:sz w:val="20"/>
                <w:szCs w:val="20"/>
                <w:color w:val="auto"/>
              </w:rPr>
            </w:pPr>
            <w:r>
              <w:rPr>
                <w:rFonts w:ascii="Arial" w:cs="Arial" w:eastAsia="Arial" w:hAnsi="Arial"/>
                <w:sz w:val="16"/>
                <w:szCs w:val="16"/>
                <w:color w:val="auto"/>
              </w:rPr>
              <w:t xml:space="preserve">Corporate term loan due 2021 </w:t>
            </w:r>
            <w:r>
              <w:rPr>
                <w:rFonts w:ascii="Arial" w:cs="Arial" w:eastAsia="Arial" w:hAnsi="Arial"/>
                <w:sz w:val="21"/>
                <w:szCs w:val="21"/>
                <w:color w:val="auto"/>
                <w:vertAlign w:val="superscript"/>
              </w:rPr>
              <w:t>(a)</w:t>
            </w:r>
          </w:p>
        </w:tc>
        <w:tc>
          <w:tcPr>
            <w:tcW w:w="1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88"/>
              </w:rPr>
              <w:t>June 17, 2021</w:t>
            </w:r>
          </w:p>
        </w:tc>
        <w:tc>
          <w:tcPr>
            <w:tcW w:w="1620" w:type="dxa"/>
            <w:vAlign w:val="bottom"/>
            <w:shd w:val="clear" w:color="auto" w:fill="CEFFE7"/>
          </w:tcPr>
          <w:p>
            <w:pPr>
              <w:jc w:val="center"/>
              <w:ind w:left="59"/>
              <w:spacing w:after="0"/>
              <w:rPr>
                <w:sz w:val="20"/>
                <w:szCs w:val="20"/>
                <w:color w:val="auto"/>
              </w:rPr>
            </w:pPr>
            <w:r>
              <w:rPr>
                <w:rFonts w:ascii="Arial" w:cs="Arial" w:eastAsia="Arial" w:hAnsi="Arial"/>
                <w:sz w:val="16"/>
                <w:szCs w:val="16"/>
                <w:color w:val="auto"/>
              </w:rPr>
              <w:t>N/A</w:t>
            </w:r>
          </w:p>
        </w:tc>
        <w:tc>
          <w:tcPr>
            <w:tcW w:w="100" w:type="dxa"/>
            <w:vAlign w:val="bottom"/>
            <w:shd w:val="clear" w:color="auto" w:fill="CEFFE7"/>
          </w:tcPr>
          <w:p>
            <w:pPr>
              <w:spacing w:after="0"/>
              <w:rPr>
                <w:sz w:val="22"/>
                <w:szCs w:val="22"/>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720" w:type="dxa"/>
            <w:vAlign w:val="bottom"/>
            <w:shd w:val="clear" w:color="auto" w:fill="CEFFE7"/>
          </w:tcPr>
          <w:p>
            <w:pPr>
              <w:spacing w:after="0"/>
              <w:rPr>
                <w:sz w:val="22"/>
                <w:szCs w:val="22"/>
                <w:color w:val="auto"/>
              </w:rPr>
            </w:pPr>
          </w:p>
        </w:tc>
        <w:tc>
          <w:tcPr>
            <w:tcW w:w="7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Corporate term loan due 2021</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w w:val="88"/>
              </w:rPr>
              <w:t>June 7, 2021</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2.32%</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7,178</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12,921</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420"/>
              <w:spacing w:after="0"/>
              <w:rPr>
                <w:sz w:val="20"/>
                <w:szCs w:val="20"/>
                <w:color w:val="auto"/>
              </w:rPr>
            </w:pPr>
            <w:r>
              <w:rPr>
                <w:rFonts w:ascii="Arial" w:cs="Arial" w:eastAsia="Arial" w:hAnsi="Arial"/>
                <w:sz w:val="16"/>
                <w:szCs w:val="16"/>
                <w:color w:val="auto"/>
              </w:rPr>
              <w:t>Total Corporate debt</w:t>
            </w:r>
          </w:p>
        </w:tc>
        <w:tc>
          <w:tcPr>
            <w:tcW w:w="194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2,632,178</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2,437,921</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Less unamortized debt discount</w:t>
            </w: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(6,462)</w:t>
            </w:r>
          </w:p>
        </w:tc>
        <w:tc>
          <w:tcPr>
            <w:tcW w:w="7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color w:val="auto"/>
              </w:rPr>
              <w:t>(5,122)</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EFFE7"/>
            </w:tcBorders>
            <w:shd w:val="clear" w:color="auto" w:fill="CEFFE7"/>
          </w:tcPr>
          <w:p>
            <w:pPr>
              <w:spacing w:after="0"/>
              <w:rPr>
                <w:sz w:val="21"/>
                <w:szCs w:val="21"/>
                <w:color w:val="auto"/>
              </w:rPr>
            </w:pPr>
          </w:p>
        </w:tc>
        <w:tc>
          <w:tcPr>
            <w:tcW w:w="4740" w:type="dxa"/>
            <w:vAlign w:val="bottom"/>
            <w:tcBorders>
              <w:bottom w:val="single" w:sz="8" w:color="CEFFE7"/>
            </w:tcBorders>
            <w:gridSpan w:val="4"/>
            <w:shd w:val="clear" w:color="auto" w:fill="CEFFE7"/>
          </w:tcPr>
          <w:p>
            <w:pPr>
              <w:ind w:left="420"/>
              <w:spacing w:after="0"/>
              <w:rPr>
                <w:sz w:val="20"/>
                <w:szCs w:val="20"/>
                <w:color w:val="auto"/>
              </w:rPr>
            </w:pPr>
            <w:r>
              <w:rPr>
                <w:rFonts w:ascii="Arial" w:cs="Arial" w:eastAsia="Arial" w:hAnsi="Arial"/>
                <w:sz w:val="16"/>
                <w:szCs w:val="16"/>
                <w:color w:val="auto"/>
              </w:rPr>
              <w:t>Total Corporate debt, net</w:t>
            </w:r>
          </w:p>
        </w:tc>
        <w:tc>
          <w:tcPr>
            <w:tcW w:w="194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2,625,716</w:t>
            </w:r>
          </w:p>
        </w:tc>
        <w:tc>
          <w:tcPr>
            <w:tcW w:w="7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2,432,799</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3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 w:type="dxa"/>
            <w:vAlign w:val="bottom"/>
            <w:shd w:val="clear" w:color="auto" w:fill="CEFFE7"/>
          </w:tcPr>
          <w:p>
            <w:pPr>
              <w:spacing w:after="0"/>
              <w:rPr>
                <w:sz w:val="17"/>
                <w:szCs w:val="17"/>
                <w:color w:val="auto"/>
              </w:rPr>
            </w:pPr>
          </w:p>
        </w:tc>
        <w:tc>
          <w:tcPr>
            <w:tcW w:w="4740" w:type="dxa"/>
            <w:vAlign w:val="bottom"/>
            <w:gridSpan w:val="4"/>
            <w:shd w:val="clear" w:color="auto" w:fill="CEFFE7"/>
          </w:tcPr>
          <w:p>
            <w:pPr>
              <w:spacing w:after="0"/>
              <w:rPr>
                <w:sz w:val="20"/>
                <w:szCs w:val="20"/>
                <w:color w:val="auto"/>
              </w:rPr>
            </w:pPr>
            <w:r>
              <w:rPr>
                <w:rFonts w:ascii="Arial" w:cs="Arial" w:eastAsia="Arial" w:hAnsi="Arial"/>
                <w:sz w:val="16"/>
                <w:szCs w:val="16"/>
                <w:color w:val="auto"/>
              </w:rPr>
              <w:t>South Dakota Electric</w:t>
            </w:r>
          </w:p>
        </w:tc>
        <w:tc>
          <w:tcPr>
            <w:tcW w:w="1940" w:type="dxa"/>
            <w:vAlign w:val="bottom"/>
            <w:shd w:val="clear" w:color="auto" w:fill="CEFFE7"/>
          </w:tcPr>
          <w:p>
            <w:pPr>
              <w:spacing w:after="0"/>
              <w:rPr>
                <w:sz w:val="17"/>
                <w:szCs w:val="17"/>
                <w:color w:val="auto"/>
              </w:rPr>
            </w:pPr>
          </w:p>
        </w:tc>
        <w:tc>
          <w:tcPr>
            <w:tcW w:w="1620" w:type="dxa"/>
            <w:vAlign w:val="bottom"/>
            <w:shd w:val="clear" w:color="auto" w:fill="CEFFE7"/>
          </w:tcPr>
          <w:p>
            <w:pPr>
              <w:spacing w:after="0"/>
              <w:rPr>
                <w:sz w:val="17"/>
                <w:szCs w:val="17"/>
                <w:color w:val="auto"/>
              </w:rPr>
            </w:pPr>
          </w:p>
        </w:tc>
        <w:tc>
          <w:tcPr>
            <w:tcW w:w="100" w:type="dxa"/>
            <w:vAlign w:val="bottom"/>
            <w:shd w:val="clear" w:color="auto" w:fill="CEFFE7"/>
          </w:tcPr>
          <w:p>
            <w:pPr>
              <w:spacing w:after="0"/>
              <w:rPr>
                <w:sz w:val="17"/>
                <w:szCs w:val="17"/>
                <w:color w:val="auto"/>
              </w:rPr>
            </w:pPr>
          </w:p>
        </w:tc>
        <w:tc>
          <w:tcPr>
            <w:tcW w:w="1360" w:type="dxa"/>
            <w:vAlign w:val="bottom"/>
            <w:shd w:val="clear" w:color="auto" w:fill="CEFFE7"/>
          </w:tcPr>
          <w:p>
            <w:pPr>
              <w:spacing w:after="0"/>
              <w:rPr>
                <w:sz w:val="17"/>
                <w:szCs w:val="17"/>
                <w:color w:val="auto"/>
              </w:rPr>
            </w:pPr>
          </w:p>
        </w:tc>
        <w:tc>
          <w:tcPr>
            <w:tcW w:w="720" w:type="dxa"/>
            <w:vAlign w:val="bottom"/>
            <w:shd w:val="clear" w:color="auto" w:fill="CEFFE7"/>
          </w:tcPr>
          <w:p>
            <w:pPr>
              <w:spacing w:after="0"/>
              <w:rPr>
                <w:sz w:val="17"/>
                <w:szCs w:val="17"/>
                <w:color w:val="auto"/>
              </w:rPr>
            </w:pPr>
          </w:p>
        </w:tc>
        <w:tc>
          <w:tcPr>
            <w:tcW w:w="760" w:type="dxa"/>
            <w:vAlign w:val="bottom"/>
            <w:shd w:val="clear" w:color="auto" w:fill="CEFFE7"/>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Borders>
              <w:top w:val="single" w:sz="8" w:color="CEFFE7"/>
            </w:tcBorders>
            <w:shd w:val="clear" w:color="auto" w:fill="CEFFE7"/>
          </w:tcPr>
          <w:p>
            <w:pPr>
              <w:spacing w:after="0"/>
              <w:rPr>
                <w:sz w:val="4"/>
                <w:szCs w:val="4"/>
                <w:color w:val="auto"/>
              </w:rPr>
            </w:pPr>
          </w:p>
        </w:tc>
        <w:tc>
          <w:tcPr>
            <w:tcW w:w="640" w:type="dxa"/>
            <w:vAlign w:val="bottom"/>
            <w:tcBorders>
              <w:top w:val="single" w:sz="8" w:color="auto"/>
            </w:tcBorders>
            <w:shd w:val="clear" w:color="auto" w:fill="CEFFE7"/>
          </w:tcPr>
          <w:p>
            <w:pPr>
              <w:spacing w:after="0"/>
              <w:rPr>
                <w:sz w:val="4"/>
                <w:szCs w:val="4"/>
                <w:color w:val="auto"/>
              </w:rPr>
            </w:pPr>
          </w:p>
        </w:tc>
        <w:tc>
          <w:tcPr>
            <w:tcW w:w="540" w:type="dxa"/>
            <w:vAlign w:val="bottom"/>
            <w:tcBorders>
              <w:top w:val="single" w:sz="8" w:color="auto"/>
            </w:tcBorders>
            <w:shd w:val="clear" w:color="auto" w:fill="CEFFE7"/>
          </w:tcPr>
          <w:p>
            <w:pPr>
              <w:spacing w:after="0"/>
              <w:rPr>
                <w:sz w:val="4"/>
                <w:szCs w:val="4"/>
                <w:color w:val="auto"/>
              </w:rPr>
            </w:pPr>
          </w:p>
        </w:tc>
        <w:tc>
          <w:tcPr>
            <w:tcW w:w="240" w:type="dxa"/>
            <w:vAlign w:val="bottom"/>
            <w:tcBorders>
              <w:top w:val="single" w:sz="8" w:color="auto"/>
            </w:tcBorders>
            <w:shd w:val="clear" w:color="auto" w:fill="CEFFE7"/>
          </w:tcPr>
          <w:p>
            <w:pPr>
              <w:spacing w:after="0"/>
              <w:rPr>
                <w:sz w:val="4"/>
                <w:szCs w:val="4"/>
                <w:color w:val="auto"/>
              </w:rPr>
            </w:pPr>
          </w:p>
        </w:tc>
        <w:tc>
          <w:tcPr>
            <w:tcW w:w="3320" w:type="dxa"/>
            <w:vAlign w:val="bottom"/>
            <w:tcBorders>
              <w:top w:val="single" w:sz="8" w:color="CEFFE7"/>
            </w:tcBorders>
            <w:shd w:val="clear" w:color="auto" w:fill="CEFFE7"/>
          </w:tcPr>
          <w:p>
            <w:pPr>
              <w:spacing w:after="0"/>
              <w:rPr>
                <w:sz w:val="4"/>
                <w:szCs w:val="4"/>
                <w:color w:val="auto"/>
              </w:rPr>
            </w:pPr>
          </w:p>
        </w:tc>
        <w:tc>
          <w:tcPr>
            <w:tcW w:w="1940" w:type="dxa"/>
            <w:vAlign w:val="bottom"/>
            <w:tcBorders>
              <w:top w:val="single" w:sz="8" w:color="CEFFE7"/>
            </w:tcBorders>
            <w:shd w:val="clear" w:color="auto" w:fill="CEFFE7"/>
          </w:tcPr>
          <w:p>
            <w:pPr>
              <w:spacing w:after="0"/>
              <w:rPr>
                <w:sz w:val="4"/>
                <w:szCs w:val="4"/>
                <w:color w:val="auto"/>
              </w:rPr>
            </w:pPr>
          </w:p>
        </w:tc>
        <w:tc>
          <w:tcPr>
            <w:tcW w:w="1620" w:type="dxa"/>
            <w:vAlign w:val="bottom"/>
            <w:tcBorders>
              <w:top w:val="single" w:sz="8" w:color="CEFFE7"/>
            </w:tcBorders>
            <w:shd w:val="clear" w:color="auto" w:fill="CEFFE7"/>
          </w:tcPr>
          <w:p>
            <w:pPr>
              <w:spacing w:after="0"/>
              <w:rPr>
                <w:sz w:val="4"/>
                <w:szCs w:val="4"/>
                <w:color w:val="auto"/>
              </w:rPr>
            </w:pPr>
          </w:p>
        </w:tc>
        <w:tc>
          <w:tcPr>
            <w:tcW w:w="100" w:type="dxa"/>
            <w:vAlign w:val="bottom"/>
            <w:tcBorders>
              <w:top w:val="single" w:sz="8" w:color="CEFFE7"/>
            </w:tcBorders>
            <w:shd w:val="clear" w:color="auto" w:fill="CEFFE7"/>
          </w:tcPr>
          <w:p>
            <w:pPr>
              <w:spacing w:after="0"/>
              <w:rPr>
                <w:sz w:val="4"/>
                <w:szCs w:val="4"/>
                <w:color w:val="auto"/>
              </w:rPr>
            </w:pPr>
          </w:p>
        </w:tc>
        <w:tc>
          <w:tcPr>
            <w:tcW w:w="1360" w:type="dxa"/>
            <w:vAlign w:val="bottom"/>
            <w:tcBorders>
              <w:top w:val="single" w:sz="8" w:color="CEFFE7"/>
            </w:tcBorders>
            <w:shd w:val="clear" w:color="auto" w:fill="CEFFE7"/>
          </w:tcPr>
          <w:p>
            <w:pPr>
              <w:spacing w:after="0"/>
              <w:rPr>
                <w:sz w:val="4"/>
                <w:szCs w:val="4"/>
                <w:color w:val="auto"/>
              </w:rPr>
            </w:pPr>
          </w:p>
        </w:tc>
        <w:tc>
          <w:tcPr>
            <w:tcW w:w="720" w:type="dxa"/>
            <w:vAlign w:val="bottom"/>
            <w:tcBorders>
              <w:top w:val="single" w:sz="8" w:color="CEFFE7"/>
            </w:tcBorders>
            <w:shd w:val="clear" w:color="auto" w:fill="CEFFE7"/>
          </w:tcPr>
          <w:p>
            <w:pPr>
              <w:spacing w:after="0"/>
              <w:rPr>
                <w:sz w:val="4"/>
                <w:szCs w:val="4"/>
                <w:color w:val="auto"/>
              </w:rPr>
            </w:pPr>
          </w:p>
        </w:tc>
        <w:tc>
          <w:tcPr>
            <w:tcW w:w="760" w:type="dxa"/>
            <w:vAlign w:val="bottom"/>
            <w:tcBorders>
              <w:top w:val="single" w:sz="8" w:color="CEFFE7"/>
            </w:tcBorders>
            <w:shd w:val="clear" w:color="auto" w:fill="CEFFE7"/>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4740" w:type="dxa"/>
            <w:vAlign w:val="bottom"/>
            <w:gridSpan w:val="4"/>
          </w:tcPr>
          <w:p>
            <w:pPr>
              <w:ind w:left="200"/>
              <w:spacing w:after="0"/>
              <w:rPr>
                <w:sz w:val="20"/>
                <w:szCs w:val="20"/>
                <w:color w:val="auto"/>
              </w:rPr>
            </w:pPr>
            <w:r>
              <w:rPr>
                <w:rFonts w:ascii="Arial" w:cs="Arial" w:eastAsia="Arial" w:hAnsi="Arial"/>
                <w:sz w:val="16"/>
                <w:szCs w:val="16"/>
                <w:color w:val="auto"/>
              </w:rPr>
              <w:t xml:space="preserve">Series 94A Debt, variable rate </w:t>
            </w:r>
            <w:r>
              <w:rPr>
                <w:rFonts w:ascii="Arial" w:cs="Arial" w:eastAsia="Arial" w:hAnsi="Arial"/>
                <w:sz w:val="21"/>
                <w:szCs w:val="21"/>
                <w:color w:val="auto"/>
                <w:vertAlign w:val="superscript"/>
              </w:rPr>
              <w:t>(b)</w:t>
            </w:r>
          </w:p>
        </w:tc>
        <w:tc>
          <w:tcPr>
            <w:tcW w:w="1940" w:type="dxa"/>
            <w:vAlign w:val="bottom"/>
          </w:tcPr>
          <w:p>
            <w:pPr>
              <w:jc w:val="center"/>
              <w:ind w:left="39"/>
              <w:spacing w:after="0"/>
              <w:rPr>
                <w:sz w:val="20"/>
                <w:szCs w:val="20"/>
                <w:color w:val="auto"/>
              </w:rPr>
            </w:pPr>
            <w:r>
              <w:rPr>
                <w:rFonts w:ascii="Arial" w:cs="Arial" w:eastAsia="Arial" w:hAnsi="Arial"/>
                <w:sz w:val="16"/>
                <w:szCs w:val="16"/>
                <w:color w:val="auto"/>
                <w:w w:val="88"/>
              </w:rPr>
              <w:t>June 1, 2024</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1.84%</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2,855</w:t>
            </w:r>
          </w:p>
        </w:tc>
        <w:tc>
          <w:tcPr>
            <w:tcW w:w="72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2,855</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200"/>
              <w:spacing w:after="0"/>
              <w:rPr>
                <w:sz w:val="20"/>
                <w:szCs w:val="20"/>
                <w:color w:val="auto"/>
              </w:rPr>
            </w:pPr>
            <w:r>
              <w:rPr>
                <w:rFonts w:ascii="Arial" w:cs="Arial" w:eastAsia="Arial" w:hAnsi="Arial"/>
                <w:sz w:val="16"/>
                <w:szCs w:val="16"/>
                <w:color w:val="auto"/>
              </w:rPr>
              <w:t>First Mortgage Bonds due 2032</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2"/>
              </w:rPr>
              <w:t>August 15, 2032</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7.23%</w:t>
            </w: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75,000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200"/>
              <w:spacing w:after="0"/>
              <w:rPr>
                <w:sz w:val="20"/>
                <w:szCs w:val="20"/>
                <w:color w:val="auto"/>
              </w:rPr>
            </w:pPr>
            <w:r>
              <w:rPr>
                <w:rFonts w:ascii="Arial" w:cs="Arial" w:eastAsia="Arial" w:hAnsi="Arial"/>
                <w:sz w:val="16"/>
                <w:szCs w:val="16"/>
                <w:color w:val="auto"/>
              </w:rPr>
              <w:t>First Mortgage Bonds due 2039</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1"/>
              </w:rPr>
              <w:t>November 1, 2039</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6.13%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180,000</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180,000</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180" w:type="dxa"/>
            <w:vAlign w:val="bottom"/>
            <w:tcBorders>
              <w:bottom w:val="single" w:sz="8" w:color="CEFFE7"/>
            </w:tcBorders>
            <w:shd w:val="clear" w:color="auto" w:fill="CEFFE7"/>
          </w:tcPr>
          <w:p>
            <w:pPr>
              <w:spacing w:after="0"/>
              <w:rPr>
                <w:sz w:val="22"/>
                <w:szCs w:val="22"/>
                <w:color w:val="auto"/>
              </w:rPr>
            </w:pPr>
          </w:p>
        </w:tc>
        <w:tc>
          <w:tcPr>
            <w:tcW w:w="4740" w:type="dxa"/>
            <w:vAlign w:val="bottom"/>
            <w:tcBorders>
              <w:bottom w:val="single" w:sz="8" w:color="CEFFE7"/>
            </w:tcBorders>
            <w:gridSpan w:val="4"/>
            <w:shd w:val="clear" w:color="auto" w:fill="CEFFE7"/>
          </w:tcPr>
          <w:p>
            <w:pPr>
              <w:ind w:left="200"/>
              <w:spacing w:after="0"/>
              <w:rPr>
                <w:sz w:val="20"/>
                <w:szCs w:val="20"/>
                <w:color w:val="auto"/>
              </w:rPr>
            </w:pPr>
            <w:r>
              <w:rPr>
                <w:rFonts w:ascii="Arial" w:cs="Arial" w:eastAsia="Arial" w:hAnsi="Arial"/>
                <w:sz w:val="16"/>
                <w:szCs w:val="16"/>
                <w:color w:val="auto"/>
              </w:rPr>
              <w:t>First Mortgage Bonds due 2044</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0"/>
              </w:rPr>
              <w:t>October 20, 2044</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4.43%</w:t>
            </w:r>
          </w:p>
        </w:tc>
        <w:tc>
          <w:tcPr>
            <w:tcW w:w="100" w:type="dxa"/>
            <w:vAlign w:val="bottom"/>
            <w:tcBorders>
              <w:bottom w:val="single" w:sz="8" w:color="CEFFE7"/>
            </w:tcBorders>
            <w:shd w:val="clear" w:color="auto" w:fill="CEFFE7"/>
          </w:tcPr>
          <w:p>
            <w:pPr>
              <w:spacing w:after="0"/>
              <w:rPr>
                <w:sz w:val="22"/>
                <w:szCs w:val="22"/>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85,000</w:t>
            </w:r>
          </w:p>
        </w:tc>
        <w:tc>
          <w:tcPr>
            <w:tcW w:w="720" w:type="dxa"/>
            <w:vAlign w:val="bottom"/>
            <w:tcBorders>
              <w:bottom w:val="single" w:sz="8" w:color="CEFFE7"/>
            </w:tcBorders>
            <w:shd w:val="clear" w:color="auto" w:fill="CEFFE7"/>
          </w:tcPr>
          <w:p>
            <w:pPr>
              <w:spacing w:after="0"/>
              <w:rPr>
                <w:sz w:val="22"/>
                <w:szCs w:val="22"/>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85,000</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740" w:type="dxa"/>
            <w:vAlign w:val="bottom"/>
            <w:gridSpan w:val="4"/>
          </w:tcPr>
          <w:p>
            <w:pPr>
              <w:ind w:left="420"/>
              <w:spacing w:after="0"/>
              <w:rPr>
                <w:sz w:val="20"/>
                <w:szCs w:val="20"/>
                <w:color w:val="auto"/>
              </w:rPr>
            </w:pPr>
            <w:r>
              <w:rPr>
                <w:rFonts w:ascii="Arial" w:cs="Arial" w:eastAsia="Arial" w:hAnsi="Arial"/>
                <w:sz w:val="16"/>
                <w:szCs w:val="16"/>
                <w:color w:val="auto"/>
              </w:rPr>
              <w:t>Total South Dakota Electric debt</w:t>
            </w:r>
          </w:p>
        </w:tc>
        <w:tc>
          <w:tcPr>
            <w:tcW w:w="1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342,855</w:t>
            </w:r>
          </w:p>
        </w:tc>
        <w:tc>
          <w:tcPr>
            <w:tcW w:w="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342,855</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tcBorders>
              <w:bottom w:val="single" w:sz="8" w:color="CEFFE7"/>
            </w:tcBorders>
            <w:shd w:val="clear" w:color="auto" w:fill="CEFFE7"/>
          </w:tcPr>
          <w:p>
            <w:pPr>
              <w:spacing w:after="0"/>
              <w:rPr>
                <w:sz w:val="23"/>
                <w:szCs w:val="23"/>
                <w:color w:val="auto"/>
              </w:rPr>
            </w:pPr>
          </w:p>
        </w:tc>
        <w:tc>
          <w:tcPr>
            <w:tcW w:w="4740" w:type="dxa"/>
            <w:vAlign w:val="bottom"/>
            <w:tcBorders>
              <w:bottom w:val="single" w:sz="8" w:color="CEFFE7"/>
            </w:tcBorders>
            <w:gridSpan w:val="4"/>
            <w:shd w:val="clear" w:color="auto" w:fill="CEFFE7"/>
          </w:tcPr>
          <w:p>
            <w:pPr>
              <w:ind w:left="100"/>
              <w:spacing w:after="0"/>
              <w:rPr>
                <w:sz w:val="20"/>
                <w:szCs w:val="20"/>
                <w:color w:val="auto"/>
              </w:rPr>
            </w:pPr>
            <w:r>
              <w:rPr>
                <w:rFonts w:ascii="Arial" w:cs="Arial" w:eastAsia="Arial" w:hAnsi="Arial"/>
                <w:sz w:val="16"/>
                <w:szCs w:val="16"/>
                <w:color w:val="auto"/>
              </w:rPr>
              <w:t>Less unamortized debt discount</w:t>
            </w:r>
          </w:p>
        </w:tc>
        <w:tc>
          <w:tcPr>
            <w:tcW w:w="1940" w:type="dxa"/>
            <w:vAlign w:val="bottom"/>
            <w:tcBorders>
              <w:bottom w:val="single" w:sz="8" w:color="CEFFE7"/>
            </w:tcBorders>
            <w:shd w:val="clear" w:color="auto" w:fill="CEFFE7"/>
          </w:tcPr>
          <w:p>
            <w:pPr>
              <w:spacing w:after="0"/>
              <w:rPr>
                <w:sz w:val="23"/>
                <w:szCs w:val="23"/>
                <w:color w:val="auto"/>
              </w:rPr>
            </w:pPr>
          </w:p>
        </w:tc>
        <w:tc>
          <w:tcPr>
            <w:tcW w:w="1620" w:type="dxa"/>
            <w:vAlign w:val="bottom"/>
            <w:tcBorders>
              <w:bottom w:val="single" w:sz="8" w:color="CEFFE7"/>
            </w:tcBorders>
            <w:shd w:val="clear" w:color="auto" w:fill="CEFFE7"/>
          </w:tcPr>
          <w:p>
            <w:pPr>
              <w:spacing w:after="0"/>
              <w:rPr>
                <w:sz w:val="23"/>
                <w:szCs w:val="23"/>
                <w:color w:val="auto"/>
              </w:rPr>
            </w:pPr>
          </w:p>
        </w:tc>
        <w:tc>
          <w:tcPr>
            <w:tcW w:w="100" w:type="dxa"/>
            <w:vAlign w:val="bottom"/>
            <w:tcBorders>
              <w:bottom w:val="single" w:sz="8" w:color="CEFFE7"/>
            </w:tcBorders>
            <w:shd w:val="clear" w:color="auto" w:fill="CEFFE7"/>
          </w:tcPr>
          <w:p>
            <w:pPr>
              <w:spacing w:after="0"/>
              <w:rPr>
                <w:sz w:val="23"/>
                <w:szCs w:val="23"/>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(82)</w:t>
            </w:r>
          </w:p>
        </w:tc>
        <w:tc>
          <w:tcPr>
            <w:tcW w:w="72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(86)</w:t>
            </w:r>
          </w:p>
        </w:tc>
        <w:tc>
          <w:tcPr>
            <w:tcW w:w="0" w:type="dxa"/>
            <w:vAlign w:val="bottom"/>
          </w:tcPr>
          <w:p>
            <w:pPr>
              <w:spacing w:after="0"/>
              <w:rPr>
                <w:sz w:val="1"/>
                <w:szCs w:val="1"/>
                <w:color w:val="auto"/>
              </w:rPr>
            </w:pPr>
          </w:p>
        </w:tc>
      </w:tr>
      <w:tr>
        <w:trPr>
          <w:trHeight w:val="217"/>
        </w:trPr>
        <w:tc>
          <w:tcPr>
            <w:tcW w:w="180" w:type="dxa"/>
            <w:vAlign w:val="bottom"/>
          </w:tcPr>
          <w:p>
            <w:pPr>
              <w:spacing w:after="0"/>
              <w:rPr>
                <w:sz w:val="18"/>
                <w:szCs w:val="18"/>
                <w:color w:val="auto"/>
              </w:rPr>
            </w:pPr>
          </w:p>
        </w:tc>
        <w:tc>
          <w:tcPr>
            <w:tcW w:w="4740" w:type="dxa"/>
            <w:vAlign w:val="bottom"/>
            <w:gridSpan w:val="4"/>
          </w:tcPr>
          <w:p>
            <w:pPr>
              <w:ind w:left="420"/>
              <w:spacing w:after="0"/>
              <w:rPr>
                <w:sz w:val="20"/>
                <w:szCs w:val="20"/>
                <w:color w:val="auto"/>
              </w:rPr>
            </w:pPr>
            <w:r>
              <w:rPr>
                <w:rFonts w:ascii="Arial" w:cs="Arial" w:eastAsia="Arial" w:hAnsi="Arial"/>
                <w:sz w:val="16"/>
                <w:szCs w:val="16"/>
                <w:color w:val="auto"/>
              </w:rPr>
              <w:t>Total South Dakota Electric debt, net</w:t>
            </w:r>
          </w:p>
        </w:tc>
        <w:tc>
          <w:tcPr>
            <w:tcW w:w="19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342,773</w:t>
            </w:r>
          </w:p>
        </w:tc>
        <w:tc>
          <w:tcPr>
            <w:tcW w:w="72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342,769</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80" w:type="dxa"/>
            <w:vAlign w:val="bottom"/>
            <w:shd w:val="clear" w:color="auto" w:fill="CEFFE7"/>
          </w:tcPr>
          <w:p>
            <w:pPr>
              <w:spacing w:after="0"/>
              <w:rPr>
                <w:sz w:val="20"/>
                <w:szCs w:val="20"/>
                <w:color w:val="auto"/>
              </w:rPr>
            </w:pPr>
          </w:p>
        </w:tc>
        <w:tc>
          <w:tcPr>
            <w:tcW w:w="640" w:type="dxa"/>
            <w:vAlign w:val="bottom"/>
            <w:shd w:val="clear" w:color="auto" w:fill="CEFFE7"/>
          </w:tcPr>
          <w:p>
            <w:pPr>
              <w:spacing w:after="0"/>
              <w:rPr>
                <w:sz w:val="20"/>
                <w:szCs w:val="20"/>
                <w:color w:val="auto"/>
              </w:rPr>
            </w:pPr>
          </w:p>
        </w:tc>
        <w:tc>
          <w:tcPr>
            <w:tcW w:w="540" w:type="dxa"/>
            <w:vAlign w:val="bottom"/>
            <w:shd w:val="clear" w:color="auto" w:fill="CEFFE7"/>
          </w:tcPr>
          <w:p>
            <w:pPr>
              <w:spacing w:after="0"/>
              <w:rPr>
                <w:sz w:val="20"/>
                <w:szCs w:val="20"/>
                <w:color w:val="auto"/>
              </w:rPr>
            </w:pPr>
          </w:p>
        </w:tc>
        <w:tc>
          <w:tcPr>
            <w:tcW w:w="240" w:type="dxa"/>
            <w:vAlign w:val="bottom"/>
            <w:shd w:val="clear" w:color="auto" w:fill="CEFFE7"/>
          </w:tcPr>
          <w:p>
            <w:pPr>
              <w:spacing w:after="0"/>
              <w:rPr>
                <w:sz w:val="20"/>
                <w:szCs w:val="20"/>
                <w:color w:val="auto"/>
              </w:rPr>
            </w:pPr>
          </w:p>
        </w:tc>
        <w:tc>
          <w:tcPr>
            <w:tcW w:w="3320" w:type="dxa"/>
            <w:vAlign w:val="bottom"/>
            <w:shd w:val="clear" w:color="auto" w:fill="CEFFE7"/>
          </w:tcPr>
          <w:p>
            <w:pPr>
              <w:spacing w:after="0"/>
              <w:rPr>
                <w:sz w:val="20"/>
                <w:szCs w:val="20"/>
                <w:color w:val="auto"/>
              </w:rPr>
            </w:pPr>
          </w:p>
        </w:tc>
        <w:tc>
          <w:tcPr>
            <w:tcW w:w="1940" w:type="dxa"/>
            <w:vAlign w:val="bottom"/>
            <w:shd w:val="clear" w:color="auto" w:fill="CEFFE7"/>
          </w:tcPr>
          <w:p>
            <w:pPr>
              <w:spacing w:after="0"/>
              <w:rPr>
                <w:sz w:val="20"/>
                <w:szCs w:val="20"/>
                <w:color w:val="auto"/>
              </w:rPr>
            </w:pPr>
          </w:p>
        </w:tc>
        <w:tc>
          <w:tcPr>
            <w:tcW w:w="1620" w:type="dxa"/>
            <w:vAlign w:val="bottom"/>
            <w:shd w:val="clear" w:color="auto" w:fill="CEFFE7"/>
          </w:tcPr>
          <w:p>
            <w:pPr>
              <w:spacing w:after="0"/>
              <w:rPr>
                <w:sz w:val="20"/>
                <w:szCs w:val="20"/>
                <w:color w:val="auto"/>
              </w:rPr>
            </w:pPr>
          </w:p>
        </w:tc>
        <w:tc>
          <w:tcPr>
            <w:tcW w:w="100" w:type="dxa"/>
            <w:vAlign w:val="bottom"/>
            <w:shd w:val="clear" w:color="auto" w:fill="CEFFE7"/>
          </w:tcPr>
          <w:p>
            <w:pPr>
              <w:spacing w:after="0"/>
              <w:rPr>
                <w:sz w:val="20"/>
                <w:szCs w:val="20"/>
                <w:color w:val="auto"/>
              </w:rPr>
            </w:pPr>
          </w:p>
        </w:tc>
        <w:tc>
          <w:tcPr>
            <w:tcW w:w="1360" w:type="dxa"/>
            <w:vAlign w:val="bottom"/>
            <w:shd w:val="clear" w:color="auto" w:fill="CEFFE7"/>
          </w:tcPr>
          <w:p>
            <w:pPr>
              <w:spacing w:after="0"/>
              <w:rPr>
                <w:sz w:val="20"/>
                <w:szCs w:val="20"/>
                <w:color w:val="auto"/>
              </w:rPr>
            </w:pPr>
          </w:p>
        </w:tc>
        <w:tc>
          <w:tcPr>
            <w:tcW w:w="720" w:type="dxa"/>
            <w:vAlign w:val="bottom"/>
            <w:shd w:val="clear" w:color="auto" w:fill="CEFFE7"/>
          </w:tcPr>
          <w:p>
            <w:pPr>
              <w:spacing w:after="0"/>
              <w:rPr>
                <w:sz w:val="20"/>
                <w:szCs w:val="20"/>
                <w:color w:val="auto"/>
              </w:rPr>
            </w:pPr>
          </w:p>
        </w:tc>
        <w:tc>
          <w:tcPr>
            <w:tcW w:w="760" w:type="dxa"/>
            <w:vAlign w:val="bottom"/>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180" w:type="dxa"/>
            <w:vAlign w:val="bottom"/>
          </w:tcPr>
          <w:p>
            <w:pPr>
              <w:spacing w:after="0"/>
              <w:rPr>
                <w:sz w:val="17"/>
                <w:szCs w:val="17"/>
                <w:color w:val="auto"/>
              </w:rPr>
            </w:pPr>
          </w:p>
        </w:tc>
        <w:tc>
          <w:tcPr>
            <w:tcW w:w="4740" w:type="dxa"/>
            <w:vAlign w:val="bottom"/>
            <w:gridSpan w:val="4"/>
          </w:tcPr>
          <w:p>
            <w:pPr>
              <w:spacing w:after="0"/>
              <w:rPr>
                <w:sz w:val="20"/>
                <w:szCs w:val="20"/>
                <w:color w:val="auto"/>
              </w:rPr>
            </w:pPr>
            <w:r>
              <w:rPr>
                <w:rFonts w:ascii="Arial" w:cs="Arial" w:eastAsia="Arial" w:hAnsi="Arial"/>
                <w:sz w:val="16"/>
                <w:szCs w:val="16"/>
                <w:color w:val="auto"/>
              </w:rPr>
              <w:t>Wyoming Electric</w:t>
            </w:r>
          </w:p>
        </w:tc>
        <w:tc>
          <w:tcPr>
            <w:tcW w:w="1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180" w:type="dxa"/>
            <w:vAlign w:val="bottom"/>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540" w:type="dxa"/>
            <w:vAlign w:val="bottom"/>
            <w:tcBorders>
              <w:top w:val="single" w:sz="8" w:color="auto"/>
            </w:tcBorders>
          </w:tcPr>
          <w:p>
            <w:pPr>
              <w:spacing w:after="0"/>
              <w:rPr>
                <w:sz w:val="4"/>
                <w:szCs w:val="4"/>
                <w:color w:val="auto"/>
              </w:rPr>
            </w:pPr>
          </w:p>
        </w:tc>
        <w:tc>
          <w:tcPr>
            <w:tcW w:w="240" w:type="dxa"/>
            <w:vAlign w:val="bottom"/>
          </w:tcPr>
          <w:p>
            <w:pPr>
              <w:spacing w:after="0"/>
              <w:rPr>
                <w:sz w:val="4"/>
                <w:szCs w:val="4"/>
                <w:color w:val="auto"/>
              </w:rPr>
            </w:pPr>
          </w:p>
        </w:tc>
        <w:tc>
          <w:tcPr>
            <w:tcW w:w="3320" w:type="dxa"/>
            <w:vAlign w:val="bottom"/>
          </w:tcPr>
          <w:p>
            <w:pPr>
              <w:spacing w:after="0"/>
              <w:rPr>
                <w:sz w:val="4"/>
                <w:szCs w:val="4"/>
                <w:color w:val="auto"/>
              </w:rPr>
            </w:pPr>
          </w:p>
        </w:tc>
        <w:tc>
          <w:tcPr>
            <w:tcW w:w="1940" w:type="dxa"/>
            <w:vAlign w:val="bottom"/>
          </w:tcPr>
          <w:p>
            <w:pPr>
              <w:spacing w:after="0"/>
              <w:rPr>
                <w:sz w:val="4"/>
                <w:szCs w:val="4"/>
                <w:color w:val="auto"/>
              </w:rPr>
            </w:pPr>
          </w:p>
        </w:tc>
        <w:tc>
          <w:tcPr>
            <w:tcW w:w="16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36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180" w:type="dxa"/>
            <w:vAlign w:val="bottom"/>
            <w:shd w:val="clear" w:color="auto" w:fill="CEFFE7"/>
          </w:tcPr>
          <w:p>
            <w:pPr>
              <w:spacing w:after="0"/>
              <w:rPr>
                <w:sz w:val="22"/>
                <w:szCs w:val="22"/>
                <w:color w:val="auto"/>
              </w:rPr>
            </w:pPr>
          </w:p>
        </w:tc>
        <w:tc>
          <w:tcPr>
            <w:tcW w:w="4740" w:type="dxa"/>
            <w:vAlign w:val="bottom"/>
            <w:gridSpan w:val="4"/>
            <w:shd w:val="clear" w:color="auto" w:fill="CEFFE7"/>
          </w:tcPr>
          <w:p>
            <w:pPr>
              <w:ind w:left="200"/>
              <w:spacing w:after="0"/>
              <w:rPr>
                <w:sz w:val="20"/>
                <w:szCs w:val="20"/>
                <w:color w:val="auto"/>
              </w:rPr>
            </w:pPr>
            <w:r>
              <w:rPr>
                <w:rFonts w:ascii="Arial" w:cs="Arial" w:eastAsia="Arial" w:hAnsi="Arial"/>
                <w:sz w:val="16"/>
                <w:szCs w:val="16"/>
                <w:color w:val="auto"/>
              </w:rPr>
              <w:t>Industrial development revenue bonds due 2021</w:t>
            </w:r>
            <w:r>
              <w:rPr>
                <w:rFonts w:ascii="Arial" w:cs="Arial" w:eastAsia="Arial" w:hAnsi="Arial"/>
                <w:sz w:val="21"/>
                <w:szCs w:val="21"/>
                <w:color w:val="auto"/>
                <w:vertAlign w:val="superscript"/>
              </w:rPr>
              <w:t>(a)</w:t>
            </w:r>
          </w:p>
        </w:tc>
        <w:tc>
          <w:tcPr>
            <w:tcW w:w="194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89"/>
              </w:rPr>
              <w:t>September 1, 2021</w:t>
            </w:r>
          </w:p>
        </w:tc>
        <w:tc>
          <w:tcPr>
            <w:tcW w:w="1620" w:type="dxa"/>
            <w:vAlign w:val="bottom"/>
            <w:shd w:val="clear" w:color="auto" w:fill="CEFFE7"/>
          </w:tcPr>
          <w:p>
            <w:pPr>
              <w:jc w:val="center"/>
              <w:ind w:left="39"/>
              <w:spacing w:after="0"/>
              <w:rPr>
                <w:sz w:val="20"/>
                <w:szCs w:val="20"/>
                <w:color w:val="auto"/>
              </w:rPr>
            </w:pPr>
            <w:r>
              <w:rPr>
                <w:rFonts w:ascii="Arial" w:cs="Arial" w:eastAsia="Arial" w:hAnsi="Arial"/>
                <w:sz w:val="16"/>
                <w:szCs w:val="16"/>
                <w:color w:val="auto"/>
                <w:w w:val="92"/>
              </w:rPr>
              <w:t>1.68%</w:t>
            </w:r>
          </w:p>
        </w:tc>
        <w:tc>
          <w:tcPr>
            <w:tcW w:w="100" w:type="dxa"/>
            <w:vAlign w:val="bottom"/>
            <w:shd w:val="clear" w:color="auto" w:fill="CEFFE7"/>
          </w:tcPr>
          <w:p>
            <w:pPr>
              <w:spacing w:after="0"/>
              <w:rPr>
                <w:sz w:val="22"/>
                <w:szCs w:val="22"/>
                <w:color w:val="auto"/>
              </w:rPr>
            </w:pPr>
          </w:p>
        </w:tc>
        <w:tc>
          <w:tcPr>
            <w:tcW w:w="1360" w:type="dxa"/>
            <w:vAlign w:val="bottom"/>
            <w:shd w:val="clear" w:color="auto" w:fill="CEFFE7"/>
          </w:tcPr>
          <w:p>
            <w:pPr>
              <w:jc w:val="right"/>
              <w:spacing w:after="0"/>
              <w:rPr>
                <w:sz w:val="20"/>
                <w:szCs w:val="20"/>
                <w:color w:val="auto"/>
              </w:rPr>
            </w:pPr>
            <w:r>
              <w:rPr>
                <w:rFonts w:ascii="Arial" w:cs="Arial" w:eastAsia="Arial" w:hAnsi="Arial"/>
                <w:sz w:val="16"/>
                <w:szCs w:val="16"/>
                <w:color w:val="auto"/>
              </w:rPr>
              <w:t>7,000</w:t>
            </w:r>
          </w:p>
        </w:tc>
        <w:tc>
          <w:tcPr>
            <w:tcW w:w="720" w:type="dxa"/>
            <w:vAlign w:val="bottom"/>
            <w:shd w:val="clear" w:color="auto" w:fill="CEFFE7"/>
          </w:tcPr>
          <w:p>
            <w:pPr>
              <w:spacing w:after="0"/>
              <w:rPr>
                <w:sz w:val="22"/>
                <w:szCs w:val="22"/>
                <w:color w:val="auto"/>
              </w:rPr>
            </w:pPr>
          </w:p>
        </w:tc>
        <w:tc>
          <w:tcPr>
            <w:tcW w:w="760" w:type="dxa"/>
            <w:vAlign w:val="bottom"/>
            <w:shd w:val="clear" w:color="auto" w:fill="CEFFE7"/>
          </w:tcPr>
          <w:p>
            <w:pPr>
              <w:jc w:val="right"/>
              <w:ind w:right="19"/>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57"/>
        </w:trPr>
        <w:tc>
          <w:tcPr>
            <w:tcW w:w="180" w:type="dxa"/>
            <w:vAlign w:val="bottom"/>
          </w:tcPr>
          <w:p>
            <w:pPr>
              <w:spacing w:after="0"/>
              <w:rPr>
                <w:sz w:val="22"/>
                <w:szCs w:val="22"/>
                <w:color w:val="auto"/>
              </w:rPr>
            </w:pPr>
          </w:p>
        </w:tc>
        <w:tc>
          <w:tcPr>
            <w:tcW w:w="4740" w:type="dxa"/>
            <w:vAlign w:val="bottom"/>
            <w:gridSpan w:val="4"/>
          </w:tcPr>
          <w:p>
            <w:pPr>
              <w:ind w:left="200"/>
              <w:spacing w:after="0"/>
              <w:rPr>
                <w:sz w:val="20"/>
                <w:szCs w:val="20"/>
                <w:color w:val="auto"/>
              </w:rPr>
            </w:pPr>
            <w:r>
              <w:rPr>
                <w:rFonts w:ascii="Arial" w:cs="Arial" w:eastAsia="Arial" w:hAnsi="Arial"/>
                <w:sz w:val="16"/>
                <w:szCs w:val="16"/>
                <w:color w:val="auto"/>
              </w:rPr>
              <w:t>Industrial development revenue bonds due 2027</w:t>
            </w:r>
            <w:r>
              <w:rPr>
                <w:rFonts w:ascii="Arial" w:cs="Arial" w:eastAsia="Arial" w:hAnsi="Arial"/>
                <w:sz w:val="21"/>
                <w:szCs w:val="21"/>
                <w:color w:val="auto"/>
                <w:vertAlign w:val="superscript"/>
              </w:rPr>
              <w:t>(a)</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3"/>
              </w:rPr>
              <w:t>March 1, 2027</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1.68%</w:t>
            </w:r>
          </w:p>
        </w:tc>
        <w:tc>
          <w:tcPr>
            <w:tcW w:w="100" w:type="dxa"/>
            <w:vAlign w:val="bottom"/>
          </w:tcPr>
          <w:p>
            <w:pPr>
              <w:spacing w:after="0"/>
              <w:rPr>
                <w:sz w:val="22"/>
                <w:szCs w:val="22"/>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10,000</w:t>
            </w:r>
          </w:p>
        </w:tc>
        <w:tc>
          <w:tcPr>
            <w:tcW w:w="720" w:type="dxa"/>
            <w:vAlign w:val="bottom"/>
          </w:tcPr>
          <w:p>
            <w:pPr>
              <w:spacing w:after="0"/>
              <w:rPr>
                <w:sz w:val="22"/>
                <w:szCs w:val="22"/>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10,000</w:t>
            </w:r>
          </w:p>
        </w:tc>
        <w:tc>
          <w:tcPr>
            <w:tcW w:w="0" w:type="dxa"/>
            <w:vAlign w:val="bottom"/>
          </w:tcPr>
          <w:p>
            <w:pPr>
              <w:spacing w:after="0"/>
              <w:rPr>
                <w:sz w:val="1"/>
                <w:szCs w:val="1"/>
                <w:color w:val="auto"/>
              </w:rPr>
            </w:pPr>
          </w:p>
        </w:tc>
      </w:tr>
      <w:tr>
        <w:trPr>
          <w:trHeight w:val="237"/>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200"/>
              <w:spacing w:after="0"/>
              <w:rPr>
                <w:sz w:val="20"/>
                <w:szCs w:val="20"/>
                <w:color w:val="auto"/>
              </w:rPr>
            </w:pPr>
            <w:r>
              <w:rPr>
                <w:rFonts w:ascii="Arial" w:cs="Arial" w:eastAsia="Arial" w:hAnsi="Arial"/>
                <w:sz w:val="16"/>
                <w:szCs w:val="16"/>
                <w:color w:val="auto"/>
              </w:rPr>
              <w:t>First Mortgage Bonds due 2037</w:t>
            </w:r>
          </w:p>
        </w:tc>
        <w:tc>
          <w:tcPr>
            <w:tcW w:w="1940" w:type="dxa"/>
            <w:vAlign w:val="bottom"/>
            <w:tcBorders>
              <w:bottom w:val="single" w:sz="8" w:color="CEFFE7"/>
            </w:tcBorders>
            <w:shd w:val="clear" w:color="auto" w:fill="CEFFE7"/>
          </w:tcPr>
          <w:p>
            <w:pPr>
              <w:jc w:val="center"/>
              <w:ind w:left="59"/>
              <w:spacing w:after="0"/>
              <w:rPr>
                <w:sz w:val="20"/>
                <w:szCs w:val="20"/>
                <w:color w:val="auto"/>
              </w:rPr>
            </w:pPr>
            <w:r>
              <w:rPr>
                <w:rFonts w:ascii="Arial" w:cs="Arial" w:eastAsia="Arial" w:hAnsi="Arial"/>
                <w:sz w:val="16"/>
                <w:szCs w:val="16"/>
                <w:color w:val="auto"/>
                <w:w w:val="91"/>
              </w:rPr>
              <w:t>November 20, 2037</w:t>
            </w:r>
          </w:p>
        </w:tc>
        <w:tc>
          <w:tcPr>
            <w:tcW w:w="1620" w:type="dxa"/>
            <w:vAlign w:val="bottom"/>
            <w:tcBorders>
              <w:bottom w:val="single" w:sz="8" w:color="CEFFE7"/>
            </w:tcBorders>
            <w:shd w:val="clear" w:color="auto" w:fill="CEFFE7"/>
          </w:tcPr>
          <w:p>
            <w:pPr>
              <w:jc w:val="center"/>
              <w:ind w:left="39"/>
              <w:spacing w:after="0"/>
              <w:rPr>
                <w:sz w:val="20"/>
                <w:szCs w:val="20"/>
                <w:color w:val="auto"/>
              </w:rPr>
            </w:pPr>
            <w:r>
              <w:rPr>
                <w:rFonts w:ascii="Arial" w:cs="Arial" w:eastAsia="Arial" w:hAnsi="Arial"/>
                <w:sz w:val="16"/>
                <w:szCs w:val="16"/>
                <w:color w:val="auto"/>
                <w:w w:val="92"/>
              </w:rPr>
              <w:t>6.67%</w:t>
            </w: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110,000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110,000</w:t>
            </w:r>
          </w:p>
        </w:tc>
        <w:tc>
          <w:tcPr>
            <w:tcW w:w="0" w:type="dxa"/>
            <w:vAlign w:val="bottom"/>
          </w:tcPr>
          <w:p>
            <w:pPr>
              <w:spacing w:after="0"/>
              <w:rPr>
                <w:sz w:val="1"/>
                <w:szCs w:val="1"/>
                <w:color w:val="auto"/>
              </w:rPr>
            </w:pPr>
          </w:p>
        </w:tc>
      </w:tr>
      <w:tr>
        <w:trPr>
          <w:trHeight w:val="224"/>
        </w:trPr>
        <w:tc>
          <w:tcPr>
            <w:tcW w:w="180" w:type="dxa"/>
            <w:vAlign w:val="bottom"/>
          </w:tcPr>
          <w:p>
            <w:pPr>
              <w:spacing w:after="0"/>
              <w:rPr>
                <w:sz w:val="19"/>
                <w:szCs w:val="19"/>
                <w:color w:val="auto"/>
              </w:rPr>
            </w:pPr>
          </w:p>
        </w:tc>
        <w:tc>
          <w:tcPr>
            <w:tcW w:w="4740" w:type="dxa"/>
            <w:vAlign w:val="bottom"/>
            <w:gridSpan w:val="4"/>
          </w:tcPr>
          <w:p>
            <w:pPr>
              <w:ind w:left="200"/>
              <w:spacing w:after="0"/>
              <w:rPr>
                <w:sz w:val="20"/>
                <w:szCs w:val="20"/>
                <w:color w:val="auto"/>
              </w:rPr>
            </w:pPr>
            <w:r>
              <w:rPr>
                <w:rFonts w:ascii="Arial" w:cs="Arial" w:eastAsia="Arial" w:hAnsi="Arial"/>
                <w:sz w:val="16"/>
                <w:szCs w:val="16"/>
                <w:color w:val="auto"/>
              </w:rPr>
              <w:t>First Mortgage Bonds due 2044</w:t>
            </w:r>
          </w:p>
        </w:tc>
        <w:tc>
          <w:tcPr>
            <w:tcW w:w="1940" w:type="dxa"/>
            <w:vAlign w:val="bottom"/>
          </w:tcPr>
          <w:p>
            <w:pPr>
              <w:jc w:val="center"/>
              <w:ind w:left="59"/>
              <w:spacing w:after="0"/>
              <w:rPr>
                <w:sz w:val="20"/>
                <w:szCs w:val="20"/>
                <w:color w:val="auto"/>
              </w:rPr>
            </w:pPr>
            <w:r>
              <w:rPr>
                <w:rFonts w:ascii="Arial" w:cs="Arial" w:eastAsia="Arial" w:hAnsi="Arial"/>
                <w:sz w:val="16"/>
                <w:szCs w:val="16"/>
                <w:color w:val="auto"/>
                <w:w w:val="90"/>
              </w:rPr>
              <w:t>October 20, 2044</w:t>
            </w:r>
          </w:p>
        </w:tc>
        <w:tc>
          <w:tcPr>
            <w:tcW w:w="1620" w:type="dxa"/>
            <w:vAlign w:val="bottom"/>
          </w:tcPr>
          <w:p>
            <w:pPr>
              <w:jc w:val="center"/>
              <w:ind w:left="39"/>
              <w:spacing w:after="0"/>
              <w:rPr>
                <w:sz w:val="20"/>
                <w:szCs w:val="20"/>
                <w:color w:val="auto"/>
              </w:rPr>
            </w:pPr>
            <w:r>
              <w:rPr>
                <w:rFonts w:ascii="Arial" w:cs="Arial" w:eastAsia="Arial" w:hAnsi="Arial"/>
                <w:sz w:val="16"/>
                <w:szCs w:val="16"/>
                <w:color w:val="auto"/>
                <w:w w:val="92"/>
              </w:rPr>
              <w:t>4.53%</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75,000</w:t>
            </w:r>
          </w:p>
        </w:tc>
        <w:tc>
          <w:tcPr>
            <w:tcW w:w="720" w:type="dxa"/>
            <w:vAlign w:val="bottom"/>
          </w:tcPr>
          <w:p>
            <w:pPr>
              <w:spacing w:after="0"/>
              <w:rPr>
                <w:sz w:val="19"/>
                <w:szCs w:val="19"/>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75,000</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180" w:type="dxa"/>
            <w:vAlign w:val="bottom"/>
            <w:tcBorders>
              <w:bottom w:val="single" w:sz="8" w:color="CEFFE7"/>
            </w:tcBorders>
            <w:shd w:val="clear" w:color="auto" w:fill="CEFFE7"/>
          </w:tcPr>
          <w:p>
            <w:pPr>
              <w:spacing w:after="0"/>
              <w:rPr>
                <w:sz w:val="20"/>
                <w:szCs w:val="20"/>
                <w:color w:val="auto"/>
              </w:rPr>
            </w:pPr>
          </w:p>
        </w:tc>
        <w:tc>
          <w:tcPr>
            <w:tcW w:w="4740" w:type="dxa"/>
            <w:vAlign w:val="bottom"/>
            <w:tcBorders>
              <w:bottom w:val="single" w:sz="8" w:color="CEFFE7"/>
            </w:tcBorders>
            <w:gridSpan w:val="4"/>
            <w:shd w:val="clear" w:color="auto" w:fill="CEFFE7"/>
          </w:tcPr>
          <w:p>
            <w:pPr>
              <w:ind w:left="420"/>
              <w:spacing w:after="0"/>
              <w:rPr>
                <w:sz w:val="20"/>
                <w:szCs w:val="20"/>
                <w:color w:val="auto"/>
              </w:rPr>
            </w:pPr>
            <w:r>
              <w:rPr>
                <w:rFonts w:ascii="Arial" w:cs="Arial" w:eastAsia="Arial" w:hAnsi="Arial"/>
                <w:sz w:val="16"/>
                <w:szCs w:val="16"/>
                <w:color w:val="auto"/>
              </w:rPr>
              <w:t>Total Wyoming Electric debt</w:t>
            </w:r>
          </w:p>
        </w:tc>
        <w:tc>
          <w:tcPr>
            <w:tcW w:w="1940" w:type="dxa"/>
            <w:vAlign w:val="bottom"/>
            <w:tcBorders>
              <w:bottom w:val="single" w:sz="8" w:color="CEFFE7"/>
            </w:tcBorders>
            <w:shd w:val="clear" w:color="auto" w:fill="CEFFE7"/>
          </w:tcPr>
          <w:p>
            <w:pPr>
              <w:spacing w:after="0"/>
              <w:rPr>
                <w:sz w:val="20"/>
                <w:szCs w:val="20"/>
                <w:color w:val="auto"/>
              </w:rPr>
            </w:pPr>
          </w:p>
        </w:tc>
        <w:tc>
          <w:tcPr>
            <w:tcW w:w="1620" w:type="dxa"/>
            <w:vAlign w:val="bottom"/>
            <w:tcBorders>
              <w:bottom w:val="single" w:sz="8" w:color="CEFFE7"/>
            </w:tcBorders>
            <w:shd w:val="clear" w:color="auto" w:fill="CEFFE7"/>
          </w:tcPr>
          <w:p>
            <w:pPr>
              <w:spacing w:after="0"/>
              <w:rPr>
                <w:sz w:val="20"/>
                <w:szCs w:val="20"/>
                <w:color w:val="auto"/>
              </w:rPr>
            </w:pPr>
          </w:p>
        </w:tc>
        <w:tc>
          <w:tcPr>
            <w:tcW w:w="100" w:type="dxa"/>
            <w:vAlign w:val="bottom"/>
            <w:tcBorders>
              <w:bottom w:val="single" w:sz="8" w:color="CEFFE7"/>
            </w:tcBorders>
            <w:shd w:val="clear" w:color="auto" w:fill="CEFFE7"/>
          </w:tcPr>
          <w:p>
            <w:pPr>
              <w:spacing w:after="0"/>
              <w:rPr>
                <w:sz w:val="20"/>
                <w:szCs w:val="20"/>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202,000</w:t>
            </w:r>
          </w:p>
        </w:tc>
        <w:tc>
          <w:tcPr>
            <w:tcW w:w="720" w:type="dxa"/>
            <w:vAlign w:val="bottom"/>
            <w:tcBorders>
              <w:bottom w:val="single" w:sz="8" w:color="CEFFE7"/>
            </w:tcBorders>
            <w:shd w:val="clear" w:color="auto" w:fill="CEFFE7"/>
          </w:tcPr>
          <w:p>
            <w:pPr>
              <w:spacing w:after="0"/>
              <w:rPr>
                <w:sz w:val="20"/>
                <w:szCs w:val="20"/>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202,000</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740" w:type="dxa"/>
            <w:vAlign w:val="bottom"/>
            <w:gridSpan w:val="4"/>
          </w:tcPr>
          <w:p>
            <w:pPr>
              <w:ind w:left="100"/>
              <w:spacing w:after="0"/>
              <w:rPr>
                <w:sz w:val="20"/>
                <w:szCs w:val="20"/>
                <w:color w:val="auto"/>
              </w:rPr>
            </w:pPr>
            <w:r>
              <w:rPr>
                <w:rFonts w:ascii="Arial" w:cs="Arial" w:eastAsia="Arial" w:hAnsi="Arial"/>
                <w:sz w:val="16"/>
                <w:szCs w:val="16"/>
                <w:color w:val="auto"/>
              </w:rPr>
              <w:t>Less unamortized debt discount</w:t>
            </w: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w:t>
            </w:r>
          </w:p>
        </w:tc>
        <w:tc>
          <w:tcPr>
            <w:tcW w:w="7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180" w:type="dxa"/>
            <w:vAlign w:val="bottom"/>
            <w:tcBorders>
              <w:bottom w:val="single" w:sz="8" w:color="CEFFE7"/>
            </w:tcBorders>
          </w:tcPr>
          <w:p>
            <w:pPr>
              <w:spacing w:after="0"/>
              <w:rPr>
                <w:sz w:val="2"/>
                <w:szCs w:val="2"/>
                <w:color w:val="auto"/>
              </w:rPr>
            </w:pPr>
          </w:p>
        </w:tc>
        <w:tc>
          <w:tcPr>
            <w:tcW w:w="640" w:type="dxa"/>
            <w:vAlign w:val="bottom"/>
            <w:tcBorders>
              <w:bottom w:val="single" w:sz="8" w:color="CEFFE7"/>
            </w:tcBorders>
          </w:tcPr>
          <w:p>
            <w:pPr>
              <w:spacing w:after="0"/>
              <w:rPr>
                <w:sz w:val="2"/>
                <w:szCs w:val="2"/>
                <w:color w:val="auto"/>
              </w:rPr>
            </w:pPr>
          </w:p>
        </w:tc>
        <w:tc>
          <w:tcPr>
            <w:tcW w:w="540" w:type="dxa"/>
            <w:vAlign w:val="bottom"/>
            <w:tcBorders>
              <w:bottom w:val="single" w:sz="8" w:color="CEFFE7"/>
            </w:tcBorders>
          </w:tcPr>
          <w:p>
            <w:pPr>
              <w:spacing w:after="0"/>
              <w:rPr>
                <w:sz w:val="2"/>
                <w:szCs w:val="2"/>
                <w:color w:val="auto"/>
              </w:rPr>
            </w:pPr>
          </w:p>
        </w:tc>
        <w:tc>
          <w:tcPr>
            <w:tcW w:w="240" w:type="dxa"/>
            <w:vAlign w:val="bottom"/>
            <w:tcBorders>
              <w:bottom w:val="single" w:sz="8" w:color="CEFFE7"/>
            </w:tcBorders>
          </w:tcPr>
          <w:p>
            <w:pPr>
              <w:spacing w:after="0"/>
              <w:rPr>
                <w:sz w:val="2"/>
                <w:szCs w:val="2"/>
                <w:color w:val="auto"/>
              </w:rPr>
            </w:pPr>
          </w:p>
        </w:tc>
        <w:tc>
          <w:tcPr>
            <w:tcW w:w="3320" w:type="dxa"/>
            <w:vAlign w:val="bottom"/>
            <w:tcBorders>
              <w:bottom w:val="single" w:sz="8" w:color="CEFFE7"/>
            </w:tcBorders>
          </w:tcPr>
          <w:p>
            <w:pPr>
              <w:spacing w:after="0"/>
              <w:rPr>
                <w:sz w:val="2"/>
                <w:szCs w:val="2"/>
                <w:color w:val="auto"/>
              </w:rPr>
            </w:pPr>
          </w:p>
        </w:tc>
        <w:tc>
          <w:tcPr>
            <w:tcW w:w="1940" w:type="dxa"/>
            <w:vAlign w:val="bottom"/>
            <w:tcBorders>
              <w:bottom w:val="single" w:sz="8" w:color="CEFFE7"/>
            </w:tcBorders>
          </w:tcPr>
          <w:p>
            <w:pPr>
              <w:spacing w:after="0"/>
              <w:rPr>
                <w:sz w:val="2"/>
                <w:szCs w:val="2"/>
                <w:color w:val="auto"/>
              </w:rPr>
            </w:pPr>
          </w:p>
        </w:tc>
        <w:tc>
          <w:tcPr>
            <w:tcW w:w="1620" w:type="dxa"/>
            <w:vAlign w:val="bottom"/>
            <w:tcBorders>
              <w:bottom w:val="single" w:sz="8" w:color="CEFFE7"/>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80" w:type="dxa"/>
            <w:vAlign w:val="bottom"/>
            <w:tcBorders>
              <w:bottom w:val="single" w:sz="8" w:color="CEFFE7"/>
            </w:tcBorders>
            <w:shd w:val="clear" w:color="auto" w:fill="CEFFE7"/>
          </w:tcPr>
          <w:p>
            <w:pPr>
              <w:spacing w:after="0"/>
              <w:rPr>
                <w:sz w:val="21"/>
                <w:szCs w:val="21"/>
                <w:color w:val="auto"/>
              </w:rPr>
            </w:pPr>
          </w:p>
        </w:tc>
        <w:tc>
          <w:tcPr>
            <w:tcW w:w="4740" w:type="dxa"/>
            <w:vAlign w:val="bottom"/>
            <w:tcBorders>
              <w:bottom w:val="single" w:sz="8" w:color="CEFFE7"/>
            </w:tcBorders>
            <w:gridSpan w:val="4"/>
            <w:shd w:val="clear" w:color="auto" w:fill="CEFFE7"/>
          </w:tcPr>
          <w:p>
            <w:pPr>
              <w:ind w:left="420"/>
              <w:spacing w:after="0"/>
              <w:rPr>
                <w:sz w:val="20"/>
                <w:szCs w:val="20"/>
                <w:color w:val="auto"/>
              </w:rPr>
            </w:pPr>
            <w:r>
              <w:rPr>
                <w:rFonts w:ascii="Arial" w:cs="Arial" w:eastAsia="Arial" w:hAnsi="Arial"/>
                <w:sz w:val="16"/>
                <w:szCs w:val="16"/>
                <w:color w:val="auto"/>
              </w:rPr>
              <w:t>Total Wyoming Electric debt, net</w:t>
            </w:r>
          </w:p>
        </w:tc>
        <w:tc>
          <w:tcPr>
            <w:tcW w:w="194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202,000</w:t>
            </w:r>
          </w:p>
        </w:tc>
        <w:tc>
          <w:tcPr>
            <w:tcW w:w="7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202,000</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32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920" w:type="dxa"/>
            <w:vAlign w:val="bottom"/>
            <w:tcBorders>
              <w:bottom w:val="single" w:sz="8" w:color="CEFFE7"/>
            </w:tcBorders>
            <w:gridSpan w:val="5"/>
            <w:shd w:val="clear" w:color="auto" w:fill="CEFFE7"/>
          </w:tcPr>
          <w:p>
            <w:pPr>
              <w:ind w:left="40"/>
              <w:spacing w:after="0"/>
              <w:rPr>
                <w:sz w:val="20"/>
                <w:szCs w:val="20"/>
                <w:color w:val="auto"/>
              </w:rPr>
            </w:pPr>
            <w:r>
              <w:rPr>
                <w:rFonts w:ascii="Arial" w:cs="Arial" w:eastAsia="Arial" w:hAnsi="Arial"/>
                <w:sz w:val="16"/>
                <w:szCs w:val="16"/>
                <w:color w:val="auto"/>
              </w:rPr>
              <w:t>Total long-term debt</w:t>
            </w:r>
          </w:p>
        </w:tc>
        <w:tc>
          <w:tcPr>
            <w:tcW w:w="1940" w:type="dxa"/>
            <w:vAlign w:val="bottom"/>
            <w:tcBorders>
              <w:bottom w:val="single" w:sz="8" w:color="CEFFE7"/>
            </w:tcBorders>
            <w:shd w:val="clear" w:color="auto" w:fill="CEFFE7"/>
          </w:tcPr>
          <w:p>
            <w:pPr>
              <w:spacing w:after="0"/>
              <w:rPr>
                <w:sz w:val="21"/>
                <w:szCs w:val="21"/>
                <w:color w:val="auto"/>
              </w:rPr>
            </w:pPr>
          </w:p>
        </w:tc>
        <w:tc>
          <w:tcPr>
            <w:tcW w:w="1620" w:type="dxa"/>
            <w:vAlign w:val="bottom"/>
            <w:tcBorders>
              <w:bottom w:val="single" w:sz="8" w:color="CEFFE7"/>
            </w:tcBorders>
            <w:shd w:val="clear" w:color="auto" w:fill="CEFFE7"/>
          </w:tcPr>
          <w:p>
            <w:pPr>
              <w:spacing w:after="0"/>
              <w:rPr>
                <w:sz w:val="21"/>
                <w:szCs w:val="21"/>
                <w:color w:val="auto"/>
              </w:rPr>
            </w:pPr>
          </w:p>
        </w:tc>
        <w:tc>
          <w:tcPr>
            <w:tcW w:w="100" w:type="dxa"/>
            <w:vAlign w:val="bottom"/>
            <w:tcBorders>
              <w:bottom w:val="single" w:sz="8" w:color="CEFFE7"/>
            </w:tcBorders>
            <w:shd w:val="clear" w:color="auto" w:fill="CEFFE7"/>
          </w:tcPr>
          <w:p>
            <w:pPr>
              <w:spacing w:after="0"/>
              <w:rPr>
                <w:sz w:val="21"/>
                <w:szCs w:val="21"/>
                <w:color w:val="auto"/>
              </w:rPr>
            </w:pP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3,170,489</w:t>
            </w:r>
          </w:p>
        </w:tc>
        <w:tc>
          <w:tcPr>
            <w:tcW w:w="7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w w:val="89"/>
              </w:rPr>
              <w:t>2,977,568</w:t>
            </w:r>
          </w:p>
        </w:tc>
        <w:tc>
          <w:tcPr>
            <w:tcW w:w="0" w:type="dxa"/>
            <w:vAlign w:val="bottom"/>
          </w:tcPr>
          <w:p>
            <w:pPr>
              <w:spacing w:after="0"/>
              <w:rPr>
                <w:sz w:val="1"/>
                <w:szCs w:val="1"/>
                <w:color w:val="auto"/>
              </w:rPr>
            </w:pPr>
          </w:p>
        </w:tc>
      </w:tr>
      <w:tr>
        <w:trPr>
          <w:trHeight w:val="237"/>
        </w:trPr>
        <w:tc>
          <w:tcPr>
            <w:tcW w:w="180" w:type="dxa"/>
            <w:vAlign w:val="bottom"/>
          </w:tcPr>
          <w:p>
            <w:pPr>
              <w:spacing w:after="0"/>
              <w:rPr>
                <w:sz w:val="20"/>
                <w:szCs w:val="20"/>
                <w:color w:val="auto"/>
              </w:rPr>
            </w:pPr>
          </w:p>
        </w:tc>
        <w:tc>
          <w:tcPr>
            <w:tcW w:w="4740" w:type="dxa"/>
            <w:vAlign w:val="bottom"/>
            <w:gridSpan w:val="4"/>
          </w:tcPr>
          <w:p>
            <w:pPr>
              <w:spacing w:after="0"/>
              <w:rPr>
                <w:sz w:val="20"/>
                <w:szCs w:val="20"/>
                <w:color w:val="auto"/>
              </w:rPr>
            </w:pPr>
            <w:r>
              <w:rPr>
                <w:rFonts w:ascii="Arial" w:cs="Arial" w:eastAsia="Arial" w:hAnsi="Arial"/>
                <w:sz w:val="16"/>
                <w:szCs w:val="16"/>
                <w:color w:val="auto"/>
              </w:rPr>
              <w:t>Less current maturities</w:t>
            </w:r>
          </w:p>
        </w:tc>
        <w:tc>
          <w:tcPr>
            <w:tcW w:w="194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6"/>
                <w:szCs w:val="16"/>
                <w:color w:val="auto"/>
              </w:rPr>
              <w:t>5,743</w:t>
            </w:r>
          </w:p>
        </w:tc>
        <w:tc>
          <w:tcPr>
            <w:tcW w:w="720" w:type="dxa"/>
            <w:vAlign w:val="bottom"/>
          </w:tcPr>
          <w:p>
            <w:pPr>
              <w:spacing w:after="0"/>
              <w:rPr>
                <w:sz w:val="20"/>
                <w:szCs w:val="20"/>
                <w:color w:val="auto"/>
              </w:rPr>
            </w:pPr>
          </w:p>
        </w:tc>
        <w:tc>
          <w:tcPr>
            <w:tcW w:w="760" w:type="dxa"/>
            <w:vAlign w:val="bottom"/>
          </w:tcPr>
          <w:p>
            <w:pPr>
              <w:jc w:val="right"/>
              <w:ind w:right="19"/>
              <w:spacing w:after="0"/>
              <w:rPr>
                <w:sz w:val="20"/>
                <w:szCs w:val="20"/>
                <w:color w:val="auto"/>
              </w:rPr>
            </w:pPr>
            <w:r>
              <w:rPr>
                <w:rFonts w:ascii="Arial" w:cs="Arial" w:eastAsia="Arial" w:hAnsi="Arial"/>
                <w:sz w:val="16"/>
                <w:szCs w:val="16"/>
                <w:color w:val="auto"/>
              </w:rPr>
              <w:t>5,743</w:t>
            </w:r>
          </w:p>
        </w:tc>
        <w:tc>
          <w:tcPr>
            <w:tcW w:w="0" w:type="dxa"/>
            <w:vAlign w:val="bottom"/>
          </w:tcPr>
          <w:p>
            <w:pPr>
              <w:spacing w:after="0"/>
              <w:rPr>
                <w:sz w:val="1"/>
                <w:szCs w:val="1"/>
                <w:color w:val="auto"/>
              </w:rPr>
            </w:pPr>
          </w:p>
        </w:tc>
      </w:tr>
      <w:tr>
        <w:trPr>
          <w:trHeight w:val="33"/>
        </w:trPr>
        <w:tc>
          <w:tcPr>
            <w:tcW w:w="180" w:type="dxa"/>
            <w:vAlign w:val="bottom"/>
          </w:tcPr>
          <w:p>
            <w:pPr>
              <w:spacing w:after="0"/>
              <w:rPr>
                <w:sz w:val="2"/>
                <w:szCs w:val="2"/>
                <w:color w:val="auto"/>
              </w:rPr>
            </w:pPr>
          </w:p>
        </w:tc>
        <w:tc>
          <w:tcPr>
            <w:tcW w:w="6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3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180" w:type="dxa"/>
            <w:vAlign w:val="bottom"/>
            <w:shd w:val="clear" w:color="auto" w:fill="CEFFE7"/>
          </w:tcPr>
          <w:p>
            <w:pPr>
              <w:spacing w:after="0"/>
              <w:rPr>
                <w:sz w:val="23"/>
                <w:szCs w:val="23"/>
                <w:color w:val="auto"/>
              </w:rPr>
            </w:pPr>
          </w:p>
        </w:tc>
        <w:tc>
          <w:tcPr>
            <w:tcW w:w="4740" w:type="dxa"/>
            <w:vAlign w:val="bottom"/>
            <w:gridSpan w:val="4"/>
            <w:shd w:val="clear" w:color="auto" w:fill="CEFFE7"/>
          </w:tcPr>
          <w:p>
            <w:pPr>
              <w:spacing w:after="0"/>
              <w:rPr>
                <w:sz w:val="20"/>
                <w:szCs w:val="20"/>
                <w:color w:val="auto"/>
              </w:rPr>
            </w:pPr>
            <w:r>
              <w:rPr>
                <w:rFonts w:ascii="Arial" w:cs="Arial" w:eastAsia="Arial" w:hAnsi="Arial"/>
                <w:sz w:val="16"/>
                <w:szCs w:val="16"/>
                <w:color w:val="auto"/>
              </w:rPr>
              <w:t xml:space="preserve">Less unamortized deferred financing costs </w:t>
            </w:r>
            <w:r>
              <w:rPr>
                <w:rFonts w:ascii="Arial" w:cs="Arial" w:eastAsia="Arial" w:hAnsi="Arial"/>
                <w:sz w:val="21"/>
                <w:szCs w:val="21"/>
                <w:color w:val="auto"/>
                <w:vertAlign w:val="superscript"/>
              </w:rPr>
              <w:t>(b)</w:t>
            </w:r>
          </w:p>
        </w:tc>
        <w:tc>
          <w:tcPr>
            <w:tcW w:w="1940" w:type="dxa"/>
            <w:vAlign w:val="bottom"/>
            <w:shd w:val="clear" w:color="auto" w:fill="CEFFE7"/>
          </w:tcPr>
          <w:p>
            <w:pPr>
              <w:spacing w:after="0"/>
              <w:rPr>
                <w:sz w:val="23"/>
                <w:szCs w:val="23"/>
                <w:color w:val="auto"/>
              </w:rPr>
            </w:pPr>
          </w:p>
        </w:tc>
        <w:tc>
          <w:tcPr>
            <w:tcW w:w="1620" w:type="dxa"/>
            <w:vAlign w:val="bottom"/>
            <w:shd w:val="clear" w:color="auto" w:fill="CEFFE7"/>
          </w:tcPr>
          <w:p>
            <w:pPr>
              <w:spacing w:after="0"/>
              <w:rPr>
                <w:sz w:val="23"/>
                <w:szCs w:val="23"/>
                <w:color w:val="auto"/>
              </w:rPr>
            </w:pPr>
          </w:p>
        </w:tc>
        <w:tc>
          <w:tcPr>
            <w:tcW w:w="100" w:type="dxa"/>
            <w:vAlign w:val="bottom"/>
            <w:tcBorders>
              <w:bottom w:val="single" w:sz="8" w:color="auto"/>
            </w:tcBorders>
            <w:shd w:val="clear" w:color="auto" w:fill="CEFFE7"/>
          </w:tcPr>
          <w:p>
            <w:pPr>
              <w:spacing w:after="0"/>
              <w:rPr>
                <w:sz w:val="23"/>
                <w:szCs w:val="23"/>
                <w:color w:val="auto"/>
              </w:rPr>
            </w:pPr>
          </w:p>
        </w:tc>
        <w:tc>
          <w:tcPr>
            <w:tcW w:w="13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24,650</w:t>
            </w:r>
          </w:p>
        </w:tc>
        <w:tc>
          <w:tcPr>
            <w:tcW w:w="720" w:type="dxa"/>
            <w:vAlign w:val="bottom"/>
            <w:tcBorders>
              <w:bottom w:val="single" w:sz="8" w:color="auto"/>
            </w:tcBorders>
            <w:shd w:val="clear" w:color="auto" w:fill="CEFFE7"/>
          </w:tcPr>
          <w:p>
            <w:pPr>
              <w:spacing w:after="0"/>
              <w:rPr>
                <w:sz w:val="23"/>
                <w:szCs w:val="23"/>
                <w:color w:val="auto"/>
              </w:rPr>
            </w:pPr>
          </w:p>
        </w:tc>
        <w:tc>
          <w:tcPr>
            <w:tcW w:w="76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20,990</w:t>
            </w:r>
          </w:p>
        </w:tc>
        <w:tc>
          <w:tcPr>
            <w:tcW w:w="0" w:type="dxa"/>
            <w:vAlign w:val="bottom"/>
          </w:tcPr>
          <w:p>
            <w:pPr>
              <w:spacing w:after="0"/>
              <w:rPr>
                <w:sz w:val="1"/>
                <w:szCs w:val="1"/>
                <w:color w:val="auto"/>
              </w:rPr>
            </w:pPr>
          </w:p>
        </w:tc>
      </w:tr>
      <w:tr>
        <w:trPr>
          <w:trHeight w:val="200"/>
        </w:trPr>
        <w:tc>
          <w:tcPr>
            <w:tcW w:w="180" w:type="dxa"/>
            <w:vAlign w:val="bottom"/>
          </w:tcPr>
          <w:p>
            <w:pPr>
              <w:spacing w:after="0"/>
              <w:rPr>
                <w:sz w:val="17"/>
                <w:szCs w:val="17"/>
                <w:color w:val="auto"/>
              </w:rPr>
            </w:pPr>
          </w:p>
        </w:tc>
        <w:tc>
          <w:tcPr>
            <w:tcW w:w="4740" w:type="dxa"/>
            <w:vAlign w:val="bottom"/>
            <w:gridSpan w:val="4"/>
          </w:tcPr>
          <w:p>
            <w:pPr>
              <w:ind w:left="320"/>
              <w:spacing w:after="0"/>
              <w:rPr>
                <w:sz w:val="20"/>
                <w:szCs w:val="20"/>
                <w:color w:val="auto"/>
              </w:rPr>
            </w:pPr>
            <w:r>
              <w:rPr>
                <w:rFonts w:ascii="Arial" w:cs="Arial" w:eastAsia="Arial" w:hAnsi="Arial"/>
                <w:sz w:val="16"/>
                <w:szCs w:val="16"/>
                <w:color w:val="auto"/>
                <w:w w:val="97"/>
              </w:rPr>
              <w:t>Long-term debt, net of current maturities and deferred financing</w:t>
            </w:r>
          </w:p>
        </w:tc>
        <w:tc>
          <w:tcPr>
            <w:tcW w:w="1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vMerge w:val="restart"/>
          </w:tcPr>
          <w:p>
            <w:pPr>
              <w:jc w:val="right"/>
              <w:spacing w:after="0"/>
              <w:rPr>
                <w:sz w:val="20"/>
                <w:szCs w:val="20"/>
                <w:color w:val="auto"/>
              </w:rPr>
            </w:pPr>
            <w:r>
              <w:rPr>
                <w:rFonts w:ascii="Arial" w:cs="Arial" w:eastAsia="Arial" w:hAnsi="Arial"/>
                <w:sz w:val="16"/>
                <w:szCs w:val="16"/>
                <w:color w:val="auto"/>
                <w:w w:val="89"/>
              </w:rPr>
              <w:t>$</w:t>
            </w:r>
          </w:p>
        </w:tc>
        <w:tc>
          <w:tcPr>
            <w:tcW w:w="1360" w:type="dxa"/>
            <w:vAlign w:val="bottom"/>
            <w:vMerge w:val="restart"/>
          </w:tcPr>
          <w:p>
            <w:pPr>
              <w:jc w:val="right"/>
              <w:spacing w:after="0"/>
              <w:rPr>
                <w:sz w:val="20"/>
                <w:szCs w:val="20"/>
                <w:color w:val="auto"/>
              </w:rPr>
            </w:pPr>
            <w:r>
              <w:rPr>
                <w:rFonts w:ascii="Arial" w:cs="Arial" w:eastAsia="Arial" w:hAnsi="Arial"/>
                <w:sz w:val="16"/>
                <w:szCs w:val="16"/>
                <w:color w:val="auto"/>
              </w:rPr>
              <w:t>3,140,096</w:t>
            </w:r>
          </w:p>
        </w:tc>
        <w:tc>
          <w:tcPr>
            <w:tcW w:w="720" w:type="dxa"/>
            <w:vAlign w:val="bottom"/>
            <w:vMerge w:val="restart"/>
          </w:tcPr>
          <w:p>
            <w:pPr>
              <w:jc w:val="right"/>
              <w:ind w:right="519"/>
              <w:spacing w:after="0"/>
              <w:rPr>
                <w:sz w:val="20"/>
                <w:szCs w:val="20"/>
                <w:color w:val="auto"/>
              </w:rPr>
            </w:pPr>
            <w:r>
              <w:rPr>
                <w:rFonts w:ascii="Arial" w:cs="Arial" w:eastAsia="Arial" w:hAnsi="Arial"/>
                <w:sz w:val="16"/>
                <w:szCs w:val="16"/>
                <w:color w:val="auto"/>
              </w:rPr>
              <w:t>$</w:t>
            </w:r>
          </w:p>
        </w:tc>
        <w:tc>
          <w:tcPr>
            <w:tcW w:w="760" w:type="dxa"/>
            <w:vAlign w:val="bottom"/>
            <w:vMerge w:val="restart"/>
          </w:tcPr>
          <w:p>
            <w:pPr>
              <w:jc w:val="right"/>
              <w:ind w:right="19"/>
              <w:spacing w:after="0"/>
              <w:rPr>
                <w:sz w:val="20"/>
                <w:szCs w:val="20"/>
                <w:color w:val="auto"/>
              </w:rPr>
            </w:pPr>
            <w:r>
              <w:rPr>
                <w:rFonts w:ascii="Arial" w:cs="Arial" w:eastAsia="Arial" w:hAnsi="Arial"/>
                <w:sz w:val="16"/>
                <w:szCs w:val="16"/>
                <w:color w:val="auto"/>
                <w:w w:val="89"/>
              </w:rPr>
              <w:t>2,950,835</w:t>
            </w:r>
          </w:p>
        </w:tc>
        <w:tc>
          <w:tcPr>
            <w:tcW w:w="0" w:type="dxa"/>
            <w:vAlign w:val="bottom"/>
          </w:tcPr>
          <w:p>
            <w:pPr>
              <w:spacing w:after="0"/>
              <w:rPr>
                <w:sz w:val="1"/>
                <w:szCs w:val="1"/>
                <w:color w:val="auto"/>
              </w:rPr>
            </w:pPr>
          </w:p>
        </w:tc>
      </w:tr>
      <w:tr>
        <w:trPr>
          <w:trHeight w:val="206"/>
        </w:trPr>
        <w:tc>
          <w:tcPr>
            <w:tcW w:w="180" w:type="dxa"/>
            <w:vAlign w:val="bottom"/>
          </w:tcPr>
          <w:p>
            <w:pPr>
              <w:spacing w:after="0"/>
              <w:rPr>
                <w:sz w:val="17"/>
                <w:szCs w:val="17"/>
                <w:color w:val="auto"/>
              </w:rPr>
            </w:pPr>
          </w:p>
        </w:tc>
        <w:tc>
          <w:tcPr>
            <w:tcW w:w="4740" w:type="dxa"/>
            <w:vAlign w:val="bottom"/>
            <w:gridSpan w:val="4"/>
          </w:tcPr>
          <w:p>
            <w:pPr>
              <w:ind w:left="320"/>
              <w:spacing w:after="0"/>
              <w:rPr>
                <w:sz w:val="20"/>
                <w:szCs w:val="20"/>
                <w:color w:val="auto"/>
              </w:rPr>
            </w:pPr>
            <w:r>
              <w:rPr>
                <w:rFonts w:ascii="Arial" w:cs="Arial" w:eastAsia="Arial" w:hAnsi="Arial"/>
                <w:sz w:val="16"/>
                <w:szCs w:val="16"/>
                <w:color w:val="auto"/>
              </w:rPr>
              <w:t>costs</w:t>
            </w:r>
          </w:p>
        </w:tc>
        <w:tc>
          <w:tcPr>
            <w:tcW w:w="19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vMerge w:val="continue"/>
          </w:tcPr>
          <w:p>
            <w:pPr>
              <w:spacing w:after="0"/>
              <w:rPr>
                <w:sz w:val="17"/>
                <w:szCs w:val="17"/>
                <w:color w:val="auto"/>
              </w:rPr>
            </w:pPr>
          </w:p>
        </w:tc>
        <w:tc>
          <w:tcPr>
            <w:tcW w:w="1360" w:type="dxa"/>
            <w:vAlign w:val="bottom"/>
            <w:vMerge w:val="continue"/>
          </w:tcPr>
          <w:p>
            <w:pPr>
              <w:spacing w:after="0"/>
              <w:rPr>
                <w:sz w:val="17"/>
                <w:szCs w:val="17"/>
                <w:color w:val="auto"/>
              </w:rPr>
            </w:pPr>
          </w:p>
        </w:tc>
        <w:tc>
          <w:tcPr>
            <w:tcW w:w="720" w:type="dxa"/>
            <w:vAlign w:val="bottom"/>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5382260</wp:posOffset>
            </wp:positionH>
            <wp:positionV relativeFrom="paragraph">
              <wp:posOffset>12700</wp:posOffset>
            </wp:positionV>
            <wp:extent cx="18694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869440" cy="8890"/>
                    </a:xfrm>
                    <a:prstGeom prst="rect">
                      <a:avLst/>
                    </a:prstGeom>
                    <a:noFill/>
                  </pic:spPr>
                </pic:pic>
              </a:graphicData>
            </a:graphic>
          </wp:anchor>
        </w:drawing>
        <w:drawing>
          <wp:anchor simplePos="0" relativeHeight="251657728" behindDoc="1" locked="0" layoutInCell="0" allowOverlap="1">
            <wp:simplePos x="0" y="0"/>
            <wp:positionH relativeFrom="column">
              <wp:posOffset>5382260</wp:posOffset>
            </wp:positionH>
            <wp:positionV relativeFrom="paragraph">
              <wp:posOffset>29845</wp:posOffset>
            </wp:positionV>
            <wp:extent cx="18694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86944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ind w:left="340" w:hanging="332"/>
        <w:spacing w:after="0"/>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Variable interest rate.</w:t>
      </w:r>
    </w:p>
    <w:p>
      <w:pPr>
        <w:spacing w:after="0" w:line="5" w:lineRule="exact"/>
        <w:rPr>
          <w:rFonts w:ascii="Arial" w:cs="Arial" w:eastAsia="Arial" w:hAnsi="Arial"/>
          <w:sz w:val="16"/>
          <w:szCs w:val="16"/>
          <w:color w:val="auto"/>
        </w:rPr>
      </w:pPr>
    </w:p>
    <w:p>
      <w:pPr>
        <w:ind w:left="340" w:right="540" w:hanging="332"/>
        <w:spacing w:after="0" w:line="257" w:lineRule="auto"/>
        <w:tabs>
          <w:tab w:leader="none" w:pos="340" w:val="left"/>
        </w:tabs>
        <w:numPr>
          <w:ilvl w:val="0"/>
          <w:numId w:val="72"/>
        </w:numPr>
        <w:rPr>
          <w:rFonts w:ascii="Arial" w:cs="Arial" w:eastAsia="Arial" w:hAnsi="Arial"/>
          <w:sz w:val="16"/>
          <w:szCs w:val="16"/>
          <w:color w:val="auto"/>
        </w:rPr>
      </w:pPr>
      <w:r>
        <w:rPr>
          <w:rFonts w:ascii="Arial" w:cs="Arial" w:eastAsia="Arial" w:hAnsi="Arial"/>
          <w:sz w:val="16"/>
          <w:szCs w:val="16"/>
          <w:color w:val="auto"/>
        </w:rPr>
        <w:t>Includes deferred financing costs associated with our Revolving Credit Facility of $1.7 million and $2.3 million as of December 31, 2019 and December 31, 2018, respectively.</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420"/>
          </w:cols>
          <w:pgMar w:left="240" w:top="126" w:right="239" w:bottom="1440" w:gutter="0" w:footer="0" w:header="0"/>
        </w:sectPr>
      </w:pPr>
    </w:p>
    <w:bookmarkStart w:id="103" w:name="page104"/>
    <w:bookmarkEnd w:id="10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Scheduled maturities of long-term debt, excluding amortization of premiums or discounts, for future years are (in thousands):</w:t>
      </w:r>
    </w:p>
    <w:p>
      <w:pPr>
        <w:spacing w:after="0" w:line="158" w:lineRule="exact"/>
        <w:rPr>
          <w:sz w:val="20"/>
          <w:szCs w:val="20"/>
          <w:color w:val="auto"/>
        </w:rPr>
      </w:pPr>
    </w:p>
    <w:tbl>
      <w:tblPr>
        <w:tblLayout w:type="fixed"/>
        <w:tblInd w:w="3500" w:type="dxa"/>
        <w:tblCellMar>
          <w:top w:w="0" w:type="dxa"/>
          <w:left w:w="0" w:type="dxa"/>
          <w:bottom w:w="0" w:type="dxa"/>
          <w:right w:w="0" w:type="dxa"/>
        </w:tblCellMar>
      </w:tblPr>
      <w:tr>
        <w:trPr>
          <w:trHeight w:val="270"/>
        </w:trPr>
        <w:tc>
          <w:tcPr>
            <w:tcW w:w="88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w w:val="89"/>
              </w:rPr>
              <w:t>2020</w:t>
            </w:r>
          </w:p>
        </w:tc>
        <w:tc>
          <w:tcPr>
            <w:tcW w:w="2100" w:type="dxa"/>
            <w:vAlign w:val="bottom"/>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5,743</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2021</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8,435</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2022</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880" w:type="dxa"/>
            <w:vAlign w:val="bottom"/>
          </w:tcPr>
          <w:p>
            <w:pPr>
              <w:jc w:val="right"/>
              <w:ind w:right="410"/>
              <w:spacing w:after="0"/>
              <w:rPr>
                <w:sz w:val="20"/>
                <w:szCs w:val="20"/>
                <w:color w:val="auto"/>
              </w:rPr>
            </w:pPr>
            <w:r>
              <w:rPr>
                <w:rFonts w:ascii="Arial" w:cs="Arial" w:eastAsia="Arial" w:hAnsi="Arial"/>
                <w:sz w:val="18"/>
                <w:szCs w:val="18"/>
                <w:color w:val="auto"/>
                <w:w w:val="89"/>
              </w:rPr>
              <w:t>2023</w:t>
            </w: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525,000</w:t>
            </w:r>
          </w:p>
        </w:tc>
      </w:tr>
      <w:tr>
        <w:trPr>
          <w:trHeight w:val="27"/>
        </w:trPr>
        <w:tc>
          <w:tcPr>
            <w:tcW w:w="880" w:type="dxa"/>
            <w:vAlign w:val="bottom"/>
          </w:tcPr>
          <w:p>
            <w:pPr>
              <w:spacing w:after="0"/>
              <w:rPr>
                <w:sz w:val="2"/>
                <w:szCs w:val="2"/>
                <w:color w:val="auto"/>
              </w:rPr>
            </w:pPr>
          </w:p>
        </w:tc>
        <w:tc>
          <w:tcPr>
            <w:tcW w:w="2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88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w w:val="89"/>
              </w:rPr>
              <w:t>2024</w:t>
            </w:r>
          </w:p>
        </w:tc>
        <w:tc>
          <w:tcPr>
            <w:tcW w:w="2100" w:type="dxa"/>
            <w:vAlign w:val="bottom"/>
            <w:tcBorders>
              <w:bottom w:val="single" w:sz="8" w:color="CEFFE7"/>
            </w:tcBorders>
            <w:shd w:val="clear" w:color="auto" w:fill="CEFFE7"/>
          </w:tcPr>
          <w:p>
            <w:pPr>
              <w:jc w:val="right"/>
              <w:ind w:right="59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2,855</w:t>
            </w:r>
          </w:p>
        </w:tc>
      </w:tr>
      <w:tr>
        <w:trPr>
          <w:trHeight w:val="243"/>
        </w:trPr>
        <w:tc>
          <w:tcPr>
            <w:tcW w:w="880" w:type="dxa"/>
            <w:vAlign w:val="bottom"/>
          </w:tcPr>
          <w:p>
            <w:pPr>
              <w:spacing w:after="0"/>
              <w:rPr>
                <w:sz w:val="21"/>
                <w:szCs w:val="21"/>
                <w:color w:val="auto"/>
              </w:rPr>
            </w:pPr>
          </w:p>
        </w:tc>
        <w:tc>
          <w:tcPr>
            <w:tcW w:w="2100" w:type="dxa"/>
            <w:vAlign w:val="bottom"/>
          </w:tcPr>
          <w:p>
            <w:pPr>
              <w:jc w:val="right"/>
              <w:ind w:right="590"/>
              <w:spacing w:after="0"/>
              <w:rPr>
                <w:sz w:val="20"/>
                <w:szCs w:val="20"/>
                <w:color w:val="auto"/>
              </w:rPr>
            </w:pPr>
            <w:r>
              <w:rPr>
                <w:rFonts w:ascii="Arial" w:cs="Arial" w:eastAsia="Arial" w:hAnsi="Arial"/>
                <w:sz w:val="18"/>
                <w:szCs w:val="18"/>
                <w:color w:val="auto"/>
              </w:rPr>
              <w:t>Thereafter $</w:t>
            </w:r>
          </w:p>
        </w:tc>
        <w:tc>
          <w:tcPr>
            <w:tcW w:w="1460" w:type="dxa"/>
            <w:vAlign w:val="bottom"/>
          </w:tcPr>
          <w:p>
            <w:pPr>
              <w:jc w:val="right"/>
              <w:spacing w:after="0"/>
              <w:rPr>
                <w:sz w:val="20"/>
                <w:szCs w:val="20"/>
                <w:color w:val="auto"/>
              </w:rPr>
            </w:pPr>
            <w:r>
              <w:rPr>
                <w:rFonts w:ascii="Arial" w:cs="Arial" w:eastAsia="Arial" w:hAnsi="Arial"/>
                <w:sz w:val="18"/>
                <w:szCs w:val="18"/>
                <w:color w:val="auto"/>
              </w:rPr>
              <w:t>2,635,000</w:t>
            </w:r>
          </w:p>
        </w:tc>
      </w:tr>
    </w:tbl>
    <w:p>
      <w:pPr>
        <w:spacing w:after="0" w:line="200" w:lineRule="exact"/>
        <w:rPr>
          <w:sz w:val="20"/>
          <w:szCs w:val="20"/>
          <w:color w:val="auto"/>
        </w:rPr>
      </w:pPr>
    </w:p>
    <w:p>
      <w:pPr>
        <w:spacing w:after="0" w:line="24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Our debt securities contain certain restrictive financial covenants, all of which the Company and its subsidiaries were in compliance with at December 31, 2019.</w:t>
      </w:r>
    </w:p>
    <w:p>
      <w:pPr>
        <w:spacing w:after="0" w:line="170" w:lineRule="exact"/>
        <w:rPr>
          <w:sz w:val="20"/>
          <w:szCs w:val="20"/>
          <w:color w:val="auto"/>
        </w:rPr>
      </w:pPr>
    </w:p>
    <w:p>
      <w:pPr>
        <w:ind w:right="380"/>
        <w:spacing w:after="0" w:line="264" w:lineRule="auto"/>
        <w:rPr>
          <w:sz w:val="20"/>
          <w:szCs w:val="20"/>
          <w:color w:val="auto"/>
        </w:rPr>
      </w:pPr>
      <w:r>
        <w:rPr>
          <w:rFonts w:ascii="Arial" w:cs="Arial" w:eastAsia="Arial" w:hAnsi="Arial"/>
          <w:sz w:val="18"/>
          <w:szCs w:val="18"/>
          <w:color w:val="auto"/>
        </w:rPr>
        <w:t>Substantially all of the tangible utility property of South Dakota Electric and Wyoming Electric is subject to the lien of indentures securing their first mortgage bonds. First mortgage bonds of South Dakota Electric and Wyoming Electric may be issued in amounts limited by property, earnings and other provisions of the mortgage indentures.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Transactions</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On October 3, 2019, we completed a public debt offering of $700 million principal amount in senior unsecured noted. The debt offering consisted of $400 million of 3.05% 10-year senior notes due October 15, 2029 and $300 million of 3.875% 30-year senior notes due October 15, 2049 (together the “Notes”). The proceeds of the Notes were used for the following:</w:t>
      </w:r>
    </w:p>
    <w:p>
      <w:pPr>
        <w:spacing w:after="0" w:line="181" w:lineRule="exact"/>
        <w:rPr>
          <w:sz w:val="20"/>
          <w:szCs w:val="20"/>
          <w:color w:val="auto"/>
        </w:rPr>
      </w:pPr>
    </w:p>
    <w:p>
      <w:pPr>
        <w:ind w:left="760" w:hanging="10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Repay the $400 million Corporate term loan under the Amended and Restated Credit Agreement due June 17, 2021;</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Retire the $200 million 5.875% senior notes due July 15, 2020; and</w:t>
      </w:r>
    </w:p>
    <w:p>
      <w:pPr>
        <w:spacing w:after="0" w:line="225" w:lineRule="exact"/>
        <w:rPr>
          <w:rFonts w:ascii="Arial" w:cs="Arial" w:eastAsia="Arial" w:hAnsi="Arial"/>
          <w:sz w:val="18"/>
          <w:szCs w:val="18"/>
          <w:color w:val="auto"/>
        </w:rPr>
      </w:pPr>
    </w:p>
    <w:p>
      <w:pPr>
        <w:ind w:left="760" w:hanging="104"/>
        <w:spacing w:after="0"/>
        <w:tabs>
          <w:tab w:leader="none" w:pos="7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Repay a portion of short-term debt.</w:t>
      </w:r>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June 17, 2019, we amended our Corporate term loan due July 30, 2020. This amendment increased total commitments to $400 million from $300 million, extended the term through June 17, 2021, and had substantially similar terms and covenants as the amended and restated Revolving Credit Facility. The net proceeds from the increase in total commitments were used to pay down short-term debt. Proceeds from the October 3, 2019 public debt offering were used to repay this term loan.</w:t>
      </w:r>
    </w:p>
    <w:p>
      <w:pPr>
        <w:spacing w:after="0" w:line="18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On December 12, 2018, we paid off the $250 million, 2.5% senior unsecured notes due January 11, 2019. Proceeds from the November 1, 2018 Equity Unit conversion were used to pay off this debt.</w:t>
      </w:r>
    </w:p>
    <w:p>
      <w:pPr>
        <w:spacing w:after="0" w:line="170"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On August 17, 2018, we issued $400 million principal amount, 4.350% senior unsecured notes due May 1, 2033. A portion of these notes were issued in a private exchange that resulted in the retirement of all $299 million principal amount of our RSNs due 2028. The remainder of the notes were sold for cash in a public offering, with the net proceeds being used to pay down short-term debt.</w:t>
      </w:r>
    </w:p>
    <w:p>
      <w:pPr>
        <w:spacing w:after="0" w:line="181" w:lineRule="exact"/>
        <w:rPr>
          <w:sz w:val="20"/>
          <w:szCs w:val="20"/>
          <w:color w:val="auto"/>
        </w:rPr>
      </w:pPr>
    </w:p>
    <w:p>
      <w:pPr>
        <w:ind w:right="20"/>
        <w:spacing w:after="0" w:line="279" w:lineRule="auto"/>
        <w:rPr>
          <w:rFonts w:ascii="Arial" w:cs="Arial" w:eastAsia="Arial" w:hAnsi="Arial"/>
          <w:sz w:val="17"/>
          <w:szCs w:val="17"/>
          <w:color w:val="auto"/>
        </w:rPr>
      </w:pPr>
      <w:r>
        <w:rPr>
          <w:rFonts w:ascii="Arial" w:cs="Arial" w:eastAsia="Arial" w:hAnsi="Arial"/>
          <w:sz w:val="17"/>
          <w:szCs w:val="17"/>
          <w:color w:val="auto"/>
        </w:rPr>
        <w:t xml:space="preserve">The issuance of the $400 million senior notes was the culmination of a series of transactions that also included the contractually required remarketing of such RSNs on behalf of the holders of our Equity Units, with the proceeds being deposited as collateral to secure the obligations of those holders under the purchase contracts included in the Equity Units (see </w:t>
      </w:r>
      <w:hyperlink w:anchor="page113">
        <w:r>
          <w:rPr>
            <w:rFonts w:ascii="Arial" w:cs="Arial" w:eastAsia="Arial" w:hAnsi="Arial"/>
            <w:sz w:val="17"/>
            <w:szCs w:val="17"/>
            <w:u w:val="single" w:color="auto"/>
            <w:color w:val="0000EE"/>
          </w:rPr>
          <w:t>Note 12</w:t>
        </w:r>
      </w:hyperlink>
      <w:r>
        <w:rPr>
          <w:rFonts w:ascii="Arial" w:cs="Arial" w:eastAsia="Arial" w:hAnsi="Arial"/>
          <w:sz w:val="17"/>
          <w:szCs w:val="17"/>
          <w:color w:val="auto"/>
        </w:rPr>
        <w:t>). As a result of the remarketing, the annual interest rate on such RSNs was automatically reset to 4.579% (however, because the RSNs were then immediately retired, no interest accrued at this reset rate).</w:t>
      </w:r>
    </w:p>
    <w:p>
      <w:pPr>
        <w:spacing w:after="0" w:line="171" w:lineRule="exact"/>
        <w:rPr>
          <w:sz w:val="20"/>
          <w:szCs w:val="20"/>
          <w:color w:val="auto"/>
        </w:rPr>
      </w:pPr>
    </w:p>
    <w:p>
      <w:pPr>
        <w:spacing w:after="0" w:line="312" w:lineRule="auto"/>
        <w:rPr>
          <w:sz w:val="20"/>
          <w:szCs w:val="20"/>
          <w:color w:val="auto"/>
        </w:rPr>
      </w:pPr>
      <w:r>
        <w:rPr>
          <w:rFonts w:ascii="Arial" w:cs="Arial" w:eastAsia="Arial" w:hAnsi="Arial"/>
          <w:sz w:val="16"/>
          <w:szCs w:val="16"/>
          <w:color w:val="auto"/>
        </w:rPr>
        <w:t>On July 30, 2018, we amended and restated our unsecured term loan due August 2019. This amended and restated term loan, with $300 million outstanding at December 31, 2018, had a maturity date of July 30, 2020 and had substantially similar terms and covenants as the amended and restated Revolving Credit Facility. This term loan was later amended on June 17, 2019 and then repaid using proceeds from the October 3, 2019 public debt offering.</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400"/>
          </w:cols>
          <w:pgMar w:left="240" w:top="126" w:right="259" w:bottom="1440" w:gutter="0" w:footer="0" w:header="0"/>
        </w:sectPr>
      </w:pPr>
    </w:p>
    <w:bookmarkStart w:id="104" w:name="page105"/>
    <w:bookmarkEnd w:id="10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Amortization Expense</w:t>
      </w:r>
    </w:p>
    <w:p>
      <w:pPr>
        <w:spacing w:after="0" w:line="22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Our deferred financing costs and associated amortization expense included in Interest expense on the accompanying Consolidated Statements of Income were as follows (in thousands):</w:t>
      </w:r>
    </w:p>
    <w:p>
      <w:pPr>
        <w:sectPr>
          <w:pgSz w:w="11900" w:h="16838" w:orient="portrait"/>
          <w:cols w:equalWidth="0" w:num="1">
            <w:col w:w="11420"/>
          </w:cols>
          <w:pgMar w:left="240" w:top="126" w:right="239" w:bottom="1440" w:gutter="0" w:footer="0" w:header="0"/>
        </w:sectPr>
      </w:pPr>
    </w:p>
    <w:p>
      <w:pPr>
        <w:spacing w:after="0" w:line="116" w:lineRule="exact"/>
        <w:rPr>
          <w:sz w:val="20"/>
          <w:szCs w:val="20"/>
          <w:color w:val="auto"/>
        </w:rPr>
      </w:pPr>
    </w:p>
    <w:p>
      <w:pPr>
        <w:jc w:val="center"/>
        <w:ind w:left="2960"/>
        <w:spacing w:after="0"/>
        <w:rPr>
          <w:sz w:val="20"/>
          <w:szCs w:val="20"/>
          <w:color w:val="auto"/>
        </w:rPr>
      </w:pPr>
      <w:r>
        <w:rPr>
          <w:rFonts w:ascii="Arial" w:cs="Arial" w:eastAsia="Arial" w:hAnsi="Arial"/>
          <w:sz w:val="17"/>
          <w:szCs w:val="17"/>
          <w:color w:val="auto"/>
        </w:rPr>
        <w:t>Deferred Financing Costs</w:t>
      </w:r>
    </w:p>
    <w:p>
      <w:pPr>
        <w:spacing w:after="0" w:line="35"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Remaining at</w:t>
      </w:r>
    </w:p>
    <w:p>
      <w:pPr>
        <w:spacing w:after="0" w:line="49" w:lineRule="exact"/>
        <w:rPr>
          <w:sz w:val="20"/>
          <w:szCs w:val="20"/>
          <w:color w:val="auto"/>
        </w:rPr>
      </w:pPr>
    </w:p>
    <w:p>
      <w:pPr>
        <w:jc w:val="center"/>
        <w:ind w:left="2960"/>
        <w:spacing w:after="0"/>
        <w:rPr>
          <w:sz w:val="20"/>
          <w:szCs w:val="20"/>
          <w:color w:val="auto"/>
        </w:rPr>
      </w:pPr>
      <w:r>
        <w:rPr>
          <w:rFonts w:ascii="Arial" w:cs="Arial" w:eastAsia="Arial" w:hAnsi="Arial"/>
          <w:sz w:val="18"/>
          <w:szCs w:val="18"/>
          <w:color w:val="auto"/>
        </w:rPr>
        <w:t>December 31, 2019</w:t>
      </w:r>
    </w:p>
    <w:p>
      <w:pPr>
        <w:spacing w:after="0" w:line="77" w:lineRule="exact"/>
        <w:rPr>
          <w:sz w:val="20"/>
          <w:szCs w:val="20"/>
          <w:color w:val="auto"/>
        </w:rPr>
      </w:pPr>
    </w:p>
    <w:p>
      <w:pPr>
        <w:ind w:left="2940"/>
        <w:spacing w:after="0"/>
        <w:tabs>
          <w:tab w:leader="none" w:pos="440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6"/>
          <w:szCs w:val="16"/>
          <w:color w:val="auto"/>
        </w:rPr>
        <w:t>24,650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1849120</wp:posOffset>
            </wp:positionH>
            <wp:positionV relativeFrom="paragraph">
              <wp:posOffset>63500</wp:posOffset>
            </wp:positionV>
            <wp:extent cx="131191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31191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jc w:val="center"/>
        <w:ind w:right="2900"/>
        <w:spacing w:after="0"/>
        <w:rPr>
          <w:sz w:val="20"/>
          <w:szCs w:val="20"/>
          <w:color w:val="auto"/>
        </w:rPr>
      </w:pPr>
      <w:r>
        <w:rPr>
          <w:rFonts w:ascii="Arial" w:cs="Arial" w:eastAsia="Arial" w:hAnsi="Arial"/>
          <w:sz w:val="16"/>
          <w:szCs w:val="16"/>
          <w:color w:val="auto"/>
        </w:rPr>
        <w:t>Amortization Expense for the years ended</w:t>
      </w:r>
    </w:p>
    <w:p>
      <w:pPr>
        <w:spacing w:after="0" w:line="46" w:lineRule="exact"/>
        <w:rPr>
          <w:sz w:val="20"/>
          <w:szCs w:val="20"/>
          <w:color w:val="auto"/>
        </w:rPr>
      </w:pPr>
    </w:p>
    <w:p>
      <w:pPr>
        <w:jc w:val="center"/>
        <w:ind w:right="2900"/>
        <w:spacing w:after="0"/>
        <w:rPr>
          <w:sz w:val="20"/>
          <w:szCs w:val="20"/>
          <w:color w:val="auto"/>
        </w:rPr>
      </w:pPr>
      <w:r>
        <w:rPr>
          <w:rFonts w:ascii="Arial" w:cs="Arial" w:eastAsia="Arial" w:hAnsi="Arial"/>
          <w:sz w:val="18"/>
          <w:szCs w:val="18"/>
          <w:color w:val="auto"/>
        </w:rPr>
        <w:t>December 31,</w:t>
      </w:r>
    </w:p>
    <w:p>
      <w:pPr>
        <w:spacing w:after="0" w:line="49" w:lineRule="exact"/>
        <w:rPr>
          <w:sz w:val="20"/>
          <w:szCs w:val="20"/>
          <w:color w:val="auto"/>
        </w:rPr>
      </w:pPr>
    </w:p>
    <w:p>
      <w:pPr>
        <w:ind w:left="320"/>
        <w:spacing w:after="0"/>
        <w:tabs>
          <w:tab w:leader="none" w:pos="1340" w:val="left"/>
          <w:tab w:leader="none" w:pos="238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r>
        <w:rPr>
          <w:sz w:val="20"/>
          <w:szCs w:val="20"/>
          <w:color w:val="auto"/>
        </w:rPr>
        <w:tab/>
      </w:r>
      <w:r>
        <w:rPr>
          <w:rFonts w:ascii="Arial" w:cs="Arial" w:eastAsia="Arial" w:hAnsi="Arial"/>
          <w:sz w:val="16"/>
          <w:szCs w:val="16"/>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-1591945</wp:posOffset>
            </wp:positionH>
            <wp:positionV relativeFrom="paragraph">
              <wp:posOffset>31750</wp:posOffset>
            </wp:positionV>
            <wp:extent cx="3559175" cy="18859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559175" cy="188595"/>
                    </a:xfrm>
                    <a:prstGeom prst="rect">
                      <a:avLst/>
                    </a:prstGeom>
                    <a:noFill/>
                  </pic:spPr>
                </pic:pic>
              </a:graphicData>
            </a:graphic>
          </wp:anchor>
        </w:drawing>
      </w:r>
    </w:p>
    <w:p>
      <w:pPr>
        <w:spacing w:after="0" w:line="57" w:lineRule="exact"/>
        <w:rPr>
          <w:sz w:val="20"/>
          <w:szCs w:val="20"/>
          <w:color w:val="auto"/>
        </w:rPr>
      </w:pPr>
    </w:p>
    <w:p>
      <w:pPr>
        <w:spacing w:after="0"/>
        <w:tabs>
          <w:tab w:leader="none" w:pos="540" w:val="left"/>
          <w:tab w:leader="none" w:pos="1580" w:val="left"/>
          <w:tab w:leader="none" w:pos="262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3,242 $</w:t>
      </w:r>
      <w:r>
        <w:rPr>
          <w:sz w:val="20"/>
          <w:szCs w:val="20"/>
          <w:color w:val="auto"/>
        </w:rPr>
        <w:tab/>
      </w:r>
      <w:r>
        <w:rPr>
          <w:rFonts w:ascii="Arial" w:cs="Arial" w:eastAsia="Arial" w:hAnsi="Arial"/>
          <w:sz w:val="18"/>
          <w:szCs w:val="18"/>
          <w:color w:val="auto"/>
        </w:rPr>
        <w:t>2,829 $</w:t>
      </w:r>
      <w:r>
        <w:rPr>
          <w:sz w:val="20"/>
          <w:szCs w:val="20"/>
          <w:color w:val="auto"/>
        </w:rPr>
        <w:tab/>
      </w:r>
      <w:r>
        <w:rPr>
          <w:rFonts w:ascii="Arial" w:cs="Arial" w:eastAsia="Arial" w:hAnsi="Arial"/>
          <w:sz w:val="15"/>
          <w:szCs w:val="15"/>
          <w:color w:val="auto"/>
        </w:rPr>
        <w:t>3,349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48895</wp:posOffset>
            </wp:positionV>
            <wp:extent cx="19812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98120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920" w:space="500"/>
            <w:col w:w="6000"/>
          </w:cols>
          <w:pgMar w:left="240" w:top="126" w:right="239" w:bottom="1440" w:gutter="0" w:footer="0" w:header="0"/>
          <w:type w:val="continuous"/>
        </w:sectPr>
      </w:pPr>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Dividend Restrictions</w:t>
      </w:r>
    </w:p>
    <w:p>
      <w:pPr>
        <w:spacing w:after="0" w:line="225"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Our credit facility and other debt obligations contain restrictions on the payment of cash dividends when a default or event of default occurs. As of December 31, 2019, we were in compliance with these covenants.</w:t>
      </w:r>
    </w:p>
    <w:p>
      <w:pPr>
        <w:spacing w:after="0" w:line="17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Due to our holding company structure, substantially all of our operating cash flows are provided by dividends paid or distributions made by our subsidiaries. The cash to pay dividends to our shareholders is derived from these cash flows. As a result, certain statutory limitations or regulatory or financing agreements could affect the levels of distributions allowed to be made by our subsidiaries. The following restrictions on distributions from our subsidiaries existed at December 31, 2019:</w:t>
      </w:r>
    </w:p>
    <w:p>
      <w:pPr>
        <w:spacing w:after="0" w:line="187" w:lineRule="exact"/>
        <w:rPr>
          <w:sz w:val="20"/>
          <w:szCs w:val="20"/>
          <w:color w:val="auto"/>
        </w:rPr>
      </w:pPr>
    </w:p>
    <w:p>
      <w:pPr>
        <w:ind w:left="660" w:right="28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Our utilities are generally limited to the amount of dividends allowed to be paid to our utility holding company under the Federal Power Act and settlement agreements with state regulatory jurisdictions. As of December 31, 2019, the restricted net assets at our Electric and Gas Utilities were approximately $156 million.</w:t>
      </w:r>
    </w:p>
    <w:p>
      <w:pPr>
        <w:spacing w:after="0" w:line="181" w:lineRule="exact"/>
        <w:rPr>
          <w:rFonts w:ascii="Arial" w:cs="Arial" w:eastAsia="Arial" w:hAnsi="Arial"/>
          <w:sz w:val="18"/>
          <w:szCs w:val="18"/>
          <w:color w:val="auto"/>
        </w:rPr>
      </w:pPr>
    </w:p>
    <w:p>
      <w:pPr>
        <w:ind w:left="660" w:right="380" w:hanging="328"/>
        <w:spacing w:after="0" w:line="277"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Wyoming Electric and South Dakota Electric are generally limited to the amount of dividends allowed to be paid to our utility holding company under certain financing agreements.</w:t>
      </w:r>
    </w:p>
    <w:p>
      <w:pPr>
        <w:spacing w:after="0" w:line="382" w:lineRule="exact"/>
        <w:rPr>
          <w:rFonts w:ascii="Arial" w:cs="Arial" w:eastAsia="Arial" w:hAnsi="Arial"/>
          <w:sz w:val="18"/>
          <w:szCs w:val="18"/>
          <w:color w:val="auto"/>
        </w:rPr>
      </w:pPr>
    </w:p>
    <w:p>
      <w:pPr>
        <w:ind w:left="400" w:hanging="392"/>
        <w:spacing w:after="0"/>
        <w:tabs>
          <w:tab w:leader="none" w:pos="400"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NOTES PAYABLE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had the following short-term debt outstanding at the Consolidated Balance Sheets date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960" w:type="dxa"/>
            <w:vAlign w:val="bottom"/>
            <w:gridSpan w:val="2"/>
          </w:tcPr>
          <w:p>
            <w:pPr>
              <w:jc w:val="right"/>
              <w:ind w:right="50"/>
              <w:spacing w:after="0"/>
              <w:rPr>
                <w:sz w:val="20"/>
                <w:szCs w:val="20"/>
                <w:color w:val="auto"/>
              </w:rPr>
            </w:pPr>
            <w:r>
              <w:rPr>
                <w:rFonts w:ascii="Arial" w:cs="Arial" w:eastAsia="Arial" w:hAnsi="Arial"/>
                <w:sz w:val="18"/>
                <w:szCs w:val="18"/>
                <w:color w:val="auto"/>
              </w:rPr>
              <w:t>December 31, 2019</w:t>
            </w:r>
          </w:p>
        </w:tc>
        <w:tc>
          <w:tcPr>
            <w:tcW w:w="7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940" w:type="dxa"/>
            <w:vAlign w:val="bottom"/>
            <w:gridSpan w:val="2"/>
          </w:tcPr>
          <w:p>
            <w:pPr>
              <w:jc w:val="right"/>
              <w:ind w:right="50"/>
              <w:spacing w:after="0"/>
              <w:rPr>
                <w:sz w:val="20"/>
                <w:szCs w:val="20"/>
                <w:color w:val="auto"/>
              </w:rPr>
            </w:pPr>
            <w:r>
              <w:rPr>
                <w:rFonts w:ascii="Arial" w:cs="Arial" w:eastAsia="Arial" w:hAnsi="Arial"/>
                <w:sz w:val="18"/>
                <w:szCs w:val="18"/>
                <w:color w:val="auto"/>
              </w:rPr>
              <w:t>December 31, 2018</w:t>
            </w:r>
          </w:p>
        </w:tc>
        <w:tc>
          <w:tcPr>
            <w:tcW w:w="740" w:type="dxa"/>
            <w:vAlign w:val="bottom"/>
          </w:tcPr>
          <w:p>
            <w:pPr>
              <w:spacing w:after="0"/>
              <w:rPr>
                <w:sz w:val="20"/>
                <w:szCs w:val="20"/>
                <w:color w:val="auto"/>
              </w:rPr>
            </w:pPr>
          </w:p>
        </w:tc>
      </w:tr>
      <w:tr>
        <w:trPr>
          <w:trHeight w:val="297"/>
        </w:trPr>
        <w:tc>
          <w:tcPr>
            <w:tcW w:w="5040" w:type="dxa"/>
            <w:vAlign w:val="bottom"/>
            <w:tcBorders>
              <w:bottom w:val="single" w:sz="8" w:color="CEFFE7"/>
            </w:tcBorders>
          </w:tcPr>
          <w:p>
            <w:pPr>
              <w:spacing w:after="0"/>
              <w:rPr>
                <w:sz w:val="24"/>
                <w:szCs w:val="24"/>
                <w:color w:val="auto"/>
              </w:rPr>
            </w:pP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0"/>
              </w:rPr>
              <w:t>Balance Outstanding</w:t>
            </w:r>
          </w:p>
        </w:tc>
        <w:tc>
          <w:tcPr>
            <w:tcW w:w="15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6"/>
              </w:rPr>
              <w:t xml:space="preserve">Letters of Credit </w:t>
            </w:r>
            <w:r>
              <w:rPr>
                <w:rFonts w:ascii="Arial" w:cs="Arial" w:eastAsia="Arial" w:hAnsi="Arial"/>
                <w:sz w:val="25"/>
                <w:szCs w:val="25"/>
                <w:color w:val="auto"/>
                <w:w w:val="96"/>
                <w:vertAlign w:val="superscript"/>
              </w:rPr>
              <w:t>(a)</w:t>
            </w:r>
          </w:p>
        </w:tc>
        <w:tc>
          <w:tcPr>
            <w:tcW w:w="16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90"/>
              </w:rPr>
              <w:t>Balance Outstanding</w:t>
            </w:r>
          </w:p>
        </w:tc>
        <w:tc>
          <w:tcPr>
            <w:tcW w:w="160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 xml:space="preserve">Letters of Credit </w:t>
            </w:r>
            <w:r>
              <w:rPr>
                <w:rFonts w:ascii="Arial" w:cs="Arial" w:eastAsia="Arial" w:hAnsi="Arial"/>
                <w:sz w:val="25"/>
                <w:szCs w:val="25"/>
                <w:color w:val="auto"/>
                <w:w w:val="96"/>
                <w:vertAlign w:val="superscript"/>
              </w:rPr>
              <w:t>(a)</w:t>
            </w:r>
          </w:p>
        </w:tc>
      </w:tr>
      <w:tr>
        <w:trPr>
          <w:trHeight w:val="244"/>
        </w:trPr>
        <w:tc>
          <w:tcPr>
            <w:tcW w:w="50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Revolving Credit Facility</w:t>
            </w:r>
          </w:p>
        </w:tc>
        <w:tc>
          <w:tcPr>
            <w:tcW w:w="500" w:type="dxa"/>
            <w:vAlign w:val="bottom"/>
            <w:tcBorders>
              <w:bottom w:val="single" w:sz="8" w:color="CEFFE7"/>
            </w:tcBorders>
            <w:shd w:val="clear" w:color="auto" w:fill="CEFFE7"/>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30,274</w:t>
            </w:r>
          </w:p>
        </w:tc>
        <w:tc>
          <w:tcPr>
            <w:tcW w:w="54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ind w:right="6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r>
      <w:tr>
        <w:trPr>
          <w:trHeight w:val="243"/>
        </w:trPr>
        <w:tc>
          <w:tcPr>
            <w:tcW w:w="5040" w:type="dxa"/>
            <w:vAlign w:val="bottom"/>
          </w:tcPr>
          <w:p>
            <w:pPr>
              <w:ind w:left="40"/>
              <w:spacing w:after="0"/>
              <w:rPr>
                <w:sz w:val="20"/>
                <w:szCs w:val="20"/>
                <w:color w:val="auto"/>
              </w:rPr>
            </w:pPr>
            <w:r>
              <w:rPr>
                <w:rFonts w:ascii="Arial" w:cs="Arial" w:eastAsia="Arial" w:hAnsi="Arial"/>
                <w:sz w:val="18"/>
                <w:szCs w:val="18"/>
                <w:color w:val="auto"/>
              </w:rPr>
              <w:t>CP Program</w:t>
            </w:r>
          </w:p>
        </w:tc>
        <w:tc>
          <w:tcPr>
            <w:tcW w:w="5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349,500</w:t>
            </w:r>
          </w:p>
        </w:tc>
        <w:tc>
          <w:tcPr>
            <w:tcW w:w="8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185,620</w:t>
            </w:r>
          </w:p>
        </w:tc>
        <w:tc>
          <w:tcPr>
            <w:tcW w:w="86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504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57"/>
        </w:trPr>
        <w:tc>
          <w:tcPr>
            <w:tcW w:w="50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EFFE7"/>
          </w:tcPr>
          <w:p>
            <w:pPr>
              <w:jc w:val="right"/>
              <w:ind w:right="3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349,500</w:t>
            </w:r>
          </w:p>
        </w:tc>
        <w:tc>
          <w:tcPr>
            <w:tcW w:w="880" w:type="dxa"/>
            <w:vAlign w:val="bottom"/>
            <w:tcBorders>
              <w:bottom w:val="single" w:sz="8" w:color="auto"/>
            </w:tcBorders>
            <w:shd w:val="clear" w:color="auto" w:fill="CEFFE7"/>
          </w:tcPr>
          <w:p>
            <w:pPr>
              <w:jc w:val="right"/>
              <w:ind w:right="6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30,274</w:t>
            </w:r>
          </w:p>
        </w:tc>
        <w:tc>
          <w:tcPr>
            <w:tcW w:w="540" w:type="dxa"/>
            <w:vAlign w:val="bottom"/>
            <w:tcBorders>
              <w:bottom w:val="single" w:sz="8" w:color="auto"/>
            </w:tcBorders>
            <w:shd w:val="clear" w:color="auto" w:fill="CEFFE7"/>
          </w:tcPr>
          <w:p>
            <w:pPr>
              <w:ind w:left="6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c>
          <w:tcPr>
            <w:tcW w:w="860" w:type="dxa"/>
            <w:vAlign w:val="bottom"/>
            <w:tcBorders>
              <w:bottom w:val="single" w:sz="8" w:color="auto"/>
            </w:tcBorders>
            <w:shd w:val="clear" w:color="auto" w:fill="CEFFE7"/>
          </w:tcPr>
          <w:p>
            <w:pPr>
              <w:jc w:val="right"/>
              <w:ind w:right="6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22,311</w:t>
            </w:r>
          </w:p>
        </w:tc>
      </w:tr>
      <w:tr>
        <w:trPr>
          <w:trHeight w:val="20"/>
        </w:trPr>
        <w:tc>
          <w:tcPr>
            <w:tcW w:w="50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6" w:lineRule="exact"/>
        <w:rPr>
          <w:sz w:val="20"/>
          <w:szCs w:val="20"/>
          <w:color w:val="auto"/>
        </w:rPr>
      </w:pPr>
    </w:p>
    <w:p>
      <w:pPr>
        <w:spacing w:after="0"/>
        <w:rPr>
          <w:sz w:val="20"/>
          <w:szCs w:val="20"/>
          <w:color w:val="auto"/>
        </w:rPr>
      </w:pPr>
      <w:r>
        <w:rPr>
          <w:rFonts w:ascii="Arial" w:cs="Arial" w:eastAsia="Arial" w:hAnsi="Arial"/>
          <w:sz w:val="16"/>
          <w:szCs w:val="16"/>
          <w:color w:val="auto"/>
        </w:rPr>
        <w:t>_______________</w:t>
      </w:r>
    </w:p>
    <w:p>
      <w:pPr>
        <w:spacing w:after="0" w:line="19" w:lineRule="exact"/>
        <w:rPr>
          <w:sz w:val="20"/>
          <w:szCs w:val="20"/>
          <w:color w:val="auto"/>
        </w:rPr>
      </w:pPr>
    </w:p>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Letters of credit are off-balance sheet commitments that reduce the borrowing capacity available on our corporate Revolving Credit Facility.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Revolving Credit Facility and CP Program</w:t>
      </w:r>
    </w:p>
    <w:p>
      <w:pPr>
        <w:spacing w:after="0" w:line="225"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On July 30, 2018, we amended and restated our corporate Revolving Credit Facility, maintaining total commitments of $750 million and extending the term through July 30, 2023 with two one year extension options (subject to consent from lenders). This facility is similar to the former revolving credit facility, which includes an accordion feature that allows us, with the consent of the administrative agent, the issuing agents and each bank increasing or providing a new commitment, to increase total commitments up to $1.0 billion. Borrowings continue to be available under a base rate or various Eurodollar rate options. The interest costs associated with the letters of credit or borrowings and the commitment fee under the Revolving Credit Facility are determined based upon our Corporate credit rating from S&amp;P, Fitch, and Moody's for our senior unsecured long-term debt. Based on our credit ratings, the margins for base rate borrowings, Eurodollar borrowings, and letters of credit were 0.125%, 1.125%, and 1.125%, respectively, at December 31, 2019. Based on our credit ratings, a 0.175% commitment fee was charged on the unused amount at December 31, 2019.</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420"/>
          </w:cols>
          <w:pgMar w:left="240" w:top="126" w:right="239" w:bottom="1440" w:gutter="0" w:footer="0" w:header="0"/>
          <w:type w:val="continuous"/>
        </w:sectPr>
      </w:pPr>
    </w:p>
    <w:bookmarkStart w:id="105" w:name="page106"/>
    <w:bookmarkEnd w:id="10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We have a $750 million, unsecured CP Program that is backstopped by the Revolving Credit Facility. Amounts outstanding under the Revolving Credit Facility and the CP Program, either individually or in the aggregate, cannot exceed $750 million. The notes issued under the CP Program may have maturities not to exceed 397 days from the date of issuance and bear interest (or are sold at par less a discount representing an interest factor) based on, among other things, the size and maturity date of the note, the frequency of the issuance and our credit ratings. Under the CP Program, any borrowings rank equally with our unsecured debt. Notes under the CP Program are not registered and are offered and issued pursuant to a registration exemption.</w:t>
      </w:r>
    </w:p>
    <w:p>
      <w:pPr>
        <w:spacing w:after="0" w:line="158"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Our net short-term borrowings (payments) during 2019 were $164 million. As of December 31, 2019, the weighted average interest rate on short-term borrowings was 2.03%.</w:t>
      </w:r>
    </w:p>
    <w:p>
      <w:pPr>
        <w:spacing w:after="0" w:line="170" w:lineRule="exact"/>
        <w:rPr>
          <w:sz w:val="20"/>
          <w:szCs w:val="20"/>
          <w:color w:val="auto"/>
        </w:rPr>
      </w:pPr>
    </w:p>
    <w:p>
      <w:pPr>
        <w:ind w:right="560"/>
        <w:spacing w:after="0" w:line="308" w:lineRule="auto"/>
        <w:rPr>
          <w:rFonts w:ascii="Arial" w:cs="Arial" w:eastAsia="Arial" w:hAnsi="Arial"/>
          <w:sz w:val="17"/>
          <w:szCs w:val="17"/>
          <w:color w:val="auto"/>
        </w:rPr>
      </w:pPr>
      <w:r>
        <w:rPr>
          <w:rFonts w:ascii="Arial" w:cs="Arial" w:eastAsia="Arial" w:hAnsi="Arial"/>
          <w:sz w:val="17"/>
          <w:szCs w:val="17"/>
          <w:color w:val="auto"/>
        </w:rPr>
        <w:t xml:space="preserve">Total accumulated deferred financing costs on the Revolving Credit Facility of $6.7 million are being amortized over its estimated useful life and were included in Interest expense on the accompanying Consolidated Statements of Income. See </w:t>
      </w:r>
      <w:hyperlink w:anchor="page103">
        <w:r>
          <w:rPr>
            <w:rFonts w:ascii="Arial" w:cs="Arial" w:eastAsia="Arial" w:hAnsi="Arial"/>
            <w:sz w:val="17"/>
            <w:szCs w:val="17"/>
            <w:u w:val="single" w:color="auto"/>
            <w:color w:val="0000EE"/>
          </w:rPr>
          <w:t>Note 6</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above for additional details.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Debt Covenants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Under our Revolving Credit Facility and term loan agreements we are required to maintain a Consolidated Indebtedness to Capitalization Ratio not to exceed 0.65 to 1.00. Our Consolidated Indebtedness to Capitalization Ratio is calculated by dividing (i) Consolidated Indebtedness, which includes letters of credit and certain guarantees issued by (ii) Capital, which includes Consolidated Indebtedness plus Net Worth, which excludes noncontrolling interest in subsidiaries. Subject to applicable cure periods, a violation of any of these covenants would constitute an event of default that entitles the lenders to terminate their remaining commitments and accelerate all principal and interest outstanding. As of December 31, 2019, we were in compliance with these covenants.</w:t>
      </w:r>
    </w:p>
    <w:p>
      <w:pPr>
        <w:spacing w:after="0" w:line="37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have identified legal retirement obligations related to reclamation of mining sites in the Mining segment and removal of fuel tanks, transformers containing polychlorinated biphenyls, and an evaporation pond at our Electric Utilities, wind turbines at our Electric Utilities and Power Generation segments, retirement of gas pipelines at our Gas Utilities and removal of asbestos at our Electric and Gas Utilities. We periodically review and update estimated costs related to these AROs. The actual cost may vary from estimates because of regulatory requirements, changes in technology and increased costs of labor, materials and equipment.</w:t>
      </w:r>
    </w:p>
    <w:p>
      <w:pPr>
        <w:spacing w:after="0" w:line="18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The following tables present the details of AROs which are included on the accompanying Consolidated Balance Sheets in Other deferred credits and other liabilities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w w:val="94"/>
              </w:rPr>
              <w:t>Revisions to Prior</w:t>
            </w:r>
          </w:p>
        </w:tc>
        <w:tc>
          <w:tcPr>
            <w:tcW w:w="50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57"/>
        </w:trPr>
        <w:tc>
          <w:tcPr>
            <w:tcW w:w="218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2018</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Liabilities Incurred</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Liabilities Settled</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tcPr>
          <w:p>
            <w:pPr>
              <w:jc w:val="right"/>
              <w:ind w:right="290"/>
              <w:spacing w:after="0" w:line="257" w:lineRule="exact"/>
              <w:rPr>
                <w:sz w:val="20"/>
                <w:szCs w:val="20"/>
                <w:color w:val="auto"/>
              </w:rPr>
            </w:pPr>
            <w:r>
              <w:rPr>
                <w:rFonts w:ascii="Arial" w:cs="Arial" w:eastAsia="Arial" w:hAnsi="Arial"/>
                <w:sz w:val="18"/>
                <w:szCs w:val="18"/>
                <w:color w:val="auto"/>
                <w:w w:val="94"/>
              </w:rPr>
              <w:t xml:space="preserve">Estimates </w:t>
            </w:r>
            <w:r>
              <w:rPr>
                <w:rFonts w:ascii="Arial" w:cs="Arial" w:eastAsia="Arial" w:hAnsi="Arial"/>
                <w:sz w:val="25"/>
                <w:szCs w:val="25"/>
                <w:color w:val="auto"/>
                <w:w w:val="94"/>
                <w:vertAlign w:val="superscript"/>
              </w:rPr>
              <w:t>(a) (b)</w:t>
            </w:r>
          </w:p>
        </w:tc>
        <w:tc>
          <w:tcPr>
            <w:tcW w:w="1480" w:type="dxa"/>
            <w:vAlign w:val="bottom"/>
            <w:tcBorders>
              <w:bottom w:val="single" w:sz="8" w:color="auto"/>
            </w:tcBorders>
            <w:gridSpan w:val="2"/>
          </w:tcPr>
          <w:p>
            <w:pPr>
              <w:ind w:left="40"/>
              <w:spacing w:after="0"/>
              <w:rPr>
                <w:sz w:val="20"/>
                <w:szCs w:val="20"/>
                <w:color w:val="auto"/>
              </w:rPr>
            </w:pPr>
            <w:r>
              <w:rPr>
                <w:rFonts w:ascii="Arial" w:cs="Arial" w:eastAsia="Arial" w:hAnsi="Arial"/>
                <w:sz w:val="18"/>
                <w:szCs w:val="18"/>
                <w:color w:val="auto"/>
                <w:w w:val="89"/>
              </w:rPr>
              <w:t>December 31, 2019</w:t>
            </w:r>
          </w:p>
        </w:tc>
      </w:tr>
      <w:tr>
        <w:trPr>
          <w:trHeight w:val="264"/>
        </w:trPr>
        <w:tc>
          <w:tcPr>
            <w:tcW w:w="21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Electric Utilities </w:t>
            </w:r>
            <w:r>
              <w:rPr>
                <w:rFonts w:ascii="Arial" w:cs="Arial" w:eastAsia="Arial" w:hAnsi="Arial"/>
                <w:sz w:val="25"/>
                <w:szCs w:val="25"/>
                <w:color w:val="auto"/>
                <w:vertAlign w:val="superscript"/>
              </w:rPr>
              <w:t>(c)</w:t>
            </w:r>
          </w:p>
        </w:tc>
        <w:tc>
          <w:tcPr>
            <w:tcW w:w="500" w:type="dxa"/>
            <w:vAlign w:val="bottom"/>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6,258</w:t>
            </w:r>
          </w:p>
        </w:tc>
        <w:tc>
          <w:tcPr>
            <w:tcW w:w="560" w:type="dxa"/>
            <w:vAlign w:val="bottom"/>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385</w:t>
            </w:r>
          </w:p>
        </w:tc>
        <w:tc>
          <w:tcPr>
            <w:tcW w:w="2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2,686</w:t>
            </w:r>
          </w:p>
        </w:tc>
        <w:tc>
          <w:tcPr>
            <w:tcW w:w="500" w:type="dxa"/>
            <w:vAlign w:val="bottom"/>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9,329</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34,627</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1,458</w:t>
            </w:r>
          </w:p>
        </w:tc>
        <w:tc>
          <w:tcPr>
            <w:tcW w:w="240" w:type="dxa"/>
            <w:vAlign w:val="bottom"/>
          </w:tcPr>
          <w:p>
            <w:pPr>
              <w:spacing w:after="0"/>
              <w:rPr>
                <w:sz w:val="21"/>
                <w:szCs w:val="21"/>
                <w:color w:val="auto"/>
              </w:rPr>
            </w:pPr>
          </w:p>
        </w:tc>
        <w:tc>
          <w:tcPr>
            <w:tcW w:w="16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36,085</w:t>
            </w:r>
          </w:p>
        </w:tc>
      </w:tr>
      <w:tr>
        <w:trPr>
          <w:trHeight w:val="27"/>
        </w:trPr>
        <w:tc>
          <w:tcPr>
            <w:tcW w:w="2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21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Power Generation </w:t>
            </w:r>
            <w:r>
              <w:rPr>
                <w:rFonts w:ascii="Arial" w:cs="Arial" w:eastAsia="Arial" w:hAnsi="Arial"/>
                <w:sz w:val="25"/>
                <w:szCs w:val="25"/>
                <w:color w:val="auto"/>
                <w:vertAlign w:val="superscript"/>
              </w:rPr>
              <w:t>(c)</w:t>
            </w:r>
          </w:p>
        </w:tc>
        <w:tc>
          <w:tcPr>
            <w:tcW w:w="500" w:type="dxa"/>
            <w:vAlign w:val="bottom"/>
            <w:shd w:val="clear" w:color="auto" w:fill="CEFFE7"/>
          </w:tcPr>
          <w:p>
            <w:pPr>
              <w:spacing w:after="0"/>
              <w:rPr>
                <w:sz w:val="23"/>
                <w:szCs w:val="23"/>
                <w:color w:val="auto"/>
              </w:rPr>
            </w:pPr>
          </w:p>
        </w:tc>
        <w:tc>
          <w:tcPr>
            <w:tcW w:w="10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300</w:t>
            </w:r>
          </w:p>
        </w:tc>
        <w:tc>
          <w:tcPr>
            <w:tcW w:w="560" w:type="dxa"/>
            <w:vAlign w:val="bottom"/>
            <w:shd w:val="clear" w:color="auto" w:fill="CEFFE7"/>
          </w:tcPr>
          <w:p>
            <w:pPr>
              <w:spacing w:after="0"/>
              <w:rPr>
                <w:sz w:val="23"/>
                <w:szCs w:val="23"/>
                <w:color w:val="auto"/>
              </w:rPr>
            </w:pP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3,445</w:t>
            </w:r>
          </w:p>
        </w:tc>
        <w:tc>
          <w:tcPr>
            <w:tcW w:w="280" w:type="dxa"/>
            <w:vAlign w:val="bottom"/>
            <w:shd w:val="clear" w:color="auto" w:fill="CEFFE7"/>
          </w:tcPr>
          <w:p>
            <w:pPr>
              <w:spacing w:after="0"/>
              <w:rPr>
                <w:sz w:val="23"/>
                <w:szCs w:val="23"/>
                <w:color w:val="auto"/>
              </w:rPr>
            </w:pPr>
          </w:p>
        </w:tc>
        <w:tc>
          <w:tcPr>
            <w:tcW w:w="1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shd w:val="clear" w:color="auto" w:fill="CEFFE7"/>
          </w:tcPr>
          <w:p>
            <w:pPr>
              <w:spacing w:after="0"/>
              <w:rPr>
                <w:sz w:val="23"/>
                <w:szCs w:val="23"/>
                <w:color w:val="auto"/>
              </w:rPr>
            </w:pP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158</w:t>
            </w:r>
          </w:p>
        </w:tc>
        <w:tc>
          <w:tcPr>
            <w:tcW w:w="240" w:type="dxa"/>
            <w:vAlign w:val="bottom"/>
            <w:shd w:val="clear" w:color="auto" w:fill="CEFFE7"/>
          </w:tcPr>
          <w:p>
            <w:pPr>
              <w:spacing w:after="0"/>
              <w:rPr>
                <w:sz w:val="23"/>
                <w:szCs w:val="23"/>
                <w:color w:val="auto"/>
              </w:rPr>
            </w:pPr>
          </w:p>
        </w:tc>
        <w:tc>
          <w:tcPr>
            <w:tcW w:w="16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836</w:t>
            </w:r>
          </w:p>
        </w:tc>
        <w:tc>
          <w:tcPr>
            <w:tcW w:w="500" w:type="dxa"/>
            <w:vAlign w:val="bottom"/>
            <w:shd w:val="clear" w:color="auto" w:fill="CEFFE7"/>
          </w:tcPr>
          <w:p>
            <w:pPr>
              <w:spacing w:after="0"/>
              <w:rPr>
                <w:sz w:val="23"/>
                <w:szCs w:val="23"/>
                <w:color w:val="auto"/>
              </w:rPr>
            </w:pPr>
          </w:p>
        </w:tc>
        <w:tc>
          <w:tcPr>
            <w:tcW w:w="9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4,739</w:t>
            </w: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15,615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740</w:t>
            </w:r>
          </w:p>
        </w:tc>
        <w:tc>
          <w:tcPr>
            <w:tcW w:w="240" w:type="dxa"/>
            <w:vAlign w:val="bottom"/>
          </w:tcPr>
          <w:p>
            <w:pPr>
              <w:spacing w:after="0"/>
              <w:rPr>
                <w:sz w:val="21"/>
                <w:szCs w:val="21"/>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(1,923)</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14,052</w:t>
            </w:r>
          </w:p>
        </w:tc>
      </w:tr>
      <w:tr>
        <w:trPr>
          <w:trHeight w:val="27"/>
        </w:trPr>
        <w:tc>
          <w:tcPr>
            <w:tcW w:w="2180" w:type="dxa"/>
            <w:vAlign w:val="bottom"/>
            <w:tcBorders>
              <w:bottom w:val="single" w:sz="8" w:color="CEFFE7"/>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21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56,800</w:t>
            </w:r>
          </w:p>
        </w:tc>
        <w:tc>
          <w:tcPr>
            <w:tcW w:w="560" w:type="dxa"/>
            <w:vAlign w:val="bottom"/>
            <w:tcBorders>
              <w:bottom w:val="single" w:sz="8" w:color="auto"/>
            </w:tcBorders>
            <w:shd w:val="clear" w:color="auto" w:fill="CEFFE7"/>
          </w:tcPr>
          <w:p>
            <w:pPr>
              <w:jc w:val="right"/>
              <w:ind w:right="33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3,445</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(380)</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2,741</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1,599</w:t>
            </w:r>
          </w:p>
        </w:tc>
        <w:tc>
          <w:tcPr>
            <w:tcW w:w="5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64,205</w:t>
            </w:r>
          </w:p>
        </w:tc>
      </w:tr>
      <w:tr>
        <w:trPr>
          <w:trHeight w:val="20"/>
        </w:trPr>
        <w:tc>
          <w:tcPr>
            <w:tcW w:w="21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635"/>
        </w:trPr>
        <w:tc>
          <w:tcPr>
            <w:tcW w:w="21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0" w:type="dxa"/>
            <w:vAlign w:val="bottom"/>
          </w:tcPr>
          <w:p>
            <w:pPr>
              <w:jc w:val="right"/>
              <w:ind w:right="710"/>
              <w:spacing w:after="0"/>
              <w:rPr>
                <w:sz w:val="20"/>
                <w:szCs w:val="20"/>
                <w:color w:val="auto"/>
              </w:rPr>
            </w:pPr>
            <w:r>
              <w:rPr>
                <w:rFonts w:ascii="Arial" w:cs="Arial" w:eastAsia="Arial" w:hAnsi="Arial"/>
                <w:sz w:val="18"/>
                <w:szCs w:val="18"/>
                <w:color w:val="auto"/>
              </w:rPr>
              <w:t>105</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420"/>
          </w:cols>
          <w:pgMar w:left="240" w:top="126" w:right="239" w:bottom="1440" w:gutter="0" w:footer="0" w:header="0"/>
        </w:sectPr>
      </w:pPr>
    </w:p>
    <w:bookmarkStart w:id="106" w:name="page107"/>
    <w:bookmarkEnd w:id="10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1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tcPr>
          <w:p>
            <w:pPr>
              <w:jc w:val="right"/>
              <w:ind w:right="130"/>
              <w:spacing w:after="0"/>
              <w:rPr>
                <w:sz w:val="20"/>
                <w:szCs w:val="20"/>
                <w:color w:val="auto"/>
              </w:rPr>
            </w:pPr>
            <w:r>
              <w:rPr>
                <w:rFonts w:ascii="Arial" w:cs="Arial" w:eastAsia="Arial" w:hAnsi="Arial"/>
                <w:sz w:val="18"/>
                <w:szCs w:val="18"/>
                <w:color w:val="auto"/>
                <w:w w:val="94"/>
              </w:rPr>
              <w:t>Revisions to Prior</w:t>
            </w:r>
          </w:p>
        </w:tc>
        <w:tc>
          <w:tcPr>
            <w:tcW w:w="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180" w:type="dxa"/>
            <w:vAlign w:val="bottom"/>
            <w:tcBorders>
              <w:bottom w:val="single" w:sz="8" w:color="CEFFE7"/>
            </w:tcBorders>
          </w:tcPr>
          <w:p>
            <w:pPr>
              <w:spacing w:after="0"/>
              <w:rPr>
                <w:sz w:val="22"/>
                <w:szCs w:val="22"/>
                <w:color w:val="auto"/>
              </w:rPr>
            </w:pPr>
          </w:p>
        </w:tc>
        <w:tc>
          <w:tcPr>
            <w:tcW w:w="1500" w:type="dxa"/>
            <w:vAlign w:val="bottom"/>
            <w:tcBorders>
              <w:bottom w:val="single" w:sz="8" w:color="auto"/>
            </w:tcBorders>
            <w:gridSpan w:val="2"/>
          </w:tcPr>
          <w:p>
            <w:pPr>
              <w:ind w:left="60"/>
              <w:spacing w:after="0"/>
              <w:rPr>
                <w:sz w:val="20"/>
                <w:szCs w:val="20"/>
                <w:color w:val="auto"/>
              </w:rPr>
            </w:pPr>
            <w:r>
              <w:rPr>
                <w:rFonts w:ascii="Arial" w:cs="Arial" w:eastAsia="Arial" w:hAnsi="Arial"/>
                <w:sz w:val="18"/>
                <w:szCs w:val="18"/>
                <w:color w:val="auto"/>
                <w:w w:val="89"/>
              </w:rPr>
              <w:t>December 31, 2017</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Liabilities Incurred</w:t>
            </w:r>
          </w:p>
        </w:tc>
        <w:tc>
          <w:tcPr>
            <w:tcW w:w="1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Liabilities Settled</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Accretion</w:t>
            </w:r>
          </w:p>
        </w:tc>
        <w:tc>
          <w:tcPr>
            <w:tcW w:w="24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30"/>
              <w:spacing w:after="0" w:line="257" w:lineRule="exact"/>
              <w:rPr>
                <w:sz w:val="20"/>
                <w:szCs w:val="20"/>
                <w:color w:val="auto"/>
              </w:rPr>
            </w:pPr>
            <w:r>
              <w:rPr>
                <w:rFonts w:ascii="Arial" w:cs="Arial" w:eastAsia="Arial" w:hAnsi="Arial"/>
                <w:sz w:val="18"/>
                <w:szCs w:val="18"/>
                <w:color w:val="auto"/>
              </w:rPr>
              <w:t xml:space="preserve">Estimates </w:t>
            </w:r>
            <w:r>
              <w:rPr>
                <w:rFonts w:ascii="Arial" w:cs="Arial" w:eastAsia="Arial" w:hAnsi="Arial"/>
                <w:sz w:val="25"/>
                <w:szCs w:val="25"/>
                <w:color w:val="auto"/>
                <w:vertAlign w:val="superscript"/>
              </w:rPr>
              <w:t>(b)</w:t>
            </w:r>
          </w:p>
        </w:tc>
        <w:tc>
          <w:tcPr>
            <w:tcW w:w="1520" w:type="dxa"/>
            <w:vAlign w:val="bottom"/>
            <w:tcBorders>
              <w:bottom w:val="single" w:sz="8" w:color="auto"/>
            </w:tcBorders>
            <w:gridSpan w:val="2"/>
          </w:tcPr>
          <w:p>
            <w:pPr>
              <w:ind w:left="80"/>
              <w:spacing w:after="0"/>
              <w:rPr>
                <w:sz w:val="20"/>
                <w:szCs w:val="20"/>
                <w:color w:val="auto"/>
              </w:rPr>
            </w:pPr>
            <w:r>
              <w:rPr>
                <w:rFonts w:ascii="Arial" w:cs="Arial" w:eastAsia="Arial" w:hAnsi="Arial"/>
                <w:sz w:val="18"/>
                <w:szCs w:val="18"/>
                <w:color w:val="auto"/>
                <w:w w:val="89"/>
              </w:rPr>
              <w:t>December 31, 2018</w:t>
            </w:r>
          </w:p>
        </w:tc>
        <w:tc>
          <w:tcPr>
            <w:tcW w:w="0" w:type="dxa"/>
            <w:vAlign w:val="bottom"/>
          </w:tcPr>
          <w:p>
            <w:pPr>
              <w:spacing w:after="0"/>
              <w:rPr>
                <w:sz w:val="1"/>
                <w:szCs w:val="1"/>
                <w:color w:val="auto"/>
              </w:rPr>
            </w:pPr>
          </w:p>
        </w:tc>
      </w:tr>
      <w:tr>
        <w:trPr>
          <w:trHeight w:val="244"/>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Electric Utilities</w:t>
            </w:r>
          </w:p>
        </w:tc>
        <w:tc>
          <w:tcPr>
            <w:tcW w:w="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6,287</w:t>
            </w:r>
          </w:p>
        </w:tc>
        <w:tc>
          <w:tcPr>
            <w:tcW w:w="6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w:t>
            </w:r>
          </w:p>
        </w:tc>
        <w:tc>
          <w:tcPr>
            <w:tcW w:w="54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6,558</w:t>
            </w:r>
          </w:p>
        </w:tc>
        <w:tc>
          <w:tcPr>
            <w:tcW w:w="0" w:type="dxa"/>
            <w:vAlign w:val="bottom"/>
          </w:tcPr>
          <w:p>
            <w:pPr>
              <w:spacing w:after="0"/>
              <w:rPr>
                <w:sz w:val="1"/>
                <w:szCs w:val="1"/>
                <w:color w:val="auto"/>
              </w:rPr>
            </w:pPr>
          </w:p>
        </w:tc>
      </w:tr>
      <w:tr>
        <w:trPr>
          <w:trHeight w:val="243"/>
        </w:trPr>
        <w:tc>
          <w:tcPr>
            <w:tcW w:w="2180" w:type="dxa"/>
            <w:vAlign w:val="bottom"/>
          </w:tcPr>
          <w:p>
            <w:pPr>
              <w:ind w:left="40"/>
              <w:spacing w:after="0"/>
              <w:rPr>
                <w:sz w:val="20"/>
                <w:szCs w:val="20"/>
                <w:color w:val="auto"/>
              </w:rPr>
            </w:pPr>
            <w:r>
              <w:rPr>
                <w:rFonts w:ascii="Arial" w:cs="Arial" w:eastAsia="Arial" w:hAnsi="Arial"/>
                <w:sz w:val="18"/>
                <w:szCs w:val="18"/>
                <w:color w:val="auto"/>
              </w:rPr>
              <w:t>Gas Utilities</w:t>
            </w:r>
          </w:p>
        </w:tc>
        <w:tc>
          <w:tcPr>
            <w:tcW w:w="50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33,238</w:t>
            </w:r>
          </w:p>
        </w:tc>
        <w:tc>
          <w:tcPr>
            <w:tcW w:w="62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152</w:t>
            </w:r>
          </w:p>
        </w:tc>
        <w:tc>
          <w:tcPr>
            <w:tcW w:w="68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1,237</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34,627</w:t>
            </w:r>
          </w:p>
        </w:tc>
        <w:tc>
          <w:tcPr>
            <w:tcW w:w="0" w:type="dxa"/>
            <w:vAlign w:val="bottom"/>
          </w:tcPr>
          <w:p>
            <w:pPr>
              <w:spacing w:after="0"/>
              <w:rPr>
                <w:sz w:val="1"/>
                <w:szCs w:val="1"/>
                <w:color w:val="auto"/>
              </w:rPr>
            </w:pPr>
          </w:p>
        </w:tc>
      </w:tr>
      <w:tr>
        <w:trPr>
          <w:trHeight w:val="27"/>
        </w:trPr>
        <w:tc>
          <w:tcPr>
            <w:tcW w:w="21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1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Mining</w:t>
            </w:r>
          </w:p>
        </w:tc>
        <w:tc>
          <w:tcPr>
            <w:tcW w:w="50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12,499</w:t>
            </w:r>
          </w:p>
        </w:tc>
        <w:tc>
          <w:tcPr>
            <w:tcW w:w="620" w:type="dxa"/>
            <w:vAlign w:val="bottom"/>
            <w:tcBorders>
              <w:bottom w:val="single" w:sz="8" w:color="CEFFE7"/>
            </w:tcBorders>
            <w:shd w:val="clear" w:color="auto" w:fill="CEFFE7"/>
          </w:tcPr>
          <w:p>
            <w:pPr>
              <w:spacing w:after="0"/>
              <w:rPr>
                <w:sz w:val="23"/>
                <w:szCs w:val="23"/>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spacing w:after="0"/>
              <w:rPr>
                <w:sz w:val="23"/>
                <w:szCs w:val="23"/>
                <w:color w:val="auto"/>
              </w:rPr>
            </w:pPr>
          </w:p>
        </w:tc>
        <w:tc>
          <w:tcPr>
            <w:tcW w:w="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649</w:t>
            </w:r>
          </w:p>
        </w:tc>
        <w:tc>
          <w:tcPr>
            <w:tcW w:w="2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2,471</w:t>
            </w:r>
          </w:p>
        </w:tc>
        <w:tc>
          <w:tcPr>
            <w:tcW w:w="5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15,615</w:t>
            </w:r>
          </w:p>
        </w:tc>
        <w:tc>
          <w:tcPr>
            <w:tcW w:w="0" w:type="dxa"/>
            <w:vAlign w:val="bottom"/>
          </w:tcPr>
          <w:p>
            <w:pPr>
              <w:spacing w:after="0"/>
              <w:rPr>
                <w:sz w:val="1"/>
                <w:szCs w:val="1"/>
                <w:color w:val="auto"/>
              </w:rPr>
            </w:pPr>
          </w:p>
        </w:tc>
      </w:tr>
      <w:tr>
        <w:trPr>
          <w:trHeight w:val="257"/>
        </w:trPr>
        <w:tc>
          <w:tcPr>
            <w:tcW w:w="2180" w:type="dxa"/>
            <w:vAlign w:val="bottom"/>
          </w:tcPr>
          <w:p>
            <w:pPr>
              <w:ind w:left="280"/>
              <w:spacing w:after="0"/>
              <w:rPr>
                <w:sz w:val="20"/>
                <w:szCs w:val="20"/>
                <w:color w:val="auto"/>
              </w:rPr>
            </w:pPr>
            <w:r>
              <w:rPr>
                <w:rFonts w:ascii="Arial" w:cs="Arial" w:eastAsia="Arial" w:hAnsi="Arial"/>
                <w:sz w:val="18"/>
                <w:szCs w:val="18"/>
                <w:color w:val="auto"/>
              </w:rPr>
              <w:t>Total</w:t>
            </w:r>
          </w:p>
        </w:tc>
        <w:tc>
          <w:tcPr>
            <w:tcW w:w="5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52,024</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152</w:t>
            </w:r>
          </w:p>
        </w:tc>
        <w:tc>
          <w:tcPr>
            <w:tcW w:w="68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2,155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2,473</w:t>
            </w:r>
          </w:p>
        </w:tc>
        <w:tc>
          <w:tcPr>
            <w:tcW w:w="5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56,800</w:t>
            </w:r>
          </w:p>
        </w:tc>
        <w:tc>
          <w:tcPr>
            <w:tcW w:w="0" w:type="dxa"/>
            <w:vAlign w:val="bottom"/>
          </w:tcPr>
          <w:p>
            <w:pPr>
              <w:spacing w:after="0"/>
              <w:rPr>
                <w:sz w:val="1"/>
                <w:szCs w:val="1"/>
                <w:color w:val="auto"/>
              </w:rPr>
            </w:pPr>
          </w:p>
        </w:tc>
      </w:tr>
      <w:tr>
        <w:trPr>
          <w:trHeight w:val="20"/>
        </w:trPr>
        <w:tc>
          <w:tcPr>
            <w:tcW w:w="2180" w:type="dxa"/>
            <w:vAlign w:val="bottom"/>
            <w:vMerge w:val="restart"/>
          </w:tcPr>
          <w:p>
            <w:pPr>
              <w:spacing w:after="0"/>
              <w:rPr>
                <w:sz w:val="20"/>
                <w:szCs w:val="20"/>
                <w:color w:val="auto"/>
              </w:rPr>
            </w:pPr>
            <w:r>
              <w:rPr>
                <w:rFonts w:ascii="Arial" w:cs="Arial" w:eastAsia="Arial" w:hAnsi="Arial"/>
                <w:sz w:val="16"/>
                <w:szCs w:val="16"/>
                <w:color w:val="auto"/>
              </w:rPr>
              <w:t>_____________________</w:t>
            </w:r>
          </w:p>
        </w:tc>
        <w:tc>
          <w:tcPr>
            <w:tcW w:w="5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80" w:type="dxa"/>
            <w:vAlign w:val="bottom"/>
            <w:vMerge w:val="continue"/>
          </w:tcPr>
          <w:p>
            <w:pPr>
              <w:spacing w:after="0"/>
              <w:rPr>
                <w:sz w:val="15"/>
                <w:szCs w:val="15"/>
                <w:color w:val="auto"/>
              </w:rPr>
            </w:pPr>
          </w:p>
        </w:tc>
        <w:tc>
          <w:tcPr>
            <w:tcW w:w="5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400" w:hanging="332"/>
        <w:spacing w:after="0" w:line="24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increase in Electric Utilities Revisions to Prior Estimates was primarily driven by an increase to the estimated cost to decommission certain regulated wind farm assets.</w:t>
      </w:r>
    </w:p>
    <w:p>
      <w:pPr>
        <w:ind w:left="340" w:right="120" w:hanging="332"/>
        <w:spacing w:after="0" w:line="246" w:lineRule="auto"/>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The changes in the Mining Revision to Prior Estimates were primarily driven by changes in estimated costs associated with back-filling the pit with overburden removed during the mining process.</w:t>
      </w:r>
    </w:p>
    <w:p>
      <w:pPr>
        <w:ind w:left="340" w:right="100" w:hanging="332"/>
        <w:spacing w:after="0" w:line="290" w:lineRule="auto"/>
        <w:tabs>
          <w:tab w:leader="none" w:pos="340" w:val="left"/>
        </w:tabs>
        <w:numPr>
          <w:ilvl w:val="0"/>
          <w:numId w:val="75"/>
        </w:numPr>
        <w:rPr>
          <w:rFonts w:ascii="Arial" w:cs="Arial" w:eastAsia="Arial" w:hAnsi="Arial"/>
          <w:sz w:val="15"/>
          <w:szCs w:val="15"/>
          <w:color w:val="auto"/>
        </w:rPr>
      </w:pPr>
      <w:r>
        <w:rPr>
          <w:rFonts w:ascii="Arial" w:cs="Arial" w:eastAsia="Arial" w:hAnsi="Arial"/>
          <w:sz w:val="15"/>
          <w:szCs w:val="15"/>
          <w:color w:val="auto"/>
        </w:rPr>
        <w:t>We reclassified $0.3 million of ARO as of December 31, 2018 related to Busch Ranch I from Electric Utilities to the Power Generation segment as a result of Black Hills Electric Generation’s purchase of its 50% ownership interest in Busch Ranch I. Additional liabilities were incurred in 2019 from new wind assets.</w:t>
      </w:r>
    </w:p>
    <w:p>
      <w:pPr>
        <w:spacing w:after="0" w:line="132" w:lineRule="exact"/>
        <w:rPr>
          <w:sz w:val="20"/>
          <w:szCs w:val="20"/>
          <w:color w:val="auto"/>
        </w:rPr>
      </w:pPr>
    </w:p>
    <w:p>
      <w:pPr>
        <w:jc w:val="both"/>
        <w:ind w:right="480"/>
        <w:spacing w:after="0" w:line="259" w:lineRule="auto"/>
        <w:rPr>
          <w:sz w:val="20"/>
          <w:szCs w:val="20"/>
          <w:color w:val="auto"/>
        </w:rPr>
      </w:pPr>
      <w:r>
        <w:rPr>
          <w:rFonts w:ascii="Arial" w:cs="Arial" w:eastAsia="Arial" w:hAnsi="Arial"/>
          <w:sz w:val="18"/>
          <w:szCs w:val="18"/>
          <w:color w:val="auto"/>
        </w:rPr>
        <w:t>We also have legally required AROs related to certain assets within our electric transmission and distribution systems. These retirement obligations are pursuant to an easement or franchise agreement and are only required if we discontinue our utility service under such easement or franchise agreement. Accordingly, it is not possible to estimate a time period when these obligations could be settled and therefore, a liability for the cost of these obligations cannot be measured at this time.</w:t>
      </w:r>
    </w:p>
    <w:p>
      <w:pPr>
        <w:spacing w:after="0" w:line="399"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(9)</w:t>
        <w:tab/>
        <w:t>RISK MANAGEMENT ACTIVITIES</w:t>
      </w:r>
    </w:p>
    <w:p>
      <w:pPr>
        <w:spacing w:after="0" w:line="229" w:lineRule="exact"/>
        <w:rPr>
          <w:sz w:val="20"/>
          <w:szCs w:val="20"/>
          <w:color w:val="auto"/>
        </w:rPr>
      </w:pPr>
    </w:p>
    <w:p>
      <w:pPr>
        <w:ind w:right="160"/>
        <w:spacing w:after="0" w:line="286" w:lineRule="auto"/>
        <w:rPr>
          <w:rFonts w:ascii="Arial" w:cs="Arial" w:eastAsia="Arial" w:hAnsi="Arial"/>
          <w:sz w:val="17"/>
          <w:szCs w:val="17"/>
          <w:color w:val="auto"/>
        </w:rPr>
      </w:pPr>
      <w:r>
        <w:rPr>
          <w:rFonts w:ascii="Arial" w:cs="Arial" w:eastAsia="Arial" w:hAnsi="Arial"/>
          <w:sz w:val="17"/>
          <w:szCs w:val="17"/>
          <w:color w:val="auto"/>
        </w:rPr>
        <w:t xml:space="preserve">Our activities in the regulated and non-regulated energy sectors expose us to a number of risks in the normal operations of our businesses. Depending on the activity, we are exposed to varying degrees of market risk and credit risk. To manage and mitigate these identified risks, we have adopted the Black Hills Corporation Risk Policies and Procedures. Valuation methodologies for our derivatives are detailed within </w:t>
      </w:r>
      <w:hyperlink w:anchor="page83">
        <w:r>
          <w:rPr>
            <w:rFonts w:ascii="Arial" w:cs="Arial" w:eastAsia="Arial" w:hAnsi="Arial"/>
            <w:sz w:val="17"/>
            <w:szCs w:val="17"/>
            <w:u w:val="single" w:color="auto"/>
            <w:color w:val="0000EE"/>
          </w:rPr>
          <w:t>Note 1</w:t>
        </w:r>
      </w:hyperlink>
      <w:r>
        <w:rPr>
          <w:rFonts w:ascii="Arial" w:cs="Arial" w:eastAsia="Arial" w:hAnsi="Arial"/>
          <w:sz w:val="17"/>
          <w:szCs w:val="17"/>
          <w:color w:val="auto"/>
        </w:rPr>
        <w: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Market Risk</w:t>
      </w:r>
    </w:p>
    <w:p>
      <w:pPr>
        <w:spacing w:after="0" w:line="2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Market risk is the potential loss that may occur as a result of an adverse change in market price, rate or supply. We are exposed to the following market risks, including, but not limited to:</w:t>
      </w:r>
    </w:p>
    <w:p>
      <w:pPr>
        <w:spacing w:after="0" w:line="170" w:lineRule="exact"/>
        <w:rPr>
          <w:sz w:val="20"/>
          <w:szCs w:val="20"/>
          <w:color w:val="auto"/>
        </w:rPr>
      </w:pPr>
    </w:p>
    <w:p>
      <w:pPr>
        <w:ind w:left="500" w:right="40" w:hanging="330"/>
        <w:spacing w:after="0" w:line="264" w:lineRule="auto"/>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Commodity price risk associated with our retail natural gas marketing activities and our fuel procurement for several of our gas-fired generation assets, which include market fluctuations due to unpredictable factors such as weather, market speculation, pipeline constraints, and other factors that may impact natural gas supply and demand;</w:t>
      </w:r>
    </w:p>
    <w:p>
      <w:pPr>
        <w:spacing w:after="0" w:line="181" w:lineRule="exact"/>
        <w:rPr>
          <w:rFonts w:ascii="Arial" w:cs="Arial" w:eastAsia="Arial" w:hAnsi="Arial"/>
          <w:sz w:val="18"/>
          <w:szCs w:val="18"/>
          <w:color w:val="auto"/>
        </w:rPr>
      </w:pPr>
    </w:p>
    <w:p>
      <w:pPr>
        <w:ind w:left="500" w:hanging="330"/>
        <w:spacing w:after="0"/>
        <w:tabs>
          <w:tab w:leader="none" w:pos="5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Interest rate risk associated with our variable debt as described in </w:t>
      </w:r>
      <w:hyperlink w:anchor="page103">
        <w:r>
          <w:rPr>
            <w:rFonts w:ascii="Arial" w:cs="Arial" w:eastAsia="Arial" w:hAnsi="Arial"/>
            <w:sz w:val="18"/>
            <w:szCs w:val="18"/>
            <w:u w:val="single" w:color="auto"/>
            <w:color w:val="0000EE"/>
          </w:rPr>
          <w:t>Notes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05">
        <w:r>
          <w:rPr>
            <w:rFonts w:ascii="Arial" w:cs="Arial" w:eastAsia="Arial" w:hAnsi="Arial"/>
            <w:sz w:val="18"/>
            <w:szCs w:val="18"/>
            <w:u w:val="single" w:color="auto"/>
            <w:color w:val="0000EE"/>
          </w:rPr>
          <w:t>7</w:t>
        </w:r>
      </w:hyperlink>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u w:val="single" w:color="auto"/>
          <w:color w:val="auto"/>
        </w:rPr>
        <w:t>Credit Risk</w:t>
      </w:r>
    </w:p>
    <w:p>
      <w:pPr>
        <w:spacing w:after="0" w:line="225" w:lineRule="exact"/>
        <w:rPr>
          <w:rFonts w:ascii="Arial" w:cs="Arial" w:eastAsia="Arial" w:hAnsi="Arial"/>
          <w:sz w:val="18"/>
          <w:szCs w:val="18"/>
          <w:color w:val="auto"/>
        </w:rPr>
      </w:pPr>
    </w:p>
    <w:p>
      <w:pPr>
        <w:spacing w:after="0"/>
        <w:rPr>
          <w:sz w:val="20"/>
          <w:szCs w:val="20"/>
          <w:color w:val="auto"/>
        </w:rPr>
      </w:pPr>
      <w:r>
        <w:rPr>
          <w:rFonts w:ascii="Arial" w:cs="Arial" w:eastAsia="Arial" w:hAnsi="Arial"/>
          <w:sz w:val="18"/>
          <w:szCs w:val="18"/>
          <w:color w:val="auto"/>
        </w:rPr>
        <w:t>Credit risk is the risk of financial loss resulting from non-performance of contractual obligations by a counterparty.</w:t>
      </w:r>
    </w:p>
    <w:p>
      <w:pPr>
        <w:spacing w:after="0" w:line="225" w:lineRule="exact"/>
        <w:rPr>
          <w:rFonts w:ascii="Arial" w:cs="Arial" w:eastAsia="Arial" w:hAnsi="Arial"/>
          <w:sz w:val="18"/>
          <w:szCs w:val="18"/>
          <w:color w:val="auto"/>
        </w:rPr>
      </w:pPr>
    </w:p>
    <w:p>
      <w:pPr>
        <w:ind w:right="80"/>
        <w:spacing w:after="0" w:line="286" w:lineRule="auto"/>
        <w:rPr>
          <w:sz w:val="20"/>
          <w:szCs w:val="20"/>
          <w:color w:val="auto"/>
        </w:rPr>
      </w:pPr>
      <w:r>
        <w:rPr>
          <w:rFonts w:ascii="Arial" w:cs="Arial" w:eastAsia="Arial" w:hAnsi="Arial"/>
          <w:sz w:val="17"/>
          <w:szCs w:val="17"/>
          <w:color w:val="auto"/>
        </w:rPr>
        <w:t>For production and generation activities, we attempt to mitigate our credit exposure by conducting business primarily with high credit quality entities, setting tenor and credit limits commensurate with counterparty financial strength, obtaining master netting agreements and mitigating credit exposure with less creditworthy counterparties through parental guarantees, prepayments, letters of credit and other security agreements.</w:t>
      </w:r>
    </w:p>
    <w:p>
      <w:pPr>
        <w:spacing w:after="0" w:line="166" w:lineRule="exact"/>
        <w:rPr>
          <w:rFonts w:ascii="Arial" w:cs="Arial" w:eastAsia="Arial" w:hAnsi="Arial"/>
          <w:sz w:val="18"/>
          <w:szCs w:val="18"/>
          <w:color w:val="auto"/>
        </w:rPr>
      </w:pPr>
    </w:p>
    <w:p>
      <w:pPr>
        <w:ind w:right="160"/>
        <w:spacing w:after="0" w:line="264" w:lineRule="auto"/>
        <w:rPr>
          <w:sz w:val="20"/>
          <w:szCs w:val="20"/>
          <w:color w:val="auto"/>
        </w:rPr>
      </w:pPr>
      <w:r>
        <w:rPr>
          <w:rFonts w:ascii="Arial" w:cs="Arial" w:eastAsia="Arial" w:hAnsi="Arial"/>
          <w:sz w:val="18"/>
          <w:szCs w:val="18"/>
          <w:color w:val="auto"/>
        </w:rPr>
        <w:t>We perform ongoing credit evaluations of our customers and adjust credit limits based upon payment history and the customer’s current creditworthiness, as determined by review of their current credit information. We maintain a provision for estimated credit losses based upon historical experience and any specific customer collection issue that is identified.</w:t>
      </w:r>
    </w:p>
    <w:p>
      <w:pPr>
        <w:spacing w:after="0" w:line="181" w:lineRule="exact"/>
        <w:rPr>
          <w:rFonts w:ascii="Arial" w:cs="Arial" w:eastAsia="Arial" w:hAnsi="Arial"/>
          <w:sz w:val="18"/>
          <w:szCs w:val="18"/>
          <w:color w:val="auto"/>
        </w:rPr>
      </w:pPr>
    </w:p>
    <w:p>
      <w:pPr>
        <w:jc w:val="both"/>
        <w:ind w:right="1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Our credit exposure at December 31, 2019 was concentrated primarily among retail utility customers, investment grade companies, cooperative utilities and federal agencies. Our derivative and hedging activities included in the accompanying Consolidated Balance Sheets, Consolidated Statements of Income and Consolidated Statements of Comprehensive Income (Loss) are detailed below and within </w:t>
      </w:r>
      <w:hyperlink w:anchor="page110">
        <w:r>
          <w:rPr>
            <w:rFonts w:ascii="Arial" w:cs="Arial" w:eastAsia="Arial" w:hAnsi="Arial"/>
            <w:sz w:val="18"/>
            <w:szCs w:val="18"/>
            <w:u w:val="single" w:color="auto"/>
            <w:color w:val="0000EE"/>
          </w:rPr>
          <w:t>Note 10</w:t>
        </w:r>
      </w:hyperlink>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center"/>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420"/>
          </w:cols>
          <w:pgMar w:left="240" w:top="719" w:right="239" w:bottom="1440" w:gutter="0" w:footer="0" w:header="0"/>
        </w:sectPr>
      </w:pPr>
    </w:p>
    <w:bookmarkStart w:id="107" w:name="page108"/>
    <w:bookmarkEnd w:id="10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Utilities</w:t>
      </w:r>
    </w:p>
    <w:p>
      <w:pPr>
        <w:spacing w:after="0" w:line="225" w:lineRule="exact"/>
        <w:rPr>
          <w:sz w:val="20"/>
          <w:szCs w:val="20"/>
          <w:color w:val="auto"/>
        </w:rPr>
      </w:pPr>
    </w:p>
    <w:p>
      <w:pPr>
        <w:ind w:right="180"/>
        <w:spacing w:after="0" w:line="293" w:lineRule="auto"/>
        <w:rPr>
          <w:sz w:val="20"/>
          <w:szCs w:val="20"/>
          <w:color w:val="auto"/>
        </w:rPr>
      </w:pPr>
      <w:r>
        <w:rPr>
          <w:rFonts w:ascii="Arial" w:cs="Arial" w:eastAsia="Arial" w:hAnsi="Arial"/>
          <w:sz w:val="16"/>
          <w:szCs w:val="16"/>
          <w:color w:val="auto"/>
        </w:rPr>
        <w:t>The operations of our utilities, including natural gas sold by our Gas Utilities and natural gas used by our Electric Utilities’ generation plants or those plants under PPAs where our Electric Utilities must provide the generation fuel (tolling agreements) expose our utility customers to volatility in natural gas prices. Therefore, as allowed or required by state utility commissions, we have entered into commission-approved hedging programs utilizing natural gas futures, options, over-the-counter swaps and basis swaps to reduce our customers’ underlying exposure to these fluctuations. These transactions are considered derivatives, and in accordance with accounting standards for derivatives and hedging, mark-to-market adjustments are recorded as Derivative assets or Derivative liabilities on the accompanying Consolidated Balance Sheets, net of balance sheet offsetting as permitted by GAAP.</w:t>
      </w:r>
    </w:p>
    <w:p>
      <w:pPr>
        <w:spacing w:after="0" w:line="165"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For our regulated Utilities’ hedging plans, unrealized and realized gains and losses, as well as option premiums and commissions on these transactions are recorded as Regulatory assets or Regulatory liabilities in the accompanying Consolidated Balance Sheets in accordance with the state utility commission guidelines. When the related costs are recovered through our rates, the hedging activity is recognized in the Consolidated Statements of Income.</w:t>
      </w:r>
    </w:p>
    <w:p>
      <w:pPr>
        <w:spacing w:after="0" w:line="147"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buy, sell and deliver natural gas at competitive prices by managing commodity price risk. As a result of these activities, this area of our business is exposed to risks associated with changes in the market price of natural gas. We manage our exposure to such risks using over-the-counter and exchange traded options and swaps with counterparties in anticipation of forecasted purchases and/or sales during time frames ranging from January 2020 through December 2021. A portion of our over-the-counter swaps have been designated as cash flow hedges to mitigate the commodity price risk associated with deliveries under fixed price forward contracts to deliver gas to our Choice Gas Program customers. The effective portion of the gain or loss on these designated derivatives is reported in AOCI in the accompanying Consolidated Balance Sheets and the ineffective portion, if any, is reported in Fuel, purchased power and cost of natural gas sold. Effectiveness of our hedging position is evaluated at least quarterly.</w:t>
      </w:r>
    </w:p>
    <w:p>
      <w:pPr>
        <w:spacing w:after="0" w:line="167"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The contract or notional amounts and terms of the natural gas derivative commodity instruments held by our Utilities are comprised of both short and long positions. We had the following net long positions as of:</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3200" w:type="dxa"/>
            <w:vAlign w:val="bottom"/>
            <w:gridSpan w:val="2"/>
          </w:tcPr>
          <w:p>
            <w:pPr>
              <w:ind w:left="1020"/>
              <w:spacing w:after="0"/>
              <w:rPr>
                <w:sz w:val="20"/>
                <w:szCs w:val="20"/>
                <w:color w:val="auto"/>
              </w:rPr>
            </w:pPr>
            <w:r>
              <w:rPr>
                <w:rFonts w:ascii="Arial" w:cs="Arial" w:eastAsia="Arial" w:hAnsi="Arial"/>
                <w:sz w:val="18"/>
                <w:szCs w:val="18"/>
                <w:color w:val="auto"/>
              </w:rPr>
              <w:t>December 31, 2019</w:t>
            </w:r>
          </w:p>
        </w:tc>
        <w:tc>
          <w:tcPr>
            <w:tcW w:w="280" w:type="dxa"/>
            <w:vAlign w:val="bottom"/>
          </w:tcPr>
          <w:p>
            <w:pPr>
              <w:spacing w:after="0"/>
              <w:rPr>
                <w:sz w:val="20"/>
                <w:szCs w:val="20"/>
                <w:color w:val="auto"/>
              </w:rPr>
            </w:pPr>
          </w:p>
        </w:tc>
        <w:tc>
          <w:tcPr>
            <w:tcW w:w="3360" w:type="dxa"/>
            <w:vAlign w:val="bottom"/>
            <w:gridSpan w:val="2"/>
          </w:tcPr>
          <w:p>
            <w:pPr>
              <w:jc w:val="right"/>
              <w:ind w:right="890"/>
              <w:spacing w:after="0"/>
              <w:rPr>
                <w:sz w:val="20"/>
                <w:szCs w:val="20"/>
                <w:color w:val="auto"/>
              </w:rPr>
            </w:pPr>
            <w:r>
              <w:rPr>
                <w:rFonts w:ascii="Arial" w:cs="Arial" w:eastAsia="Arial" w:hAnsi="Arial"/>
                <w:sz w:val="18"/>
                <w:szCs w:val="18"/>
                <w:color w:val="auto"/>
              </w:rPr>
              <w:t>December 31, 2018</w:t>
            </w:r>
          </w:p>
        </w:tc>
      </w:tr>
      <w:tr>
        <w:trPr>
          <w:trHeight w:val="27"/>
        </w:trPr>
        <w:tc>
          <w:tcPr>
            <w:tcW w:w="4580" w:type="dxa"/>
            <w:vAlign w:val="bottom"/>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22"/>
        </w:trPr>
        <w:tc>
          <w:tcPr>
            <w:tcW w:w="458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1400" w:type="dxa"/>
            <w:vAlign w:val="bottom"/>
          </w:tcPr>
          <w:p>
            <w:pPr>
              <w:jc w:val="center"/>
              <w:ind w:left="90"/>
              <w:spacing w:after="0"/>
              <w:rPr>
                <w:sz w:val="20"/>
                <w:szCs w:val="20"/>
                <w:color w:val="auto"/>
              </w:rPr>
            </w:pPr>
            <w:r>
              <w:rPr>
                <w:rFonts w:ascii="Arial" w:cs="Arial" w:eastAsia="Arial" w:hAnsi="Arial"/>
                <w:sz w:val="18"/>
                <w:szCs w:val="18"/>
                <w:color w:val="auto"/>
                <w:w w:val="94"/>
              </w:rPr>
              <w:t>Maximum Term</w:t>
            </w:r>
          </w:p>
        </w:tc>
        <w:tc>
          <w:tcPr>
            <w:tcW w:w="2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1620" w:type="dxa"/>
            <w:vAlign w:val="bottom"/>
          </w:tcPr>
          <w:p>
            <w:pPr>
              <w:jc w:val="right"/>
              <w:ind w:right="170"/>
              <w:spacing w:after="0"/>
              <w:rPr>
                <w:sz w:val="20"/>
                <w:szCs w:val="20"/>
                <w:color w:val="auto"/>
              </w:rPr>
            </w:pPr>
            <w:r>
              <w:rPr>
                <w:rFonts w:ascii="Arial" w:cs="Arial" w:eastAsia="Arial" w:hAnsi="Arial"/>
                <w:sz w:val="18"/>
                <w:szCs w:val="18"/>
                <w:color w:val="auto"/>
              </w:rPr>
              <w:t>Maximum Term</w:t>
            </w:r>
          </w:p>
        </w:tc>
      </w:tr>
      <w:tr>
        <w:trPr>
          <w:trHeight w:val="257"/>
        </w:trPr>
        <w:tc>
          <w:tcPr>
            <w:tcW w:w="4580" w:type="dxa"/>
            <w:vAlign w:val="bottom"/>
            <w:tcBorders>
              <w:bottom w:val="single" w:sz="8" w:color="CEFFE7"/>
            </w:tcBorders>
          </w:tcPr>
          <w:p>
            <w:pPr>
              <w:spacing w:after="0"/>
              <w:rPr>
                <w:sz w:val="22"/>
                <w:szCs w:val="22"/>
                <w:color w:val="auto"/>
              </w:rPr>
            </w:pPr>
          </w:p>
        </w:tc>
        <w:tc>
          <w:tcPr>
            <w:tcW w:w="18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400" w:type="dxa"/>
            <w:vAlign w:val="bottom"/>
            <w:tcBorders>
              <w:bottom w:val="single" w:sz="8" w:color="auto"/>
            </w:tcBorders>
          </w:tcPr>
          <w:p>
            <w:pPr>
              <w:jc w:val="center"/>
              <w:ind w:left="70"/>
              <w:spacing w:after="0" w:line="257" w:lineRule="exact"/>
              <w:rPr>
                <w:sz w:val="20"/>
                <w:szCs w:val="20"/>
                <w:color w:val="auto"/>
              </w:rPr>
            </w:pPr>
            <w:r>
              <w:rPr>
                <w:rFonts w:ascii="Arial" w:cs="Arial" w:eastAsia="Arial" w:hAnsi="Arial"/>
                <w:sz w:val="18"/>
                <w:szCs w:val="18"/>
                <w:color w:val="auto"/>
                <w:w w:val="87"/>
              </w:rPr>
              <w:t xml:space="preserve">(months) </w:t>
            </w:r>
            <w:r>
              <w:rPr>
                <w:rFonts w:ascii="Arial" w:cs="Arial" w:eastAsia="Arial" w:hAnsi="Arial"/>
                <w:sz w:val="25"/>
                <w:szCs w:val="25"/>
                <w:color w:val="auto"/>
                <w:w w:val="87"/>
                <w:vertAlign w:val="superscript"/>
              </w:rPr>
              <w:t>(a)</w:t>
            </w:r>
          </w:p>
        </w:tc>
        <w:tc>
          <w:tcPr>
            <w:tcW w:w="2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Notional (MMBtus)</w:t>
            </w:r>
          </w:p>
        </w:tc>
        <w:tc>
          <w:tcPr>
            <w:tcW w:w="1620" w:type="dxa"/>
            <w:vAlign w:val="bottom"/>
            <w:tcBorders>
              <w:bottom w:val="single" w:sz="8" w:color="auto"/>
            </w:tcBorders>
          </w:tcPr>
          <w:p>
            <w:pPr>
              <w:jc w:val="right"/>
              <w:ind w:right="350"/>
              <w:spacing w:after="0" w:line="257" w:lineRule="exact"/>
              <w:rPr>
                <w:sz w:val="20"/>
                <w:szCs w:val="20"/>
                <w:color w:val="auto"/>
              </w:rPr>
            </w:pPr>
            <w:r>
              <w:rPr>
                <w:rFonts w:ascii="Arial" w:cs="Arial" w:eastAsia="Arial" w:hAnsi="Arial"/>
                <w:sz w:val="18"/>
                <w:szCs w:val="18"/>
                <w:color w:val="auto"/>
              </w:rPr>
              <w:t xml:space="preserve">(months) </w:t>
            </w:r>
            <w:r>
              <w:rPr>
                <w:rFonts w:ascii="Arial" w:cs="Arial" w:eastAsia="Arial" w:hAnsi="Arial"/>
                <w:sz w:val="25"/>
                <w:szCs w:val="25"/>
                <w:color w:val="auto"/>
                <w:vertAlign w:val="superscript"/>
              </w:rPr>
              <w:t>(a)</w:t>
            </w:r>
          </w:p>
        </w:tc>
      </w:tr>
      <w:tr>
        <w:trPr>
          <w:trHeight w:val="244"/>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futures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1,450,000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12</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4,000,000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4580" w:type="dxa"/>
            <w:vAlign w:val="bottom"/>
          </w:tcPr>
          <w:p>
            <w:pPr>
              <w:ind w:left="40"/>
              <w:spacing w:after="0"/>
              <w:rPr>
                <w:sz w:val="20"/>
                <w:szCs w:val="20"/>
                <w:color w:val="auto"/>
              </w:rPr>
            </w:pPr>
            <w:r>
              <w:rPr>
                <w:rFonts w:ascii="Arial" w:cs="Arial" w:eastAsia="Arial" w:hAnsi="Arial"/>
                <w:sz w:val="18"/>
                <w:szCs w:val="18"/>
                <w:color w:val="auto"/>
              </w:rPr>
              <w:t>Natural gas options purchased, net</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3,240,000</w:t>
            </w:r>
          </w:p>
        </w:tc>
        <w:tc>
          <w:tcPr>
            <w:tcW w:w="1400" w:type="dxa"/>
            <w:vAlign w:val="bottom"/>
          </w:tcPr>
          <w:p>
            <w:pPr>
              <w:spacing w:after="0"/>
              <w:rPr>
                <w:sz w:val="21"/>
                <w:szCs w:val="21"/>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4,320,000</w:t>
            </w:r>
          </w:p>
        </w:tc>
        <w:tc>
          <w:tcPr>
            <w:tcW w:w="162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4580" w:type="dxa"/>
            <w:vAlign w:val="bottom"/>
          </w:tcPr>
          <w:p>
            <w:pPr>
              <w:spacing w:after="0"/>
              <w:rPr>
                <w:sz w:val="2"/>
                <w:szCs w:val="2"/>
                <w:color w:val="auto"/>
              </w:rPr>
            </w:pPr>
          </w:p>
        </w:tc>
        <w:tc>
          <w:tcPr>
            <w:tcW w:w="18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620" w:type="dxa"/>
            <w:vAlign w:val="bottom"/>
          </w:tcPr>
          <w:p>
            <w:pPr>
              <w:spacing w:after="0"/>
              <w:rPr>
                <w:sz w:val="2"/>
                <w:szCs w:val="2"/>
                <w:color w:val="auto"/>
              </w:rPr>
            </w:pPr>
          </w:p>
        </w:tc>
      </w:tr>
      <w:tr>
        <w:trPr>
          <w:trHeight w:val="250"/>
        </w:trPr>
        <w:tc>
          <w:tcPr>
            <w:tcW w:w="45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Natural gas basis swaps purchased</w:t>
            </w:r>
          </w:p>
        </w:tc>
        <w:tc>
          <w:tcPr>
            <w:tcW w:w="18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1,290,000</w:t>
            </w:r>
          </w:p>
        </w:tc>
        <w:tc>
          <w:tcPr>
            <w:tcW w:w="140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9"/>
              </w:rPr>
              <w:t>12</w:t>
            </w:r>
          </w:p>
        </w:tc>
        <w:tc>
          <w:tcPr>
            <w:tcW w:w="17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3,960,000</w:t>
            </w:r>
          </w:p>
        </w:tc>
        <w:tc>
          <w:tcPr>
            <w:tcW w:w="16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Natural gas over-the-counter swaps, net </w:t>
            </w:r>
            <w:r>
              <w:rPr>
                <w:rFonts w:ascii="Arial" w:cs="Arial" w:eastAsia="Arial" w:hAnsi="Arial"/>
                <w:sz w:val="25"/>
                <w:szCs w:val="25"/>
                <w:color w:val="auto"/>
                <w:vertAlign w:val="superscript"/>
              </w:rPr>
              <w:t>(b)</w:t>
            </w:r>
          </w:p>
        </w:tc>
        <w:tc>
          <w:tcPr>
            <w:tcW w:w="1800" w:type="dxa"/>
            <w:vAlign w:val="bottom"/>
          </w:tcPr>
          <w:p>
            <w:pPr>
              <w:jc w:val="right"/>
              <w:ind w:right="90"/>
              <w:spacing w:after="0"/>
              <w:rPr>
                <w:sz w:val="20"/>
                <w:szCs w:val="20"/>
                <w:color w:val="auto"/>
              </w:rPr>
            </w:pPr>
            <w:r>
              <w:rPr>
                <w:rFonts w:ascii="Arial" w:cs="Arial" w:eastAsia="Arial" w:hAnsi="Arial"/>
                <w:sz w:val="18"/>
                <w:szCs w:val="18"/>
                <w:color w:val="auto"/>
              </w:rPr>
              <w:t>4,600,000</w:t>
            </w:r>
          </w:p>
        </w:tc>
        <w:tc>
          <w:tcPr>
            <w:tcW w:w="1400" w:type="dxa"/>
            <w:vAlign w:val="bottom"/>
          </w:tcPr>
          <w:p>
            <w:pPr>
              <w:spacing w:after="0"/>
              <w:rPr>
                <w:sz w:val="23"/>
                <w:szCs w:val="23"/>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89"/>
              </w:rPr>
              <w:t>24</w:t>
            </w:r>
          </w:p>
        </w:tc>
        <w:tc>
          <w:tcPr>
            <w:tcW w:w="1740" w:type="dxa"/>
            <w:vAlign w:val="bottom"/>
          </w:tcPr>
          <w:p>
            <w:pPr>
              <w:jc w:val="right"/>
              <w:ind w:right="90"/>
              <w:spacing w:after="0"/>
              <w:rPr>
                <w:sz w:val="20"/>
                <w:szCs w:val="20"/>
                <w:color w:val="auto"/>
              </w:rPr>
            </w:pPr>
            <w:r>
              <w:rPr>
                <w:rFonts w:ascii="Arial" w:cs="Arial" w:eastAsia="Arial" w:hAnsi="Arial"/>
                <w:sz w:val="18"/>
                <w:szCs w:val="18"/>
                <w:color w:val="auto"/>
              </w:rPr>
              <w:t>3,660,000</w:t>
            </w:r>
          </w:p>
        </w:tc>
        <w:tc>
          <w:tcPr>
            <w:tcW w:w="162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Natural gas physical commitments, net </w:t>
            </w:r>
            <w:r>
              <w:rPr>
                <w:rFonts w:ascii="Arial" w:cs="Arial" w:eastAsia="Arial" w:hAnsi="Arial"/>
                <w:sz w:val="25"/>
                <w:szCs w:val="25"/>
                <w:color w:val="auto"/>
                <w:vertAlign w:val="superscript"/>
              </w:rPr>
              <w:t>(c)</w:t>
            </w:r>
          </w:p>
        </w:tc>
        <w:tc>
          <w:tcPr>
            <w:tcW w:w="180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13,548,235</w:t>
            </w:r>
          </w:p>
        </w:tc>
        <w:tc>
          <w:tcPr>
            <w:tcW w:w="1400" w:type="dxa"/>
            <w:vAlign w:val="bottom"/>
            <w:shd w:val="clear" w:color="auto" w:fill="CEFFE7"/>
          </w:tcPr>
          <w:p>
            <w:pPr>
              <w:spacing w:after="0"/>
              <w:rPr>
                <w:sz w:val="23"/>
                <w:szCs w:val="23"/>
                <w:color w:val="auto"/>
              </w:rPr>
            </w:pPr>
          </w:p>
        </w:tc>
        <w:tc>
          <w:tcPr>
            <w:tcW w:w="2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9"/>
              </w:rPr>
              <w:t>12</w:t>
            </w:r>
          </w:p>
        </w:tc>
        <w:tc>
          <w:tcPr>
            <w:tcW w:w="1740" w:type="dxa"/>
            <w:vAlign w:val="bottom"/>
            <w:shd w:val="clear" w:color="auto" w:fill="CEFFE7"/>
          </w:tcPr>
          <w:p>
            <w:pPr>
              <w:jc w:val="right"/>
              <w:ind w:right="90"/>
              <w:spacing w:after="0"/>
              <w:rPr>
                <w:sz w:val="20"/>
                <w:szCs w:val="20"/>
                <w:color w:val="auto"/>
              </w:rPr>
            </w:pPr>
            <w:r>
              <w:rPr>
                <w:rFonts w:ascii="Arial" w:cs="Arial" w:eastAsia="Arial" w:hAnsi="Arial"/>
                <w:sz w:val="18"/>
                <w:szCs w:val="18"/>
                <w:color w:val="auto"/>
              </w:rPr>
              <w:t>18,325,852</w:t>
            </w:r>
          </w:p>
        </w:tc>
        <w:tc>
          <w:tcPr>
            <w:tcW w:w="16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30</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spacing w:after="0" w:line="23" w:lineRule="exact"/>
        <w:rPr>
          <w:sz w:val="20"/>
          <w:szCs w:val="20"/>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Term reflects the maximum forward period hedged.</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As of December 31, 2019, 1,415,000 MMBtus of natural gas over-the-counter swaps purchased were designated as cash flow hedges.</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7"/>
        </w:numPr>
        <w:rPr>
          <w:rFonts w:ascii="Arial" w:cs="Arial" w:eastAsia="Arial" w:hAnsi="Arial"/>
          <w:sz w:val="16"/>
          <w:szCs w:val="16"/>
          <w:color w:val="auto"/>
        </w:rPr>
      </w:pPr>
      <w:r>
        <w:rPr>
          <w:rFonts w:ascii="Arial" w:cs="Arial" w:eastAsia="Arial" w:hAnsi="Arial"/>
          <w:sz w:val="16"/>
          <w:szCs w:val="16"/>
          <w:color w:val="auto"/>
        </w:rPr>
        <w:t>Volumes exclude contracts that qualify for normal purchase, normal sales exception.</w:t>
      </w:r>
    </w:p>
    <w:p>
      <w:pPr>
        <w:spacing w:after="0" w:line="176"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Based on December 31, 2019 prices, a $0.5 million gain would be realized, reported in pre-tax earnings and reclassified from AOCI during the next 12 months. As market prices fluctuate, estimated and actual realized gains or losses will change during future periods.</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420"/>
          </w:cols>
          <w:pgMar w:left="240" w:top="126" w:right="239" w:bottom="1440" w:gutter="0" w:footer="0" w:header="0"/>
        </w:sectPr>
      </w:pPr>
    </w:p>
    <w:bookmarkStart w:id="108" w:name="page109"/>
    <w:bookmarkEnd w:id="10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The impact of cash flow hedges on our Consolidated Statements of Income is presented below for the years ended December 31, 2019, 2018 and 2017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4440" w:type="dxa"/>
            <w:vAlign w:val="bottom"/>
          </w:tcPr>
          <w:p>
            <w:pPr>
              <w:ind w:left="2640"/>
              <w:spacing w:after="0"/>
              <w:rPr>
                <w:sz w:val="20"/>
                <w:szCs w:val="20"/>
                <w:color w:val="auto"/>
              </w:rPr>
            </w:pPr>
            <w:r>
              <w:rPr>
                <w:rFonts w:ascii="Arial" w:cs="Arial" w:eastAsia="Arial" w:hAnsi="Arial"/>
                <w:sz w:val="18"/>
                <w:szCs w:val="18"/>
                <w:color w:val="auto"/>
              </w:rPr>
              <w:t>December 31, 2019</w:t>
            </w: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color w:val="auto"/>
                <w:w w:val="93"/>
              </w:rPr>
              <w:t>Amount of Gain/(Loss)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4"/>
              </w:rPr>
              <w:t>Reclassified from AOCI into</w:t>
            </w:r>
          </w:p>
        </w:tc>
        <w:tc>
          <w:tcPr>
            <w:tcW w:w="0" w:type="dxa"/>
            <w:vAlign w:val="bottom"/>
          </w:tcPr>
          <w:p>
            <w:pPr>
              <w:spacing w:after="0"/>
              <w:rPr>
                <w:sz w:val="1"/>
                <w:szCs w:val="1"/>
                <w:color w:val="auto"/>
              </w:rPr>
            </w:pPr>
          </w:p>
        </w:tc>
      </w:tr>
      <w:tr>
        <w:trPr>
          <w:trHeight w:val="230"/>
        </w:trPr>
        <w:tc>
          <w:tcPr>
            <w:tcW w:w="4700" w:type="dxa"/>
            <w:vAlign w:val="bottom"/>
          </w:tcPr>
          <w:p>
            <w:pPr>
              <w:ind w:left="580"/>
              <w:spacing w:after="0"/>
              <w:rPr>
                <w:sz w:val="20"/>
                <w:szCs w:val="20"/>
                <w:color w:val="auto"/>
              </w:rPr>
            </w:pPr>
            <w:r>
              <w:rPr>
                <w:rFonts w:ascii="Arial" w:cs="Arial" w:eastAsia="Arial" w:hAnsi="Arial"/>
                <w:sz w:val="18"/>
                <w:szCs w:val="18"/>
                <w:color w:val="auto"/>
              </w:rPr>
              <w:t>Derivatives in Cash Flow Hedging Relationships</w:t>
            </w:r>
          </w:p>
        </w:tc>
        <w:tc>
          <w:tcPr>
            <w:tcW w:w="4440" w:type="dxa"/>
            <w:vAlign w:val="bottom"/>
          </w:tcPr>
          <w:p>
            <w:pPr>
              <w:ind w:left="280"/>
              <w:spacing w:after="0"/>
              <w:rPr>
                <w:sz w:val="20"/>
                <w:szCs w:val="20"/>
                <w:color w:val="auto"/>
              </w:rPr>
            </w:pPr>
            <w:r>
              <w:rPr>
                <w:rFonts w:ascii="Arial" w:cs="Arial" w:eastAsia="Arial" w:hAnsi="Arial"/>
                <w:sz w:val="18"/>
                <w:szCs w:val="18"/>
                <w:color w:val="auto"/>
                <w:w w:val="99"/>
              </w:rPr>
              <w:t>Location of Reclassifications from AOCI into Income</w:t>
            </w:r>
          </w:p>
        </w:tc>
        <w:tc>
          <w:tcPr>
            <w:tcW w:w="200" w:type="dxa"/>
            <w:vAlign w:val="bottom"/>
          </w:tcPr>
          <w:p>
            <w:pPr>
              <w:spacing w:after="0"/>
              <w:rPr>
                <w:sz w:val="20"/>
                <w:szCs w:val="20"/>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4440" w:type="dxa"/>
            <w:vAlign w:val="bottom"/>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impact from cash flow hedges</w:t>
            </w:r>
          </w:p>
        </w:tc>
        <w:tc>
          <w:tcPr>
            <w:tcW w:w="444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(2,434)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40" w:type="dxa"/>
            <w:vAlign w:val="bottom"/>
            <w:vMerge w:val="restart"/>
          </w:tcPr>
          <w:p>
            <w:pPr>
              <w:ind w:left="2640"/>
              <w:spacing w:after="0"/>
              <w:rPr>
                <w:sz w:val="20"/>
                <w:szCs w:val="20"/>
                <w:color w:val="auto"/>
              </w:rPr>
            </w:pPr>
            <w:r>
              <w:rPr>
                <w:rFonts w:ascii="Arial" w:cs="Arial" w:eastAsia="Arial" w:hAnsi="Arial"/>
                <w:sz w:val="18"/>
                <w:szCs w:val="18"/>
                <w:color w:val="auto"/>
              </w:rPr>
              <w:t>December 31, 2018</w:t>
            </w: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color w:val="auto"/>
                <w:w w:val="93"/>
              </w:rPr>
              <w:t>Amount of Gain/(Loss)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4"/>
              </w:rPr>
              <w:t>Reclassified from AOCI into</w:t>
            </w:r>
          </w:p>
        </w:tc>
        <w:tc>
          <w:tcPr>
            <w:tcW w:w="0" w:type="dxa"/>
            <w:vAlign w:val="bottom"/>
          </w:tcPr>
          <w:p>
            <w:pPr>
              <w:spacing w:after="0"/>
              <w:rPr>
                <w:sz w:val="1"/>
                <w:szCs w:val="1"/>
                <w:color w:val="auto"/>
              </w:rPr>
            </w:pPr>
          </w:p>
        </w:tc>
      </w:tr>
      <w:tr>
        <w:trPr>
          <w:trHeight w:val="230"/>
        </w:trPr>
        <w:tc>
          <w:tcPr>
            <w:tcW w:w="4700" w:type="dxa"/>
            <w:vAlign w:val="bottom"/>
          </w:tcPr>
          <w:p>
            <w:pPr>
              <w:ind w:left="580"/>
              <w:spacing w:after="0"/>
              <w:rPr>
                <w:sz w:val="20"/>
                <w:szCs w:val="20"/>
                <w:color w:val="auto"/>
              </w:rPr>
            </w:pPr>
            <w:r>
              <w:rPr>
                <w:rFonts w:ascii="Arial" w:cs="Arial" w:eastAsia="Arial" w:hAnsi="Arial"/>
                <w:sz w:val="18"/>
                <w:szCs w:val="18"/>
                <w:color w:val="auto"/>
              </w:rPr>
              <w:t>Derivatives in Cash Flow Hedging Relationships</w:t>
            </w:r>
          </w:p>
        </w:tc>
        <w:tc>
          <w:tcPr>
            <w:tcW w:w="4440" w:type="dxa"/>
            <w:vAlign w:val="bottom"/>
          </w:tcPr>
          <w:p>
            <w:pPr>
              <w:ind w:left="280"/>
              <w:spacing w:after="0"/>
              <w:rPr>
                <w:sz w:val="20"/>
                <w:szCs w:val="20"/>
                <w:color w:val="auto"/>
              </w:rPr>
            </w:pPr>
            <w:r>
              <w:rPr>
                <w:rFonts w:ascii="Arial" w:cs="Arial" w:eastAsia="Arial" w:hAnsi="Arial"/>
                <w:sz w:val="18"/>
                <w:szCs w:val="18"/>
                <w:color w:val="auto"/>
                <w:w w:val="99"/>
              </w:rPr>
              <w:t>Location of Reclassifications from AOCI into Income</w:t>
            </w:r>
          </w:p>
        </w:tc>
        <w:tc>
          <w:tcPr>
            <w:tcW w:w="200" w:type="dxa"/>
            <w:vAlign w:val="bottom"/>
          </w:tcPr>
          <w:p>
            <w:pPr>
              <w:spacing w:after="0"/>
              <w:rPr>
                <w:sz w:val="20"/>
                <w:szCs w:val="20"/>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70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4440" w:type="dxa"/>
            <w:vAlign w:val="bottom"/>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EFFE7"/>
            </w:tcBorders>
          </w:tcPr>
          <w:p>
            <w:pPr>
              <w:spacing w:after="0"/>
              <w:rPr>
                <w:sz w:val="2"/>
                <w:szCs w:val="2"/>
                <w:color w:val="auto"/>
              </w:rPr>
            </w:pPr>
          </w:p>
        </w:tc>
        <w:tc>
          <w:tcPr>
            <w:tcW w:w="444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impact from cash flow hedges</w:t>
            </w:r>
          </w:p>
        </w:tc>
        <w:tc>
          <w:tcPr>
            <w:tcW w:w="4440" w:type="dxa"/>
            <w:vAlign w:val="bottom"/>
            <w:tcBorders>
              <w:bottom w:val="single" w:sz="8" w:color="CEFFE7"/>
            </w:tcBorders>
            <w:shd w:val="clear" w:color="auto" w:fill="CEFFE7"/>
          </w:tcPr>
          <w:p>
            <w:pPr>
              <w:spacing w:after="0"/>
              <w:rPr>
                <w:sz w:val="22"/>
                <w:szCs w:val="22"/>
                <w:color w:val="auto"/>
              </w:rPr>
            </w:pP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40" w:type="dxa"/>
            <w:vAlign w:val="bottom"/>
            <w:vMerge w:val="restart"/>
          </w:tcPr>
          <w:p>
            <w:pPr>
              <w:ind w:left="2640"/>
              <w:spacing w:after="0"/>
              <w:rPr>
                <w:sz w:val="20"/>
                <w:szCs w:val="20"/>
                <w:color w:val="auto"/>
              </w:rPr>
            </w:pPr>
            <w:r>
              <w:rPr>
                <w:rFonts w:ascii="Arial" w:cs="Arial" w:eastAsia="Arial" w:hAnsi="Arial"/>
                <w:sz w:val="18"/>
                <w:szCs w:val="18"/>
                <w:color w:val="auto"/>
              </w:rPr>
              <w:t>December 31, 2017</w:t>
            </w: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1"/>
        </w:trPr>
        <w:tc>
          <w:tcPr>
            <w:tcW w:w="4700" w:type="dxa"/>
            <w:vAlign w:val="bottom"/>
          </w:tcPr>
          <w:p>
            <w:pPr>
              <w:spacing w:after="0"/>
              <w:rPr>
                <w:sz w:val="24"/>
                <w:szCs w:val="24"/>
                <w:color w:val="auto"/>
              </w:rPr>
            </w:pPr>
          </w:p>
        </w:tc>
        <w:tc>
          <w:tcPr>
            <w:tcW w:w="44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4700" w:type="dxa"/>
            <w:vAlign w:val="bottom"/>
          </w:tcPr>
          <w:p>
            <w:pPr>
              <w:spacing w:after="0"/>
              <w:rPr>
                <w:sz w:val="19"/>
                <w:szCs w:val="19"/>
                <w:color w:val="auto"/>
              </w:rPr>
            </w:pPr>
          </w:p>
        </w:tc>
        <w:tc>
          <w:tcPr>
            <w:tcW w:w="4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080" w:type="dxa"/>
            <w:vAlign w:val="bottom"/>
          </w:tcPr>
          <w:p>
            <w:pPr>
              <w:jc w:val="center"/>
              <w:ind w:right="110"/>
              <w:spacing w:after="0"/>
              <w:rPr>
                <w:sz w:val="20"/>
                <w:szCs w:val="20"/>
                <w:color w:val="auto"/>
              </w:rPr>
            </w:pPr>
            <w:r>
              <w:rPr>
                <w:rFonts w:ascii="Arial" w:cs="Arial" w:eastAsia="Arial" w:hAnsi="Arial"/>
                <w:sz w:val="18"/>
                <w:szCs w:val="18"/>
                <w:color w:val="auto"/>
                <w:w w:val="93"/>
              </w:rPr>
              <w:t>Amount of Gain/(Loss)</w:t>
            </w:r>
          </w:p>
        </w:tc>
        <w:tc>
          <w:tcPr>
            <w:tcW w:w="0" w:type="dxa"/>
            <w:vAlign w:val="bottom"/>
          </w:tcPr>
          <w:p>
            <w:pPr>
              <w:spacing w:after="0"/>
              <w:rPr>
                <w:sz w:val="1"/>
                <w:szCs w:val="1"/>
                <w:color w:val="auto"/>
              </w:rPr>
            </w:pPr>
          </w:p>
        </w:tc>
      </w:tr>
      <w:tr>
        <w:trPr>
          <w:trHeight w:val="216"/>
        </w:trPr>
        <w:tc>
          <w:tcPr>
            <w:tcW w:w="470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4"/>
              </w:rPr>
              <w:t>Reclassified from AOCI into</w:t>
            </w:r>
          </w:p>
        </w:tc>
        <w:tc>
          <w:tcPr>
            <w:tcW w:w="0" w:type="dxa"/>
            <w:vAlign w:val="bottom"/>
          </w:tcPr>
          <w:p>
            <w:pPr>
              <w:spacing w:after="0"/>
              <w:rPr>
                <w:sz w:val="1"/>
                <w:szCs w:val="1"/>
                <w:color w:val="auto"/>
              </w:rPr>
            </w:pPr>
          </w:p>
        </w:tc>
      </w:tr>
      <w:tr>
        <w:trPr>
          <w:trHeight w:val="230"/>
        </w:trPr>
        <w:tc>
          <w:tcPr>
            <w:tcW w:w="4700" w:type="dxa"/>
            <w:vAlign w:val="bottom"/>
          </w:tcPr>
          <w:p>
            <w:pPr>
              <w:ind w:left="580"/>
              <w:spacing w:after="0"/>
              <w:rPr>
                <w:sz w:val="20"/>
                <w:szCs w:val="20"/>
                <w:color w:val="auto"/>
              </w:rPr>
            </w:pPr>
            <w:r>
              <w:rPr>
                <w:rFonts w:ascii="Arial" w:cs="Arial" w:eastAsia="Arial" w:hAnsi="Arial"/>
                <w:sz w:val="18"/>
                <w:szCs w:val="18"/>
                <w:color w:val="auto"/>
              </w:rPr>
              <w:t>Derivatives in Cash Flow Hedging Relationships</w:t>
            </w:r>
          </w:p>
        </w:tc>
        <w:tc>
          <w:tcPr>
            <w:tcW w:w="4440" w:type="dxa"/>
            <w:vAlign w:val="bottom"/>
          </w:tcPr>
          <w:p>
            <w:pPr>
              <w:ind w:left="280"/>
              <w:spacing w:after="0"/>
              <w:rPr>
                <w:sz w:val="20"/>
                <w:szCs w:val="20"/>
                <w:color w:val="auto"/>
              </w:rPr>
            </w:pPr>
            <w:r>
              <w:rPr>
                <w:rFonts w:ascii="Arial" w:cs="Arial" w:eastAsia="Arial" w:hAnsi="Arial"/>
                <w:sz w:val="18"/>
                <w:szCs w:val="18"/>
                <w:color w:val="auto"/>
                <w:w w:val="99"/>
              </w:rPr>
              <w:t>Location of Reclassifications from AOCI into Income</w:t>
            </w:r>
          </w:p>
        </w:tc>
        <w:tc>
          <w:tcPr>
            <w:tcW w:w="200" w:type="dxa"/>
            <w:vAlign w:val="bottom"/>
          </w:tcPr>
          <w:p>
            <w:pPr>
              <w:spacing w:after="0"/>
              <w:rPr>
                <w:sz w:val="20"/>
                <w:szCs w:val="20"/>
                <w:color w:val="auto"/>
              </w:rPr>
            </w:pPr>
          </w:p>
        </w:tc>
        <w:tc>
          <w:tcPr>
            <w:tcW w:w="2080" w:type="dxa"/>
            <w:vAlign w:val="bottom"/>
          </w:tcPr>
          <w:p>
            <w:pPr>
              <w:jc w:val="center"/>
              <w:ind w:right="130"/>
              <w:spacing w:after="0"/>
              <w:rPr>
                <w:sz w:val="20"/>
                <w:szCs w:val="20"/>
                <w:color w:val="auto"/>
              </w:rPr>
            </w:pPr>
            <w:r>
              <w:rPr>
                <w:rFonts w:ascii="Arial" w:cs="Arial" w:eastAsia="Arial" w:hAnsi="Arial"/>
                <w:sz w:val="18"/>
                <w:szCs w:val="18"/>
                <w:color w:val="auto"/>
                <w:w w:val="91"/>
              </w:rPr>
              <w:t>Income</w:t>
            </w:r>
          </w:p>
        </w:tc>
        <w:tc>
          <w:tcPr>
            <w:tcW w:w="0" w:type="dxa"/>
            <w:vAlign w:val="bottom"/>
          </w:tcPr>
          <w:p>
            <w:pPr>
              <w:spacing w:after="0"/>
              <w:rPr>
                <w:sz w:val="1"/>
                <w:szCs w:val="1"/>
                <w:color w:val="auto"/>
              </w:rPr>
            </w:pPr>
          </w:p>
        </w:tc>
      </w:tr>
      <w:tr>
        <w:trPr>
          <w:trHeight w:val="27"/>
        </w:trPr>
        <w:tc>
          <w:tcPr>
            <w:tcW w:w="4700" w:type="dxa"/>
            <w:vAlign w:val="bottom"/>
            <w:tcBorders>
              <w:bottom w:val="single" w:sz="8" w:color="auto"/>
            </w:tcBorders>
          </w:tcPr>
          <w:p>
            <w:pPr>
              <w:spacing w:after="0"/>
              <w:rPr>
                <w:sz w:val="2"/>
                <w:szCs w:val="2"/>
                <w:color w:val="auto"/>
              </w:rPr>
            </w:pPr>
          </w:p>
        </w:tc>
        <w:tc>
          <w:tcPr>
            <w:tcW w:w="44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00" w:type="dxa"/>
            <w:vAlign w:val="bottom"/>
          </w:tcPr>
          <w:p>
            <w:pPr>
              <w:spacing w:after="0"/>
              <w:rPr>
                <w:sz w:val="20"/>
                <w:szCs w:val="20"/>
                <w:color w:val="auto"/>
              </w:rPr>
            </w:pPr>
          </w:p>
        </w:tc>
        <w:tc>
          <w:tcPr>
            <w:tcW w:w="44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rate swaps</w:t>
            </w: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Interest expense</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Commodity derivatives</w:t>
            </w:r>
          </w:p>
        </w:tc>
        <w:tc>
          <w:tcPr>
            <w:tcW w:w="4440" w:type="dxa"/>
            <w:vAlign w:val="bottom"/>
          </w:tcPr>
          <w:p>
            <w:pPr>
              <w:ind w:left="20"/>
              <w:spacing w:after="0"/>
              <w:rPr>
                <w:sz w:val="20"/>
                <w:szCs w:val="20"/>
                <w:color w:val="auto"/>
              </w:rPr>
            </w:pPr>
            <w:r>
              <w:rPr>
                <w:rFonts w:ascii="Arial" w:cs="Arial" w:eastAsia="Arial" w:hAnsi="Arial"/>
                <w:sz w:val="18"/>
                <w:szCs w:val="18"/>
                <w:color w:val="auto"/>
              </w:rPr>
              <w:t>Net (loss) from discontinued operations</w:t>
            </w:r>
          </w:p>
        </w:tc>
        <w:tc>
          <w:tcPr>
            <w:tcW w:w="200" w:type="dxa"/>
            <w:vAlign w:val="bottom"/>
          </w:tcPr>
          <w:p>
            <w:pPr>
              <w:spacing w:after="0"/>
              <w:rPr>
                <w:sz w:val="21"/>
                <w:szCs w:val="21"/>
                <w:color w:val="auto"/>
              </w:rPr>
            </w:pPr>
          </w:p>
        </w:tc>
        <w:tc>
          <w:tcPr>
            <w:tcW w:w="20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44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Commodity derivatives</w:t>
            </w:r>
          </w:p>
        </w:tc>
        <w:tc>
          <w:tcPr>
            <w:tcW w:w="444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Fuel, purchased power and cost of natural gas sold</w:t>
            </w:r>
          </w:p>
        </w:tc>
        <w:tc>
          <w:tcPr>
            <w:tcW w:w="200" w:type="dxa"/>
            <w:vAlign w:val="bottom"/>
            <w:tcBorders>
              <w:bottom w:val="single" w:sz="8" w:color="CFFFE7"/>
            </w:tcBorders>
            <w:shd w:val="clear" w:color="auto" w:fill="CFFFE7"/>
          </w:tcPr>
          <w:p>
            <w:pPr>
              <w:spacing w:after="0"/>
              <w:rPr>
                <w:sz w:val="23"/>
                <w:szCs w:val="23"/>
                <w:color w:val="auto"/>
              </w:rPr>
            </w:pPr>
          </w:p>
        </w:tc>
        <w:tc>
          <w:tcPr>
            <w:tcW w:w="2080" w:type="dxa"/>
            <w:vAlign w:val="bottom"/>
            <w:tcBorders>
              <w:bottom w:val="single" w:sz="8" w:color="CFFFE7"/>
            </w:tcBorders>
            <w:shd w:val="clear" w:color="auto" w:fill="CFFFE7"/>
          </w:tcPr>
          <w:p>
            <w:pPr>
              <w:jc w:val="right"/>
              <w:spacing w:after="0"/>
              <w:rPr>
                <w:sz w:val="20"/>
                <w:szCs w:val="20"/>
                <w:color w:val="auto"/>
              </w:rPr>
            </w:pPr>
            <w:r>
              <w:rPr>
                <w:rFonts w:ascii="Arial" w:cs="Arial" w:eastAsia="Arial" w:hAnsi="Arial"/>
                <w:sz w:val="18"/>
                <w:szCs w:val="18"/>
                <w:color w:val="auto"/>
              </w:rPr>
              <w:t>(243)</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color w:val="auto"/>
              </w:rPr>
              <w:t>Total impact from cash flow hedges</w:t>
            </w:r>
          </w:p>
        </w:tc>
        <w:tc>
          <w:tcPr>
            <w:tcW w:w="444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(2,271)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44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summarizes the gains and losses arising from hedging transactions that were recognized as a component of other comprehensive income (loss) for the years ended December 31, 2019, 2018 and 2017 (in thousands).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9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2019</w:t>
            </w:r>
          </w:p>
        </w:tc>
        <w:tc>
          <w:tcPr>
            <w:tcW w:w="140" w:type="dxa"/>
            <w:vAlign w:val="bottom"/>
          </w:tcPr>
          <w:p>
            <w:pPr>
              <w:spacing w:after="0"/>
              <w:rPr>
                <w:sz w:val="20"/>
                <w:szCs w:val="20"/>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w w:val="89"/>
              </w:rPr>
              <w:t>December 31, 2018</w:t>
            </w:r>
          </w:p>
        </w:tc>
        <w:tc>
          <w:tcPr>
            <w:tcW w:w="160" w:type="dxa"/>
            <w:vAlign w:val="bottom"/>
          </w:tcPr>
          <w:p>
            <w:pPr>
              <w:spacing w:after="0"/>
              <w:rPr>
                <w:sz w:val="20"/>
                <w:szCs w:val="20"/>
                <w:color w:val="auto"/>
              </w:rPr>
            </w:pPr>
          </w:p>
        </w:tc>
        <w:tc>
          <w:tcPr>
            <w:tcW w:w="1580" w:type="dxa"/>
            <w:vAlign w:val="bottom"/>
          </w:tcPr>
          <w:p>
            <w:pPr>
              <w:jc w:val="right"/>
              <w:ind w:right="50"/>
              <w:spacing w:after="0"/>
              <w:rPr>
                <w:sz w:val="20"/>
                <w:szCs w:val="20"/>
                <w:color w:val="auto"/>
              </w:rPr>
            </w:pPr>
            <w:r>
              <w:rPr>
                <w:rFonts w:ascii="Arial" w:cs="Arial" w:eastAsia="Arial" w:hAnsi="Arial"/>
                <w:sz w:val="18"/>
                <w:szCs w:val="18"/>
                <w:color w:val="auto"/>
                <w:w w:val="89"/>
              </w:rPr>
              <w:t>December 31, 2017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9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Increase (decrease) in fair value:</w:t>
            </w:r>
          </w:p>
        </w:tc>
        <w:tc>
          <w:tcPr>
            <w:tcW w:w="13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Forward commodity contracts</w:t>
            </w:r>
          </w:p>
        </w:tc>
        <w:tc>
          <w:tcPr>
            <w:tcW w:w="1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spacing w:after="0"/>
              <w:rPr>
                <w:sz w:val="20"/>
                <w:szCs w:val="20"/>
                <w:color w:val="auto"/>
              </w:rPr>
            </w:pPr>
            <w:r>
              <w:rPr>
                <w:rFonts w:ascii="Arial" w:cs="Arial" w:eastAsia="Arial" w:hAnsi="Arial"/>
                <w:sz w:val="18"/>
                <w:szCs w:val="18"/>
                <w:color w:val="auto"/>
              </w:rPr>
              <w:t>(548)</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spacing w:after="0"/>
              <w:rPr>
                <w:sz w:val="20"/>
                <w:szCs w:val="20"/>
                <w:color w:val="auto"/>
              </w:rPr>
            </w:pPr>
            <w:r>
              <w:rPr>
                <w:rFonts w:ascii="Arial" w:cs="Arial" w:eastAsia="Arial" w:hAnsi="Arial"/>
                <w:sz w:val="18"/>
                <w:szCs w:val="18"/>
                <w:color w:val="auto"/>
              </w:rPr>
              <w:t>983</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Recognition of (gains) losses in earnings due to settlements:</w:t>
            </w:r>
          </w:p>
        </w:tc>
        <w:tc>
          <w:tcPr>
            <w:tcW w:w="130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140" w:type="dxa"/>
            <w:vAlign w:val="bottom"/>
            <w:tcBorders>
              <w:bottom w:val="single" w:sz="8" w:color="CEFFE7"/>
            </w:tcBorders>
            <w:shd w:val="clear" w:color="auto" w:fill="CEFFE7"/>
          </w:tcPr>
          <w:p>
            <w:pPr>
              <w:spacing w:after="0"/>
              <w:rPr>
                <w:sz w:val="21"/>
                <w:szCs w:val="21"/>
                <w:color w:val="auto"/>
              </w:rPr>
            </w:pPr>
          </w:p>
        </w:tc>
        <w:tc>
          <w:tcPr>
            <w:tcW w:w="154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180"/>
              <w:spacing w:after="0"/>
              <w:rPr>
                <w:sz w:val="20"/>
                <w:szCs w:val="20"/>
                <w:color w:val="auto"/>
              </w:rPr>
            </w:pPr>
            <w:r>
              <w:rPr>
                <w:rFonts w:ascii="Arial" w:cs="Arial" w:eastAsia="Arial" w:hAnsi="Arial"/>
                <w:sz w:val="18"/>
                <w:szCs w:val="18"/>
                <w:color w:val="auto"/>
              </w:rPr>
              <w:t>Interest rate swaps</w:t>
            </w:r>
          </w:p>
        </w:tc>
        <w:tc>
          <w:tcPr>
            <w:tcW w:w="13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2,851</w:t>
            </w:r>
          </w:p>
        </w:tc>
        <w:tc>
          <w:tcPr>
            <w:tcW w:w="14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2,851</w:t>
            </w:r>
          </w:p>
        </w:tc>
        <w:tc>
          <w:tcPr>
            <w:tcW w:w="160" w:type="dxa"/>
            <w:vAlign w:val="bottom"/>
          </w:tcPr>
          <w:p>
            <w:pPr>
              <w:spacing w:after="0"/>
              <w:rPr>
                <w:sz w:val="21"/>
                <w:szCs w:val="21"/>
                <w:color w:val="auto"/>
              </w:rPr>
            </w:pP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2,941</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Forward commodity contracts</w:t>
            </w:r>
          </w:p>
        </w:tc>
        <w:tc>
          <w:tcPr>
            <w:tcW w:w="1300" w:type="dxa"/>
            <w:vAlign w:val="bottom"/>
            <w:tcBorders>
              <w:bottom w:val="single" w:sz="8" w:color="CEFFE7"/>
            </w:tcBorders>
            <w:shd w:val="clear" w:color="auto" w:fill="CEFFE7"/>
          </w:tcPr>
          <w:p>
            <w:pPr>
              <w:spacing w:after="0"/>
              <w:rPr>
                <w:sz w:val="23"/>
                <w:szCs w:val="23"/>
                <w:color w:val="auto"/>
              </w:rPr>
            </w:pPr>
          </w:p>
        </w:tc>
        <w:tc>
          <w:tcPr>
            <w:tcW w:w="14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(417)</w:t>
            </w:r>
          </w:p>
        </w:tc>
        <w:tc>
          <w:tcPr>
            <w:tcW w:w="140" w:type="dxa"/>
            <w:vAlign w:val="bottom"/>
            <w:tcBorders>
              <w:bottom w:val="single" w:sz="8" w:color="CEFFE7"/>
            </w:tcBorders>
            <w:shd w:val="clear" w:color="auto" w:fill="CEFFE7"/>
          </w:tcPr>
          <w:p>
            <w:pPr>
              <w:spacing w:after="0"/>
              <w:rPr>
                <w:sz w:val="23"/>
                <w:szCs w:val="23"/>
                <w:color w:val="auto"/>
              </w:rPr>
            </w:pPr>
          </w:p>
        </w:tc>
        <w:tc>
          <w:tcPr>
            <w:tcW w:w="1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130</w:t>
            </w:r>
          </w:p>
        </w:tc>
        <w:tc>
          <w:tcPr>
            <w:tcW w:w="160" w:type="dxa"/>
            <w:vAlign w:val="bottom"/>
            <w:tcBorders>
              <w:bottom w:val="single" w:sz="8" w:color="CEFFE7"/>
            </w:tcBorders>
            <w:shd w:val="clear" w:color="auto" w:fill="CEFFE7"/>
          </w:tcPr>
          <w:p>
            <w:pPr>
              <w:spacing w:after="0"/>
              <w:rPr>
                <w:sz w:val="23"/>
                <w:szCs w:val="23"/>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(670)</w:t>
            </w:r>
          </w:p>
        </w:tc>
        <w:tc>
          <w:tcPr>
            <w:tcW w:w="0" w:type="dxa"/>
            <w:vAlign w:val="bottom"/>
          </w:tcPr>
          <w:p>
            <w:pPr>
              <w:spacing w:after="0"/>
              <w:rPr>
                <w:sz w:val="1"/>
                <w:szCs w:val="1"/>
                <w:color w:val="auto"/>
              </w:rPr>
            </w:pPr>
          </w:p>
        </w:tc>
      </w:tr>
      <w:tr>
        <w:trPr>
          <w:trHeight w:val="257"/>
        </w:trPr>
        <w:tc>
          <w:tcPr>
            <w:tcW w:w="4980" w:type="dxa"/>
            <w:vAlign w:val="bottom"/>
          </w:tcPr>
          <w:p>
            <w:pPr>
              <w:ind w:left="40"/>
              <w:spacing w:after="0"/>
              <w:rPr>
                <w:sz w:val="20"/>
                <w:szCs w:val="20"/>
                <w:color w:val="auto"/>
              </w:rPr>
            </w:pPr>
            <w:r>
              <w:rPr>
                <w:rFonts w:ascii="Arial" w:cs="Arial" w:eastAsia="Arial" w:hAnsi="Arial"/>
                <w:sz w:val="18"/>
                <w:szCs w:val="18"/>
                <w:color w:val="auto"/>
              </w:rPr>
              <w:t>Total other comprehensive income (loss) from hedging</w:t>
            </w:r>
          </w:p>
        </w:tc>
        <w:tc>
          <w:tcPr>
            <w:tcW w:w="13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1,886</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3,964</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2,637</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300" w:type="dxa"/>
            <w:vAlign w:val="bottom"/>
            <w:vMerge w:val="restart"/>
          </w:tcPr>
          <w:p>
            <w:pPr>
              <w:jc w:val="right"/>
              <w:ind w:right="350"/>
              <w:spacing w:after="0"/>
              <w:rPr>
                <w:sz w:val="20"/>
                <w:szCs w:val="20"/>
                <w:color w:val="auto"/>
              </w:rPr>
            </w:pPr>
            <w:r>
              <w:rPr>
                <w:rFonts w:ascii="Arial" w:cs="Arial" w:eastAsia="Arial" w:hAnsi="Arial"/>
                <w:sz w:val="18"/>
                <w:szCs w:val="18"/>
                <w:color w:val="auto"/>
              </w:rPr>
              <w:t>108</w:t>
            </w: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4980" w:type="dxa"/>
            <w:vAlign w:val="bottom"/>
          </w:tcPr>
          <w:p>
            <w:pPr>
              <w:spacing w:after="0"/>
              <w:rPr>
                <w:sz w:val="24"/>
                <w:szCs w:val="24"/>
                <w:color w:val="auto"/>
              </w:rPr>
            </w:pPr>
          </w:p>
        </w:tc>
        <w:tc>
          <w:tcPr>
            <w:tcW w:w="130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09" w:name="page110"/>
    <w:bookmarkEnd w:id="10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Derivatives Not Designated as Hedge Instruments</w:t>
      </w:r>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The following table summarizes the impacts of derivative instruments not designated as hedge instruments on our Consolidated Statements of Income for the years ended December 31, 2019, 2018 and 2017 (in thousands). Note that this presentation does not reflect the expected gains or losses arising from the underlying physical transactions; therefore, it is not indicative of the economic gross profit we realized when the underlying physical and financial transactions were settled.</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December 31, 2019</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December 31, 2018</w:t>
            </w: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December 31, 2017</w:t>
            </w:r>
          </w:p>
        </w:tc>
      </w:tr>
      <w:tr>
        <w:trPr>
          <w:trHeight w:val="27"/>
        </w:trPr>
        <w:tc>
          <w:tcPr>
            <w:tcW w:w="4060" w:type="dxa"/>
            <w:vAlign w:val="bottom"/>
          </w:tcPr>
          <w:p>
            <w:pPr>
              <w:spacing w:after="0"/>
              <w:rPr>
                <w:sz w:val="2"/>
                <w:szCs w:val="2"/>
                <w:color w:val="auto"/>
              </w:rPr>
            </w:pPr>
          </w:p>
        </w:tc>
        <w:tc>
          <w:tcPr>
            <w:tcW w:w="1900" w:type="dxa"/>
            <w:vAlign w:val="bottom"/>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22"/>
        </w:trPr>
        <w:tc>
          <w:tcPr>
            <w:tcW w:w="4060" w:type="dxa"/>
            <w:vAlign w:val="bottom"/>
          </w:tcPr>
          <w:p>
            <w:pPr>
              <w:spacing w:after="0"/>
              <w:rPr>
                <w:sz w:val="19"/>
                <w:szCs w:val="19"/>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3"/>
              </w:rPr>
              <w:t>Location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3"/>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c>
          <w:tcPr>
            <w:tcW w:w="1820" w:type="dxa"/>
            <w:vAlign w:val="bottom"/>
          </w:tcPr>
          <w:p>
            <w:pPr>
              <w:jc w:val="center"/>
              <w:spacing w:after="0"/>
              <w:rPr>
                <w:sz w:val="20"/>
                <w:szCs w:val="20"/>
                <w:color w:val="auto"/>
              </w:rPr>
            </w:pPr>
            <w:r>
              <w:rPr>
                <w:rFonts w:ascii="Arial" w:cs="Arial" w:eastAsia="Arial" w:hAnsi="Arial"/>
                <w:sz w:val="18"/>
                <w:szCs w:val="18"/>
                <w:color w:val="auto"/>
                <w:w w:val="94"/>
              </w:rPr>
              <w:t>Amount of Gain/(Loss)</w:t>
            </w:r>
          </w:p>
        </w:tc>
      </w:tr>
      <w:tr>
        <w:trPr>
          <w:trHeight w:val="216"/>
        </w:trPr>
        <w:tc>
          <w:tcPr>
            <w:tcW w:w="406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1"/>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on Derivatives</w:t>
            </w:r>
          </w:p>
        </w:tc>
      </w:tr>
      <w:tr>
        <w:trPr>
          <w:trHeight w:val="230"/>
        </w:trPr>
        <w:tc>
          <w:tcPr>
            <w:tcW w:w="4060" w:type="dxa"/>
            <w:vAlign w:val="bottom"/>
          </w:tcPr>
          <w:p>
            <w:pPr>
              <w:ind w:left="200"/>
              <w:spacing w:after="0"/>
              <w:rPr>
                <w:sz w:val="20"/>
                <w:szCs w:val="20"/>
                <w:color w:val="auto"/>
              </w:rPr>
            </w:pPr>
            <w:r>
              <w:rPr>
                <w:rFonts w:ascii="Arial" w:cs="Arial" w:eastAsia="Arial" w:hAnsi="Arial"/>
                <w:sz w:val="18"/>
                <w:szCs w:val="18"/>
                <w:color w:val="auto"/>
                <w:w w:val="92"/>
              </w:rPr>
              <w:t>Derivatives Not Designated as Hedging Instruments</w:t>
            </w:r>
          </w:p>
        </w:tc>
        <w:tc>
          <w:tcPr>
            <w:tcW w:w="190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Recognized in Income</w:t>
            </w:r>
          </w:p>
        </w:tc>
      </w:tr>
      <w:tr>
        <w:trPr>
          <w:trHeight w:val="27"/>
        </w:trPr>
        <w:tc>
          <w:tcPr>
            <w:tcW w:w="406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246620" cy="4457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45770"/>
                    </a:xfrm>
                    <a:prstGeom prst="rect">
                      <a:avLst/>
                    </a:prstGeom>
                    <a:noFill/>
                  </pic:spPr>
                </pic:pic>
              </a:graphicData>
            </a:graphic>
          </wp:anchor>
        </w:drawing>
      </w:r>
    </w:p>
    <w:p>
      <w:pPr>
        <w:sectPr>
          <w:pgSz w:w="11900" w:h="16838" w:orient="portrait"/>
          <w:cols w:equalWidth="0" w:num="1">
            <w:col w:w="11420"/>
          </w:cols>
          <w:pgMar w:left="240" w:top="126" w:right="239" w:bottom="1440" w:gutter="0" w:footer="0" w:header="0"/>
        </w:sectPr>
      </w:pPr>
    </w:p>
    <w:p>
      <w:pPr>
        <w:spacing w:after="0" w:line="2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Fuel, purchased power</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and cost of natural gas</w:t>
      </w:r>
    </w:p>
    <w:p>
      <w:pPr>
        <w:spacing w:after="0" w:line="32" w:lineRule="exact"/>
        <w:rPr>
          <w:sz w:val="20"/>
          <w:szCs w:val="20"/>
          <w:color w:val="auto"/>
        </w:rPr>
      </w:pPr>
    </w:p>
    <w:p>
      <w:pPr>
        <w:ind w:left="40"/>
        <w:spacing w:after="0"/>
        <w:tabs>
          <w:tab w:leader="none" w:pos="4140" w:val="left"/>
        </w:tabs>
        <w:rPr>
          <w:sz w:val="20"/>
          <w:szCs w:val="20"/>
          <w:color w:val="auto"/>
        </w:rPr>
      </w:pPr>
      <w:r>
        <w:rPr>
          <w:rFonts w:ascii="Arial" w:cs="Arial" w:eastAsia="Arial" w:hAnsi="Arial"/>
          <w:sz w:val="18"/>
          <w:szCs w:val="18"/>
          <w:color w:val="auto"/>
        </w:rPr>
        <w:t>Commodity derivatives</w:t>
      </w:r>
      <w:r>
        <w:rPr>
          <w:sz w:val="20"/>
          <w:szCs w:val="20"/>
          <w:color w:val="auto"/>
        </w:rPr>
        <w:tab/>
      </w:r>
      <w:r>
        <w:rPr>
          <w:rFonts w:ascii="Arial" w:cs="Arial" w:eastAsia="Arial" w:hAnsi="Arial"/>
          <w:sz w:val="16"/>
          <w:szCs w:val="16"/>
          <w:color w:val="auto"/>
        </w:rPr>
        <w:t>sold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
        </w:trPr>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680" w:type="dxa"/>
            <w:vAlign w:val="bottom"/>
          </w:tcPr>
          <w:p>
            <w:pPr>
              <w:jc w:val="right"/>
              <w:ind w:right="49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(1,100)</w:t>
            </w:r>
          </w:p>
        </w:tc>
        <w:tc>
          <w:tcPr>
            <w:tcW w:w="720" w:type="dxa"/>
            <w:vAlign w:val="bottom"/>
          </w:tcPr>
          <w:p>
            <w:pPr>
              <w:jc w:val="right"/>
              <w:ind w:right="49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1,101</w:t>
            </w:r>
          </w:p>
        </w:tc>
        <w:tc>
          <w:tcPr>
            <w:tcW w:w="72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(2,207)</w:t>
            </w:r>
          </w:p>
        </w:tc>
      </w:tr>
      <w:tr>
        <w:trPr>
          <w:trHeight w:val="27"/>
        </w:trPr>
        <w:tc>
          <w:tcPr>
            <w:tcW w:w="68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6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5780" w:space="180"/>
            <w:col w:w="5460"/>
          </w:cols>
          <w:pgMar w:left="240" w:top="126" w:right="239" w:bottom="1440" w:gutter="0" w:footer="0" w:header="0"/>
          <w:type w:val="continuous"/>
        </w:sectPr>
      </w:pPr>
    </w:p>
    <w:p>
      <w:pPr>
        <w:spacing w:after="0" w:line="19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discussed above, financial instruments used in our regulated utilities are not designated as cash flow hedges. However, there is no earnings impact because the unrealized gains and losses arising from the use of these financial instruments are recorded as Regulatory assets or Regulatory liabilities. The net unrealized losses included in our Regulatory assets or Regulatory liability accounts related to the hedges in our Utilities were $3.3 million and $6.2 million at December 31, 2019 and 2018, respectively.</w:t>
      </w:r>
    </w:p>
    <w:p>
      <w:pPr>
        <w:spacing w:after="0" w:line="3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(10)</w:t>
        <w:tab/>
        <w:t>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Nonrecurring Fair Value Measurement</w:t>
      </w:r>
    </w:p>
    <w:p>
      <w:pPr>
        <w:spacing w:after="0" w:line="225" w:lineRule="exact"/>
        <w:rPr>
          <w:sz w:val="20"/>
          <w:szCs w:val="20"/>
          <w:color w:val="auto"/>
        </w:rPr>
      </w:pPr>
    </w:p>
    <w:p>
      <w:pPr>
        <w:spacing w:after="0"/>
        <w:rPr>
          <w:rFonts w:ascii="Arial" w:cs="Arial" w:eastAsia="Arial" w:hAnsi="Arial"/>
          <w:sz w:val="17"/>
          <w:szCs w:val="17"/>
          <w:color w:val="auto"/>
        </w:rPr>
      </w:pPr>
      <w:r>
        <w:rPr>
          <w:rFonts w:ascii="Arial" w:cs="Arial" w:eastAsia="Arial" w:hAnsi="Arial"/>
          <w:sz w:val="17"/>
          <w:szCs w:val="17"/>
          <w:color w:val="auto"/>
        </w:rPr>
        <w:t xml:space="preserve">A discussion of the fair value of our investment in equity securities of a privately held oil and gas company, a Level 3 asset, is included in </w:t>
      </w:r>
      <w:hyperlink w:anchor="page83">
        <w:r>
          <w:rPr>
            <w:rFonts w:ascii="Arial" w:cs="Arial" w:eastAsia="Arial" w:hAnsi="Arial"/>
            <w:sz w:val="17"/>
            <w:szCs w:val="17"/>
            <w:u w:val="single" w:color="auto"/>
            <w:color w:val="0000EE"/>
          </w:rPr>
          <w:t>Note 1</w:t>
        </w:r>
      </w:hyperlink>
      <w:r>
        <w:rPr>
          <w:rFonts w:ascii="Arial" w:cs="Arial" w:eastAsia="Arial" w:hAnsi="Arial"/>
          <w:sz w:val="17"/>
          <w:szCs w:val="17"/>
          <w:color w:val="auto"/>
        </w:rPr>
        <w: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Recurring Fair Value Measurements</w:t>
      </w:r>
    </w:p>
    <w:p>
      <w:pPr>
        <w:spacing w:after="0" w:line="225"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Amounts included in cash collateral and counterparty netting in the following tables represent the impact of legally enforceable master netting agreements that allow us to settle positive and negative positions, netting of asset and liability positions permitted in accordance with accounting standards for offsetting as well as cash collateral posted with the same counterparties.</w:t>
      </w:r>
    </w:p>
    <w:p>
      <w:pPr>
        <w:spacing w:after="0" w:line="181" w:lineRule="exact"/>
        <w:rPr>
          <w:sz w:val="20"/>
          <w:szCs w:val="20"/>
          <w:color w:val="auto"/>
        </w:rPr>
      </w:pPr>
    </w:p>
    <w:p>
      <w:pPr>
        <w:ind w:right="4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A discussion of fair value of financial instruments is included in </w:t>
      </w:r>
      <w:hyperlink w:anchor="page113">
        <w:r>
          <w:rPr>
            <w:rFonts w:ascii="Arial" w:cs="Arial" w:eastAsia="Arial" w:hAnsi="Arial"/>
            <w:sz w:val="18"/>
            <w:szCs w:val="18"/>
            <w:u w:val="single" w:color="auto"/>
            <w:color w:val="0000EE"/>
          </w:rPr>
          <w:t>Note 11</w:t>
        </w:r>
      </w:hyperlink>
      <w:r>
        <w:rPr>
          <w:rFonts w:ascii="Arial" w:cs="Arial" w:eastAsia="Arial" w:hAnsi="Arial"/>
          <w:sz w:val="18"/>
          <w:szCs w:val="18"/>
          <w:color w:val="auto"/>
        </w:rPr>
        <w:t>. The following tables set forth, by level within the fair value hierarchy, our gross assets and gross liabilities and related offsetting as permitted by GAAP that were accounted for at fair value on a recurring basis for derivative instruments (in thousands):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20" w:type="dxa"/>
            <w:vAlign w:val="bottom"/>
            <w:gridSpan w:val="3"/>
          </w:tcPr>
          <w:p>
            <w:pPr>
              <w:jc w:val="right"/>
              <w:ind w:right="1119"/>
              <w:spacing w:after="0"/>
              <w:rPr>
                <w:sz w:val="20"/>
                <w:szCs w:val="20"/>
                <w:color w:val="auto"/>
              </w:rPr>
            </w:pPr>
            <w:r>
              <w:rPr>
                <w:rFonts w:ascii="Arial" w:cs="Arial" w:eastAsia="Arial" w:hAnsi="Arial"/>
                <w:sz w:val="16"/>
                <w:szCs w:val="16"/>
                <w:color w:val="auto"/>
                <w:w w:val="99"/>
              </w:rPr>
              <w:t>As of December 31, 2019</w:t>
            </w: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3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jc w:val="right"/>
              <w:ind w:right="39"/>
              <w:spacing w:after="0"/>
              <w:rPr>
                <w:sz w:val="20"/>
                <w:szCs w:val="20"/>
                <w:color w:val="auto"/>
              </w:rPr>
            </w:pPr>
            <w:r>
              <w:rPr>
                <w:rFonts w:ascii="Arial" w:cs="Arial" w:eastAsia="Arial" w:hAnsi="Arial"/>
                <w:sz w:val="16"/>
                <w:szCs w:val="16"/>
                <w:color w:val="auto"/>
                <w:w w:val="91"/>
              </w:rPr>
              <w:t>Cash Collateral and</w:t>
            </w:r>
          </w:p>
        </w:tc>
        <w:tc>
          <w:tcPr>
            <w:tcW w:w="3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436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9"/>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60" w:type="dxa"/>
            <w:vAlign w:val="bottom"/>
          </w:tcPr>
          <w:p>
            <w:pPr>
              <w:ind w:left="200"/>
              <w:spacing w:after="0"/>
              <w:rPr>
                <w:sz w:val="20"/>
                <w:szCs w:val="20"/>
                <w:color w:val="auto"/>
              </w:rPr>
            </w:pPr>
            <w:r>
              <w:rPr>
                <w:rFonts w:ascii="Arial" w:cs="Arial" w:eastAsia="Arial" w:hAnsi="Arial"/>
                <w:sz w:val="16"/>
                <w:szCs w:val="16"/>
                <w:color w:val="auto"/>
              </w:rPr>
              <w:t>Level 3</w:t>
            </w:r>
          </w:p>
        </w:tc>
        <w:tc>
          <w:tcPr>
            <w:tcW w:w="1760" w:type="dxa"/>
            <w:vAlign w:val="bottom"/>
            <w:gridSpan w:val="2"/>
          </w:tcPr>
          <w:p>
            <w:pPr>
              <w:jc w:val="right"/>
              <w:spacing w:after="0"/>
              <w:rPr>
                <w:sz w:val="20"/>
                <w:szCs w:val="20"/>
                <w:color w:val="auto"/>
              </w:rPr>
            </w:pPr>
            <w:r>
              <w:rPr>
                <w:rFonts w:ascii="Arial" w:cs="Arial" w:eastAsia="Arial" w:hAnsi="Arial"/>
                <w:sz w:val="16"/>
                <w:szCs w:val="16"/>
                <w:color w:val="auto"/>
              </w:rPr>
              <w:t>Counterparty Netting</w:t>
            </w:r>
          </w:p>
        </w:tc>
        <w:tc>
          <w:tcPr>
            <w:tcW w:w="36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1,433</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(1,085)</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1,433</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(1,085)</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348</w:t>
            </w:r>
          </w:p>
        </w:tc>
        <w:tc>
          <w:tcPr>
            <w:tcW w:w="0" w:type="dxa"/>
            <w:vAlign w:val="bottom"/>
          </w:tcPr>
          <w:p>
            <w:pPr>
              <w:spacing w:after="0"/>
              <w:rPr>
                <w:sz w:val="1"/>
                <w:szCs w:val="1"/>
                <w:color w:val="auto"/>
              </w:rPr>
            </w:pPr>
          </w:p>
        </w:tc>
      </w:tr>
      <w:tr>
        <w:trPr>
          <w:trHeight w:val="311"/>
        </w:trPr>
        <w:tc>
          <w:tcPr>
            <w:tcW w:w="436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6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420" w:type="dxa"/>
            <w:vAlign w:val="bottom"/>
            <w:shd w:val="clear" w:color="auto" w:fill="CEFFE7"/>
          </w:tcPr>
          <w:p>
            <w:pPr>
              <w:spacing w:after="0"/>
              <w:rPr>
                <w:sz w:val="24"/>
                <w:szCs w:val="24"/>
                <w:color w:val="auto"/>
              </w:rPr>
            </w:pPr>
          </w:p>
        </w:tc>
        <w:tc>
          <w:tcPr>
            <w:tcW w:w="36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436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5,254</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CEFFE7"/>
            </w:tcBorders>
            <w:shd w:val="clear" w:color="auto" w:fill="CEFFE7"/>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(2,909)</w:t>
            </w:r>
          </w:p>
        </w:tc>
        <w:tc>
          <w:tcPr>
            <w:tcW w:w="36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57"/>
        </w:trPr>
        <w:tc>
          <w:tcPr>
            <w:tcW w:w="4360" w:type="dxa"/>
            <w:vAlign w:val="bottom"/>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5,254</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top w:val="single" w:sz="8" w:color="auto"/>
              <w:bottom w:val="single" w:sz="8" w:color="auto"/>
            </w:tcBorders>
          </w:tcPr>
          <w:p>
            <w:pPr>
              <w:ind w:left="860"/>
              <w:spacing w:after="0"/>
              <w:rPr>
                <w:sz w:val="20"/>
                <w:szCs w:val="20"/>
                <w:color w:val="auto"/>
              </w:rPr>
            </w:pPr>
            <w:r>
              <w:rPr>
                <w:rFonts w:ascii="Arial" w:cs="Arial" w:eastAsia="Arial" w:hAnsi="Arial"/>
                <w:sz w:val="16"/>
                <w:szCs w:val="16"/>
                <w:color w:val="auto"/>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(2,909)</w:t>
            </w:r>
          </w:p>
        </w:tc>
        <w:tc>
          <w:tcPr>
            <w:tcW w:w="36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2,345</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420"/>
          </w:cols>
          <w:pgMar w:left="240" w:top="126" w:right="239" w:bottom="1440" w:gutter="0" w:footer="0" w:header="0"/>
          <w:type w:val="continuous"/>
        </w:sectPr>
      </w:pPr>
    </w:p>
    <w:bookmarkStart w:id="110" w:name="page111"/>
    <w:bookmarkEnd w:id="110"/>
    <w:tbl>
      <w:tblPr>
        <w:tblLayout w:type="fixed"/>
        <w:tblInd w:w="0" w:type="dxa"/>
        <w:tblCellMar>
          <w:top w:w="0" w:type="dxa"/>
          <w:left w:w="0" w:type="dxa"/>
          <w:bottom w:w="0" w:type="dxa"/>
          <w:right w:w="0" w:type="dxa"/>
        </w:tblCellMar>
      </w:tblPr>
      <w:tr>
        <w:trPr>
          <w:trHeight w:val="184"/>
        </w:trPr>
        <w:tc>
          <w:tcPr>
            <w:tcW w:w="436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8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95"/>
        </w:trPr>
        <w:tc>
          <w:tcPr>
            <w:tcW w:w="1220" w:type="dxa"/>
            <w:vAlign w:val="bottom"/>
            <w:tcBorders>
              <w:top w:val="single" w:sz="8" w:color="0000EE"/>
            </w:tcBorders>
          </w:tcPr>
          <w:p>
            <w:pPr>
              <w:spacing w:after="0"/>
              <w:rPr>
                <w:sz w:val="24"/>
                <w:szCs w:val="24"/>
                <w:color w:val="auto"/>
              </w:rPr>
            </w:pPr>
          </w:p>
        </w:tc>
        <w:tc>
          <w:tcPr>
            <w:tcW w:w="31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140" w:type="dxa"/>
            <w:vAlign w:val="bottom"/>
            <w:gridSpan w:val="2"/>
          </w:tcPr>
          <w:p>
            <w:pPr>
              <w:ind w:left="140"/>
              <w:spacing w:after="0"/>
              <w:rPr>
                <w:sz w:val="20"/>
                <w:szCs w:val="20"/>
                <w:color w:val="auto"/>
              </w:rPr>
            </w:pPr>
            <w:r>
              <w:rPr>
                <w:rFonts w:ascii="Arial" w:cs="Arial" w:eastAsia="Arial" w:hAnsi="Arial"/>
                <w:sz w:val="16"/>
                <w:szCs w:val="16"/>
                <w:color w:val="auto"/>
              </w:rPr>
              <w:t>As of December 31, 2018</w:t>
            </w:r>
          </w:p>
        </w:tc>
        <w:tc>
          <w:tcPr>
            <w:tcW w:w="9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gridSpan w:val="2"/>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12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800" w:type="dxa"/>
            <w:vAlign w:val="bottom"/>
            <w:gridSpan w:val="2"/>
          </w:tcPr>
          <w:p>
            <w:pPr>
              <w:jc w:val="center"/>
              <w:ind w:left="117"/>
              <w:spacing w:after="0"/>
              <w:rPr>
                <w:sz w:val="20"/>
                <w:szCs w:val="20"/>
                <w:color w:val="auto"/>
              </w:rPr>
            </w:pPr>
            <w:r>
              <w:rPr>
                <w:rFonts w:ascii="Arial" w:cs="Arial" w:eastAsia="Arial" w:hAnsi="Arial"/>
                <w:sz w:val="16"/>
                <w:szCs w:val="16"/>
                <w:color w:val="auto"/>
                <w:w w:val="91"/>
              </w:rPr>
              <w:t>Cash Collateral and</w:t>
            </w: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1220" w:type="dxa"/>
            <w:vAlign w:val="bottom"/>
          </w:tcPr>
          <w:p>
            <w:pPr>
              <w:spacing w:after="0"/>
              <w:rPr>
                <w:sz w:val="17"/>
                <w:szCs w:val="17"/>
                <w:color w:val="auto"/>
              </w:rPr>
            </w:pPr>
          </w:p>
        </w:tc>
        <w:tc>
          <w:tcPr>
            <w:tcW w:w="314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Level 1</w:t>
            </w: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jc w:val="right"/>
              <w:ind w:right="215"/>
              <w:spacing w:after="0"/>
              <w:rPr>
                <w:sz w:val="20"/>
                <w:szCs w:val="20"/>
                <w:color w:val="auto"/>
              </w:rPr>
            </w:pPr>
            <w:r>
              <w:rPr>
                <w:rFonts w:ascii="Arial" w:cs="Arial" w:eastAsia="Arial" w:hAnsi="Arial"/>
                <w:sz w:val="16"/>
                <w:szCs w:val="16"/>
                <w:color w:val="auto"/>
              </w:rPr>
              <w:t>Level 2</w:t>
            </w:r>
          </w:p>
        </w:tc>
        <w:tc>
          <w:tcPr>
            <w:tcW w:w="280" w:type="dxa"/>
            <w:vAlign w:val="bottom"/>
          </w:tcPr>
          <w:p>
            <w:pPr>
              <w:spacing w:after="0"/>
              <w:rPr>
                <w:sz w:val="17"/>
                <w:szCs w:val="17"/>
                <w:color w:val="auto"/>
              </w:rPr>
            </w:pPr>
          </w:p>
        </w:tc>
        <w:tc>
          <w:tcPr>
            <w:tcW w:w="1240" w:type="dxa"/>
            <w:vAlign w:val="bottom"/>
          </w:tcPr>
          <w:p>
            <w:pPr>
              <w:ind w:left="180"/>
              <w:spacing w:after="0"/>
              <w:rPr>
                <w:sz w:val="20"/>
                <w:szCs w:val="20"/>
                <w:color w:val="auto"/>
              </w:rPr>
            </w:pPr>
            <w:r>
              <w:rPr>
                <w:rFonts w:ascii="Arial" w:cs="Arial" w:eastAsia="Arial" w:hAnsi="Arial"/>
                <w:sz w:val="16"/>
                <w:szCs w:val="16"/>
                <w:color w:val="auto"/>
              </w:rPr>
              <w:t>Level 3</w:t>
            </w:r>
          </w:p>
        </w:tc>
        <w:tc>
          <w:tcPr>
            <w:tcW w:w="1800" w:type="dxa"/>
            <w:vAlign w:val="bottom"/>
            <w:gridSpan w:val="2"/>
          </w:tcPr>
          <w:p>
            <w:pPr>
              <w:jc w:val="center"/>
              <w:ind w:left="137"/>
              <w:spacing w:after="0"/>
              <w:rPr>
                <w:sz w:val="20"/>
                <w:szCs w:val="20"/>
                <w:color w:val="auto"/>
              </w:rPr>
            </w:pPr>
            <w:r>
              <w:rPr>
                <w:rFonts w:ascii="Arial" w:cs="Arial" w:eastAsia="Arial" w:hAnsi="Arial"/>
                <w:sz w:val="16"/>
                <w:szCs w:val="16"/>
                <w:color w:val="auto"/>
                <w:w w:val="93"/>
              </w:rPr>
              <w:t>Counterparty Netting</w:t>
            </w:r>
          </w:p>
        </w:tc>
        <w:tc>
          <w:tcPr>
            <w:tcW w:w="340" w:type="dxa"/>
            <w:vAlign w:val="bottom"/>
          </w:tcPr>
          <w:p>
            <w:pPr>
              <w:spacing w:after="0"/>
              <w:rPr>
                <w:sz w:val="17"/>
                <w:szCs w:val="17"/>
                <w:color w:val="auto"/>
              </w:rPr>
            </w:pPr>
          </w:p>
        </w:tc>
        <w:tc>
          <w:tcPr>
            <w:tcW w:w="1120" w:type="dxa"/>
            <w:vAlign w:val="bottom"/>
          </w:tcPr>
          <w:p>
            <w:pPr>
              <w:jc w:val="right"/>
              <w:ind w:right="479"/>
              <w:spacing w:after="0"/>
              <w:rPr>
                <w:sz w:val="20"/>
                <w:szCs w:val="20"/>
                <w:color w:val="auto"/>
              </w:rPr>
            </w:pPr>
            <w:r>
              <w:rPr>
                <w:rFonts w:ascii="Arial" w:cs="Arial" w:eastAsia="Arial" w:hAnsi="Arial"/>
                <w:sz w:val="16"/>
                <w:szCs w:val="16"/>
                <w:color w:val="auto"/>
              </w:rPr>
              <w:t>Total</w:t>
            </w:r>
          </w:p>
        </w:tc>
        <w:tc>
          <w:tcPr>
            <w:tcW w:w="0" w:type="dxa"/>
            <w:vAlign w:val="bottom"/>
          </w:tcPr>
          <w:p>
            <w:pPr>
              <w:spacing w:after="0"/>
              <w:rPr>
                <w:sz w:val="1"/>
                <w:szCs w:val="1"/>
                <w:color w:val="auto"/>
              </w:rPr>
            </w:pPr>
          </w:p>
        </w:tc>
      </w:tr>
      <w:tr>
        <w:trPr>
          <w:trHeight w:val="33"/>
        </w:trPr>
        <w:tc>
          <w:tcPr>
            <w:tcW w:w="4360" w:type="dxa"/>
            <w:vAlign w:val="bottom"/>
            <w:gridSpan w:val="2"/>
            <w:vMerge w:val="restart"/>
          </w:tcPr>
          <w:p>
            <w:pPr>
              <w:ind w:left="40"/>
              <w:spacing w:after="0"/>
              <w:rPr>
                <w:sz w:val="20"/>
                <w:szCs w:val="20"/>
                <w:color w:val="auto"/>
              </w:rPr>
            </w:pPr>
            <w:r>
              <w:rPr>
                <w:rFonts w:ascii="Arial" w:cs="Arial" w:eastAsia="Arial" w:hAnsi="Arial"/>
                <w:sz w:val="16"/>
                <w:szCs w:val="16"/>
                <w:color w:val="auto"/>
              </w:rPr>
              <w:t>Assets:</w:t>
            </w:r>
          </w:p>
        </w:tc>
        <w:tc>
          <w:tcPr>
            <w:tcW w:w="8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4360" w:type="dxa"/>
            <w:vAlign w:val="bottom"/>
            <w:gridSpan w:val="2"/>
            <w:vMerge w:val="continue"/>
          </w:tcPr>
          <w:p>
            <w:pPr>
              <w:spacing w:after="0"/>
              <w:rPr>
                <w:sz w:val="20"/>
                <w:szCs w:val="20"/>
                <w:color w:val="auto"/>
              </w:rPr>
            </w:pP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2,927</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(1,408)</w:t>
            </w:r>
          </w:p>
        </w:tc>
        <w:tc>
          <w:tcPr>
            <w:tcW w:w="3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297"/>
        </w:trPr>
        <w:tc>
          <w:tcPr>
            <w:tcW w:w="4360" w:type="dxa"/>
            <w:vAlign w:val="bottom"/>
            <w:tcBorders>
              <w:bottom w:val="single" w:sz="8" w:color="CEFFE7"/>
            </w:tcBorders>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2,927</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(1,408)</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1,519</w:t>
            </w:r>
          </w:p>
        </w:tc>
        <w:tc>
          <w:tcPr>
            <w:tcW w:w="0" w:type="dxa"/>
            <w:vAlign w:val="bottom"/>
          </w:tcPr>
          <w:p>
            <w:pPr>
              <w:spacing w:after="0"/>
              <w:rPr>
                <w:sz w:val="1"/>
                <w:szCs w:val="1"/>
                <w:color w:val="auto"/>
              </w:rPr>
            </w:pPr>
          </w:p>
        </w:tc>
      </w:tr>
      <w:tr>
        <w:trPr>
          <w:trHeight w:val="311"/>
        </w:trPr>
        <w:tc>
          <w:tcPr>
            <w:tcW w:w="1220" w:type="dxa"/>
            <w:vAlign w:val="bottom"/>
            <w:shd w:val="clear" w:color="auto" w:fill="CEFFE7"/>
          </w:tcPr>
          <w:p>
            <w:pPr>
              <w:spacing w:after="0"/>
              <w:rPr>
                <w:sz w:val="24"/>
                <w:szCs w:val="24"/>
                <w:color w:val="auto"/>
              </w:rPr>
            </w:pPr>
          </w:p>
        </w:tc>
        <w:tc>
          <w:tcPr>
            <w:tcW w:w="3140" w:type="dxa"/>
            <w:vAlign w:val="bottom"/>
            <w:shd w:val="clear" w:color="auto" w:fill="CEFFE7"/>
          </w:tcPr>
          <w:p>
            <w:pPr>
              <w:spacing w:after="0"/>
              <w:rPr>
                <w:sz w:val="24"/>
                <w:szCs w:val="24"/>
                <w:color w:val="auto"/>
              </w:rPr>
            </w:pPr>
          </w:p>
        </w:tc>
        <w:tc>
          <w:tcPr>
            <w:tcW w:w="84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280" w:type="dxa"/>
            <w:vAlign w:val="bottom"/>
            <w:shd w:val="clear" w:color="auto" w:fill="CEFFE7"/>
          </w:tcPr>
          <w:p>
            <w:pPr>
              <w:spacing w:after="0"/>
              <w:rPr>
                <w:sz w:val="24"/>
                <w:szCs w:val="24"/>
                <w:color w:val="auto"/>
              </w:rPr>
            </w:pPr>
          </w:p>
        </w:tc>
        <w:tc>
          <w:tcPr>
            <w:tcW w:w="124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900" w:type="dxa"/>
            <w:vAlign w:val="bottom"/>
            <w:shd w:val="clear" w:color="auto" w:fill="CEFFE7"/>
          </w:tcPr>
          <w:p>
            <w:pPr>
              <w:spacing w:after="0"/>
              <w:rPr>
                <w:sz w:val="24"/>
                <w:szCs w:val="24"/>
                <w:color w:val="auto"/>
              </w:rPr>
            </w:pPr>
          </w:p>
        </w:tc>
        <w:tc>
          <w:tcPr>
            <w:tcW w:w="340" w:type="dxa"/>
            <w:vAlign w:val="bottom"/>
            <w:shd w:val="clear" w:color="auto" w:fill="CEFFE7"/>
          </w:tcPr>
          <w:p>
            <w:pPr>
              <w:spacing w:after="0"/>
              <w:rPr>
                <w:sz w:val="24"/>
                <w:szCs w:val="24"/>
                <w:color w:val="auto"/>
              </w:rPr>
            </w:pPr>
          </w:p>
        </w:tc>
        <w:tc>
          <w:tcPr>
            <w:tcW w:w="11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37"/>
        </w:trPr>
        <w:tc>
          <w:tcPr>
            <w:tcW w:w="4360" w:type="dxa"/>
            <w:vAlign w:val="bottom"/>
            <w:gridSpan w:val="2"/>
          </w:tcPr>
          <w:p>
            <w:pPr>
              <w:ind w:left="40"/>
              <w:spacing w:after="0"/>
              <w:rPr>
                <w:sz w:val="20"/>
                <w:szCs w:val="20"/>
                <w:color w:val="auto"/>
              </w:rPr>
            </w:pPr>
            <w:r>
              <w:rPr>
                <w:rFonts w:ascii="Arial" w:cs="Arial" w:eastAsia="Arial" w:hAnsi="Arial"/>
                <w:sz w:val="16"/>
                <w:szCs w:val="16"/>
                <w:color w:val="auto"/>
              </w:rPr>
              <w:t>Liabilities:</w:t>
            </w:r>
          </w:p>
        </w:tc>
        <w:tc>
          <w:tcPr>
            <w:tcW w:w="8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1220" w:type="dxa"/>
            <w:vAlign w:val="bottom"/>
          </w:tcPr>
          <w:p>
            <w:pPr>
              <w:spacing w:after="0"/>
              <w:rPr>
                <w:sz w:val="2"/>
                <w:szCs w:val="2"/>
                <w:color w:val="auto"/>
              </w:rPr>
            </w:pPr>
          </w:p>
        </w:tc>
        <w:tc>
          <w:tcPr>
            <w:tcW w:w="3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6"/>
                <w:szCs w:val="16"/>
                <w:color w:val="auto"/>
              </w:rPr>
              <w:t>Commodity derivatives - Utilities</w:t>
            </w:r>
          </w:p>
        </w:tc>
        <w:tc>
          <w:tcPr>
            <w:tcW w:w="84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6,801</w:t>
            </w:r>
          </w:p>
        </w:tc>
        <w:tc>
          <w:tcPr>
            <w:tcW w:w="28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ind w:left="8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340" w:type="dxa"/>
            <w:vAlign w:val="bottom"/>
            <w:tcBorders>
              <w:bottom w:val="single" w:sz="8" w:color="CEFFE7"/>
            </w:tcBorders>
            <w:shd w:val="clear" w:color="auto" w:fill="CEFFE7"/>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57"/>
        </w:trPr>
        <w:tc>
          <w:tcPr>
            <w:tcW w:w="4360" w:type="dxa"/>
            <w:vAlign w:val="bottom"/>
            <w:gridSpan w:val="2"/>
          </w:tcPr>
          <w:p>
            <w:pPr>
              <w:ind w:left="180"/>
              <w:spacing w:after="0"/>
              <w:rPr>
                <w:sz w:val="20"/>
                <w:szCs w:val="20"/>
                <w:color w:val="auto"/>
              </w:rPr>
            </w:pPr>
            <w:r>
              <w:rPr>
                <w:rFonts w:ascii="Arial" w:cs="Arial" w:eastAsia="Arial" w:hAnsi="Arial"/>
                <w:sz w:val="16"/>
                <w:szCs w:val="16"/>
                <w:color w:val="auto"/>
              </w:rPr>
              <w:t>Total</w:t>
            </w:r>
          </w:p>
        </w:tc>
        <w:tc>
          <w:tcPr>
            <w:tcW w:w="840" w:type="dxa"/>
            <w:vAlign w:val="bottom"/>
            <w:tcBorders>
              <w:top w:val="single" w:sz="8" w:color="auto"/>
              <w:bottom w:val="single" w:sz="8" w:color="auto"/>
            </w:tcBorders>
          </w:tcPr>
          <w:p>
            <w:pPr>
              <w:jc w:val="right"/>
              <w:ind w:right="659"/>
              <w:spacing w:after="0"/>
              <w:rPr>
                <w:sz w:val="20"/>
                <w:szCs w:val="20"/>
                <w:color w:val="auto"/>
              </w:rPr>
            </w:pPr>
            <w:r>
              <w:rPr>
                <w:rFonts w:ascii="Arial" w:cs="Arial" w:eastAsia="Arial" w:hAnsi="Arial"/>
                <w:sz w:val="16"/>
                <w:szCs w:val="16"/>
                <w:color w:val="auto"/>
                <w:w w:val="89"/>
              </w:rPr>
              <w:t>$</w:t>
            </w:r>
          </w:p>
        </w:tc>
        <w:tc>
          <w:tcPr>
            <w:tcW w:w="28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6"/>
                <w:szCs w:val="16"/>
                <w:color w:val="auto"/>
              </w:rPr>
              <w:t>—</w:t>
            </w:r>
          </w:p>
        </w:tc>
        <w:tc>
          <w:tcPr>
            <w:tcW w:w="260" w:type="dxa"/>
            <w:vAlign w:val="bottom"/>
            <w:tcBorders>
              <w:top w:val="single" w:sz="8" w:color="auto"/>
              <w:bottom w:val="single" w:sz="8" w:color="auto"/>
            </w:tcBorders>
          </w:tcPr>
          <w:p>
            <w:pPr>
              <w:ind w:left="6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6,801</w:t>
            </w:r>
          </w:p>
        </w:tc>
        <w:tc>
          <w:tcPr>
            <w:tcW w:w="28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1240" w:type="dxa"/>
            <w:vAlign w:val="bottom"/>
            <w:tcBorders>
              <w:top w:val="single" w:sz="8" w:color="auto"/>
              <w:bottom w:val="single" w:sz="8" w:color="auto"/>
            </w:tcBorders>
          </w:tcPr>
          <w:p>
            <w:pPr>
              <w:ind w:left="8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240"/>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(5,794)</w:t>
            </w:r>
          </w:p>
        </w:tc>
        <w:tc>
          <w:tcPr>
            <w:tcW w:w="340" w:type="dxa"/>
            <w:vAlign w:val="bottom"/>
            <w:tcBorders>
              <w:top w:val="single" w:sz="8" w:color="auto"/>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1,007</w:t>
            </w:r>
          </w:p>
        </w:tc>
        <w:tc>
          <w:tcPr>
            <w:tcW w:w="0" w:type="dxa"/>
            <w:vAlign w:val="bottom"/>
          </w:tcPr>
          <w:p>
            <w:pPr>
              <w:spacing w:after="0"/>
              <w:rPr>
                <w:sz w:val="1"/>
                <w:szCs w:val="1"/>
                <w:color w:val="auto"/>
              </w:rPr>
            </w:pPr>
          </w:p>
        </w:tc>
      </w:tr>
      <w:tr>
        <w:trPr>
          <w:trHeight w:val="20"/>
        </w:trPr>
        <w:tc>
          <w:tcPr>
            <w:tcW w:w="12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Fair Value Measures by Balance Sheet Classification</w:t>
      </w:r>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are presented on a gross basis, aside from the netting of asset and liability positions permitted in accordance with accounting standards for offsetting and under terms of our master netting agreements and the impact of legally enforceable master netting agreements that allow us to settle positive and negative positions.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the fair value and balance sheet classification of our derivative instruments as of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20" w:type="dxa"/>
            <w:vAlign w:val="bottom"/>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color w:val="auto"/>
              </w:rPr>
              <w:t>December 31,</w:t>
            </w: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3620" w:type="dxa"/>
            <w:vAlign w:val="bottom"/>
          </w:tcPr>
          <w:p>
            <w:pPr>
              <w:spacing w:after="0"/>
              <w:rPr>
                <w:sz w:val="23"/>
                <w:szCs w:val="23"/>
                <w:color w:val="auto"/>
              </w:rPr>
            </w:pPr>
          </w:p>
        </w:tc>
        <w:tc>
          <w:tcPr>
            <w:tcW w:w="4400" w:type="dxa"/>
            <w:vAlign w:val="bottom"/>
          </w:tcPr>
          <w:p>
            <w:pPr>
              <w:ind w:left="1600"/>
              <w:spacing w:after="0"/>
              <w:rPr>
                <w:sz w:val="20"/>
                <w:szCs w:val="20"/>
                <w:color w:val="auto"/>
              </w:rPr>
            </w:pPr>
            <w:r>
              <w:rPr>
                <w:rFonts w:ascii="Arial" w:cs="Arial" w:eastAsia="Arial" w:hAnsi="Arial"/>
                <w:sz w:val="18"/>
                <w:szCs w:val="18"/>
                <w:color w:val="auto"/>
              </w:rPr>
              <w:t>Balance Sheet Location</w:t>
            </w:r>
          </w:p>
        </w:tc>
        <w:tc>
          <w:tcPr>
            <w:tcW w:w="400" w:type="dxa"/>
            <w:vAlign w:val="bottom"/>
          </w:tcPr>
          <w:p>
            <w:pPr>
              <w:spacing w:after="0"/>
              <w:rPr>
                <w:sz w:val="23"/>
                <w:szCs w:val="23"/>
                <w:color w:val="auto"/>
              </w:rPr>
            </w:pPr>
          </w:p>
        </w:tc>
        <w:tc>
          <w:tcPr>
            <w:tcW w:w="1280" w:type="dxa"/>
            <w:vAlign w:val="bottom"/>
          </w:tcPr>
          <w:p>
            <w:pPr>
              <w:jc w:val="right"/>
              <w:ind w:right="570"/>
              <w:spacing w:after="0"/>
              <w:rPr>
                <w:sz w:val="20"/>
                <w:szCs w:val="20"/>
                <w:color w:val="auto"/>
              </w:rPr>
            </w:pPr>
            <w:r>
              <w:rPr>
                <w:rFonts w:ascii="Arial" w:cs="Arial" w:eastAsia="Arial" w:hAnsi="Arial"/>
                <w:sz w:val="18"/>
                <w:szCs w:val="18"/>
                <w:color w:val="auto"/>
              </w:rPr>
              <w:t>2019</w:t>
            </w:r>
          </w:p>
        </w:tc>
        <w:tc>
          <w:tcPr>
            <w:tcW w:w="620" w:type="dxa"/>
            <w:vAlign w:val="bottom"/>
          </w:tcPr>
          <w:p>
            <w:pPr>
              <w:spacing w:after="0"/>
              <w:rPr>
                <w:sz w:val="23"/>
                <w:szCs w:val="23"/>
                <w:color w:val="auto"/>
              </w:rPr>
            </w:pPr>
          </w:p>
        </w:tc>
        <w:tc>
          <w:tcPr>
            <w:tcW w:w="1100" w:type="dxa"/>
            <w:vAlign w:val="bottom"/>
          </w:tcPr>
          <w:p>
            <w:pPr>
              <w:jc w:val="right"/>
              <w:ind w:right="590"/>
              <w:spacing w:after="0"/>
              <w:rPr>
                <w:sz w:val="20"/>
                <w:szCs w:val="20"/>
                <w:color w:val="auto"/>
              </w:rPr>
            </w:pPr>
            <w:r>
              <w:rPr>
                <w:rFonts w:ascii="Arial" w:cs="Arial" w:eastAsia="Arial" w:hAnsi="Arial"/>
                <w:sz w:val="18"/>
                <w:szCs w:val="18"/>
                <w:color w:val="auto"/>
                <w:w w:val="99"/>
              </w:rPr>
              <w:t>2018</w:t>
            </w:r>
          </w:p>
        </w:tc>
        <w:tc>
          <w:tcPr>
            <w:tcW w:w="0" w:type="dxa"/>
            <w:vAlign w:val="bottom"/>
          </w:tcPr>
          <w:p>
            <w:pPr>
              <w:spacing w:after="0"/>
              <w:rPr>
                <w:sz w:val="1"/>
                <w:szCs w:val="1"/>
                <w:color w:val="auto"/>
              </w:rPr>
            </w:pPr>
          </w:p>
        </w:tc>
      </w:tr>
      <w:tr>
        <w:trPr>
          <w:trHeight w:val="27"/>
        </w:trPr>
        <w:tc>
          <w:tcPr>
            <w:tcW w:w="3620" w:type="dxa"/>
            <w:vAlign w:val="bottom"/>
            <w:vMerge w:val="restart"/>
          </w:tcPr>
          <w:p>
            <w:pPr>
              <w:ind w:left="40"/>
              <w:spacing w:after="0"/>
              <w:rPr>
                <w:sz w:val="20"/>
                <w:szCs w:val="20"/>
                <w:color w:val="auto"/>
              </w:rPr>
            </w:pPr>
            <w:r>
              <w:rPr>
                <w:rFonts w:ascii="Arial" w:cs="Arial" w:eastAsia="Arial" w:hAnsi="Arial"/>
                <w:sz w:val="18"/>
                <w:szCs w:val="18"/>
                <w:color w:val="auto"/>
              </w:rPr>
              <w:t>Derivatives designated as hedges:</w:t>
            </w:r>
          </w:p>
        </w:tc>
        <w:tc>
          <w:tcPr>
            <w:tcW w:w="44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620" w:type="dxa"/>
            <w:vAlign w:val="bottom"/>
            <w:vMerge w:val="continue"/>
          </w:tcPr>
          <w:p>
            <w:pPr>
              <w:spacing w:after="0"/>
              <w:rPr>
                <w:sz w:val="20"/>
                <w:szCs w:val="20"/>
                <w:color w:val="auto"/>
              </w:rPr>
            </w:pPr>
          </w:p>
        </w:tc>
        <w:tc>
          <w:tcPr>
            <w:tcW w:w="44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Asset derivative instruments: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Derivative assets - current</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w:t>
            </w:r>
          </w:p>
        </w:tc>
        <w:tc>
          <w:tcPr>
            <w:tcW w:w="620" w:type="dxa"/>
            <w:vAlign w:val="bottom"/>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415</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Other assets, non-current</w:t>
            </w: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w:t>
            </w: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Liability derivative instruments:</w:t>
            </w:r>
          </w:p>
        </w:tc>
        <w:tc>
          <w:tcPr>
            <w:tcW w:w="4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Derivative liabilities - current</w:t>
            </w: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(490)</w:t>
            </w: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(114)</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Other deferred credits and other liabilities</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(29)</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3620" w:type="dxa"/>
            <w:vAlign w:val="bottom"/>
            <w:tcBorders>
              <w:bottom w:val="single" w:sz="8" w:color="CEFFE7"/>
            </w:tcBorders>
          </w:tcPr>
          <w:p>
            <w:pPr>
              <w:spacing w:after="0"/>
              <w:rPr>
                <w:sz w:val="2"/>
                <w:szCs w:val="2"/>
                <w:color w:val="auto"/>
              </w:rPr>
            </w:pPr>
          </w:p>
        </w:tc>
        <w:tc>
          <w:tcPr>
            <w:tcW w:w="4400" w:type="dxa"/>
            <w:vAlign w:val="bottom"/>
            <w:tcBorders>
              <w:bottom w:val="single" w:sz="8" w:color="CEFFE7"/>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derivatives designated as hedges</w:t>
            </w:r>
          </w:p>
        </w:tc>
        <w:tc>
          <w:tcPr>
            <w:tcW w:w="4400" w:type="dxa"/>
            <w:vAlign w:val="bottom"/>
            <w:tcBorders>
              <w:bottom w:val="single" w:sz="8" w:color="CEFFE7"/>
            </w:tcBorders>
            <w:shd w:val="clear" w:color="auto" w:fill="CEFFE7"/>
          </w:tcPr>
          <w:p>
            <w:pPr>
              <w:spacing w:after="0"/>
              <w:rPr>
                <w:sz w:val="22"/>
                <w:szCs w:val="22"/>
                <w:color w:val="auto"/>
              </w:rPr>
            </w:pPr>
          </w:p>
        </w:tc>
        <w:tc>
          <w:tcPr>
            <w:tcW w:w="400" w:type="dxa"/>
            <w:vAlign w:val="bottom"/>
            <w:tcBorders>
              <w:bottom w:val="single" w:sz="8" w:color="auto"/>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(515)</w:t>
            </w:r>
          </w:p>
        </w:tc>
        <w:tc>
          <w:tcPr>
            <w:tcW w:w="62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315</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36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6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Not designated as hedges: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180"/>
              <w:spacing w:after="0"/>
              <w:rPr>
                <w:sz w:val="20"/>
                <w:szCs w:val="20"/>
                <w:color w:val="auto"/>
              </w:rPr>
            </w:pPr>
            <w:r>
              <w:rPr>
                <w:rFonts w:ascii="Arial" w:cs="Arial" w:eastAsia="Arial" w:hAnsi="Arial"/>
                <w:sz w:val="18"/>
                <w:szCs w:val="18"/>
                <w:color w:val="auto"/>
              </w:rPr>
              <w:t>Asset derivative instruments:</w:t>
            </w:r>
          </w:p>
        </w:tc>
        <w:tc>
          <w:tcPr>
            <w:tcW w:w="44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Derivative assets - current</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341</w:t>
            </w:r>
          </w:p>
        </w:tc>
        <w:tc>
          <w:tcPr>
            <w:tcW w:w="62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1,085</w:t>
            </w: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Other assets, non-current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6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Liability derivative instruments:</w:t>
            </w:r>
          </w:p>
        </w:tc>
        <w:tc>
          <w:tcPr>
            <w:tcW w:w="4400" w:type="dxa"/>
            <w:vAlign w:val="bottom"/>
            <w:tcBorders>
              <w:bottom w:val="single" w:sz="8" w:color="CEFFE7"/>
            </w:tcBorders>
            <w:shd w:val="clear" w:color="auto" w:fill="CEFFE7"/>
          </w:tcPr>
          <w:p>
            <w:pPr>
              <w:spacing w:after="0"/>
              <w:rPr>
                <w:sz w:val="21"/>
                <w:szCs w:val="21"/>
                <w:color w:val="auto"/>
              </w:rPr>
            </w:pPr>
          </w:p>
        </w:tc>
        <w:tc>
          <w:tcPr>
            <w:tcW w:w="400" w:type="dxa"/>
            <w:vAlign w:val="bottom"/>
            <w:tcBorders>
              <w:bottom w:val="single" w:sz="8" w:color="CEFFE7"/>
            </w:tcBorders>
            <w:shd w:val="clear" w:color="auto" w:fill="CEFFE7"/>
          </w:tcPr>
          <w:p>
            <w:pPr>
              <w:spacing w:after="0"/>
              <w:rPr>
                <w:sz w:val="21"/>
                <w:szCs w:val="21"/>
                <w:color w:val="auto"/>
              </w:rPr>
            </w:pPr>
          </w:p>
        </w:tc>
        <w:tc>
          <w:tcPr>
            <w:tcW w:w="1280" w:type="dxa"/>
            <w:vAlign w:val="bottom"/>
            <w:tcBorders>
              <w:bottom w:val="single" w:sz="8" w:color="CEFFE7"/>
            </w:tcBorders>
            <w:shd w:val="clear" w:color="auto" w:fill="CEFFE7"/>
          </w:tcPr>
          <w:p>
            <w:pPr>
              <w:spacing w:after="0"/>
              <w:rPr>
                <w:sz w:val="21"/>
                <w:szCs w:val="21"/>
                <w:color w:val="auto"/>
              </w:rPr>
            </w:pPr>
          </w:p>
        </w:tc>
        <w:tc>
          <w:tcPr>
            <w:tcW w:w="6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620" w:type="dxa"/>
            <w:vAlign w:val="bottom"/>
          </w:tcPr>
          <w:p>
            <w:pPr>
              <w:ind w:left="280"/>
              <w:spacing w:after="0"/>
              <w:rPr>
                <w:sz w:val="20"/>
                <w:szCs w:val="20"/>
                <w:color w:val="auto"/>
              </w:rPr>
            </w:pPr>
            <w:r>
              <w:rPr>
                <w:rFonts w:ascii="Arial" w:cs="Arial" w:eastAsia="Arial" w:hAnsi="Arial"/>
                <w:sz w:val="18"/>
                <w:szCs w:val="18"/>
                <w:color w:val="auto"/>
              </w:rPr>
              <w:t>Current commodity derivatives</w:t>
            </w:r>
          </w:p>
        </w:tc>
        <w:tc>
          <w:tcPr>
            <w:tcW w:w="4400" w:type="dxa"/>
            <w:vAlign w:val="bottom"/>
          </w:tcPr>
          <w:p>
            <w:pPr>
              <w:ind w:left="540"/>
              <w:spacing w:after="0"/>
              <w:rPr>
                <w:sz w:val="20"/>
                <w:szCs w:val="20"/>
                <w:color w:val="auto"/>
              </w:rPr>
            </w:pPr>
            <w:r>
              <w:rPr>
                <w:rFonts w:ascii="Arial" w:cs="Arial" w:eastAsia="Arial" w:hAnsi="Arial"/>
                <w:sz w:val="18"/>
                <w:szCs w:val="18"/>
                <w:color w:val="auto"/>
              </w:rPr>
              <w:t>Derivative liabilities - current</w:t>
            </w:r>
          </w:p>
        </w:tc>
        <w:tc>
          <w:tcPr>
            <w:tcW w:w="40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(1,764)</w:t>
            </w:r>
          </w:p>
        </w:tc>
        <w:tc>
          <w:tcPr>
            <w:tcW w:w="6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(833)</w:t>
            </w:r>
          </w:p>
        </w:tc>
        <w:tc>
          <w:tcPr>
            <w:tcW w:w="0" w:type="dxa"/>
            <w:vAlign w:val="bottom"/>
          </w:tcPr>
          <w:p>
            <w:pPr>
              <w:spacing w:after="0"/>
              <w:rPr>
                <w:sz w:val="1"/>
                <w:szCs w:val="1"/>
                <w:color w:val="auto"/>
              </w:rPr>
            </w:pPr>
          </w:p>
        </w:tc>
      </w:tr>
      <w:tr>
        <w:trPr>
          <w:trHeight w:val="27"/>
        </w:trPr>
        <w:tc>
          <w:tcPr>
            <w:tcW w:w="3620" w:type="dxa"/>
            <w:vAlign w:val="bottom"/>
          </w:tcPr>
          <w:p>
            <w:pPr>
              <w:spacing w:after="0"/>
              <w:rPr>
                <w:sz w:val="2"/>
                <w:szCs w:val="2"/>
                <w:color w:val="auto"/>
              </w:rPr>
            </w:pPr>
          </w:p>
        </w:tc>
        <w:tc>
          <w:tcPr>
            <w:tcW w:w="44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6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Noncurrent commodity derivatives</w:t>
            </w:r>
          </w:p>
        </w:tc>
        <w:tc>
          <w:tcPr>
            <w:tcW w:w="4400" w:type="dxa"/>
            <w:vAlign w:val="bottom"/>
            <w:tcBorders>
              <w:bottom w:val="single" w:sz="8" w:color="CEFFE7"/>
            </w:tcBorders>
            <w:shd w:val="clear" w:color="auto" w:fill="CEFFE7"/>
          </w:tcPr>
          <w:p>
            <w:pPr>
              <w:ind w:left="540"/>
              <w:spacing w:after="0"/>
              <w:rPr>
                <w:sz w:val="20"/>
                <w:szCs w:val="20"/>
                <w:color w:val="auto"/>
              </w:rPr>
            </w:pPr>
            <w:r>
              <w:rPr>
                <w:rFonts w:ascii="Arial" w:cs="Arial" w:eastAsia="Arial" w:hAnsi="Arial"/>
                <w:sz w:val="18"/>
                <w:szCs w:val="18"/>
                <w:color w:val="auto"/>
              </w:rPr>
              <w:t>Other deferred credits and other liabilities</w:t>
            </w:r>
          </w:p>
        </w:tc>
        <w:tc>
          <w:tcPr>
            <w:tcW w:w="400" w:type="dxa"/>
            <w:vAlign w:val="bottom"/>
            <w:tcBorders>
              <w:bottom w:val="single" w:sz="8" w:color="CEFFE7"/>
            </w:tcBorders>
            <w:shd w:val="clear" w:color="auto" w:fill="CEFFE7"/>
          </w:tcPr>
          <w:p>
            <w:pPr>
              <w:spacing w:after="0"/>
              <w:rPr>
                <w:sz w:val="23"/>
                <w:szCs w:val="23"/>
                <w:color w:val="auto"/>
              </w:rPr>
            </w:pP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(63)</w:t>
            </w:r>
          </w:p>
        </w:tc>
        <w:tc>
          <w:tcPr>
            <w:tcW w:w="620" w:type="dxa"/>
            <w:vAlign w:val="bottom"/>
            <w:tcBorders>
              <w:bottom w:val="single" w:sz="8" w:color="CEFFE7"/>
            </w:tcBorders>
            <w:shd w:val="clear" w:color="auto" w:fill="CEFFE7"/>
          </w:tcPr>
          <w:p>
            <w:pPr>
              <w:spacing w:after="0"/>
              <w:rPr>
                <w:sz w:val="23"/>
                <w:szCs w:val="23"/>
                <w:color w:val="auto"/>
              </w:rPr>
            </w:pPr>
          </w:p>
        </w:tc>
        <w:tc>
          <w:tcPr>
            <w:tcW w:w="11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57"/>
        </w:trPr>
        <w:tc>
          <w:tcPr>
            <w:tcW w:w="3620" w:type="dxa"/>
            <w:vAlign w:val="bottom"/>
          </w:tcPr>
          <w:p>
            <w:pPr>
              <w:ind w:left="40"/>
              <w:spacing w:after="0"/>
              <w:rPr>
                <w:sz w:val="20"/>
                <w:szCs w:val="20"/>
                <w:color w:val="auto"/>
              </w:rPr>
            </w:pPr>
            <w:r>
              <w:rPr>
                <w:rFonts w:ascii="Arial" w:cs="Arial" w:eastAsia="Arial" w:hAnsi="Arial"/>
                <w:sz w:val="18"/>
                <w:szCs w:val="18"/>
                <w:color w:val="auto"/>
              </w:rPr>
              <w:t>Total derivatives not designated as hedges</w:t>
            </w:r>
          </w:p>
        </w:tc>
        <w:tc>
          <w:tcPr>
            <w:tcW w:w="44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(1,484)</w:t>
            </w:r>
          </w:p>
        </w:tc>
        <w:tc>
          <w:tcPr>
            <w:tcW w:w="62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0"/>
        </w:trPr>
        <w:tc>
          <w:tcPr>
            <w:tcW w:w="3620" w:type="dxa"/>
            <w:vAlign w:val="bottom"/>
          </w:tcPr>
          <w:p>
            <w:pPr>
              <w:spacing w:after="0" w:line="20" w:lineRule="exact"/>
              <w:rPr>
                <w:sz w:val="1"/>
                <w:szCs w:val="1"/>
                <w:color w:val="auto"/>
              </w:rPr>
            </w:pPr>
          </w:p>
        </w:tc>
        <w:tc>
          <w:tcPr>
            <w:tcW w:w="4400" w:type="dxa"/>
            <w:vAlign w:val="bottom"/>
            <w:vMerge w:val="restart"/>
          </w:tcPr>
          <w:p>
            <w:pPr>
              <w:ind w:left="1960"/>
              <w:spacing w:after="0"/>
              <w:rPr>
                <w:sz w:val="20"/>
                <w:szCs w:val="20"/>
                <w:color w:val="auto"/>
              </w:rPr>
            </w:pPr>
            <w:r>
              <w:rPr>
                <w:rFonts w:ascii="Arial" w:cs="Arial" w:eastAsia="Arial" w:hAnsi="Arial"/>
                <w:sz w:val="18"/>
                <w:szCs w:val="18"/>
                <w:color w:val="auto"/>
              </w:rPr>
              <w:t>110</w:t>
            </w:r>
          </w:p>
        </w:tc>
        <w:tc>
          <w:tcPr>
            <w:tcW w:w="4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620" w:type="dxa"/>
            <w:vAlign w:val="bottom"/>
          </w:tcPr>
          <w:p>
            <w:pPr>
              <w:spacing w:after="0"/>
              <w:rPr>
                <w:sz w:val="24"/>
                <w:szCs w:val="24"/>
                <w:color w:val="auto"/>
              </w:rPr>
            </w:pPr>
          </w:p>
        </w:tc>
        <w:tc>
          <w:tcPr>
            <w:tcW w:w="4400" w:type="dxa"/>
            <w:vAlign w:val="bottom"/>
            <w:vMerge w:val="continue"/>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7" w:right="239" w:bottom="1440" w:gutter="0" w:footer="0" w:header="0"/>
        </w:sectPr>
      </w:pPr>
    </w:p>
    <w:bookmarkStart w:id="111" w:name="page112"/>
    <w:bookmarkEnd w:id="11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Derivatives Offsetting</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It is our policy to offset, in our Consolidated Balance Sheets, contracts which provide for legally enforceable netting of our accounts receivable and payable and derivative activities.</w:t>
      </w:r>
    </w:p>
    <w:p>
      <w:pPr>
        <w:spacing w:after="0" w:line="170" w:lineRule="exact"/>
        <w:rPr>
          <w:sz w:val="20"/>
          <w:szCs w:val="20"/>
          <w:color w:val="auto"/>
        </w:rPr>
      </w:pPr>
    </w:p>
    <w:p>
      <w:pPr>
        <w:ind w:right="100"/>
        <w:spacing w:after="0" w:line="273" w:lineRule="auto"/>
        <w:rPr>
          <w:sz w:val="20"/>
          <w:szCs w:val="20"/>
          <w:color w:val="auto"/>
        </w:rPr>
      </w:pPr>
      <w:r>
        <w:rPr>
          <w:rFonts w:ascii="Arial" w:cs="Arial" w:eastAsia="Arial" w:hAnsi="Arial"/>
          <w:sz w:val="17"/>
          <w:szCs w:val="17"/>
          <w:color w:val="auto"/>
        </w:rPr>
        <w:t>As required by accounting standards for derivatives and hedges, fair values within the following tables reconcile the gross amounts to the net amounts. Amounts included in Gross Amounts Offset on Consolidated Balance Sheets in the following tables include the netting of asset and liability positions permitted in accordance with accounting standards for offsetting as well as the impact of legally enforceable master netting agreements that allow us to settle positive and negative positions as well as cash collateral posted with the same counterparties. Additionally, the amounts reflect cash collateral on deposit in margin accounts at December 31, 2019 and 2018, to collateralize certain financial instruments, which are included in Derivative assets and/or Derivative liabilities. Therefore, the gross amounts are not indicative of either our actual credit exposure or net economic exposure.</w:t>
      </w:r>
    </w:p>
    <w:p>
      <w:pPr>
        <w:spacing w:after="0" w:line="178" w:lineRule="exact"/>
        <w:rPr>
          <w:sz w:val="20"/>
          <w:szCs w:val="20"/>
          <w:color w:val="auto"/>
        </w:rPr>
      </w:pPr>
    </w:p>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at December 31, 2019 was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8"/>
              </w:rPr>
              <w:t>Commodity derivative assets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1,085</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(1,085)</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4"/>
              </w:rPr>
              <w:t>Commodity derivative assets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348</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348</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1,433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(1,085)</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348</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6"/>
              </w:rPr>
              <w:t>Commodity derivative liabilities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(2,908)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2"/>
              </w:rPr>
              <w:t>Commodity derivative liabilities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2,345</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2,345</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5,253</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(2,908)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2,345</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Offsetting of derivative assets and derivative liabilities on our Consolidated Balance Sheets as of December 31, 2018 were as follows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3"/>
              </w:rPr>
              <w:t>Derivative Assets on</w:t>
            </w:r>
          </w:p>
        </w:tc>
      </w:tr>
      <w:tr>
        <w:trPr>
          <w:trHeight w:val="206"/>
        </w:trPr>
        <w:tc>
          <w:tcPr>
            <w:tcW w:w="6400" w:type="dxa"/>
            <w:vAlign w:val="bottom"/>
          </w:tcPr>
          <w:p>
            <w:pPr>
              <w:ind w:left="2640"/>
              <w:spacing w:after="0"/>
              <w:rPr>
                <w:sz w:val="20"/>
                <w:szCs w:val="20"/>
                <w:color w:val="auto"/>
              </w:rPr>
            </w:pPr>
            <w:r>
              <w:rPr>
                <w:rFonts w:ascii="Arial" w:cs="Arial" w:eastAsia="Arial" w:hAnsi="Arial"/>
                <w:sz w:val="16"/>
                <w:szCs w:val="16"/>
                <w:color w:val="auto"/>
              </w:rPr>
              <w:t>Derivative Assets</w:t>
            </w: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w w:val="92"/>
              </w:rPr>
              <w:t>Derivative Assets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8"/>
              </w:rPr>
              <w:t>Commodity derivative assets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4"/>
              </w:rPr>
              <w:t>Commodity derivative assets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1,519</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1,519</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assets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2,927</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(1,408)</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1,519</w:t>
            </w:r>
          </w:p>
        </w:tc>
      </w:tr>
      <w:tr>
        <w:trPr>
          <w:trHeight w:val="20"/>
        </w:trPr>
        <w:tc>
          <w:tcPr>
            <w:tcW w:w="64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600" w:type="dxa"/>
            <w:vAlign w:val="bottom"/>
            <w:tcBorders>
              <w:bottom w:val="single" w:sz="8" w:color="auto"/>
            </w:tcBorders>
            <w:gridSpan w:val="2"/>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r>
        <w:trPr>
          <w:trHeight w:val="558"/>
        </w:trPr>
        <w:tc>
          <w:tcPr>
            <w:tcW w:w="6400" w:type="dxa"/>
            <w:vAlign w:val="bottom"/>
          </w:tcPr>
          <w:p>
            <w:pPr>
              <w:spacing w:after="0"/>
              <w:rPr>
                <w:sz w:val="24"/>
                <w:szCs w:val="24"/>
                <w:color w:val="auto"/>
              </w:rPr>
            </w:pPr>
          </w:p>
        </w:tc>
        <w:tc>
          <w:tcPr>
            <w:tcW w:w="136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w:t>
            </w:r>
          </w:p>
        </w:tc>
        <w:tc>
          <w:tcPr>
            <w:tcW w:w="1600" w:type="dxa"/>
            <w:vAlign w:val="bottom"/>
            <w:gridSpan w:val="2"/>
          </w:tcPr>
          <w:p>
            <w:pPr>
              <w:jc w:val="center"/>
              <w:spacing w:after="0"/>
              <w:rPr>
                <w:sz w:val="20"/>
                <w:szCs w:val="20"/>
                <w:color w:val="auto"/>
              </w:rPr>
            </w:pPr>
            <w:r>
              <w:rPr>
                <w:rFonts w:ascii="Arial" w:cs="Arial" w:eastAsia="Arial" w:hAnsi="Arial"/>
                <w:sz w:val="16"/>
                <w:szCs w:val="16"/>
                <w:color w:val="auto"/>
                <w:w w:val="92"/>
              </w:rPr>
              <w:t>Gross Amounts Offset</w:t>
            </w:r>
          </w:p>
        </w:tc>
        <w:tc>
          <w:tcPr>
            <w:tcW w:w="180" w:type="dxa"/>
            <w:vAlign w:val="bottom"/>
          </w:tcPr>
          <w:p>
            <w:pPr>
              <w:spacing w:after="0"/>
              <w:rPr>
                <w:sz w:val="24"/>
                <w:szCs w:val="24"/>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5"/>
              </w:rPr>
              <w:t>Net Amount of Total</w:t>
            </w:r>
          </w:p>
        </w:tc>
      </w:tr>
      <w:tr>
        <w:trPr>
          <w:trHeight w:val="203"/>
        </w:trPr>
        <w:tc>
          <w:tcPr>
            <w:tcW w:w="6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w w:val="95"/>
              </w:rPr>
              <w:t>Derivative</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91"/>
              </w:rPr>
              <w:t>on Consolidated</w:t>
            </w:r>
          </w:p>
        </w:tc>
        <w:tc>
          <w:tcPr>
            <w:tcW w:w="180" w:type="dxa"/>
            <w:vAlign w:val="bottom"/>
          </w:tcPr>
          <w:p>
            <w:pPr>
              <w:spacing w:after="0"/>
              <w:rPr>
                <w:sz w:val="17"/>
                <w:szCs w:val="17"/>
                <w:color w:val="auto"/>
              </w:rPr>
            </w:pPr>
          </w:p>
        </w:tc>
        <w:tc>
          <w:tcPr>
            <w:tcW w:w="1880" w:type="dxa"/>
            <w:vAlign w:val="bottom"/>
          </w:tcPr>
          <w:p>
            <w:pPr>
              <w:jc w:val="center"/>
              <w:ind w:right="79"/>
              <w:spacing w:after="0"/>
              <w:rPr>
                <w:sz w:val="20"/>
                <w:szCs w:val="20"/>
                <w:color w:val="auto"/>
              </w:rPr>
            </w:pPr>
            <w:r>
              <w:rPr>
                <w:rFonts w:ascii="Arial" w:cs="Arial" w:eastAsia="Arial" w:hAnsi="Arial"/>
                <w:sz w:val="16"/>
                <w:szCs w:val="16"/>
                <w:color w:val="auto"/>
                <w:w w:val="97"/>
              </w:rPr>
              <w:t>Derivative Liabilities on</w:t>
            </w:r>
          </w:p>
        </w:tc>
      </w:tr>
      <w:tr>
        <w:trPr>
          <w:trHeight w:val="206"/>
        </w:trPr>
        <w:tc>
          <w:tcPr>
            <w:tcW w:w="6400" w:type="dxa"/>
            <w:vAlign w:val="bottom"/>
          </w:tcPr>
          <w:p>
            <w:pPr>
              <w:ind w:left="2520"/>
              <w:spacing w:after="0"/>
              <w:rPr>
                <w:sz w:val="20"/>
                <w:szCs w:val="20"/>
                <w:color w:val="auto"/>
              </w:rPr>
            </w:pPr>
            <w:r>
              <w:rPr>
                <w:rFonts w:ascii="Arial" w:cs="Arial" w:eastAsia="Arial" w:hAnsi="Arial"/>
                <w:sz w:val="16"/>
                <w:szCs w:val="16"/>
                <w:color w:val="auto"/>
              </w:rPr>
              <w:t>Derivative Liabilities</w:t>
            </w:r>
          </w:p>
        </w:tc>
        <w:tc>
          <w:tcPr>
            <w:tcW w:w="12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Arial" w:cs="Arial" w:eastAsia="Arial" w:hAnsi="Arial"/>
                <w:sz w:val="16"/>
                <w:szCs w:val="16"/>
                <w:color w:val="auto"/>
              </w:rPr>
              <w:t>Liabilities</w:t>
            </w:r>
          </w:p>
        </w:tc>
        <w:tc>
          <w:tcPr>
            <w:tcW w:w="220" w:type="dxa"/>
            <w:vAlign w:val="bottom"/>
          </w:tcPr>
          <w:p>
            <w:pPr>
              <w:spacing w:after="0"/>
              <w:rPr>
                <w:sz w:val="17"/>
                <w:szCs w:val="17"/>
                <w:color w:val="auto"/>
              </w:rPr>
            </w:pPr>
          </w:p>
        </w:tc>
        <w:tc>
          <w:tcPr>
            <w:tcW w:w="1380" w:type="dxa"/>
            <w:vAlign w:val="bottom"/>
          </w:tcPr>
          <w:p>
            <w:pPr>
              <w:jc w:val="center"/>
              <w:ind w:right="79"/>
              <w:spacing w:after="0"/>
              <w:rPr>
                <w:sz w:val="20"/>
                <w:szCs w:val="20"/>
                <w:color w:val="auto"/>
              </w:rPr>
            </w:pPr>
            <w:r>
              <w:rPr>
                <w:rFonts w:ascii="Arial" w:cs="Arial" w:eastAsia="Arial" w:hAnsi="Arial"/>
                <w:sz w:val="16"/>
                <w:szCs w:val="16"/>
                <w:color w:val="auto"/>
                <w:w w:val="87"/>
              </w:rPr>
              <w:t>Balance Sheets</w:t>
            </w:r>
          </w:p>
        </w:tc>
        <w:tc>
          <w:tcPr>
            <w:tcW w:w="2060" w:type="dxa"/>
            <w:vAlign w:val="bottom"/>
            <w:gridSpan w:val="2"/>
          </w:tcPr>
          <w:p>
            <w:pPr>
              <w:jc w:val="center"/>
              <w:spacing w:after="0"/>
              <w:rPr>
                <w:sz w:val="20"/>
                <w:szCs w:val="20"/>
                <w:color w:val="auto"/>
              </w:rPr>
            </w:pPr>
            <w:r>
              <w:rPr>
                <w:rFonts w:ascii="Arial" w:cs="Arial" w:eastAsia="Arial" w:hAnsi="Arial"/>
                <w:sz w:val="16"/>
                <w:szCs w:val="16"/>
                <w:color w:val="auto"/>
                <w:w w:val="89"/>
              </w:rPr>
              <w:t>Consolidated Balance Sheets</w:t>
            </w:r>
          </w:p>
        </w:tc>
      </w:tr>
      <w:tr>
        <w:trPr>
          <w:trHeight w:val="33"/>
        </w:trPr>
        <w:tc>
          <w:tcPr>
            <w:tcW w:w="6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30"/>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w w:val="96"/>
              </w:rPr>
              <w:t>Commodity derivative liabilities subject to a master netting agreement or similar arrangement</w:t>
            </w:r>
          </w:p>
        </w:tc>
        <w:tc>
          <w:tcPr>
            <w:tcW w:w="1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r>
      <w:tr>
        <w:trPr>
          <w:trHeight w:val="224"/>
        </w:trPr>
        <w:tc>
          <w:tcPr>
            <w:tcW w:w="6400" w:type="dxa"/>
            <w:vAlign w:val="bottom"/>
          </w:tcPr>
          <w:p>
            <w:pPr>
              <w:ind w:left="40"/>
              <w:spacing w:after="0"/>
              <w:rPr>
                <w:sz w:val="20"/>
                <w:szCs w:val="20"/>
                <w:color w:val="auto"/>
              </w:rPr>
            </w:pPr>
            <w:r>
              <w:rPr>
                <w:rFonts w:ascii="Arial" w:cs="Arial" w:eastAsia="Arial" w:hAnsi="Arial"/>
                <w:sz w:val="16"/>
                <w:szCs w:val="16"/>
                <w:color w:val="auto"/>
                <w:w w:val="92"/>
              </w:rPr>
              <w:t>Commodity derivative liabilities not subject to a master netting agreement or similar arrangement</w:t>
            </w:r>
          </w:p>
        </w:tc>
        <w:tc>
          <w:tcPr>
            <w:tcW w:w="1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1,007</w:t>
            </w:r>
          </w:p>
        </w:tc>
        <w:tc>
          <w:tcPr>
            <w:tcW w:w="22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9"/>
                <w:szCs w:val="19"/>
                <w:color w:val="auto"/>
              </w:rPr>
            </w:pPr>
          </w:p>
        </w:tc>
        <w:tc>
          <w:tcPr>
            <w:tcW w:w="1880" w:type="dxa"/>
            <w:vAlign w:val="bottom"/>
          </w:tcPr>
          <w:p>
            <w:pPr>
              <w:jc w:val="right"/>
              <w:ind w:right="19"/>
              <w:spacing w:after="0"/>
              <w:rPr>
                <w:sz w:val="20"/>
                <w:szCs w:val="20"/>
                <w:color w:val="auto"/>
              </w:rPr>
            </w:pPr>
            <w:r>
              <w:rPr>
                <w:rFonts w:ascii="Arial" w:cs="Arial" w:eastAsia="Arial" w:hAnsi="Arial"/>
                <w:sz w:val="16"/>
                <w:szCs w:val="16"/>
                <w:color w:val="auto"/>
              </w:rPr>
              <w:t>1,007</w:t>
            </w:r>
          </w:p>
        </w:tc>
      </w:tr>
      <w:tr>
        <w:trPr>
          <w:trHeight w:val="33"/>
        </w:trPr>
        <w:tc>
          <w:tcPr>
            <w:tcW w:w="6400" w:type="dxa"/>
            <w:vAlign w:val="bottom"/>
            <w:tcBorders>
              <w:bottom w:val="single" w:sz="8" w:color="CEFFE7"/>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r>
      <w:tr>
        <w:trPr>
          <w:trHeight w:val="244"/>
        </w:trPr>
        <w:tc>
          <w:tcPr>
            <w:tcW w:w="64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derivative liabilities</w:t>
            </w:r>
          </w:p>
        </w:tc>
        <w:tc>
          <w:tcPr>
            <w:tcW w:w="1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6,801</w:t>
            </w:r>
          </w:p>
        </w:tc>
        <w:tc>
          <w:tcPr>
            <w:tcW w:w="2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(5,794)</w:t>
            </w:r>
          </w:p>
        </w:tc>
        <w:tc>
          <w:tcPr>
            <w:tcW w:w="1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8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1,007</w:t>
            </w:r>
          </w:p>
        </w:tc>
      </w:tr>
      <w:tr>
        <w:trPr>
          <w:trHeight w:val="20"/>
        </w:trPr>
        <w:tc>
          <w:tcPr>
            <w:tcW w:w="64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420"/>
          </w:cols>
          <w:pgMar w:left="240" w:top="126" w:right="239" w:bottom="1440" w:gutter="0" w:footer="0" w:header="0"/>
        </w:sectPr>
      </w:pPr>
    </w:p>
    <w:bookmarkStart w:id="112" w:name="page113"/>
    <w:bookmarkEnd w:id="11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(11)</w:t>
        <w:tab/>
        <w:t>FAIR VALUE OF FINANCIAL INSTRUMENTS</w:t>
      </w:r>
    </w:p>
    <w:p>
      <w:pPr>
        <w:spacing w:after="0" w:line="229" w:lineRule="exact"/>
        <w:rPr>
          <w:sz w:val="20"/>
          <w:szCs w:val="20"/>
          <w:color w:val="auto"/>
        </w:rPr>
      </w:pPr>
    </w:p>
    <w:p>
      <w:pPr>
        <w:spacing w:after="0"/>
        <w:rPr>
          <w:rFonts w:ascii="Arial" w:cs="Arial" w:eastAsia="Arial" w:hAnsi="Arial"/>
          <w:sz w:val="16"/>
          <w:szCs w:val="16"/>
          <w:color w:val="auto"/>
        </w:rPr>
      </w:pPr>
      <w:r>
        <w:rPr>
          <w:rFonts w:ascii="Arial" w:cs="Arial" w:eastAsia="Arial" w:hAnsi="Arial"/>
          <w:sz w:val="16"/>
          <w:szCs w:val="16"/>
          <w:color w:val="auto"/>
        </w:rPr>
        <w:t xml:space="preserve">The estimated fair values of our financial instruments, excluding derivatives which are presented in </w:t>
      </w:r>
      <w:hyperlink w:anchor="page110">
        <w:r>
          <w:rPr>
            <w:rFonts w:ascii="Arial" w:cs="Arial" w:eastAsia="Arial" w:hAnsi="Arial"/>
            <w:sz w:val="16"/>
            <w:szCs w:val="16"/>
            <w:u w:val="single" w:color="auto"/>
            <w:color w:val="0000EE"/>
          </w:rPr>
          <w:t>Note 10</w:t>
        </w:r>
      </w:hyperlink>
      <w:r>
        <w:rPr>
          <w:rFonts w:ascii="Arial" w:cs="Arial" w:eastAsia="Arial" w:hAnsi="Arial"/>
          <w:sz w:val="16"/>
          <w:szCs w:val="16"/>
          <w:color w:val="auto"/>
        </w:rPr>
        <w:t>, were as follows at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2019</w:t>
            </w:r>
          </w:p>
        </w:tc>
        <w:tc>
          <w:tcPr>
            <w:tcW w:w="1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80" w:type="dxa"/>
            <w:vAlign w:val="bottom"/>
            <w:gridSpan w:val="2"/>
          </w:tcPr>
          <w:p>
            <w:pPr>
              <w:jc w:val="right"/>
              <w:ind w:right="50"/>
              <w:spacing w:after="0"/>
              <w:rPr>
                <w:sz w:val="20"/>
                <w:szCs w:val="20"/>
                <w:color w:val="auto"/>
              </w:rPr>
            </w:pPr>
            <w:r>
              <w:rPr>
                <w:rFonts w:ascii="Arial" w:cs="Arial" w:eastAsia="Arial" w:hAnsi="Arial"/>
                <w:sz w:val="18"/>
                <w:szCs w:val="18"/>
                <w:color w:val="auto"/>
              </w:rPr>
              <w:t>2018</w:t>
            </w:r>
          </w:p>
        </w:tc>
        <w:tc>
          <w:tcPr>
            <w:tcW w:w="1360" w:type="dxa"/>
            <w:vAlign w:val="bottom"/>
          </w:tcPr>
          <w:p>
            <w:pPr>
              <w:spacing w:after="0"/>
              <w:rPr>
                <w:sz w:val="20"/>
                <w:szCs w:val="20"/>
                <w:color w:val="auto"/>
              </w:rPr>
            </w:pPr>
          </w:p>
        </w:tc>
      </w:tr>
      <w:tr>
        <w:trPr>
          <w:trHeight w:val="27"/>
        </w:trPr>
        <w:tc>
          <w:tcPr>
            <w:tcW w:w="45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45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10"/>
              <w:spacing w:after="0"/>
              <w:rPr>
                <w:sz w:val="20"/>
                <w:szCs w:val="20"/>
                <w:color w:val="auto"/>
              </w:rPr>
            </w:pPr>
            <w:r>
              <w:rPr>
                <w:rFonts w:ascii="Arial" w:cs="Arial" w:eastAsia="Arial" w:hAnsi="Arial"/>
                <w:sz w:val="18"/>
                <w:szCs w:val="18"/>
                <w:color w:val="auto"/>
                <w:w w:val="96"/>
              </w:rPr>
              <w:t>Carrying Amount</w:t>
            </w:r>
          </w:p>
        </w:tc>
        <w:tc>
          <w:tcPr>
            <w:tcW w:w="360" w:type="dxa"/>
            <w:vAlign w:val="bottom"/>
          </w:tcPr>
          <w:p>
            <w:pPr>
              <w:spacing w:after="0"/>
              <w:rPr>
                <w:sz w:val="20"/>
                <w:szCs w:val="20"/>
                <w:color w:val="auto"/>
              </w:rPr>
            </w:pPr>
          </w:p>
        </w:tc>
        <w:tc>
          <w:tcPr>
            <w:tcW w:w="1340" w:type="dxa"/>
            <w:vAlign w:val="bottom"/>
          </w:tcPr>
          <w:p>
            <w:pPr>
              <w:jc w:val="right"/>
              <w:ind w:right="350"/>
              <w:spacing w:after="0"/>
              <w:rPr>
                <w:sz w:val="20"/>
                <w:szCs w:val="20"/>
                <w:color w:val="auto"/>
              </w:rPr>
            </w:pPr>
            <w:r>
              <w:rPr>
                <w:rFonts w:ascii="Arial" w:cs="Arial" w:eastAsia="Arial" w:hAnsi="Arial"/>
                <w:sz w:val="18"/>
                <w:szCs w:val="18"/>
                <w:color w:val="auto"/>
              </w:rPr>
              <w:t>Fair Value</w:t>
            </w:r>
          </w:p>
        </w:tc>
        <w:tc>
          <w:tcPr>
            <w:tcW w:w="20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color w:val="auto"/>
                <w:w w:val="96"/>
              </w:rPr>
              <w:t>Carrying Amount</w:t>
            </w:r>
          </w:p>
        </w:tc>
        <w:tc>
          <w:tcPr>
            <w:tcW w:w="380" w:type="dxa"/>
            <w:vAlign w:val="bottom"/>
          </w:tcPr>
          <w:p>
            <w:pPr>
              <w:spacing w:after="0"/>
              <w:rPr>
                <w:sz w:val="20"/>
                <w:szCs w:val="20"/>
                <w:color w:val="auto"/>
              </w:rPr>
            </w:pPr>
          </w:p>
        </w:tc>
        <w:tc>
          <w:tcPr>
            <w:tcW w:w="1360" w:type="dxa"/>
            <w:vAlign w:val="bottom"/>
          </w:tcPr>
          <w:p>
            <w:pPr>
              <w:jc w:val="right"/>
              <w:ind w:right="390"/>
              <w:spacing w:after="0"/>
              <w:rPr>
                <w:sz w:val="20"/>
                <w:szCs w:val="20"/>
                <w:color w:val="auto"/>
              </w:rPr>
            </w:pPr>
            <w:r>
              <w:rPr>
                <w:rFonts w:ascii="Arial" w:cs="Arial" w:eastAsia="Arial" w:hAnsi="Arial"/>
                <w:sz w:val="18"/>
                <w:szCs w:val="18"/>
                <w:color w:val="auto"/>
              </w:rPr>
              <w:t>Fair Value</w:t>
            </w:r>
          </w:p>
        </w:tc>
      </w:tr>
      <w:tr>
        <w:trPr>
          <w:trHeight w:val="27"/>
        </w:trPr>
        <w:tc>
          <w:tcPr>
            <w:tcW w:w="458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458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Cash and cash equivalents </w:t>
            </w:r>
            <w:r>
              <w:rPr>
                <w:rFonts w:ascii="Arial" w:cs="Arial" w:eastAsia="Arial" w:hAnsi="Arial"/>
                <w:sz w:val="25"/>
                <w:szCs w:val="25"/>
                <w:color w:val="auto"/>
                <w:vertAlign w:val="superscript"/>
              </w:rPr>
              <w:t>(a)</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9,777</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9,777</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20,776</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20,776</w:t>
            </w:r>
          </w:p>
        </w:tc>
      </w:tr>
      <w:tr>
        <w:trPr>
          <w:trHeight w:val="270"/>
        </w:trPr>
        <w:tc>
          <w:tcPr>
            <w:tcW w:w="45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Restricted cash and equivalents </w:t>
            </w:r>
            <w:r>
              <w:rPr>
                <w:rFonts w:ascii="Arial" w:cs="Arial" w:eastAsia="Arial" w:hAnsi="Arial"/>
                <w:sz w:val="25"/>
                <w:szCs w:val="25"/>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3,881</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3,881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3,369</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3,369</w:t>
            </w:r>
          </w:p>
        </w:tc>
      </w:tr>
      <w:tr>
        <w:trPr>
          <w:trHeight w:val="270"/>
        </w:trPr>
        <w:tc>
          <w:tcPr>
            <w:tcW w:w="458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Notes payable </w:t>
            </w:r>
            <w:r>
              <w:rPr>
                <w:rFonts w:ascii="Arial" w:cs="Arial" w:eastAsia="Arial" w:hAnsi="Arial"/>
                <w:sz w:val="25"/>
                <w:szCs w:val="25"/>
                <w:color w:val="auto"/>
                <w:vertAlign w:val="superscript"/>
              </w:rPr>
              <w:t>(b)</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349,500</w:t>
            </w:r>
          </w:p>
        </w:tc>
        <w:tc>
          <w:tcPr>
            <w:tcW w:w="360" w:type="dxa"/>
            <w:vAlign w:val="bottom"/>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349,500</w:t>
            </w:r>
          </w:p>
        </w:tc>
        <w:tc>
          <w:tcPr>
            <w:tcW w:w="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5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185,620</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185,620</w:t>
            </w:r>
          </w:p>
        </w:tc>
      </w:tr>
      <w:tr>
        <w:trPr>
          <w:trHeight w:val="341"/>
        </w:trPr>
        <w:tc>
          <w:tcPr>
            <w:tcW w:w="4580" w:type="dxa"/>
            <w:vAlign w:val="bottom"/>
          </w:tcPr>
          <w:p>
            <w:pPr>
              <w:ind w:left="40"/>
              <w:spacing w:after="0"/>
              <w:rPr>
                <w:sz w:val="20"/>
                <w:szCs w:val="20"/>
                <w:color w:val="auto"/>
              </w:rPr>
            </w:pPr>
            <w:r>
              <w:rPr>
                <w:rFonts w:ascii="Arial" w:cs="Arial" w:eastAsia="Arial" w:hAnsi="Arial"/>
                <w:sz w:val="18"/>
                <w:szCs w:val="18"/>
                <w:color w:val="auto"/>
              </w:rPr>
              <w:t xml:space="preserve">Long-term debt, including current maturities </w:t>
            </w:r>
            <w:r>
              <w:rPr>
                <w:rFonts w:ascii="Arial" w:cs="Arial" w:eastAsia="Arial" w:hAnsi="Arial"/>
                <w:sz w:val="25"/>
                <w:szCs w:val="25"/>
                <w:color w:val="auto"/>
                <w:vertAlign w:val="superscript"/>
              </w:rPr>
              <w:t>(c)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3,145,839</w:t>
            </w:r>
          </w:p>
        </w:tc>
        <w:tc>
          <w:tcPr>
            <w:tcW w:w="36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3,479,367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spacing w:after="0"/>
              <w:rPr>
                <w:sz w:val="20"/>
                <w:szCs w:val="20"/>
                <w:color w:val="auto"/>
              </w:rPr>
            </w:pPr>
            <w:r>
              <w:rPr>
                <w:rFonts w:ascii="Arial" w:cs="Arial" w:eastAsia="Arial" w:hAnsi="Arial"/>
                <w:sz w:val="18"/>
                <w:szCs w:val="18"/>
                <w:color w:val="auto"/>
              </w:rPr>
              <w:t>2,956,578</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3,039,108</w:t>
            </w:r>
          </w:p>
        </w:tc>
      </w:tr>
    </w:tbl>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23" w:lineRule="exact"/>
        <w:rPr>
          <w:sz w:val="20"/>
          <w:szCs w:val="20"/>
          <w:color w:val="auto"/>
        </w:rPr>
      </w:pPr>
    </w:p>
    <w:p>
      <w:pPr>
        <w:ind w:left="340" w:hanging="332"/>
        <w:spacing w:after="0"/>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Carrying value approximates fair value. Cash, cash equivalents, and restricted cash are classified in Level 1 in the fair value hierarchy.</w:t>
      </w:r>
    </w:p>
    <w:p>
      <w:pPr>
        <w:spacing w:after="0" w:line="9" w:lineRule="exact"/>
        <w:rPr>
          <w:rFonts w:ascii="Arial" w:cs="Arial" w:eastAsia="Arial" w:hAnsi="Arial"/>
          <w:sz w:val="16"/>
          <w:szCs w:val="16"/>
          <w:color w:val="auto"/>
        </w:rPr>
      </w:pPr>
    </w:p>
    <w:p>
      <w:pPr>
        <w:ind w:left="340" w:right="240" w:hanging="332"/>
        <w:spacing w:after="0" w:line="246"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Notes payable consist of commercial paper borrowings. Carrying value approximates fair value due to the short-term length of maturity; since these borrowings are not traded on an exchange, they are classified in Level 2 in the fair value hierarchy.</w:t>
      </w:r>
    </w:p>
    <w:p>
      <w:pPr>
        <w:ind w:left="340" w:right="180" w:hanging="332"/>
        <w:spacing w:after="0" w:line="257" w:lineRule="auto"/>
        <w:tabs>
          <w:tab w:leader="none" w:pos="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Long-term debt is valued based on observable inputs available either directly or indirectly for similar liabilities in active markets and therefore is classified in Level 2 in the fair value hierarchy. Carrying amount of long-term debt is net of deferred financing costs.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Included in cash and cash equivalents is cash, money market mutual funds, and term deposits. As part of our cash management process, excess operating cash is invested in money market mutual funds with our bank. Money market mutual funds are not deposits and are not insured by the U.S. Government, the FDIC, or any other government agency and involve investment risk including possible loss of principal. We believe, however, that the market risk arising from holding these financial instruments is minimal.</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Cash and Equivalents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Restricted cash and cash equivalents represent restricted cash and uninsured term deposits.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Payable and Long-Term Debt</w:t>
      </w:r>
    </w:p>
    <w:p>
      <w:pPr>
        <w:spacing w:after="0" w:line="229"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For additional information on our notes payable and long-term debt, see </w:t>
      </w:r>
      <w:hyperlink w:anchor="page103">
        <w:r>
          <w:rPr>
            <w:rFonts w:ascii="Arial" w:cs="Arial" w:eastAsia="Arial" w:hAnsi="Arial"/>
            <w:sz w:val="18"/>
            <w:szCs w:val="18"/>
            <w:u w:val="single" w:color="auto"/>
            <w:color w:val="0000EE"/>
          </w:rPr>
          <w:t>Note 6</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105">
        <w:r>
          <w:rPr>
            <w:rFonts w:ascii="Arial" w:cs="Arial" w:eastAsia="Arial" w:hAnsi="Arial"/>
            <w:sz w:val="18"/>
            <w:szCs w:val="18"/>
            <w:u w:val="single" w:color="auto"/>
            <w:color w:val="0000EE"/>
          </w:rPr>
          <w:t>Note 7</w:t>
        </w:r>
      </w:hyperlink>
      <w:r>
        <w:rPr>
          <w:rFonts w:ascii="Arial" w:cs="Arial" w:eastAsia="Arial" w:hAnsi="Arial"/>
          <w:sz w:val="18"/>
          <w:szCs w:val="18"/>
          <w:color w:val="auto"/>
        </w:rPr>
        <w:t>.</w:t>
      </w:r>
    </w:p>
    <w:p>
      <w:pPr>
        <w:spacing w:after="0" w:line="200" w:lineRule="exact"/>
        <w:rPr>
          <w:sz w:val="20"/>
          <w:szCs w:val="20"/>
          <w:color w:val="auto"/>
        </w:rPr>
      </w:pPr>
    </w:p>
    <w:p>
      <w:pPr>
        <w:spacing w:after="0" w:line="23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(12)</w:t>
        <w:tab/>
        <w:t>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At-the-Market Equity Offering Program</w:t>
      </w:r>
    </w:p>
    <w:p>
      <w:pPr>
        <w:spacing w:after="0" w:line="225" w:lineRule="exact"/>
        <w:rPr>
          <w:sz w:val="20"/>
          <w:szCs w:val="20"/>
          <w:color w:val="auto"/>
        </w:rPr>
      </w:pPr>
    </w:p>
    <w:p>
      <w:pPr>
        <w:ind w:right="2280"/>
        <w:spacing w:after="0" w:line="291" w:lineRule="auto"/>
        <w:rPr>
          <w:sz w:val="20"/>
          <w:szCs w:val="20"/>
          <w:color w:val="auto"/>
        </w:rPr>
      </w:pPr>
      <w:r>
        <w:rPr>
          <w:rFonts w:ascii="Arial" w:cs="Arial" w:eastAsia="Arial" w:hAnsi="Arial"/>
          <w:sz w:val="16"/>
          <w:szCs w:val="16"/>
          <w:color w:val="auto"/>
        </w:rPr>
        <w:t>Our ATM equity offering program allows us to sell shares of our common stock with an aggregate value of up to $300 million. The shares may be offered from time to time pursuant to a sales agreement dated August 4, 2017. Shares of common stock are</w:t>
      </w:r>
    </w:p>
    <w:p>
      <w:pPr>
        <w:jc w:val="both"/>
        <w:ind w:right="240"/>
        <w:spacing w:after="0" w:line="302" w:lineRule="auto"/>
        <w:rPr>
          <w:sz w:val="20"/>
          <w:szCs w:val="20"/>
          <w:color w:val="auto"/>
        </w:rPr>
      </w:pPr>
      <w:r>
        <w:rPr>
          <w:rFonts w:ascii="Arial" w:cs="Arial" w:eastAsia="Arial" w:hAnsi="Arial"/>
          <w:sz w:val="16"/>
          <w:szCs w:val="16"/>
          <w:color w:val="auto"/>
        </w:rPr>
        <w:t>offered pursuant to our shelf registration statement filed with the SEC. During the twelve months ended December 31, 2019, we issued a total of 1,328,332 shares of common stock under the ATM equity offering program for $99 million, net of $1.2 million in issuance costs. As of December 31, 2019, all shares were settled. We did not issue any common shares under the ATM equity offering program during the twelve months ended December 31, 2018 and 2017.</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Equity Units</w:t>
      </w:r>
    </w:p>
    <w:p>
      <w:pPr>
        <w:spacing w:after="0" w:line="225"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On November 23, 2015, we issued 5.98 million Equity Units for total gross proceeds of $299 million. Each Equity Unit had a stated amount of $50.00 and consisted of (i) a forward purchase contract to purchase the Company’s common stock and (ii) a 1/20, or 5%, undivided beneficial ownership interest in $1,000 principal amount of RSNs due 2028.</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420"/>
          </w:cols>
          <w:pgMar w:left="240" w:top="126" w:right="239" w:bottom="1440" w:gutter="0" w:footer="0" w:header="0"/>
        </w:sectPr>
      </w:pPr>
    </w:p>
    <w:bookmarkStart w:id="113" w:name="page114"/>
    <w:bookmarkEnd w:id="11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40"/>
        <w:spacing w:after="0" w:line="293" w:lineRule="auto"/>
        <w:rPr>
          <w:rFonts w:ascii="Arial" w:cs="Arial" w:eastAsia="Arial" w:hAnsi="Arial"/>
          <w:sz w:val="16"/>
          <w:szCs w:val="16"/>
          <w:color w:val="auto"/>
        </w:rPr>
      </w:pPr>
      <w:r>
        <w:rPr>
          <w:rFonts w:ascii="Arial" w:cs="Arial" w:eastAsia="Arial" w:hAnsi="Arial"/>
          <w:sz w:val="16"/>
          <w:szCs w:val="16"/>
          <w:color w:val="auto"/>
        </w:rPr>
        <w:t xml:space="preserve">On October 29, 2018, we announced the settlement rate for the stock purchase contracts that are components of the Equity Units issued on November 23, 2015. The settlement rate was based upon the minimum settlement rate, as adjusted to account for past dividends, because the average of the closing price per share of BHC common stock on the New York Stock Exchange for the 20 consecutive trading days ending on October 29, 2018 exceeded the threshold appreciation price. Each holder of the Equity Units on that date, following payment of $50.00 for each unit which it holds, received 1.0655 shares of BHC common stock for each such unit. The holders' obligations to make such payments were satisfied with proceeds generated by the successful remarketing on August 17, 2018, of the RSNs that formerly constituted a component of the Equity Units. See </w:t>
      </w:r>
      <w:hyperlink w:anchor="page103">
        <w:r>
          <w:rPr>
            <w:rFonts w:ascii="Arial" w:cs="Arial" w:eastAsia="Arial" w:hAnsi="Arial"/>
            <w:sz w:val="16"/>
            <w:szCs w:val="16"/>
            <w:u w:val="single" w:color="auto"/>
            <w:color w:val="0000EE"/>
          </w:rPr>
          <w:t>Note 6</w:t>
        </w:r>
        <w:r>
          <w:rPr>
            <w:rFonts w:ascii="Arial" w:cs="Arial" w:eastAsia="Arial" w:hAnsi="Arial"/>
            <w:sz w:val="16"/>
            <w:szCs w:val="16"/>
            <w:u w:val="single" w:color="auto"/>
            <w:color w:val="auto"/>
          </w:rPr>
          <w:t xml:space="preserve"> </w:t>
        </w:r>
      </w:hyperlink>
      <w:r>
        <w:rPr>
          <w:rFonts w:ascii="Arial" w:cs="Arial" w:eastAsia="Arial" w:hAnsi="Arial"/>
          <w:sz w:val="16"/>
          <w:szCs w:val="16"/>
          <w:color w:val="auto"/>
        </w:rPr>
        <w:t>for additional information.</w:t>
      </w:r>
    </w:p>
    <w:p>
      <w:pPr>
        <w:spacing w:after="0" w:line="165"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Upon settlement of all outstanding stock purchase obligations, the Company received gross proceeds of approximately $299 million in exchange for approximately 6.372 million shares of common stock. Proceeds were used to pay down the $250 million senior unsecured notes due January 11, 2019, with the balance used to pay down short-term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Plans`</w:t>
      </w:r>
    </w:p>
    <w:p>
      <w:pPr>
        <w:spacing w:after="0" w:line="229"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2015 Omnibus Incentive Plan allows for the granting of stock, restricted stock, restricted stock units, stock options and performance shares. We had 672,049 shares available to grant at December 31, 2019.</w:t>
      </w:r>
    </w:p>
    <w:p>
      <w:pPr>
        <w:spacing w:after="0" w:line="170"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Compensation expense is determined using the grant date fair value estimated in accordance with the provisions of accounting standards for stock compensation and is recognized over the vesting periods of the individual awards. As of December 31, 2019, total unrecognized compensation expense related to non-vested stock awards was approximately $12 million and is expected to be recognized over a weighted-average period of 2 years. Stock-based compensation expense included in Operations and maintenance on the accompanying Consolidated Statements of Income was as follows for the years ended December 31 (in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Stock-based compensation expense</w:t>
            </w:r>
          </w:p>
        </w:tc>
        <w:tc>
          <w:tcPr>
            <w:tcW w:w="36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12,095</w:t>
            </w:r>
          </w:p>
        </w:tc>
        <w:tc>
          <w:tcPr>
            <w:tcW w:w="40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12,390</w:t>
            </w:r>
          </w:p>
        </w:tc>
        <w:tc>
          <w:tcPr>
            <w:tcW w:w="420" w:type="dxa"/>
            <w:vAlign w:val="bottom"/>
            <w:shd w:val="clear" w:color="auto" w:fill="CEFFE7"/>
          </w:tcPr>
          <w:p>
            <w:pPr>
              <w:jc w:val="right"/>
              <w:ind w:right="17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7,626</w:t>
            </w:r>
          </w:p>
        </w:tc>
      </w:tr>
      <w:tr>
        <w:trPr>
          <w:trHeight w:val="27"/>
        </w:trPr>
        <w:tc>
          <w:tcPr>
            <w:tcW w:w="6640" w:type="dxa"/>
            <w:vAlign w:val="bottom"/>
            <w:shd w:val="clear" w:color="auto" w:fill="CEFFE7"/>
          </w:tcPr>
          <w:p>
            <w:pPr>
              <w:spacing w:after="0"/>
              <w:rPr>
                <w:sz w:val="2"/>
                <w:szCs w:val="2"/>
                <w:color w:val="auto"/>
              </w:rPr>
            </w:pPr>
          </w:p>
        </w:tc>
        <w:tc>
          <w:tcPr>
            <w:tcW w:w="360" w:type="dxa"/>
            <w:vAlign w:val="bottom"/>
            <w:shd w:val="clear" w:color="auto" w:fill="CEFFE7"/>
          </w:tcPr>
          <w:p>
            <w:pPr>
              <w:spacing w:after="0"/>
              <w:rPr>
                <w:sz w:val="2"/>
                <w:szCs w:val="2"/>
                <w:color w:val="auto"/>
              </w:rPr>
            </w:pPr>
          </w:p>
        </w:tc>
        <w:tc>
          <w:tcPr>
            <w:tcW w:w="120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180" w:type="dxa"/>
            <w:vAlign w:val="bottom"/>
            <w:shd w:val="clear" w:color="auto" w:fill="CEFFE7"/>
          </w:tcPr>
          <w:p>
            <w:pPr>
              <w:spacing w:after="0"/>
              <w:rPr>
                <w:sz w:val="2"/>
                <w:szCs w:val="2"/>
                <w:color w:val="auto"/>
              </w:rPr>
            </w:pPr>
          </w:p>
        </w:tc>
        <w:tc>
          <w:tcPr>
            <w:tcW w:w="420" w:type="dxa"/>
            <w:vAlign w:val="bottom"/>
            <w:shd w:val="clear" w:color="auto" w:fill="CEFFE7"/>
          </w:tcPr>
          <w:p>
            <w:pPr>
              <w:spacing w:after="0"/>
              <w:rPr>
                <w:sz w:val="2"/>
                <w:szCs w:val="2"/>
                <w:color w:val="auto"/>
              </w:rPr>
            </w:pPr>
          </w:p>
        </w:tc>
        <w:tc>
          <w:tcPr>
            <w:tcW w:w="122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Options</w:t>
      </w:r>
    </w:p>
    <w:p>
      <w:pPr>
        <w:spacing w:after="0" w:line="225" w:lineRule="exact"/>
        <w:rPr>
          <w:sz w:val="20"/>
          <w:szCs w:val="20"/>
          <w:color w:val="auto"/>
        </w:rPr>
      </w:pPr>
    </w:p>
    <w:p>
      <w:pPr>
        <w:ind w:right="400"/>
        <w:spacing w:after="0" w:line="308" w:lineRule="auto"/>
        <w:rPr>
          <w:sz w:val="20"/>
          <w:szCs w:val="20"/>
          <w:color w:val="auto"/>
        </w:rPr>
      </w:pPr>
      <w:r>
        <w:rPr>
          <w:rFonts w:ascii="Arial" w:cs="Arial" w:eastAsia="Arial" w:hAnsi="Arial"/>
          <w:sz w:val="17"/>
          <w:szCs w:val="17"/>
          <w:color w:val="auto"/>
        </w:rPr>
        <w:t>The Company has not issued any stock options since 2014 and has 14,000 stock options outstanding at December 31, 2019. The amount of stock options granted during the last three years, and related exercise activity are not material to the Company’s consolidated financial statements.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Restricted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fair value of restricted stock and restricted stock unit awards equals the market price of our stock on the date of grant.</w:t>
      </w:r>
    </w:p>
    <w:p>
      <w:pPr>
        <w:spacing w:after="0" w:line="225"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The shares carry a restriction on the ability to sell the shares until the shares vest. The shares substantially vest over 3 years, contingent on continued employment. Compensation expense related to the awards is recognized over the vesting period.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restricted stock and restricted stock units at December 31, 2019,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92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380" w:type="dxa"/>
            <w:vAlign w:val="bottom"/>
          </w:tcPr>
          <w:p>
            <w:pPr>
              <w:jc w:val="right"/>
              <w:ind w:right="70"/>
              <w:spacing w:after="0"/>
              <w:rPr>
                <w:sz w:val="20"/>
                <w:szCs w:val="20"/>
                <w:color w:val="auto"/>
              </w:rPr>
            </w:pPr>
            <w:r>
              <w:rPr>
                <w:rFonts w:ascii="Arial" w:cs="Arial" w:eastAsia="Arial" w:hAnsi="Arial"/>
                <w:sz w:val="18"/>
                <w:szCs w:val="18"/>
                <w:color w:val="auto"/>
                <w:w w:val="90"/>
              </w:rPr>
              <w:t>Weighted-Average Grant Date</w:t>
            </w:r>
          </w:p>
        </w:tc>
        <w:tc>
          <w:tcPr>
            <w:tcW w:w="0" w:type="dxa"/>
            <w:vAlign w:val="bottom"/>
          </w:tcPr>
          <w:p>
            <w:pPr>
              <w:spacing w:after="0"/>
              <w:rPr>
                <w:sz w:val="1"/>
                <w:szCs w:val="1"/>
                <w:color w:val="auto"/>
              </w:rPr>
            </w:pPr>
          </w:p>
        </w:tc>
      </w:tr>
      <w:tr>
        <w:trPr>
          <w:trHeight w:val="230"/>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tcPr>
          <w:p>
            <w:pPr>
              <w:jc w:val="right"/>
              <w:ind w:right="330"/>
              <w:spacing w:after="0"/>
              <w:rPr>
                <w:sz w:val="20"/>
                <w:szCs w:val="20"/>
                <w:color w:val="auto"/>
              </w:rPr>
            </w:pPr>
            <w:r>
              <w:rPr>
                <w:rFonts w:ascii="Arial" w:cs="Arial" w:eastAsia="Arial" w:hAnsi="Arial"/>
                <w:sz w:val="18"/>
                <w:szCs w:val="18"/>
                <w:color w:val="auto"/>
              </w:rPr>
              <w:t>Restricted Stock</w:t>
            </w:r>
          </w:p>
        </w:tc>
        <w:tc>
          <w:tcPr>
            <w:tcW w:w="140" w:type="dxa"/>
            <w:vAlign w:val="bottom"/>
          </w:tcPr>
          <w:p>
            <w:pPr>
              <w:spacing w:after="0"/>
              <w:rPr>
                <w:sz w:val="20"/>
                <w:szCs w:val="20"/>
                <w:color w:val="auto"/>
              </w:rPr>
            </w:pPr>
          </w:p>
        </w:tc>
        <w:tc>
          <w:tcPr>
            <w:tcW w:w="2380" w:type="dxa"/>
            <w:vAlign w:val="bottom"/>
          </w:tcPr>
          <w:p>
            <w:pPr>
              <w:jc w:val="right"/>
              <w:ind w:right="790"/>
              <w:spacing w:after="0"/>
              <w:rPr>
                <w:sz w:val="20"/>
                <w:szCs w:val="20"/>
                <w:color w:val="auto"/>
              </w:rPr>
            </w:pPr>
            <w:r>
              <w:rPr>
                <w:rFonts w:ascii="Arial" w:cs="Arial" w:eastAsia="Arial" w:hAnsi="Arial"/>
                <w:sz w:val="18"/>
                <w:szCs w:val="18"/>
                <w:color w:val="auto"/>
              </w:rPr>
              <w:t>Fair Value</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2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2040" w:type="dxa"/>
            <w:vAlign w:val="bottom"/>
          </w:tcPr>
          <w:p>
            <w:pPr>
              <w:jc w:val="right"/>
              <w:ind w:right="41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Balance at beginning of period</w:t>
            </w:r>
          </w:p>
        </w:tc>
        <w:tc>
          <w:tcPr>
            <w:tcW w:w="4980" w:type="dxa"/>
            <w:vAlign w:val="bottom"/>
            <w:tcBorders>
              <w:bottom w:val="single" w:sz="8" w:color="CEFFE7"/>
            </w:tcBorders>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236</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57.50</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Granted</w:t>
            </w:r>
          </w:p>
        </w:tc>
        <w:tc>
          <w:tcPr>
            <w:tcW w:w="4980" w:type="dxa"/>
            <w:vAlign w:val="bottom"/>
            <w:gridSpan w:val="2"/>
          </w:tcPr>
          <w:p>
            <w:pPr>
              <w:jc w:val="right"/>
              <w:ind w:right="1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73.66</w:t>
            </w:r>
          </w:p>
        </w:tc>
        <w:tc>
          <w:tcPr>
            <w:tcW w:w="0" w:type="dxa"/>
            <w:vAlign w:val="bottom"/>
          </w:tcPr>
          <w:p>
            <w:pPr>
              <w:spacing w:after="0"/>
              <w:rPr>
                <w:sz w:val="1"/>
                <w:szCs w:val="1"/>
                <w:color w:val="auto"/>
              </w:rPr>
            </w:pPr>
          </w:p>
        </w:tc>
      </w:tr>
      <w:tr>
        <w:trPr>
          <w:trHeight w:val="27"/>
        </w:trPr>
        <w:tc>
          <w:tcPr>
            <w:tcW w:w="3920" w:type="dxa"/>
            <w:vAlign w:val="bottom"/>
          </w:tcPr>
          <w:p>
            <w:pPr>
              <w:spacing w:after="0"/>
              <w:rPr>
                <w:sz w:val="2"/>
                <w:szCs w:val="2"/>
                <w:color w:val="auto"/>
              </w:rPr>
            </w:pPr>
          </w:p>
        </w:tc>
        <w:tc>
          <w:tcPr>
            <w:tcW w:w="2940" w:type="dxa"/>
            <w:vAlign w:val="bottom"/>
          </w:tcPr>
          <w:p>
            <w:pPr>
              <w:spacing w:after="0"/>
              <w:rPr>
                <w:sz w:val="2"/>
                <w:szCs w:val="2"/>
                <w:color w:val="auto"/>
              </w:rPr>
            </w:pPr>
          </w:p>
        </w:tc>
        <w:tc>
          <w:tcPr>
            <w:tcW w:w="2040" w:type="dxa"/>
            <w:vAlign w:val="bottom"/>
          </w:tcPr>
          <w:p>
            <w:pPr>
              <w:spacing w:after="0"/>
              <w:rPr>
                <w:sz w:val="2"/>
                <w:szCs w:val="2"/>
                <w:color w:val="auto"/>
              </w:rPr>
            </w:pPr>
          </w:p>
        </w:tc>
        <w:tc>
          <w:tcPr>
            <w:tcW w:w="140" w:type="dxa"/>
            <w:vAlign w:val="bottom"/>
          </w:tcPr>
          <w:p>
            <w:pPr>
              <w:spacing w:after="0"/>
              <w:rPr>
                <w:sz w:val="2"/>
                <w:szCs w:val="2"/>
                <w:color w:val="auto"/>
              </w:rPr>
            </w:pPr>
          </w:p>
        </w:tc>
        <w:tc>
          <w:tcPr>
            <w:tcW w:w="2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Vested</w:t>
            </w:r>
          </w:p>
        </w:tc>
        <w:tc>
          <w:tcPr>
            <w:tcW w:w="498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(120)</w:t>
            </w:r>
          </w:p>
        </w:tc>
        <w:tc>
          <w:tcPr>
            <w:tcW w:w="140" w:type="dxa"/>
            <w:vAlign w:val="bottom"/>
            <w:tcBorders>
              <w:bottom w:val="single" w:sz="8" w:color="CEFFE7"/>
            </w:tcBorders>
            <w:shd w:val="clear" w:color="auto" w:fill="CEFFE7"/>
          </w:tcPr>
          <w:p>
            <w:pPr>
              <w:spacing w:after="0"/>
              <w:rPr>
                <w:sz w:val="21"/>
                <w:szCs w:val="21"/>
                <w:color w:val="auto"/>
              </w:rPr>
            </w:pPr>
          </w:p>
        </w:tc>
        <w:tc>
          <w:tcPr>
            <w:tcW w:w="23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56.33</w:t>
            </w:r>
          </w:p>
        </w:tc>
        <w:tc>
          <w:tcPr>
            <w:tcW w:w="0" w:type="dxa"/>
            <w:vAlign w:val="bottom"/>
          </w:tcPr>
          <w:p>
            <w:pPr>
              <w:spacing w:after="0"/>
              <w:rPr>
                <w:sz w:val="1"/>
                <w:szCs w:val="1"/>
                <w:color w:val="auto"/>
              </w:rPr>
            </w:pPr>
          </w:p>
        </w:tc>
      </w:tr>
      <w:tr>
        <w:trPr>
          <w:trHeight w:val="243"/>
        </w:trPr>
        <w:tc>
          <w:tcPr>
            <w:tcW w:w="39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4980" w:type="dxa"/>
            <w:vAlign w:val="bottom"/>
            <w:gridSpan w:val="2"/>
          </w:tcPr>
          <w:p>
            <w:pPr>
              <w:jc w:val="right"/>
              <w:spacing w:after="0"/>
              <w:rPr>
                <w:sz w:val="20"/>
                <w:szCs w:val="20"/>
                <w:color w:val="auto"/>
              </w:rPr>
            </w:pPr>
            <w:r>
              <w:rPr>
                <w:rFonts w:ascii="Arial" w:cs="Arial" w:eastAsia="Arial" w:hAnsi="Arial"/>
                <w:sz w:val="18"/>
                <w:szCs w:val="18"/>
                <w:color w:val="auto"/>
              </w:rPr>
              <w:t>(16)</w:t>
            </w:r>
          </w:p>
        </w:tc>
        <w:tc>
          <w:tcPr>
            <w:tcW w:w="140" w:type="dxa"/>
            <w:vAlign w:val="bottom"/>
          </w:tcPr>
          <w:p>
            <w:pPr>
              <w:spacing w:after="0"/>
              <w:rPr>
                <w:sz w:val="21"/>
                <w:szCs w:val="21"/>
                <w:color w:val="auto"/>
              </w:rPr>
            </w:pPr>
          </w:p>
        </w:tc>
        <w:tc>
          <w:tcPr>
            <w:tcW w:w="2380" w:type="dxa"/>
            <w:vAlign w:val="bottom"/>
          </w:tcPr>
          <w:p>
            <w:pPr>
              <w:jc w:val="right"/>
              <w:ind w:right="10"/>
              <w:spacing w:after="0"/>
              <w:rPr>
                <w:sz w:val="20"/>
                <w:szCs w:val="20"/>
                <w:color w:val="auto"/>
              </w:rPr>
            </w:pPr>
            <w:r>
              <w:rPr>
                <w:rFonts w:ascii="Arial" w:cs="Arial" w:eastAsia="Arial" w:hAnsi="Arial"/>
                <w:sz w:val="18"/>
                <w:szCs w:val="18"/>
                <w:color w:val="auto"/>
              </w:rPr>
              <w:t>62.02</w:t>
            </w:r>
          </w:p>
        </w:tc>
        <w:tc>
          <w:tcPr>
            <w:tcW w:w="0" w:type="dxa"/>
            <w:vAlign w:val="bottom"/>
          </w:tcPr>
          <w:p>
            <w:pPr>
              <w:spacing w:after="0"/>
              <w:rPr>
                <w:sz w:val="1"/>
                <w:szCs w:val="1"/>
                <w:color w:val="auto"/>
              </w:rPr>
            </w:pPr>
          </w:p>
        </w:tc>
      </w:tr>
      <w:tr>
        <w:trPr>
          <w:trHeight w:val="27"/>
        </w:trPr>
        <w:tc>
          <w:tcPr>
            <w:tcW w:w="3920" w:type="dxa"/>
            <w:vAlign w:val="bottom"/>
            <w:tcBorders>
              <w:bottom w:val="single" w:sz="8" w:color="CEFFE7"/>
            </w:tcBorders>
          </w:tcPr>
          <w:p>
            <w:pPr>
              <w:spacing w:after="0"/>
              <w:rPr>
                <w:sz w:val="2"/>
                <w:szCs w:val="2"/>
                <w:color w:val="auto"/>
              </w:rPr>
            </w:pPr>
          </w:p>
        </w:tc>
        <w:tc>
          <w:tcPr>
            <w:tcW w:w="2940" w:type="dxa"/>
            <w:vAlign w:val="bottom"/>
            <w:tcBorders>
              <w:bottom w:val="single" w:sz="8" w:color="CEFFE7"/>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920" w:type="dxa"/>
            <w:vAlign w:val="bottom"/>
            <w:shd w:val="clear" w:color="auto" w:fill="CEFFE7"/>
          </w:tcPr>
          <w:p>
            <w:pPr>
              <w:ind w:left="40"/>
              <w:spacing w:after="0"/>
              <w:rPr>
                <w:sz w:val="20"/>
                <w:szCs w:val="20"/>
                <w:color w:val="auto"/>
              </w:rPr>
            </w:pPr>
            <w:r>
              <w:rPr>
                <w:rFonts w:ascii="Arial" w:cs="Arial" w:eastAsia="Arial" w:hAnsi="Arial"/>
                <w:sz w:val="18"/>
                <w:szCs w:val="18"/>
                <w:color w:val="auto"/>
              </w:rPr>
              <w:t>Balance at end of period</w:t>
            </w:r>
          </w:p>
        </w:tc>
        <w:tc>
          <w:tcPr>
            <w:tcW w:w="4980" w:type="dxa"/>
            <w:vAlign w:val="bottom"/>
            <w:gridSpan w:val="2"/>
            <w:shd w:val="clear" w:color="auto" w:fill="CEFFE7"/>
          </w:tcPr>
          <w:p>
            <w:pPr>
              <w:jc w:val="right"/>
              <w:ind w:right="10"/>
              <w:spacing w:after="0"/>
              <w:rPr>
                <w:sz w:val="20"/>
                <w:szCs w:val="20"/>
                <w:color w:val="auto"/>
              </w:rPr>
            </w:pPr>
            <w:r>
              <w:rPr>
                <w:rFonts w:ascii="Arial" w:cs="Arial" w:eastAsia="Arial" w:hAnsi="Arial"/>
                <w:sz w:val="18"/>
                <w:szCs w:val="18"/>
                <w:color w:val="auto"/>
              </w:rPr>
              <w:t>192</w:t>
            </w:r>
          </w:p>
        </w:tc>
        <w:tc>
          <w:tcPr>
            <w:tcW w:w="1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3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65.66</w:t>
            </w:r>
          </w:p>
        </w:tc>
        <w:tc>
          <w:tcPr>
            <w:tcW w:w="0" w:type="dxa"/>
            <w:vAlign w:val="bottom"/>
          </w:tcPr>
          <w:p>
            <w:pPr>
              <w:spacing w:after="0"/>
              <w:rPr>
                <w:sz w:val="1"/>
                <w:szCs w:val="1"/>
                <w:color w:val="auto"/>
              </w:rPr>
            </w:pPr>
          </w:p>
        </w:tc>
      </w:tr>
      <w:tr>
        <w:trPr>
          <w:trHeight w:val="20"/>
        </w:trPr>
        <w:tc>
          <w:tcPr>
            <w:tcW w:w="3920" w:type="dxa"/>
            <w:vAlign w:val="bottom"/>
            <w:tcBorders>
              <w:top w:val="single" w:sz="8" w:color="CEFFE7"/>
            </w:tcBorders>
          </w:tcPr>
          <w:p>
            <w:pPr>
              <w:spacing w:after="0" w:line="20" w:lineRule="exact"/>
              <w:rPr>
                <w:sz w:val="1"/>
                <w:szCs w:val="1"/>
                <w:color w:val="auto"/>
              </w:rPr>
            </w:pPr>
          </w:p>
        </w:tc>
        <w:tc>
          <w:tcPr>
            <w:tcW w:w="2940" w:type="dxa"/>
            <w:vAlign w:val="bottom"/>
            <w:tcBorders>
              <w:top w:val="single" w:sz="8" w:color="CEFFE7"/>
              <w:bottom w:val="single" w:sz="8" w:color="CEFFE7"/>
            </w:tcBorders>
            <w:vMerge w:val="restart"/>
          </w:tcPr>
          <w:p>
            <w:pPr>
              <w:jc w:val="right"/>
              <w:ind w:right="930"/>
              <w:spacing w:after="0"/>
              <w:rPr>
                <w:sz w:val="20"/>
                <w:szCs w:val="20"/>
                <w:color w:val="auto"/>
              </w:rPr>
            </w:pPr>
            <w:r>
              <w:rPr>
                <w:rFonts w:ascii="Arial" w:cs="Arial" w:eastAsia="Arial" w:hAnsi="Arial"/>
                <w:sz w:val="18"/>
                <w:szCs w:val="18"/>
                <w:color w:val="auto"/>
              </w:rPr>
              <w:t>113</w:t>
            </w:r>
          </w:p>
        </w:tc>
        <w:tc>
          <w:tcPr>
            <w:tcW w:w="2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1"/>
        </w:trPr>
        <w:tc>
          <w:tcPr>
            <w:tcW w:w="3920" w:type="dxa"/>
            <w:vAlign w:val="bottom"/>
          </w:tcPr>
          <w:p>
            <w:pPr>
              <w:spacing w:after="0"/>
              <w:rPr>
                <w:sz w:val="24"/>
                <w:szCs w:val="24"/>
                <w:color w:val="auto"/>
              </w:rPr>
            </w:pPr>
          </w:p>
        </w:tc>
        <w:tc>
          <w:tcPr>
            <w:tcW w:w="2940" w:type="dxa"/>
            <w:vAlign w:val="bottom"/>
            <w:vMerge w:val="continue"/>
          </w:tcPr>
          <w:p>
            <w:pPr>
              <w:spacing w:after="0"/>
              <w:rPr>
                <w:sz w:val="24"/>
                <w:szCs w:val="24"/>
                <w:color w:val="auto"/>
              </w:rPr>
            </w:pPr>
          </w:p>
        </w:tc>
        <w:tc>
          <w:tcPr>
            <w:tcW w:w="2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14" w:name="page115"/>
    <w:bookmarkEnd w:id="11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weighted-average grant-date fair value of restricted stock granted and the total fair value of shares vested during the years ended December 31,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w w:val="90"/>
              </w:rPr>
              <w:t>Weighted-Average Grant Date</w:t>
            </w:r>
          </w:p>
        </w:tc>
        <w:tc>
          <w:tcPr>
            <w:tcW w:w="180" w:type="dxa"/>
            <w:vAlign w:val="bottom"/>
          </w:tcPr>
          <w:p>
            <w:pPr>
              <w:spacing w:after="0"/>
              <w:rPr>
                <w:sz w:val="18"/>
                <w:szCs w:val="18"/>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9"/>
              </w:rPr>
              <w:t>Total Fair Value of Shares</w:t>
            </w:r>
          </w:p>
        </w:tc>
      </w:tr>
      <w:tr>
        <w:trPr>
          <w:trHeight w:val="230"/>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jc w:val="right"/>
              <w:ind w:right="670"/>
              <w:spacing w:after="0"/>
              <w:rPr>
                <w:sz w:val="20"/>
                <w:szCs w:val="20"/>
                <w:color w:val="auto"/>
              </w:rPr>
            </w:pPr>
            <w:r>
              <w:rPr>
                <w:rFonts w:ascii="Arial" w:cs="Arial" w:eastAsia="Arial" w:hAnsi="Arial"/>
                <w:sz w:val="18"/>
                <w:szCs w:val="18"/>
                <w:color w:val="auto"/>
              </w:rPr>
              <w:t>Fair Value</w:t>
            </w: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85"/>
              </w:rPr>
              <w:t>Vested</w:t>
            </w:r>
          </w:p>
        </w:tc>
      </w:tr>
      <w:tr>
        <w:trPr>
          <w:trHeight w:val="27"/>
        </w:trPr>
        <w:tc>
          <w:tcPr>
            <w:tcW w:w="686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r>
      <w:tr>
        <w:trPr>
          <w:trHeight w:val="237"/>
        </w:trPr>
        <w:tc>
          <w:tcPr>
            <w:tcW w:w="68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120" w:type="dxa"/>
            <w:vAlign w:val="bottom"/>
          </w:tcPr>
          <w:p>
            <w:pPr>
              <w:jc w:val="center"/>
              <w:ind w:right="70"/>
              <w:spacing w:after="0"/>
              <w:rPr>
                <w:sz w:val="20"/>
                <w:szCs w:val="20"/>
                <w:color w:val="auto"/>
              </w:rPr>
            </w:pPr>
            <w:r>
              <w:rPr>
                <w:rFonts w:ascii="Arial" w:cs="Arial" w:eastAsia="Arial" w:hAnsi="Arial"/>
                <w:sz w:val="18"/>
                <w:szCs w:val="18"/>
                <w:color w:val="auto"/>
                <w:w w:val="91"/>
              </w:rPr>
              <w:t>(in thousands)</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0"/>
        </w:trPr>
        <w:tc>
          <w:tcPr>
            <w:tcW w:w="6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2019</w:t>
            </w:r>
          </w:p>
        </w:tc>
        <w:tc>
          <w:tcPr>
            <w:tcW w:w="440" w:type="dxa"/>
            <w:vAlign w:val="bottom"/>
            <w:tcBorders>
              <w:bottom w:val="single" w:sz="8" w:color="CEFFE7"/>
            </w:tcBorders>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73.66</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8,438</w:t>
            </w:r>
          </w:p>
        </w:tc>
      </w:tr>
      <w:tr>
        <w:trPr>
          <w:trHeight w:val="243"/>
        </w:trPr>
        <w:tc>
          <w:tcPr>
            <w:tcW w:w="6860" w:type="dxa"/>
            <w:vAlign w:val="bottom"/>
          </w:tcPr>
          <w:p>
            <w:pPr>
              <w:jc w:val="right"/>
              <w:spacing w:after="0"/>
              <w:rPr>
                <w:sz w:val="20"/>
                <w:szCs w:val="20"/>
                <w:color w:val="auto"/>
              </w:rPr>
            </w:pPr>
            <w:r>
              <w:rPr>
                <w:rFonts w:ascii="Arial" w:cs="Arial" w:eastAsia="Arial" w:hAnsi="Arial"/>
                <w:sz w:val="18"/>
                <w:szCs w:val="18"/>
                <w:color w:val="auto"/>
              </w:rPr>
              <w:t>2018</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57.31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2120" w:type="dxa"/>
            <w:vAlign w:val="bottom"/>
          </w:tcPr>
          <w:p>
            <w:pPr>
              <w:jc w:val="right"/>
              <w:ind w:right="10"/>
              <w:spacing w:after="0"/>
              <w:rPr>
                <w:sz w:val="20"/>
                <w:szCs w:val="20"/>
                <w:color w:val="auto"/>
              </w:rPr>
            </w:pPr>
            <w:r>
              <w:rPr>
                <w:rFonts w:ascii="Arial" w:cs="Arial" w:eastAsia="Arial" w:hAnsi="Arial"/>
                <w:sz w:val="18"/>
                <w:szCs w:val="18"/>
                <w:color w:val="auto"/>
              </w:rPr>
              <w:t>6,776</w:t>
            </w:r>
          </w:p>
        </w:tc>
      </w:tr>
      <w:tr>
        <w:trPr>
          <w:trHeight w:val="27"/>
        </w:trPr>
        <w:tc>
          <w:tcPr>
            <w:tcW w:w="6860" w:type="dxa"/>
            <w:vAlign w:val="bottom"/>
          </w:tcPr>
          <w:p>
            <w:pPr>
              <w:spacing w:after="0"/>
              <w:rPr>
                <w:sz w:val="2"/>
                <w:szCs w:val="2"/>
                <w:color w:val="auto"/>
              </w:rPr>
            </w:pPr>
          </w:p>
        </w:tc>
        <w:tc>
          <w:tcPr>
            <w:tcW w:w="4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43"/>
        </w:trPr>
        <w:tc>
          <w:tcPr>
            <w:tcW w:w="68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2017</w:t>
            </w:r>
          </w:p>
        </w:tc>
        <w:tc>
          <w:tcPr>
            <w:tcW w:w="440" w:type="dxa"/>
            <w:vAlign w:val="bottom"/>
            <w:shd w:val="clear" w:color="auto" w:fill="CEFFE7"/>
          </w:tcPr>
          <w:p>
            <w:pPr>
              <w:jc w:val="right"/>
              <w:ind w:right="230"/>
              <w:spacing w:after="0"/>
              <w:rPr>
                <w:sz w:val="20"/>
                <w:szCs w:val="20"/>
                <w:color w:val="auto"/>
              </w:rPr>
            </w:pPr>
            <w:r>
              <w:rPr>
                <w:rFonts w:ascii="Arial" w:cs="Arial" w:eastAsia="Arial" w:hAnsi="Arial"/>
                <w:sz w:val="18"/>
                <w:szCs w:val="18"/>
                <w:color w:val="auto"/>
                <w:w w:val="99"/>
              </w:rPr>
              <w:t>$</w:t>
            </w:r>
          </w:p>
        </w:tc>
        <w:tc>
          <w:tcPr>
            <w:tcW w:w="18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60.63</w:t>
            </w:r>
          </w:p>
        </w:tc>
        <w:tc>
          <w:tcPr>
            <w:tcW w:w="1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1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7,909</w:t>
            </w:r>
          </w:p>
        </w:tc>
      </w:tr>
      <w:tr>
        <w:trPr>
          <w:trHeight w:val="27"/>
        </w:trPr>
        <w:tc>
          <w:tcPr>
            <w:tcW w:w="686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820" w:type="dxa"/>
            <w:vAlign w:val="bottom"/>
            <w:shd w:val="clear" w:color="auto" w:fill="CEFFE7"/>
          </w:tcPr>
          <w:p>
            <w:pPr>
              <w:spacing w:after="0"/>
              <w:rPr>
                <w:sz w:val="2"/>
                <w:szCs w:val="2"/>
                <w:color w:val="auto"/>
              </w:rPr>
            </w:pPr>
          </w:p>
        </w:tc>
        <w:tc>
          <w:tcPr>
            <w:tcW w:w="180" w:type="dxa"/>
            <w:vAlign w:val="bottom"/>
            <w:shd w:val="clear" w:color="auto" w:fill="CEFFE7"/>
          </w:tcPr>
          <w:p>
            <w:pPr>
              <w:spacing w:after="0"/>
              <w:rPr>
                <w:sz w:val="2"/>
                <w:szCs w:val="2"/>
                <w:color w:val="auto"/>
              </w:rPr>
            </w:pPr>
          </w:p>
        </w:tc>
        <w:tc>
          <w:tcPr>
            <w:tcW w:w="212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As of December 31, 2019, there was $9.0 million of unrecognized compensation expense related to non-vested restricted stock that is expected to be recognized over a weighted-average period of 2.1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Performance Share Plan</w:t>
      </w:r>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Certain officers of the Company and its subsidiaries are participants in a performance share award plan, a market-based plan. Performance shares are awarded based on our total shareholder return over designated performance periods as measured against a selected peer group. In addition, certain stock price performance must be achieved for a payout to occur. The final value of the performance shares will vary according to the number of shares of common stock that are ultimately granted based upon the actual level of attainment of the performance criteria.</w:t>
      </w:r>
    </w:p>
    <w:p>
      <w:pPr>
        <w:spacing w:after="0" w:line="187"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The performance awards are paid 50% in cash and 50% in common stock. The cash portion accrued is classified as a liability and the stock portion is classified as equity. In the event of a change-in-control, performance awards are paid 100% in cash. If it is determined that a change-in-control is probable, the equity portion of $2.9 million at December 31, 2019 would be reclassified as a liability.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Outstanding performance periods at December 31 were as follows (shares in thousands):</w:t>
      </w:r>
    </w:p>
    <w:p>
      <w:pPr>
        <w:spacing w:after="0" w:line="171" w:lineRule="exact"/>
        <w:rPr>
          <w:sz w:val="20"/>
          <w:szCs w:val="20"/>
          <w:color w:val="auto"/>
        </w:rPr>
      </w:pPr>
    </w:p>
    <w:tbl>
      <w:tblPr>
        <w:tblLayout w:type="fixed"/>
        <w:tblInd w:w="80" w:type="dxa"/>
        <w:tblCellMar>
          <w:top w:w="0" w:type="dxa"/>
          <w:left w:w="0" w:type="dxa"/>
          <w:bottom w:w="0" w:type="dxa"/>
          <w:right w:w="0" w:type="dxa"/>
        </w:tblCellMar>
      </w:tblPr>
      <w:tr>
        <w:trPr>
          <w:trHeight w:val="230"/>
        </w:trPr>
        <w:tc>
          <w:tcPr>
            <w:tcW w:w="2120" w:type="dxa"/>
            <w:vAlign w:val="bottom"/>
          </w:tcPr>
          <w:p>
            <w:pPr>
              <w:spacing w:after="0"/>
              <w:rPr>
                <w:sz w:val="20"/>
                <w:szCs w:val="20"/>
                <w:color w:val="auto"/>
              </w:rPr>
            </w:pPr>
          </w:p>
        </w:tc>
        <w:tc>
          <w:tcPr>
            <w:tcW w:w="36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3160" w:type="dxa"/>
            <w:vAlign w:val="bottom"/>
            <w:gridSpan w:val="2"/>
          </w:tcPr>
          <w:p>
            <w:pPr>
              <w:ind w:left="400"/>
              <w:spacing w:after="0"/>
              <w:rPr>
                <w:sz w:val="20"/>
                <w:szCs w:val="20"/>
                <w:color w:val="auto"/>
              </w:rPr>
            </w:pPr>
            <w:r>
              <w:rPr>
                <w:rFonts w:ascii="Arial" w:cs="Arial" w:eastAsia="Arial" w:hAnsi="Arial"/>
                <w:sz w:val="18"/>
                <w:szCs w:val="18"/>
                <w:color w:val="auto"/>
              </w:rPr>
              <w:t>Possible Payout Range of Target</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2120" w:type="dxa"/>
            <w:vAlign w:val="bottom"/>
          </w:tcPr>
          <w:p>
            <w:pPr>
              <w:jc w:val="center"/>
              <w:spacing w:after="0"/>
              <w:rPr>
                <w:sz w:val="20"/>
                <w:szCs w:val="20"/>
                <w:color w:val="auto"/>
              </w:rPr>
            </w:pPr>
            <w:r>
              <w:rPr>
                <w:rFonts w:ascii="Arial" w:cs="Arial" w:eastAsia="Arial" w:hAnsi="Arial"/>
                <w:sz w:val="18"/>
                <w:szCs w:val="18"/>
                <w:color w:val="auto"/>
                <w:w w:val="90"/>
              </w:rPr>
              <w:t>Grant Date</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Performance Period</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Target Grant of Shares</w:t>
            </w:r>
          </w:p>
        </w:tc>
        <w:tc>
          <w:tcPr>
            <w:tcW w:w="1580" w:type="dxa"/>
            <w:vAlign w:val="bottom"/>
          </w:tcPr>
          <w:p>
            <w:pPr>
              <w:jc w:val="center"/>
              <w:spacing w:after="0"/>
              <w:rPr>
                <w:sz w:val="20"/>
                <w:szCs w:val="20"/>
                <w:color w:val="auto"/>
              </w:rPr>
            </w:pPr>
            <w:r>
              <w:rPr>
                <w:rFonts w:ascii="Arial" w:cs="Arial" w:eastAsia="Arial" w:hAnsi="Arial"/>
                <w:sz w:val="18"/>
                <w:szCs w:val="18"/>
                <w:color w:val="auto"/>
                <w:w w:val="98"/>
              </w:rPr>
              <w:t>Minimum</w:t>
            </w:r>
          </w:p>
        </w:tc>
        <w:tc>
          <w:tcPr>
            <w:tcW w:w="1580" w:type="dxa"/>
            <w:vAlign w:val="bottom"/>
          </w:tcPr>
          <w:p>
            <w:pPr>
              <w:jc w:val="center"/>
              <w:spacing w:after="0"/>
              <w:rPr>
                <w:sz w:val="20"/>
                <w:szCs w:val="20"/>
                <w:color w:val="auto"/>
              </w:rPr>
            </w:pPr>
            <w:r>
              <w:rPr>
                <w:rFonts w:ascii="Arial" w:cs="Arial" w:eastAsia="Arial" w:hAnsi="Arial"/>
                <w:sz w:val="18"/>
                <w:szCs w:val="18"/>
                <w:color w:val="auto"/>
                <w:w w:val="94"/>
              </w:rPr>
              <w:t>Maximum</w:t>
            </w:r>
          </w:p>
        </w:tc>
      </w:tr>
      <w:tr>
        <w:trPr>
          <w:trHeight w:val="27"/>
        </w:trPr>
        <w:tc>
          <w:tcPr>
            <w:tcW w:w="2120" w:type="dxa"/>
            <w:vAlign w:val="bottom"/>
            <w:tcBorders>
              <w:bottom w:val="single" w:sz="8" w:color="auto"/>
            </w:tcBorders>
          </w:tcPr>
          <w:p>
            <w:pPr>
              <w:spacing w:after="0"/>
              <w:rPr>
                <w:sz w:val="2"/>
                <w:szCs w:val="2"/>
                <w:color w:val="auto"/>
              </w:rPr>
            </w:pPr>
          </w:p>
        </w:tc>
        <w:tc>
          <w:tcPr>
            <w:tcW w:w="360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21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January 1, 2017</w:t>
            </w:r>
          </w:p>
        </w:tc>
        <w:tc>
          <w:tcPr>
            <w:tcW w:w="36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January 1, 2017 - December 31, 2019</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46</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43"/>
        </w:trPr>
        <w:tc>
          <w:tcPr>
            <w:tcW w:w="2120" w:type="dxa"/>
            <w:vAlign w:val="bottom"/>
          </w:tcPr>
          <w:p>
            <w:pPr>
              <w:jc w:val="center"/>
              <w:spacing w:after="0"/>
              <w:rPr>
                <w:sz w:val="20"/>
                <w:szCs w:val="20"/>
                <w:color w:val="auto"/>
              </w:rPr>
            </w:pPr>
            <w:r>
              <w:rPr>
                <w:rFonts w:ascii="Arial" w:cs="Arial" w:eastAsia="Arial" w:hAnsi="Arial"/>
                <w:sz w:val="18"/>
                <w:szCs w:val="18"/>
                <w:color w:val="auto"/>
                <w:w w:val="88"/>
              </w:rPr>
              <w:t>January 1, 2018</w:t>
            </w:r>
          </w:p>
        </w:tc>
        <w:tc>
          <w:tcPr>
            <w:tcW w:w="3600" w:type="dxa"/>
            <w:vAlign w:val="bottom"/>
          </w:tcPr>
          <w:p>
            <w:pPr>
              <w:jc w:val="center"/>
              <w:spacing w:after="0"/>
              <w:rPr>
                <w:sz w:val="20"/>
                <w:szCs w:val="20"/>
                <w:color w:val="auto"/>
              </w:rPr>
            </w:pPr>
            <w:r>
              <w:rPr>
                <w:rFonts w:ascii="Arial" w:cs="Arial" w:eastAsia="Arial" w:hAnsi="Arial"/>
                <w:sz w:val="18"/>
                <w:szCs w:val="18"/>
                <w:color w:val="auto"/>
                <w:w w:val="89"/>
              </w:rPr>
              <w:t>January 1, 2018 - December 31, 2020</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58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tcPr>
          <w:p>
            <w:pPr>
              <w:spacing w:after="0"/>
              <w:rPr>
                <w:sz w:val="2"/>
                <w:szCs w:val="2"/>
                <w:color w:val="auto"/>
              </w:rPr>
            </w:pPr>
          </w:p>
        </w:tc>
        <w:tc>
          <w:tcPr>
            <w:tcW w:w="36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21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8"/>
              </w:rPr>
              <w:t>January 1, 2019</w:t>
            </w:r>
          </w:p>
        </w:tc>
        <w:tc>
          <w:tcPr>
            <w:tcW w:w="36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January 1, 2019 - December 31, 2021</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37</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0%</w:t>
            </w:r>
          </w:p>
        </w:tc>
        <w:tc>
          <w:tcPr>
            <w:tcW w:w="158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200%</w:t>
            </w:r>
          </w:p>
        </w:tc>
      </w:tr>
      <w:tr>
        <w:trPr>
          <w:trHeight w:val="27"/>
        </w:trPr>
        <w:tc>
          <w:tcPr>
            <w:tcW w:w="2120" w:type="dxa"/>
            <w:vAlign w:val="bottom"/>
            <w:shd w:val="clear" w:color="auto" w:fill="CEFFE7"/>
          </w:tcPr>
          <w:p>
            <w:pPr>
              <w:spacing w:after="0"/>
              <w:rPr>
                <w:sz w:val="2"/>
                <w:szCs w:val="2"/>
                <w:color w:val="auto"/>
              </w:rPr>
            </w:pPr>
          </w:p>
        </w:tc>
        <w:tc>
          <w:tcPr>
            <w:tcW w:w="360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status of the Performance Share Plan at December 31 was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380" w:type="dxa"/>
            <w:vAlign w:val="bottom"/>
            <w:gridSpan w:val="3"/>
          </w:tcPr>
          <w:p>
            <w:pPr>
              <w:jc w:val="right"/>
              <w:ind w:right="1150"/>
              <w:spacing w:after="0"/>
              <w:rPr>
                <w:sz w:val="20"/>
                <w:szCs w:val="20"/>
                <w:color w:val="auto"/>
              </w:rPr>
            </w:pPr>
            <w:r>
              <w:rPr>
                <w:rFonts w:ascii="Arial" w:cs="Arial" w:eastAsia="Arial" w:hAnsi="Arial"/>
                <w:sz w:val="18"/>
                <w:szCs w:val="18"/>
                <w:color w:val="auto"/>
                <w:w w:val="99"/>
              </w:rPr>
              <w:t>Equity Portion</w:t>
            </w:r>
          </w:p>
        </w:tc>
        <w:tc>
          <w:tcPr>
            <w:tcW w:w="3380" w:type="dxa"/>
            <w:vAlign w:val="bottom"/>
            <w:gridSpan w:val="3"/>
          </w:tcPr>
          <w:p>
            <w:pPr>
              <w:jc w:val="right"/>
              <w:ind w:right="1050"/>
              <w:spacing w:after="0"/>
              <w:rPr>
                <w:sz w:val="20"/>
                <w:szCs w:val="20"/>
                <w:color w:val="auto"/>
              </w:rPr>
            </w:pPr>
            <w:r>
              <w:rPr>
                <w:rFonts w:ascii="Arial" w:cs="Arial" w:eastAsia="Arial" w:hAnsi="Arial"/>
                <w:sz w:val="18"/>
                <w:szCs w:val="18"/>
                <w:color w:val="auto"/>
              </w:rPr>
              <w:t>Liability Portion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5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Weighted-Average Fair</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456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760" w:type="dxa"/>
            <w:vAlign w:val="bottom"/>
          </w:tcPr>
          <w:p>
            <w:pPr>
              <w:jc w:val="right"/>
              <w:ind w:right="270"/>
              <w:spacing w:after="0"/>
              <w:rPr>
                <w:sz w:val="20"/>
                <w:szCs w:val="20"/>
                <w:color w:val="auto"/>
              </w:rPr>
            </w:pPr>
            <w:r>
              <w:rPr>
                <w:rFonts w:ascii="Arial" w:cs="Arial" w:eastAsia="Arial" w:hAnsi="Arial"/>
                <w:sz w:val="18"/>
                <w:szCs w:val="18"/>
                <w:color w:val="auto"/>
                <w:w w:val="92"/>
              </w:rPr>
              <w:t>Weighted-Average</w:t>
            </w:r>
          </w:p>
        </w:tc>
        <w:tc>
          <w:tcPr>
            <w:tcW w:w="14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800" w:type="dxa"/>
            <w:vAlign w:val="bottom"/>
          </w:tcPr>
          <w:p>
            <w:pPr>
              <w:jc w:val="center"/>
              <w:ind w:right="30"/>
              <w:spacing w:after="0"/>
              <w:rPr>
                <w:sz w:val="20"/>
                <w:szCs w:val="20"/>
                <w:color w:val="auto"/>
              </w:rPr>
            </w:pPr>
            <w:r>
              <w:rPr>
                <w:rFonts w:ascii="Arial" w:cs="Arial" w:eastAsia="Arial" w:hAnsi="Arial"/>
                <w:sz w:val="18"/>
                <w:szCs w:val="18"/>
                <w:color w:val="auto"/>
                <w:w w:val="90"/>
              </w:rPr>
              <w:t>Value at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ind w:left="500"/>
              <w:spacing w:after="0"/>
              <w:rPr>
                <w:sz w:val="20"/>
                <w:szCs w:val="20"/>
                <w:color w:val="auto"/>
              </w:rPr>
            </w:pPr>
            <w:r>
              <w:rPr>
                <w:rFonts w:ascii="Arial" w:cs="Arial" w:eastAsia="Arial" w:hAnsi="Arial"/>
                <w:sz w:val="18"/>
                <w:szCs w:val="18"/>
                <w:color w:val="auto"/>
                <w:w w:val="94"/>
              </w:rPr>
              <w:t>Shares</w:t>
            </w:r>
          </w:p>
        </w:tc>
        <w:tc>
          <w:tcPr>
            <w:tcW w:w="42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2"/>
          </w:tcPr>
          <w:p>
            <w:pPr>
              <w:ind w:left="40"/>
              <w:spacing w:after="0" w:line="257" w:lineRule="exact"/>
              <w:rPr>
                <w:sz w:val="20"/>
                <w:szCs w:val="20"/>
                <w:color w:val="auto"/>
              </w:rPr>
            </w:pPr>
            <w:r>
              <w:rPr>
                <w:rFonts w:ascii="Arial" w:cs="Arial" w:eastAsia="Arial" w:hAnsi="Arial"/>
                <w:sz w:val="18"/>
                <w:szCs w:val="18"/>
                <w:color w:val="auto"/>
                <w:w w:val="94"/>
              </w:rPr>
              <w:t xml:space="preserve">Grant Date Fair Value </w:t>
            </w:r>
            <w:r>
              <w:rPr>
                <w:rFonts w:ascii="Arial" w:cs="Arial" w:eastAsia="Arial" w:hAnsi="Arial"/>
                <w:sz w:val="25"/>
                <w:szCs w:val="25"/>
                <w:color w:val="auto"/>
                <w:w w:val="94"/>
                <w:vertAlign w:val="superscript"/>
              </w:rPr>
              <w:t>(a)</w:t>
            </w:r>
          </w:p>
        </w:tc>
        <w:tc>
          <w:tcPr>
            <w:tcW w:w="14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Shares</w:t>
            </w:r>
          </w:p>
        </w:tc>
        <w:tc>
          <w:tcPr>
            <w:tcW w:w="140" w:type="dxa"/>
            <w:vAlign w:val="bottom"/>
            <w:tcBorders>
              <w:bottom w:val="single" w:sz="8" w:color="auto"/>
            </w:tcBorders>
          </w:tcPr>
          <w:p>
            <w:pPr>
              <w:spacing w:after="0"/>
              <w:rPr>
                <w:sz w:val="22"/>
                <w:szCs w:val="22"/>
                <w:color w:val="auto"/>
              </w:rPr>
            </w:pPr>
          </w:p>
        </w:tc>
        <w:tc>
          <w:tcPr>
            <w:tcW w:w="18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8"/>
              </w:rPr>
              <w:t>December 31, 2019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560" w:type="dxa"/>
            <w:vAlign w:val="bottom"/>
          </w:tcPr>
          <w:p>
            <w:pPr>
              <w:spacing w:after="0"/>
              <w:rPr>
                <w:sz w:val="20"/>
                <w:szCs w:val="20"/>
                <w:color w:val="auto"/>
              </w:rPr>
            </w:pPr>
          </w:p>
        </w:tc>
        <w:tc>
          <w:tcPr>
            <w:tcW w:w="1480" w:type="dxa"/>
            <w:vAlign w:val="bottom"/>
            <w:gridSpan w:val="2"/>
          </w:tcPr>
          <w:p>
            <w:pPr>
              <w:jc w:val="right"/>
              <w:ind w:right="13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440" w:type="dxa"/>
            <w:vAlign w:val="bottom"/>
          </w:tcPr>
          <w:p>
            <w:pPr>
              <w:jc w:val="right"/>
              <w:ind w:right="170"/>
              <w:spacing w:after="0"/>
              <w:rPr>
                <w:sz w:val="20"/>
                <w:szCs w:val="20"/>
                <w:color w:val="auto"/>
              </w:rPr>
            </w:pPr>
            <w:r>
              <w:rPr>
                <w:rFonts w:ascii="Arial" w:cs="Arial" w:eastAsia="Arial" w:hAnsi="Arial"/>
                <w:sz w:val="18"/>
                <w:szCs w:val="18"/>
                <w:color w:val="auto"/>
              </w:rPr>
              <w:t>(in thousands)</w:t>
            </w:r>
          </w:p>
        </w:tc>
        <w:tc>
          <w:tcPr>
            <w:tcW w:w="1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Performance Shares balance at beginning of period</w:t>
            </w:r>
          </w:p>
        </w:tc>
        <w:tc>
          <w:tcPr>
            <w:tcW w:w="4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w:t>
            </w:r>
          </w:p>
        </w:tc>
        <w:tc>
          <w:tcPr>
            <w:tcW w:w="2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57.66</w:t>
            </w:r>
          </w:p>
        </w:tc>
        <w:tc>
          <w:tcPr>
            <w:tcW w:w="14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77</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Granted</w:t>
            </w:r>
          </w:p>
        </w:tc>
        <w:tc>
          <w:tcPr>
            <w:tcW w:w="42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68.72</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5620" w:type="dxa"/>
            <w:vAlign w:val="bottom"/>
            <w:tcBorders>
              <w:bottom w:val="single" w:sz="8" w:color="CEFFE7"/>
            </w:tcBorders>
            <w:gridSpan w:val="2"/>
            <w:shd w:val="clear" w:color="auto" w:fill="CEFFE7"/>
          </w:tcPr>
          <w:p>
            <w:pPr>
              <w:ind w:left="160"/>
              <w:spacing w:after="0"/>
              <w:rPr>
                <w:sz w:val="20"/>
                <w:szCs w:val="20"/>
                <w:color w:val="auto"/>
              </w:rPr>
            </w:pPr>
            <w:r>
              <w:rPr>
                <w:rFonts w:ascii="Arial" w:cs="Arial" w:eastAsia="Arial" w:hAnsi="Arial"/>
                <w:sz w:val="18"/>
                <w:szCs w:val="18"/>
                <w:color w:val="auto"/>
              </w:rPr>
              <w:t>Forfeited</w:t>
            </w:r>
          </w:p>
        </w:tc>
        <w:tc>
          <w:tcPr>
            <w:tcW w:w="4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EFFE7"/>
            </w:tcBorders>
            <w:shd w:val="clear" w:color="auto" w:fill="CEFFE7"/>
          </w:tcPr>
          <w:p>
            <w:pPr>
              <w:spacing w:after="0"/>
              <w:rPr>
                <w:sz w:val="21"/>
                <w:szCs w:val="21"/>
                <w:color w:val="auto"/>
              </w:rPr>
            </w:pPr>
          </w:p>
        </w:tc>
        <w:tc>
          <w:tcPr>
            <w:tcW w:w="17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64.60</w:t>
            </w:r>
          </w:p>
        </w:tc>
        <w:tc>
          <w:tcPr>
            <w:tcW w:w="14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CEFFE7"/>
            </w:tcBorders>
            <w:shd w:val="clear" w:color="auto" w:fill="CEFFE7"/>
          </w:tcPr>
          <w:p>
            <w:pPr>
              <w:spacing w:after="0"/>
              <w:rPr>
                <w:sz w:val="21"/>
                <w:szCs w:val="21"/>
                <w:color w:val="auto"/>
              </w:rPr>
            </w:pPr>
          </w:p>
        </w:tc>
        <w:tc>
          <w:tcPr>
            <w:tcW w:w="180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5620" w:type="dxa"/>
            <w:vAlign w:val="bottom"/>
            <w:gridSpan w:val="2"/>
          </w:tcPr>
          <w:p>
            <w:pPr>
              <w:ind w:left="160"/>
              <w:spacing w:after="0"/>
              <w:rPr>
                <w:sz w:val="20"/>
                <w:szCs w:val="20"/>
                <w:color w:val="auto"/>
              </w:rPr>
            </w:pPr>
            <w:r>
              <w:rPr>
                <w:rFonts w:ascii="Arial" w:cs="Arial" w:eastAsia="Arial" w:hAnsi="Arial"/>
                <w:sz w:val="18"/>
                <w:szCs w:val="18"/>
                <w:color w:val="auto"/>
              </w:rPr>
              <w:t>Vested</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1760" w:type="dxa"/>
            <w:vAlign w:val="bottom"/>
          </w:tcPr>
          <w:p>
            <w:pPr>
              <w:jc w:val="right"/>
              <w:ind w:right="150"/>
              <w:spacing w:after="0"/>
              <w:rPr>
                <w:sz w:val="20"/>
                <w:szCs w:val="20"/>
                <w:color w:val="auto"/>
              </w:rPr>
            </w:pPr>
            <w:r>
              <w:rPr>
                <w:rFonts w:ascii="Arial" w:cs="Arial" w:eastAsia="Arial" w:hAnsi="Arial"/>
                <w:sz w:val="18"/>
                <w:szCs w:val="18"/>
                <w:color w:val="auto"/>
              </w:rPr>
              <w:t>47.76</w:t>
            </w:r>
          </w:p>
        </w:tc>
        <w:tc>
          <w:tcPr>
            <w:tcW w:w="144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560" w:type="dxa"/>
            <w:vAlign w:val="bottom"/>
            <w:tcBorders>
              <w:bottom w:val="single" w:sz="8" w:color="CEFFE7"/>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456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Performance Shares balance at end of period</w:t>
            </w:r>
          </w:p>
        </w:tc>
        <w:tc>
          <w:tcPr>
            <w:tcW w:w="1060" w:type="dxa"/>
            <w:vAlign w:val="bottom"/>
            <w:tcBorders>
              <w:bottom w:val="single" w:sz="8" w:color="auto"/>
            </w:tcBorders>
            <w:shd w:val="clear" w:color="auto" w:fill="CEFFE7"/>
          </w:tcPr>
          <w:p>
            <w:pPr>
              <w:spacing w:after="0"/>
              <w:rPr>
                <w:sz w:val="22"/>
                <w:szCs w:val="22"/>
                <w:color w:val="auto"/>
              </w:rPr>
            </w:pPr>
          </w:p>
        </w:tc>
        <w:tc>
          <w:tcPr>
            <w:tcW w:w="4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67</w:t>
            </w:r>
          </w:p>
        </w:tc>
        <w:tc>
          <w:tcPr>
            <w:tcW w:w="20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76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64.32</w:t>
            </w:r>
          </w:p>
        </w:tc>
        <w:tc>
          <w:tcPr>
            <w:tcW w:w="144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67</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89.63</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jc w:val="right"/>
              <w:ind w:right="2790"/>
              <w:spacing w:after="0"/>
              <w:rPr>
                <w:sz w:val="20"/>
                <w:szCs w:val="20"/>
                <w:color w:val="auto"/>
              </w:rPr>
            </w:pPr>
            <w:r>
              <w:rPr>
                <w:rFonts w:ascii="Arial" w:cs="Arial" w:eastAsia="Arial" w:hAnsi="Arial"/>
                <w:sz w:val="16"/>
                <w:szCs w:val="16"/>
                <w:color w:val="auto"/>
                <w:w w:val="89"/>
              </w:rPr>
              <w:t>_____________________</w:t>
            </w:r>
          </w:p>
        </w:tc>
        <w:tc>
          <w:tcPr>
            <w:tcW w:w="10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580" w:type="dxa"/>
            <w:vAlign w:val="bottom"/>
            <w:gridSpan w:val="2"/>
            <w:vMerge w:val="continue"/>
          </w:tcPr>
          <w:p>
            <w:pPr>
              <w:spacing w:after="0"/>
              <w:rPr>
                <w:sz w:val="15"/>
                <w:szCs w:val="15"/>
                <w:color w:val="auto"/>
              </w:rPr>
            </w:pPr>
          </w:p>
        </w:tc>
        <w:tc>
          <w:tcPr>
            <w:tcW w:w="10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60" w:hanging="332"/>
        <w:spacing w:after="0" w:line="252" w:lineRule="auto"/>
        <w:tabs>
          <w:tab w:leader="none" w:pos="340"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grant date fair values for the performance shares granted in 2019, 2018 and 2017 were determined by Monte Carlo simulation using a blended volatility of 21%, 21% and 23%, respectively, comprised of 50% historical volatility and 50% implied volatility and the average risk-free interest rate of the three-year United States Treasury security rate in effect as of the grant date.</w:t>
      </w: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420"/>
          </w:cols>
          <w:pgMar w:left="240" w:top="126" w:right="239" w:bottom="1440" w:gutter="0" w:footer="0" w:header="0"/>
        </w:sectPr>
      </w:pPr>
    </w:p>
    <w:bookmarkStart w:id="115" w:name="page116"/>
    <w:bookmarkEnd w:id="115"/>
    <w:tbl>
      <w:tblPr>
        <w:tblLayout w:type="fixed"/>
        <w:tblInd w:w="0" w:type="dxa"/>
        <w:tblCellMar>
          <w:top w:w="0" w:type="dxa"/>
          <w:left w:w="0" w:type="dxa"/>
          <w:bottom w:w="0" w:type="dxa"/>
          <w:right w:w="0" w:type="dxa"/>
        </w:tblCellMar>
      </w:tblPr>
      <w:tr>
        <w:trPr>
          <w:trHeight w:val="184"/>
        </w:trPr>
        <w:tc>
          <w:tcPr>
            <w:tcW w:w="53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74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4080" w:type="dxa"/>
            <w:vAlign w:val="bottom"/>
          </w:tcPr>
          <w:p>
            <w:pPr>
              <w:spacing w:after="0" w:line="20" w:lineRule="exact"/>
              <w:rPr>
                <w:sz w:val="1"/>
                <w:szCs w:val="1"/>
                <w:color w:val="auto"/>
              </w:rPr>
            </w:pPr>
          </w:p>
        </w:tc>
        <w:tc>
          <w:tcPr>
            <w:tcW w:w="312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439"/>
        </w:trPr>
        <w:tc>
          <w:tcPr>
            <w:tcW w:w="8420" w:type="dxa"/>
            <w:vAlign w:val="bottom"/>
            <w:gridSpan w:val="4"/>
          </w:tcPr>
          <w:p>
            <w:pPr>
              <w:spacing w:after="0"/>
              <w:rPr>
                <w:sz w:val="20"/>
                <w:szCs w:val="20"/>
                <w:color w:val="auto"/>
              </w:rPr>
            </w:pPr>
            <w:r>
              <w:rPr>
                <w:rFonts w:ascii="Arial" w:cs="Arial" w:eastAsia="Arial" w:hAnsi="Arial"/>
                <w:sz w:val="18"/>
                <w:szCs w:val="18"/>
                <w:color w:val="auto"/>
                <w:w w:val="90"/>
              </w:rPr>
              <w:t>The weighted-average grant-date fair value of performance share awards granted was as follows in the years ended:</w:t>
            </w: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4"/>
        </w:trPr>
        <w:tc>
          <w:tcPr>
            <w:tcW w:w="122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720" w:type="dxa"/>
            <w:vAlign w:val="bottom"/>
            <w:gridSpan w:val="3"/>
          </w:tcPr>
          <w:p>
            <w:pPr>
              <w:jc w:val="right"/>
              <w:ind w:right="30"/>
              <w:spacing w:after="0"/>
              <w:rPr>
                <w:sz w:val="20"/>
                <w:szCs w:val="20"/>
                <w:color w:val="auto"/>
              </w:rPr>
            </w:pPr>
            <w:r>
              <w:rPr>
                <w:rFonts w:ascii="Arial" w:cs="Arial" w:eastAsia="Arial" w:hAnsi="Arial"/>
                <w:sz w:val="18"/>
                <w:szCs w:val="18"/>
                <w:color w:val="auto"/>
                <w:w w:val="93"/>
              </w:rPr>
              <w:t>Weighted Average Grant Date Fair</w:t>
            </w:r>
          </w:p>
        </w:tc>
      </w:tr>
      <w:tr>
        <w:trPr>
          <w:trHeight w:val="230"/>
        </w:trPr>
        <w:tc>
          <w:tcPr>
            <w:tcW w:w="1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0" w:type="dxa"/>
            <w:vAlign w:val="bottom"/>
          </w:tcPr>
          <w:p>
            <w:pPr>
              <w:ind w:left="80"/>
              <w:spacing w:after="0"/>
              <w:rPr>
                <w:sz w:val="20"/>
                <w:szCs w:val="20"/>
                <w:color w:val="auto"/>
              </w:rPr>
            </w:pPr>
            <w:r>
              <w:rPr>
                <w:rFonts w:ascii="Arial" w:cs="Arial" w:eastAsia="Arial" w:hAnsi="Arial"/>
                <w:sz w:val="18"/>
                <w:szCs w:val="18"/>
                <w:color w:val="auto"/>
              </w:rPr>
              <w:t>Value</w:t>
            </w:r>
          </w:p>
        </w:tc>
        <w:tc>
          <w:tcPr>
            <w:tcW w:w="840" w:type="dxa"/>
            <w:vAlign w:val="bottom"/>
          </w:tcPr>
          <w:p>
            <w:pPr>
              <w:spacing w:after="0"/>
              <w:rPr>
                <w:sz w:val="20"/>
                <w:szCs w:val="20"/>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4080" w:type="dxa"/>
            <w:vAlign w:val="bottom"/>
            <w:tcBorders>
              <w:bottom w:val="single" w:sz="8" w:color="CEFFE7"/>
            </w:tcBorders>
          </w:tcPr>
          <w:p>
            <w:pPr>
              <w:spacing w:after="0"/>
              <w:rPr>
                <w:sz w:val="2"/>
                <w:szCs w:val="2"/>
                <w:color w:val="auto"/>
              </w:rPr>
            </w:pPr>
          </w:p>
        </w:tc>
        <w:tc>
          <w:tcPr>
            <w:tcW w:w="1740" w:type="dxa"/>
            <w:vAlign w:val="bottom"/>
            <w:tcBorders>
              <w:bottom w:val="single" w:sz="8" w:color="CEFFE7"/>
            </w:tcBorders>
          </w:tcPr>
          <w:p>
            <w:pPr>
              <w:spacing w:after="0"/>
              <w:rPr>
                <w:sz w:val="2"/>
                <w:szCs w:val="2"/>
                <w:color w:val="auto"/>
              </w:rPr>
            </w:pPr>
          </w:p>
        </w:tc>
        <w:tc>
          <w:tcPr>
            <w:tcW w:w="1380" w:type="dxa"/>
            <w:vAlign w:val="bottom"/>
            <w:tcBorders>
              <w:bottom w:val="single" w:sz="8" w:color="CEFFE7"/>
            </w:tcBorders>
          </w:tcPr>
          <w:p>
            <w:pPr>
              <w:spacing w:after="0"/>
              <w:rPr>
                <w:sz w:val="2"/>
                <w:szCs w:val="2"/>
                <w:color w:val="auto"/>
              </w:rPr>
            </w:pPr>
          </w:p>
        </w:tc>
        <w:tc>
          <w:tcPr>
            <w:tcW w:w="280" w:type="dxa"/>
            <w:vAlign w:val="bottom"/>
            <w:tcBorders>
              <w:bottom w:val="single" w:sz="8" w:color="CEFFE7"/>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December 31, 2019</w:t>
            </w:r>
          </w:p>
        </w:tc>
        <w:tc>
          <w:tcPr>
            <w:tcW w:w="17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68.72</w:t>
            </w:r>
          </w:p>
        </w:tc>
      </w:tr>
      <w:tr>
        <w:trPr>
          <w:trHeight w:val="243"/>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December 31, 2018</w:t>
            </w:r>
          </w:p>
        </w:tc>
        <w:tc>
          <w:tcPr>
            <w:tcW w:w="17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61.82</w:t>
            </w:r>
          </w:p>
        </w:tc>
      </w:tr>
      <w:tr>
        <w:trPr>
          <w:trHeight w:val="27"/>
        </w:trPr>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53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December 31, 2017</w:t>
            </w:r>
          </w:p>
        </w:tc>
        <w:tc>
          <w:tcPr>
            <w:tcW w:w="1740" w:type="dxa"/>
            <w:vAlign w:val="bottom"/>
            <w:tcBorders>
              <w:bottom w:val="single" w:sz="8" w:color="CEFFE7"/>
            </w:tcBorders>
            <w:shd w:val="clear" w:color="auto" w:fill="CEFFE7"/>
          </w:tcPr>
          <w:p>
            <w:pPr>
              <w:spacing w:after="0"/>
              <w:rPr>
                <w:sz w:val="21"/>
                <w:szCs w:val="21"/>
                <w:color w:val="auto"/>
              </w:rPr>
            </w:pPr>
          </w:p>
        </w:tc>
        <w:tc>
          <w:tcPr>
            <w:tcW w:w="13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89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EFFE7"/>
            </w:tcBorders>
            <w:shd w:val="clear" w:color="auto" w:fill="CEFFE7"/>
          </w:tcPr>
          <w:p>
            <w:pPr>
              <w:spacing w:after="0"/>
              <w:rPr>
                <w:sz w:val="21"/>
                <w:szCs w:val="21"/>
                <w:color w:val="auto"/>
              </w:rPr>
            </w:pP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63.52</w:t>
            </w:r>
          </w:p>
        </w:tc>
      </w:tr>
      <w:tr>
        <w:trPr>
          <w:trHeight w:val="432"/>
        </w:trPr>
        <w:tc>
          <w:tcPr>
            <w:tcW w:w="5300" w:type="dxa"/>
            <w:vAlign w:val="bottom"/>
            <w:gridSpan w:val="2"/>
          </w:tcPr>
          <w:p>
            <w:pPr>
              <w:spacing w:after="0"/>
              <w:rPr>
                <w:sz w:val="20"/>
                <w:szCs w:val="20"/>
                <w:color w:val="auto"/>
              </w:rPr>
            </w:pPr>
            <w:r>
              <w:rPr>
                <w:rFonts w:ascii="Arial" w:cs="Arial" w:eastAsia="Arial" w:hAnsi="Arial"/>
                <w:sz w:val="18"/>
                <w:szCs w:val="18"/>
                <w:color w:val="auto"/>
              </w:rPr>
              <w:t>Performance plan payouts have been as follows (in thousands):</w:t>
            </w:r>
          </w:p>
        </w:tc>
        <w:tc>
          <w:tcPr>
            <w:tcW w:w="174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78"/>
        </w:trPr>
        <w:tc>
          <w:tcPr>
            <w:tcW w:w="5300" w:type="dxa"/>
            <w:vAlign w:val="bottom"/>
            <w:gridSpan w:val="2"/>
          </w:tcPr>
          <w:p>
            <w:pPr>
              <w:ind w:left="40"/>
              <w:spacing w:after="0"/>
              <w:rPr>
                <w:sz w:val="20"/>
                <w:szCs w:val="20"/>
                <w:color w:val="auto"/>
              </w:rPr>
            </w:pPr>
            <w:r>
              <w:rPr>
                <w:rFonts w:ascii="Arial" w:cs="Arial" w:eastAsia="Arial" w:hAnsi="Arial"/>
                <w:sz w:val="18"/>
                <w:szCs w:val="18"/>
                <w:color w:val="auto"/>
              </w:rPr>
              <w:t>Performance Period</w:t>
            </w:r>
          </w:p>
        </w:tc>
        <w:tc>
          <w:tcPr>
            <w:tcW w:w="1740" w:type="dxa"/>
            <w:vAlign w:val="bottom"/>
          </w:tcPr>
          <w:p>
            <w:pPr>
              <w:jc w:val="center"/>
              <w:ind w:left="390"/>
              <w:spacing w:after="0"/>
              <w:rPr>
                <w:sz w:val="20"/>
                <w:szCs w:val="20"/>
                <w:color w:val="auto"/>
              </w:rPr>
            </w:pPr>
            <w:r>
              <w:rPr>
                <w:rFonts w:ascii="Arial" w:cs="Arial" w:eastAsia="Arial" w:hAnsi="Arial"/>
                <w:sz w:val="18"/>
                <w:szCs w:val="18"/>
                <w:color w:val="auto"/>
                <w:w w:val="88"/>
              </w:rPr>
              <w:t>Year Paid</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Stock Issued</w:t>
            </w:r>
          </w:p>
        </w:tc>
        <w:tc>
          <w:tcPr>
            <w:tcW w:w="280" w:type="dxa"/>
            <w:vAlign w:val="bottom"/>
          </w:tcPr>
          <w:p>
            <w:pPr>
              <w:spacing w:after="0"/>
              <w:rPr>
                <w:sz w:val="24"/>
                <w:szCs w:val="24"/>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color w:val="auto"/>
                <w:w w:val="93"/>
              </w:rPr>
              <w:t>Cash Paid</w:t>
            </w:r>
          </w:p>
        </w:tc>
        <w:tc>
          <w:tcPr>
            <w:tcW w:w="1640" w:type="dxa"/>
            <w:vAlign w:val="bottom"/>
            <w:gridSpan w:val="2"/>
          </w:tcPr>
          <w:p>
            <w:pPr>
              <w:jc w:val="right"/>
              <w:spacing w:after="0"/>
              <w:rPr>
                <w:sz w:val="20"/>
                <w:szCs w:val="20"/>
                <w:color w:val="auto"/>
              </w:rPr>
            </w:pPr>
            <w:r>
              <w:rPr>
                <w:rFonts w:ascii="Arial" w:cs="Arial" w:eastAsia="Arial" w:hAnsi="Arial"/>
                <w:sz w:val="18"/>
                <w:szCs w:val="18"/>
                <w:color w:val="auto"/>
                <w:w w:val="98"/>
              </w:rPr>
              <w:t>Total Intrinsic Value</w:t>
            </w:r>
          </w:p>
        </w:tc>
      </w:tr>
      <w:tr>
        <w:trPr>
          <w:trHeight w:val="27"/>
        </w:trPr>
        <w:tc>
          <w:tcPr>
            <w:tcW w:w="1220" w:type="dxa"/>
            <w:vAlign w:val="bottom"/>
            <w:tcBorders>
              <w:bottom w:val="single" w:sz="8" w:color="auto"/>
            </w:tcBorders>
          </w:tcPr>
          <w:p>
            <w:pPr>
              <w:spacing w:after="0"/>
              <w:rPr>
                <w:sz w:val="2"/>
                <w:szCs w:val="2"/>
                <w:color w:val="auto"/>
              </w:rPr>
            </w:pPr>
          </w:p>
        </w:tc>
        <w:tc>
          <w:tcPr>
            <w:tcW w:w="408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44"/>
        </w:trPr>
        <w:tc>
          <w:tcPr>
            <w:tcW w:w="530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shd w:val="clear" w:color="auto" w:fill="CEFFE7"/>
              </w:rPr>
              <w:t>January 1, 2016 to December 31, 2018</w:t>
            </w:r>
          </w:p>
        </w:tc>
        <w:tc>
          <w:tcPr>
            <w:tcW w:w="174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rPr>
              <w:t>2019</w:t>
            </w:r>
          </w:p>
        </w:tc>
        <w:tc>
          <w:tcPr>
            <w:tcW w:w="13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44</w:t>
            </w:r>
          </w:p>
        </w:tc>
        <w:tc>
          <w:tcPr>
            <w:tcW w:w="2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2,860</w:t>
            </w:r>
          </w:p>
        </w:tc>
        <w:tc>
          <w:tcPr>
            <w:tcW w:w="80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5,720</w:t>
            </w:r>
          </w:p>
        </w:tc>
      </w:tr>
      <w:tr>
        <w:trPr>
          <w:trHeight w:val="243"/>
        </w:trPr>
        <w:tc>
          <w:tcPr>
            <w:tcW w:w="5300" w:type="dxa"/>
            <w:vAlign w:val="bottom"/>
            <w:gridSpan w:val="2"/>
          </w:tcPr>
          <w:p>
            <w:pPr>
              <w:ind w:left="180"/>
              <w:spacing w:after="0"/>
              <w:rPr>
                <w:sz w:val="20"/>
                <w:szCs w:val="20"/>
                <w:color w:val="auto"/>
              </w:rPr>
            </w:pPr>
            <w:r>
              <w:rPr>
                <w:rFonts w:ascii="Arial" w:cs="Arial" w:eastAsia="Arial" w:hAnsi="Arial"/>
                <w:sz w:val="18"/>
                <w:szCs w:val="18"/>
                <w:color w:val="auto"/>
              </w:rPr>
              <w:t>January 1, 2015 to December 31, 2017</w:t>
            </w:r>
          </w:p>
        </w:tc>
        <w:tc>
          <w:tcPr>
            <w:tcW w:w="17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tcPr>
          <w:p>
            <w:pPr>
              <w:spacing w:after="0"/>
              <w:rPr>
                <w:sz w:val="2"/>
                <w:szCs w:val="2"/>
                <w:color w:val="auto"/>
              </w:rPr>
            </w:pPr>
          </w:p>
        </w:tc>
        <w:tc>
          <w:tcPr>
            <w:tcW w:w="408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43"/>
        </w:trPr>
        <w:tc>
          <w:tcPr>
            <w:tcW w:w="5300" w:type="dxa"/>
            <w:vAlign w:val="bottom"/>
            <w:gridSpan w:val="2"/>
            <w:shd w:val="clear" w:color="auto" w:fill="CEFFE7"/>
          </w:tcPr>
          <w:p>
            <w:pPr>
              <w:ind w:left="180"/>
              <w:spacing w:after="0"/>
              <w:rPr>
                <w:sz w:val="20"/>
                <w:szCs w:val="20"/>
                <w:color w:val="auto"/>
              </w:rPr>
            </w:pPr>
            <w:r>
              <w:rPr>
                <w:rFonts w:ascii="Arial" w:cs="Arial" w:eastAsia="Arial" w:hAnsi="Arial"/>
                <w:sz w:val="18"/>
                <w:szCs w:val="18"/>
                <w:color w:val="auto"/>
              </w:rPr>
              <w:t>January 1, 2014 to December 31, 2016</w:t>
            </w:r>
          </w:p>
        </w:tc>
        <w:tc>
          <w:tcPr>
            <w:tcW w:w="1740" w:type="dxa"/>
            <w:vAlign w:val="bottom"/>
            <w:shd w:val="clear" w:color="auto" w:fill="CEFFE7"/>
          </w:tcPr>
          <w:p>
            <w:pPr>
              <w:spacing w:after="0"/>
              <w:rPr>
                <w:sz w:val="21"/>
                <w:szCs w:val="21"/>
                <w:color w:val="auto"/>
              </w:rPr>
            </w:pPr>
          </w:p>
        </w:tc>
        <w:tc>
          <w:tcPr>
            <w:tcW w:w="13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EFFE7"/>
          </w:tcPr>
          <w:p>
            <w:pPr>
              <w:spacing w:after="0"/>
              <w:rPr>
                <w:sz w:val="21"/>
                <w:szCs w:val="21"/>
                <w:color w:val="auto"/>
              </w:rPr>
            </w:pP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EFFE7"/>
          </w:tcPr>
          <w:p>
            <w:pPr>
              <w:spacing w:after="0"/>
              <w:rPr>
                <w:sz w:val="21"/>
                <w:szCs w:val="21"/>
                <w:color w:val="auto"/>
              </w:rPr>
            </w:pPr>
          </w:p>
        </w:tc>
        <w:tc>
          <w:tcPr>
            <w:tcW w:w="8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1220" w:type="dxa"/>
            <w:vAlign w:val="bottom"/>
            <w:shd w:val="clear" w:color="auto" w:fill="CEFFE7"/>
          </w:tcPr>
          <w:p>
            <w:pPr>
              <w:spacing w:after="0"/>
              <w:rPr>
                <w:sz w:val="2"/>
                <w:szCs w:val="2"/>
                <w:color w:val="auto"/>
              </w:rPr>
            </w:pPr>
          </w:p>
        </w:tc>
        <w:tc>
          <w:tcPr>
            <w:tcW w:w="4080" w:type="dxa"/>
            <w:vAlign w:val="bottom"/>
            <w:shd w:val="clear" w:color="auto" w:fill="CEFFE7"/>
          </w:tcPr>
          <w:p>
            <w:pPr>
              <w:spacing w:after="0"/>
              <w:rPr>
                <w:sz w:val="2"/>
                <w:szCs w:val="2"/>
                <w:color w:val="auto"/>
              </w:rPr>
            </w:pPr>
          </w:p>
        </w:tc>
        <w:tc>
          <w:tcPr>
            <w:tcW w:w="174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28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800" w:type="dxa"/>
            <w:vAlign w:val="bottom"/>
            <w:shd w:val="clear" w:color="auto" w:fill="CEFFE7"/>
          </w:tcPr>
          <w:p>
            <w:pPr>
              <w:spacing w:after="0"/>
              <w:rPr>
                <w:sz w:val="2"/>
                <w:szCs w:val="2"/>
                <w:color w:val="auto"/>
              </w:rPr>
            </w:pPr>
          </w:p>
        </w:tc>
        <w:tc>
          <w:tcPr>
            <w:tcW w:w="8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ind w:right="60"/>
        <w:spacing w:after="0" w:line="264" w:lineRule="auto"/>
        <w:rPr>
          <w:sz w:val="20"/>
          <w:szCs w:val="20"/>
          <w:color w:val="auto"/>
        </w:rPr>
      </w:pPr>
      <w:r>
        <w:rPr>
          <w:rFonts w:ascii="Arial" w:cs="Arial" w:eastAsia="Arial" w:hAnsi="Arial"/>
          <w:sz w:val="18"/>
          <w:szCs w:val="18"/>
          <w:color w:val="auto"/>
        </w:rPr>
        <w:t>On January 28, 2020, the Compensation Committee of our Board of Directors determined that the Company’s total shareholder return for the January 1, 2017 through December 31, 2019 performance period was at the 36.3 percentile of its peer group and confirmed a payout equal to 58.86% of target shares, valued at $2.2 million. The payout was fully accrued at December 31, 2019.</w:t>
      </w:r>
    </w:p>
    <w:p>
      <w:pPr>
        <w:spacing w:after="0" w:line="18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December 31, 2019, there was $3.4 million of unrecognized compensation expense related to outstanding performance share plans that is expected to be recognized over a weighted-average period of 1.6 years.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Dividend Reinvestment and Stock Purchase Plan</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have a DRSPP under which shareholders may purchase additional shares of common stock through dividend reinvestment and/or optional cash payments at 100% of the recent average market price. We have the option of issuing new shares or purchasing the shares on the open market. We issued new shares until March 1, 2018, after which we began purchasing shares on the open market. At December 31, 2019, there were 214,967 shares of unissued stock available for future offering under the plan.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Our articles of incorporation authorize the issuance of 25 million shares of preferred stock of which we had no shares of preferred stock outstanding.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Noncontrolling Interest in Subsidiary</w:t>
      </w:r>
    </w:p>
    <w:p>
      <w:pPr>
        <w:spacing w:after="0" w:line="229"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Black Hills Colorado IPP owns and operates a 200 MW, combined-cycle natural gas generating facility located in Pueblo, Colorado. In April 2016, Black Hills Electric Generation sold a 49.9%, noncontrolling interest in Black Hills Colorado IPP for $216 million to a third-party buyer. Black Hills Electric Generation is the operator of the facility, which is contracted to provide capacity and energy through 2031 to Colorado Electric.</w:t>
      </w:r>
    </w:p>
    <w:p>
      <w:pPr>
        <w:spacing w:after="0" w:line="166" w:lineRule="exact"/>
        <w:rPr>
          <w:sz w:val="20"/>
          <w:szCs w:val="20"/>
          <w:color w:val="auto"/>
        </w:rPr>
      </w:pPr>
    </w:p>
    <w:p>
      <w:pPr>
        <w:jc w:val="both"/>
        <w:ind w:right="180"/>
        <w:spacing w:after="0" w:line="302" w:lineRule="auto"/>
        <w:rPr>
          <w:sz w:val="20"/>
          <w:szCs w:val="20"/>
          <w:color w:val="auto"/>
        </w:rPr>
      </w:pPr>
      <w:r>
        <w:rPr>
          <w:rFonts w:ascii="Arial" w:cs="Arial" w:eastAsia="Arial" w:hAnsi="Arial"/>
          <w:sz w:val="16"/>
          <w:szCs w:val="16"/>
          <w:color w:val="auto"/>
        </w:rPr>
        <w:t>The accounting for a partial sale of a subsidiary in which control is maintained and the subsidiary continues to be consolidated, is specified under ASC 810. The partial sale is required to be recorded as an equity transaction with no resulting gain or loss on the sale. GAAP requires that noncontrolling interests in subsidiaries and affiliates be reported in the equity section of a company’s balance sheet. Distributions of net income attributable to noncontrolling interests are due within 30 days following the end of a quarter, but may be withheld as necessary by Black Hills Electric Generation.</w:t>
      </w:r>
    </w:p>
    <w:p>
      <w:pPr>
        <w:spacing w:after="0" w:line="154"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Net income available for common stock for the years ended December 31, 2019, 2018 and 2017 was reduced by $14 million, $14 million, and $14 million, respectively, attributable to this noncontrolling interest. The net income allocable to the noncontrolling interest holders is based on ownership interests with the exception of certain agreed upon adjustments.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420"/>
          </w:cols>
          <w:pgMar w:left="240" w:top="118" w:right="239" w:bottom="1440" w:gutter="0" w:footer="0" w:header="0"/>
        </w:sectPr>
      </w:pPr>
    </w:p>
    <w:bookmarkStart w:id="116" w:name="page117"/>
    <w:bookmarkEnd w:id="11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Black Hills Colorado IPP has been determined to be a VIE in which the Company has a variable interest. Black Hills Electric Generation has been determined to be the primary beneficiary of the VIE as Black Hills Electric Generation is the operator and manager of the generation facility and, as such, has the power to direct the activities that most significantly impact Black Hills Colorado IPP’s economic performance. Black Hills Electric Generation, as the primary beneficiary, continues to consolidate Black Hills Colorado IPP. Black Hills Colorado IPP has not received financial or other support from the Company outside of pre-existing contractual arrangements during the reporting period. Black Hills Colorado IPP does not have any debt and its cash flows from operations are sufficient to support its ongoing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We have recorded the following assets and liabilities on our consolidated balance sheets related to the VIE described above as of December 31 (in thousands):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75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Borders>
              <w:bottom w:val="single" w:sz="8" w:color="CEFFE7"/>
            </w:tcBorders>
          </w:tcPr>
          <w:p>
            <w:pPr>
              <w:spacing w:after="0"/>
              <w:rPr>
                <w:sz w:val="2"/>
                <w:szCs w:val="2"/>
                <w:color w:val="auto"/>
              </w:rPr>
            </w:pPr>
          </w:p>
        </w:tc>
        <w:tc>
          <w:tcPr>
            <w:tcW w:w="7520" w:type="dxa"/>
            <w:vAlign w:val="bottom"/>
            <w:tcBorders>
              <w:bottom w:val="single" w:sz="8" w:color="CEFFE7"/>
            </w:tcBorders>
          </w:tcPr>
          <w:p>
            <w:pPr>
              <w:spacing w:after="0"/>
              <w:rPr>
                <w:sz w:val="2"/>
                <w:szCs w:val="2"/>
                <w:color w:val="auto"/>
              </w:rPr>
            </w:pPr>
          </w:p>
        </w:tc>
        <w:tc>
          <w:tcPr>
            <w:tcW w:w="580" w:type="dxa"/>
            <w:vAlign w:val="bottom"/>
            <w:tcBorders>
              <w:bottom w:val="single" w:sz="8" w:color="CEFFE7"/>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Borders>
              <w:bottom w:val="single" w:sz="8" w:color="CEFFE7"/>
            </w:tcBorders>
            <w:shd w:val="clear" w:color="auto" w:fill="CEFFE7"/>
          </w:tcPr>
          <w:p>
            <w:pPr>
              <w:spacing w:after="0"/>
              <w:rPr>
                <w:sz w:val="21"/>
                <w:szCs w:val="21"/>
                <w:color w:val="auto"/>
              </w:rPr>
            </w:pPr>
          </w:p>
        </w:tc>
        <w:tc>
          <w:tcPr>
            <w:tcW w:w="7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Assets</w:t>
            </w:r>
          </w:p>
        </w:tc>
        <w:tc>
          <w:tcPr>
            <w:tcW w:w="5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assets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13,350</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13,620</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gridSpan w:val="2"/>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75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Property, plant and equipment of variable interest entities, net</w:t>
            </w:r>
          </w:p>
        </w:tc>
        <w:tc>
          <w:tcPr>
            <w:tcW w:w="740" w:type="dxa"/>
            <w:vAlign w:val="bottom"/>
            <w:tcBorders>
              <w:bottom w:val="single" w:sz="8" w:color="CEFFE7"/>
            </w:tcBorders>
            <w:gridSpan w:val="2"/>
            <w:shd w:val="clear" w:color="auto" w:fill="CEFFE7"/>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tcBorders>
              <w:bottom w:val="single" w:sz="8" w:color="CEFFE7"/>
            </w:tcBorders>
            <w:gridSpan w:val="2"/>
            <w:shd w:val="clear" w:color="auto" w:fill="CEFFE7"/>
          </w:tcPr>
          <w:p>
            <w:pPr>
              <w:jc w:val="right"/>
              <w:ind w:right="30"/>
              <w:spacing w:after="0"/>
              <w:rPr>
                <w:sz w:val="20"/>
                <w:szCs w:val="20"/>
                <w:color w:val="auto"/>
              </w:rPr>
            </w:pPr>
            <w:r>
              <w:rPr>
                <w:rFonts w:ascii="Arial" w:cs="Arial" w:eastAsia="Arial" w:hAnsi="Arial"/>
                <w:sz w:val="18"/>
                <w:szCs w:val="18"/>
                <w:color w:val="auto"/>
              </w:rPr>
              <w:t>193,046</w:t>
            </w:r>
          </w:p>
        </w:tc>
        <w:tc>
          <w:tcPr>
            <w:tcW w:w="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199,839</w:t>
            </w: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324"/>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EFFE7"/>
            </w:tcBorders>
            <w:shd w:val="clear" w:color="auto" w:fill="CEFFE7"/>
          </w:tcPr>
          <w:p>
            <w:pPr>
              <w:spacing w:after="0"/>
              <w:rPr>
                <w:sz w:val="21"/>
                <w:szCs w:val="21"/>
                <w:color w:val="auto"/>
              </w:rPr>
            </w:pPr>
          </w:p>
        </w:tc>
        <w:tc>
          <w:tcPr>
            <w:tcW w:w="7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Liabilities</w:t>
            </w:r>
          </w:p>
        </w:tc>
        <w:tc>
          <w:tcPr>
            <w:tcW w:w="5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Current liabilities</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30"/>
              <w:spacing w:after="0"/>
              <w:rPr>
                <w:sz w:val="20"/>
                <w:szCs w:val="20"/>
                <w:color w:val="auto"/>
              </w:rPr>
            </w:pPr>
            <w:r>
              <w:rPr>
                <w:rFonts w:ascii="Arial" w:cs="Arial" w:eastAsia="Arial" w:hAnsi="Arial"/>
                <w:sz w:val="18"/>
                <w:szCs w:val="18"/>
                <w:color w:val="auto"/>
              </w:rPr>
              <w:t>6,013</w:t>
            </w:r>
          </w:p>
        </w:tc>
        <w:tc>
          <w:tcPr>
            <w:tcW w:w="36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5,174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91"/>
        </w:trPr>
        <w:tc>
          <w:tcPr>
            <w:tcW w:w="7540" w:type="dxa"/>
            <w:vAlign w:val="bottom"/>
            <w:gridSpan w:val="2"/>
          </w:tcPr>
          <w:p>
            <w:pPr>
              <w:spacing w:after="0"/>
              <w:rPr>
                <w:sz w:val="20"/>
                <w:szCs w:val="20"/>
                <w:color w:val="auto"/>
              </w:rPr>
            </w:pPr>
            <w:r>
              <w:rPr>
                <w:rFonts w:ascii="Arial" w:cs="Arial" w:eastAsia="Arial" w:hAnsi="Arial"/>
                <w:sz w:val="18"/>
                <w:szCs w:val="18"/>
                <w:b w:val="1"/>
                <w:bCs w:val="1"/>
                <w:color w:val="auto"/>
              </w:rPr>
              <w:t>(13)  REGULATORY MATTERS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7540" w:type="dxa"/>
            <w:vAlign w:val="bottom"/>
            <w:gridSpan w:val="2"/>
          </w:tcPr>
          <w:p>
            <w:pPr>
              <w:spacing w:after="0"/>
              <w:rPr>
                <w:sz w:val="20"/>
                <w:szCs w:val="20"/>
                <w:color w:val="auto"/>
              </w:rPr>
            </w:pPr>
            <w:r>
              <w:rPr>
                <w:rFonts w:ascii="Arial" w:cs="Arial" w:eastAsia="Arial" w:hAnsi="Arial"/>
                <w:sz w:val="18"/>
                <w:szCs w:val="18"/>
                <w:color w:val="auto"/>
              </w:rPr>
              <w:t>We had the following regulatory assets and liabilities as of December 31 (in thousands):</w:t>
            </w: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20" w:type="dxa"/>
            <w:vAlign w:val="bottom"/>
          </w:tcPr>
          <w:p>
            <w:pPr>
              <w:spacing w:after="0"/>
              <w:rPr>
                <w:sz w:val="24"/>
                <w:szCs w:val="24"/>
                <w:color w:val="auto"/>
              </w:rPr>
            </w:pPr>
          </w:p>
        </w:tc>
        <w:tc>
          <w:tcPr>
            <w:tcW w:w="75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690"/>
              <w:spacing w:after="0"/>
              <w:rPr>
                <w:sz w:val="20"/>
                <w:szCs w:val="20"/>
                <w:color w:val="auto"/>
              </w:rPr>
            </w:pPr>
            <w:r>
              <w:rPr>
                <w:rFonts w:ascii="Arial" w:cs="Arial" w:eastAsia="Arial" w:hAnsi="Arial"/>
                <w:sz w:val="18"/>
                <w:szCs w:val="18"/>
                <w:color w:val="auto"/>
                <w:w w:val="94"/>
              </w:rPr>
              <w:t>2019</w:t>
            </w:r>
          </w:p>
        </w:tc>
        <w:tc>
          <w:tcPr>
            <w:tcW w:w="2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00" w:type="dxa"/>
            <w:vAlign w:val="bottom"/>
          </w:tcPr>
          <w:p>
            <w:pPr>
              <w:jc w:val="right"/>
              <w:ind w:right="690"/>
              <w:spacing w:after="0"/>
              <w:rPr>
                <w:sz w:val="20"/>
                <w:szCs w:val="20"/>
                <w:color w:val="auto"/>
              </w:rPr>
            </w:pPr>
            <w:r>
              <w:rPr>
                <w:rFonts w:ascii="Arial" w:cs="Arial" w:eastAsia="Arial" w:hAnsi="Arial"/>
                <w:sz w:val="18"/>
                <w:szCs w:val="18"/>
                <w:color w:val="auto"/>
              </w:rPr>
              <w:t>2018</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Regulatory assets</w:t>
            </w: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vMerge w:val="continue"/>
          </w:tcPr>
          <w:p>
            <w:pPr>
              <w:spacing w:after="0"/>
              <w:rPr>
                <w:sz w:val="20"/>
                <w:szCs w:val="20"/>
                <w:color w:val="auto"/>
              </w:rPr>
            </w:pP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Deferred energy and fuel cost adjustments </w:t>
            </w:r>
            <w:r>
              <w:rPr>
                <w:rFonts w:ascii="Arial" w:cs="Arial" w:eastAsia="Arial" w:hAnsi="Arial"/>
                <w:sz w:val="25"/>
                <w:szCs w:val="25"/>
                <w:color w:val="auto"/>
                <w:vertAlign w:val="superscript"/>
              </w:rPr>
              <w:t>(a)</w:t>
            </w:r>
          </w:p>
        </w:tc>
        <w:tc>
          <w:tcPr>
            <w:tcW w:w="580" w:type="dxa"/>
            <w:vAlign w:val="bottom"/>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34,088</w:t>
            </w:r>
          </w:p>
        </w:tc>
        <w:tc>
          <w:tcPr>
            <w:tcW w:w="28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29,661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gas cost adjustments </w:t>
            </w:r>
            <w:r>
              <w:rPr>
                <w:rFonts w:ascii="Arial" w:cs="Arial" w:eastAsia="Arial" w:hAnsi="Arial"/>
                <w:sz w:val="25"/>
                <w:szCs w:val="25"/>
                <w:color w:val="auto"/>
                <w:vertAlign w:val="superscript"/>
              </w:rPr>
              <w:t>(a)</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1,540</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3,362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Gas price derivatives </w:t>
            </w:r>
            <w:r>
              <w:rPr>
                <w:rFonts w:ascii="Arial" w:cs="Arial" w:eastAsia="Arial" w:hAnsi="Arial"/>
                <w:sz w:val="25"/>
                <w:szCs w:val="25"/>
                <w:color w:val="auto"/>
                <w:vertAlign w:val="superscript"/>
              </w:rPr>
              <w:t>(a)</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3,328</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6,201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taxes on AFUDC </w:t>
            </w:r>
            <w:r>
              <w:rPr>
                <w:rFonts w:ascii="Arial" w:cs="Arial" w:eastAsia="Arial" w:hAnsi="Arial"/>
                <w:sz w:val="25"/>
                <w:szCs w:val="25"/>
                <w:color w:val="auto"/>
                <w:vertAlign w:val="superscript"/>
              </w:rPr>
              <w:t>(b)</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7,790</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7,841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Employee benefit plans </w:t>
            </w:r>
            <w:r>
              <w:rPr>
                <w:rFonts w:ascii="Arial" w:cs="Arial" w:eastAsia="Arial" w:hAnsi="Arial"/>
                <w:sz w:val="25"/>
                <w:szCs w:val="25"/>
                <w:color w:val="auto"/>
                <w:vertAlign w:val="superscript"/>
              </w:rPr>
              <w:t>(c)</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115,900</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110,524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Environmental </w:t>
            </w:r>
            <w:r>
              <w:rPr>
                <w:rFonts w:ascii="Arial" w:cs="Arial" w:eastAsia="Arial" w:hAnsi="Arial"/>
                <w:sz w:val="25"/>
                <w:szCs w:val="25"/>
                <w:color w:val="auto"/>
                <w:vertAlign w:val="superscript"/>
              </w:rPr>
              <w:t>(a)</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959</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Loss on reacquired debt </w:t>
            </w:r>
            <w:r>
              <w:rPr>
                <w:rFonts w:ascii="Arial" w:cs="Arial" w:eastAsia="Arial" w:hAnsi="Arial"/>
                <w:sz w:val="25"/>
                <w:szCs w:val="25"/>
                <w:color w:val="auto"/>
                <w:vertAlign w:val="superscript"/>
              </w:rPr>
              <w:t>(a)</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24,777</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21,001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Renewable energy standard adjustment </w:t>
            </w:r>
            <w:r>
              <w:rPr>
                <w:rFonts w:ascii="Arial" w:cs="Arial" w:eastAsia="Arial" w:hAnsi="Arial"/>
                <w:sz w:val="25"/>
                <w:szCs w:val="25"/>
                <w:color w:val="auto"/>
                <w:vertAlign w:val="superscript"/>
              </w:rPr>
              <w:t>(a)</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1,622</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Deferred taxes on flow through accounting </w:t>
            </w:r>
            <w:r>
              <w:rPr>
                <w:rFonts w:ascii="Arial" w:cs="Arial" w:eastAsia="Arial" w:hAnsi="Arial"/>
                <w:sz w:val="25"/>
                <w:szCs w:val="25"/>
                <w:color w:val="auto"/>
                <w:vertAlign w:val="superscript"/>
              </w:rPr>
              <w:t>(c)</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41,220</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31,044</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Decommissioning costs </w:t>
            </w:r>
            <w:r>
              <w:rPr>
                <w:rFonts w:ascii="Arial" w:cs="Arial" w:eastAsia="Arial" w:hAnsi="Arial"/>
                <w:sz w:val="25"/>
                <w:szCs w:val="25"/>
                <w:color w:val="auto"/>
                <w:vertAlign w:val="superscript"/>
              </w:rPr>
              <w:t>(a)</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10,670</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11,700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Gas supply contract termination </w:t>
            </w:r>
            <w:r>
              <w:rPr>
                <w:rFonts w:ascii="Arial" w:cs="Arial" w:eastAsia="Arial" w:hAnsi="Arial"/>
                <w:sz w:val="25"/>
                <w:szCs w:val="25"/>
                <w:color w:val="auto"/>
                <w:vertAlign w:val="superscript"/>
              </w:rPr>
              <w:t>(a)</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8,485</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14,310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Borders>
              <w:bottom w:val="single" w:sz="8" w:color="CEFFE7"/>
            </w:tcBorders>
          </w:tcPr>
          <w:p>
            <w:pPr>
              <w:ind w:left="160"/>
              <w:spacing w:after="0" w:line="270" w:lineRule="exact"/>
              <w:rPr>
                <w:sz w:val="20"/>
                <w:szCs w:val="20"/>
                <w:color w:val="auto"/>
              </w:rPr>
            </w:pPr>
            <w:r>
              <w:rPr>
                <w:rFonts w:ascii="Arial" w:cs="Arial" w:eastAsia="Arial" w:hAnsi="Arial"/>
                <w:sz w:val="18"/>
                <w:szCs w:val="18"/>
                <w:color w:val="auto"/>
              </w:rPr>
              <w:t xml:space="preserve">Other regulatory assets </w:t>
            </w:r>
            <w:r>
              <w:rPr>
                <w:rFonts w:ascii="Arial" w:cs="Arial" w:eastAsia="Arial" w:hAnsi="Arial"/>
                <w:sz w:val="25"/>
                <w:szCs w:val="25"/>
                <w:color w:val="auto"/>
                <w:vertAlign w:val="superscript"/>
              </w:rPr>
              <w:t>(a)</w:t>
            </w:r>
          </w:p>
        </w:tc>
        <w:tc>
          <w:tcPr>
            <w:tcW w:w="58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20,470</w:t>
            </w:r>
          </w:p>
        </w:tc>
        <w:tc>
          <w:tcPr>
            <w:tcW w:w="280" w:type="dxa"/>
            <w:vAlign w:val="bottom"/>
            <w:tcBorders>
              <w:bottom w:val="single" w:sz="8" w:color="auto"/>
            </w:tcBorders>
          </w:tcPr>
          <w:p>
            <w:pPr>
              <w:spacing w:after="0"/>
              <w:rPr>
                <w:sz w:val="23"/>
                <w:szCs w:val="23"/>
                <w:color w:val="auto"/>
              </w:rPr>
            </w:pPr>
          </w:p>
        </w:tc>
        <w:tc>
          <w:tcPr>
            <w:tcW w:w="36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45,910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7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regulatory assets</w:t>
            </w:r>
          </w:p>
        </w:tc>
        <w:tc>
          <w:tcPr>
            <w:tcW w:w="5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271,344</w:t>
            </w:r>
          </w:p>
        </w:tc>
        <w:tc>
          <w:tcPr>
            <w:tcW w:w="2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284,235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Less current regulatory assets</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(43,282)</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(48,776)</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Borders>
              <w:bottom w:val="single" w:sz="8" w:color="CEFFE7"/>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Regulatory assets, non-current</w:t>
            </w:r>
          </w:p>
        </w:tc>
        <w:tc>
          <w:tcPr>
            <w:tcW w:w="5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EFFE7"/>
          </w:tcPr>
          <w:p>
            <w:pPr>
              <w:spacing w:after="0"/>
              <w:rPr>
                <w:sz w:val="22"/>
                <w:szCs w:val="22"/>
                <w:color w:val="auto"/>
              </w:rPr>
            </w:pPr>
          </w:p>
        </w:tc>
        <w:tc>
          <w:tcPr>
            <w:tcW w:w="11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228,062</w:t>
            </w:r>
          </w:p>
        </w:tc>
        <w:tc>
          <w:tcPr>
            <w:tcW w:w="2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EFFE7"/>
          </w:tcPr>
          <w:p>
            <w:pPr>
              <w:spacing w:after="0"/>
              <w:rPr>
                <w:sz w:val="22"/>
                <w:szCs w:val="22"/>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235,459</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2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1"/>
        </w:trPr>
        <w:tc>
          <w:tcPr>
            <w:tcW w:w="20" w:type="dxa"/>
            <w:vAlign w:val="bottom"/>
          </w:tcPr>
          <w:p>
            <w:pPr>
              <w:spacing w:after="0"/>
              <w:rPr>
                <w:sz w:val="23"/>
                <w:szCs w:val="23"/>
                <w:color w:val="auto"/>
              </w:rPr>
            </w:pPr>
          </w:p>
        </w:tc>
        <w:tc>
          <w:tcPr>
            <w:tcW w:w="75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5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b w:val="1"/>
                <w:bCs w:val="1"/>
                <w:color w:val="auto"/>
              </w:rPr>
              <w:t>Regulatory liabilities</w:t>
            </w:r>
          </w:p>
        </w:tc>
        <w:tc>
          <w:tcPr>
            <w:tcW w:w="580" w:type="dxa"/>
            <w:vAlign w:val="bottom"/>
            <w:tcBorders>
              <w:bottom w:val="single" w:sz="8" w:color="CEFFE7"/>
            </w:tcBorders>
            <w:shd w:val="clear" w:color="auto" w:fill="CEFFE7"/>
          </w:tcPr>
          <w:p>
            <w:pPr>
              <w:spacing w:after="0"/>
              <w:rPr>
                <w:sz w:val="21"/>
                <w:szCs w:val="21"/>
                <w:color w:val="auto"/>
              </w:rPr>
            </w:pPr>
          </w:p>
        </w:tc>
        <w:tc>
          <w:tcPr>
            <w:tcW w:w="160" w:type="dxa"/>
            <w:vAlign w:val="bottom"/>
            <w:tcBorders>
              <w:bottom w:val="single" w:sz="8" w:color="CEFFE7"/>
            </w:tcBorders>
            <w:shd w:val="clear" w:color="auto" w:fill="CEFFE7"/>
          </w:tcPr>
          <w:p>
            <w:pPr>
              <w:spacing w:after="0"/>
              <w:rPr>
                <w:sz w:val="21"/>
                <w:szCs w:val="21"/>
                <w:color w:val="auto"/>
              </w:rPr>
            </w:pPr>
          </w:p>
        </w:tc>
        <w:tc>
          <w:tcPr>
            <w:tcW w:w="1180" w:type="dxa"/>
            <w:vAlign w:val="bottom"/>
            <w:tcBorders>
              <w:bottom w:val="single" w:sz="8" w:color="CEFFE7"/>
            </w:tcBorders>
            <w:shd w:val="clear" w:color="auto" w:fill="CEFFE7"/>
          </w:tcPr>
          <w:p>
            <w:pPr>
              <w:spacing w:after="0"/>
              <w:rPr>
                <w:sz w:val="21"/>
                <w:szCs w:val="21"/>
                <w:color w:val="auto"/>
              </w:rPr>
            </w:pPr>
          </w:p>
        </w:tc>
        <w:tc>
          <w:tcPr>
            <w:tcW w:w="280" w:type="dxa"/>
            <w:vAlign w:val="bottom"/>
            <w:tcBorders>
              <w:bottom w:val="single" w:sz="8" w:color="CEFFE7"/>
            </w:tcBorders>
            <w:shd w:val="clear" w:color="auto" w:fill="CEFFE7"/>
          </w:tcPr>
          <w:p>
            <w:pPr>
              <w:spacing w:after="0"/>
              <w:rPr>
                <w:sz w:val="21"/>
                <w:szCs w:val="21"/>
                <w:color w:val="auto"/>
              </w:rPr>
            </w:pPr>
          </w:p>
        </w:tc>
        <w:tc>
          <w:tcPr>
            <w:tcW w:w="360" w:type="dxa"/>
            <w:vAlign w:val="bottom"/>
            <w:tcBorders>
              <w:bottom w:val="single" w:sz="8" w:color="CEFFE7"/>
            </w:tcBorders>
            <w:shd w:val="clear" w:color="auto" w:fill="CEFFE7"/>
          </w:tcPr>
          <w:p>
            <w:pPr>
              <w:spacing w:after="0"/>
              <w:rPr>
                <w:sz w:val="21"/>
                <w:szCs w:val="21"/>
                <w:color w:val="auto"/>
              </w:rPr>
            </w:pPr>
          </w:p>
        </w:tc>
        <w:tc>
          <w:tcPr>
            <w:tcW w:w="1300" w:type="dxa"/>
            <w:vAlign w:val="bottom"/>
            <w:tcBorders>
              <w:bottom w:val="single" w:sz="8" w:color="CEFFE7"/>
            </w:tcBorders>
            <w:shd w:val="clear" w:color="auto" w:fill="CEFFE7"/>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Deferred energy and gas costs </w:t>
            </w:r>
            <w:r>
              <w:rPr>
                <w:rFonts w:ascii="Arial" w:cs="Arial" w:eastAsia="Arial" w:hAnsi="Arial"/>
                <w:sz w:val="25"/>
                <w:szCs w:val="25"/>
                <w:color w:val="auto"/>
                <w:vertAlign w:val="superscript"/>
              </w:rPr>
              <w:t>(a)</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17,278</w:t>
            </w:r>
          </w:p>
        </w:tc>
        <w:tc>
          <w:tcPr>
            <w:tcW w:w="2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6,991</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Employee benefit plan costs and related deferred taxes </w:t>
            </w:r>
            <w:r>
              <w:rPr>
                <w:rFonts w:ascii="Arial" w:cs="Arial" w:eastAsia="Arial" w:hAnsi="Arial"/>
                <w:sz w:val="25"/>
                <w:szCs w:val="25"/>
                <w:color w:val="auto"/>
                <w:vertAlign w:val="superscript"/>
              </w:rPr>
              <w:t>(c)</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43,349</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42,533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Pr>
          <w:p>
            <w:pPr>
              <w:ind w:left="160"/>
              <w:spacing w:after="0" w:line="270" w:lineRule="exact"/>
              <w:rPr>
                <w:sz w:val="20"/>
                <w:szCs w:val="20"/>
                <w:color w:val="auto"/>
              </w:rPr>
            </w:pPr>
            <w:r>
              <w:rPr>
                <w:rFonts w:ascii="Arial" w:cs="Arial" w:eastAsia="Arial" w:hAnsi="Arial"/>
                <w:sz w:val="18"/>
                <w:szCs w:val="18"/>
                <w:color w:val="auto"/>
              </w:rPr>
              <w:t xml:space="preserve">Cost of removal </w:t>
            </w:r>
            <w:r>
              <w:rPr>
                <w:rFonts w:ascii="Arial" w:cs="Arial" w:eastAsia="Arial" w:hAnsi="Arial"/>
                <w:sz w:val="25"/>
                <w:szCs w:val="25"/>
                <w:color w:val="auto"/>
                <w:vertAlign w:val="superscript"/>
              </w:rPr>
              <w:t>(a)</w:t>
            </w:r>
          </w:p>
        </w:tc>
        <w:tc>
          <w:tcPr>
            <w:tcW w:w="5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166,727</w:t>
            </w:r>
          </w:p>
        </w:tc>
        <w:tc>
          <w:tcPr>
            <w:tcW w:w="2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150,123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Excess deferred income taxes </w:t>
            </w:r>
            <w:r>
              <w:rPr>
                <w:rFonts w:ascii="Arial" w:cs="Arial" w:eastAsia="Arial" w:hAnsi="Arial"/>
                <w:sz w:val="25"/>
                <w:szCs w:val="25"/>
                <w:color w:val="auto"/>
                <w:vertAlign w:val="superscript"/>
              </w:rPr>
              <w:t>(c)</w:t>
            </w:r>
          </w:p>
        </w:tc>
        <w:tc>
          <w:tcPr>
            <w:tcW w:w="580" w:type="dxa"/>
            <w:vAlign w:val="bottom"/>
            <w:shd w:val="clear" w:color="auto" w:fill="CEFFE7"/>
          </w:tcPr>
          <w:p>
            <w:pPr>
              <w:spacing w:after="0"/>
              <w:rPr>
                <w:sz w:val="23"/>
                <w:szCs w:val="23"/>
                <w:color w:val="auto"/>
              </w:rPr>
            </w:pPr>
          </w:p>
        </w:tc>
        <w:tc>
          <w:tcPr>
            <w:tcW w:w="160" w:type="dxa"/>
            <w:vAlign w:val="bottom"/>
            <w:shd w:val="clear" w:color="auto" w:fill="CEFFE7"/>
          </w:tcPr>
          <w:p>
            <w:pPr>
              <w:spacing w:after="0"/>
              <w:rPr>
                <w:sz w:val="23"/>
                <w:szCs w:val="23"/>
                <w:color w:val="auto"/>
              </w:rPr>
            </w:pPr>
          </w:p>
        </w:tc>
        <w:tc>
          <w:tcPr>
            <w:tcW w:w="118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285,438</w:t>
            </w:r>
          </w:p>
        </w:tc>
        <w:tc>
          <w:tcPr>
            <w:tcW w:w="280" w:type="dxa"/>
            <w:vAlign w:val="bottom"/>
            <w:shd w:val="clear" w:color="auto" w:fill="CEFFE7"/>
          </w:tcPr>
          <w:p>
            <w:pPr>
              <w:spacing w:after="0"/>
              <w:rPr>
                <w:sz w:val="23"/>
                <w:szCs w:val="23"/>
                <w:color w:val="auto"/>
              </w:rPr>
            </w:pPr>
          </w:p>
        </w:tc>
        <w:tc>
          <w:tcPr>
            <w:tcW w:w="360" w:type="dxa"/>
            <w:vAlign w:val="bottom"/>
            <w:shd w:val="clear" w:color="auto" w:fill="CEFFE7"/>
          </w:tcPr>
          <w:p>
            <w:pPr>
              <w:spacing w:after="0"/>
              <w:rPr>
                <w:sz w:val="23"/>
                <w:szCs w:val="23"/>
                <w:color w:val="auto"/>
              </w:rPr>
            </w:pP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310,562</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520" w:type="dxa"/>
            <w:vAlign w:val="bottom"/>
          </w:tcPr>
          <w:p>
            <w:pPr>
              <w:ind w:left="160"/>
              <w:spacing w:after="0"/>
              <w:rPr>
                <w:sz w:val="20"/>
                <w:szCs w:val="20"/>
                <w:color w:val="auto"/>
              </w:rPr>
            </w:pPr>
            <w:r>
              <w:rPr>
                <w:rFonts w:ascii="Arial" w:cs="Arial" w:eastAsia="Arial" w:hAnsi="Arial"/>
                <w:sz w:val="18"/>
                <w:szCs w:val="18"/>
                <w:color w:val="auto"/>
              </w:rPr>
              <w:t>TCJA revenue reserve</w:t>
            </w: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3,418</w:t>
            </w:r>
          </w:p>
        </w:tc>
        <w:tc>
          <w:tcPr>
            <w:tcW w:w="2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18,032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shd w:val="clear" w:color="auto" w:fill="CEFFE7"/>
          </w:tcPr>
          <w:p>
            <w:pPr>
              <w:ind w:left="160"/>
              <w:spacing w:after="0" w:line="270" w:lineRule="exact"/>
              <w:rPr>
                <w:sz w:val="20"/>
                <w:szCs w:val="20"/>
                <w:color w:val="auto"/>
              </w:rPr>
            </w:pPr>
            <w:r>
              <w:rPr>
                <w:rFonts w:ascii="Arial" w:cs="Arial" w:eastAsia="Arial" w:hAnsi="Arial"/>
                <w:sz w:val="18"/>
                <w:szCs w:val="18"/>
                <w:color w:val="auto"/>
              </w:rPr>
              <w:t xml:space="preserve">Other regulatory liabilities </w:t>
            </w:r>
            <w:r>
              <w:rPr>
                <w:rFonts w:ascii="Arial" w:cs="Arial" w:eastAsia="Arial" w:hAnsi="Arial"/>
                <w:sz w:val="25"/>
                <w:szCs w:val="25"/>
                <w:color w:val="auto"/>
                <w:vertAlign w:val="superscript"/>
              </w:rPr>
              <w:t>(c)</w:t>
            </w:r>
          </w:p>
        </w:tc>
        <w:tc>
          <w:tcPr>
            <w:tcW w:w="580" w:type="dxa"/>
            <w:vAlign w:val="bottom"/>
            <w:tcBorders>
              <w:bottom w:val="single" w:sz="8" w:color="auto"/>
            </w:tcBorders>
            <w:shd w:val="clear" w:color="auto" w:fill="CEFFE7"/>
          </w:tcPr>
          <w:p>
            <w:pPr>
              <w:spacing w:after="0"/>
              <w:rPr>
                <w:sz w:val="23"/>
                <w:szCs w:val="23"/>
                <w:color w:val="auto"/>
              </w:rPr>
            </w:pPr>
          </w:p>
        </w:tc>
        <w:tc>
          <w:tcPr>
            <w:tcW w:w="160" w:type="dxa"/>
            <w:vAlign w:val="bottom"/>
            <w:tcBorders>
              <w:bottom w:val="single" w:sz="8" w:color="auto"/>
            </w:tcBorders>
            <w:shd w:val="clear" w:color="auto" w:fill="CEFFE7"/>
          </w:tcPr>
          <w:p>
            <w:pPr>
              <w:spacing w:after="0"/>
              <w:rPr>
                <w:sz w:val="23"/>
                <w:szCs w:val="23"/>
                <w:color w:val="auto"/>
              </w:rPr>
            </w:pPr>
          </w:p>
        </w:tc>
        <w:tc>
          <w:tcPr>
            <w:tcW w:w="11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20,442</w:t>
            </w:r>
          </w:p>
        </w:tc>
        <w:tc>
          <w:tcPr>
            <w:tcW w:w="280" w:type="dxa"/>
            <w:vAlign w:val="bottom"/>
            <w:tcBorders>
              <w:bottom w:val="single" w:sz="8" w:color="auto"/>
            </w:tcBorders>
            <w:shd w:val="clear" w:color="auto" w:fill="CEFFE7"/>
          </w:tcPr>
          <w:p>
            <w:pPr>
              <w:spacing w:after="0"/>
              <w:rPr>
                <w:sz w:val="23"/>
                <w:szCs w:val="23"/>
                <w:color w:val="auto"/>
              </w:rPr>
            </w:pPr>
          </w:p>
        </w:tc>
        <w:tc>
          <w:tcPr>
            <w:tcW w:w="360" w:type="dxa"/>
            <w:vAlign w:val="bottom"/>
            <w:tcBorders>
              <w:bottom w:val="single" w:sz="8" w:color="auto"/>
            </w:tcBorders>
            <w:shd w:val="clear" w:color="auto" w:fill="CEFFE7"/>
          </w:tcPr>
          <w:p>
            <w:pPr>
              <w:spacing w:after="0"/>
              <w:rPr>
                <w:sz w:val="23"/>
                <w:szCs w:val="23"/>
                <w:color w:val="auto"/>
              </w:rPr>
            </w:pPr>
          </w:p>
        </w:tc>
        <w:tc>
          <w:tcPr>
            <w:tcW w:w="13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12,553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Total regulatory liabilities</w:t>
            </w:r>
          </w:p>
        </w:tc>
        <w:tc>
          <w:tcPr>
            <w:tcW w:w="5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536,652</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540,794</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5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752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Less current regulatory liabilities</w:t>
            </w:r>
          </w:p>
        </w:tc>
        <w:tc>
          <w:tcPr>
            <w:tcW w:w="580" w:type="dxa"/>
            <w:vAlign w:val="bottom"/>
            <w:tcBorders>
              <w:bottom w:val="single" w:sz="8" w:color="CEFFE7"/>
            </w:tcBorders>
            <w:shd w:val="clear" w:color="auto" w:fill="CEFFE7"/>
          </w:tcPr>
          <w:p>
            <w:pPr>
              <w:spacing w:after="0"/>
              <w:rPr>
                <w:sz w:val="23"/>
                <w:szCs w:val="23"/>
                <w:color w:val="auto"/>
              </w:rPr>
            </w:pPr>
          </w:p>
        </w:tc>
        <w:tc>
          <w:tcPr>
            <w:tcW w:w="160" w:type="dxa"/>
            <w:vAlign w:val="bottom"/>
            <w:tcBorders>
              <w:bottom w:val="single" w:sz="8" w:color="CEFFE7"/>
            </w:tcBorders>
            <w:shd w:val="clear" w:color="auto" w:fill="CEFFE7"/>
          </w:tcPr>
          <w:p>
            <w:pPr>
              <w:spacing w:after="0"/>
              <w:rPr>
                <w:sz w:val="23"/>
                <w:szCs w:val="23"/>
                <w:color w:val="auto"/>
              </w:rPr>
            </w:pPr>
          </w:p>
        </w:tc>
        <w:tc>
          <w:tcPr>
            <w:tcW w:w="1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(33,507)</w:t>
            </w:r>
          </w:p>
        </w:tc>
        <w:tc>
          <w:tcPr>
            <w:tcW w:w="28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spacing w:after="0"/>
              <w:rPr>
                <w:sz w:val="23"/>
                <w:szCs w:val="23"/>
                <w:color w:val="auto"/>
              </w:rPr>
            </w:pPr>
          </w:p>
        </w:tc>
        <w:tc>
          <w:tcPr>
            <w:tcW w:w="1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(29,810)</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520" w:type="dxa"/>
            <w:vAlign w:val="bottom"/>
          </w:tcPr>
          <w:p>
            <w:pPr>
              <w:ind w:left="20"/>
              <w:spacing w:after="0"/>
              <w:rPr>
                <w:sz w:val="20"/>
                <w:szCs w:val="20"/>
                <w:color w:val="auto"/>
              </w:rPr>
            </w:pPr>
            <w:r>
              <w:rPr>
                <w:rFonts w:ascii="Arial" w:cs="Arial" w:eastAsia="Arial" w:hAnsi="Arial"/>
                <w:sz w:val="18"/>
                <w:szCs w:val="18"/>
                <w:color w:val="auto"/>
              </w:rPr>
              <w:t>Regulatory liabilities, non-current</w:t>
            </w:r>
          </w:p>
        </w:tc>
        <w:tc>
          <w:tcPr>
            <w:tcW w:w="5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60" w:type="dxa"/>
            <w:vAlign w:val="bottom"/>
            <w:tcBorders>
              <w:top w:val="single" w:sz="8" w:color="auto"/>
              <w:bottom w:val="single" w:sz="8" w:color="auto"/>
            </w:tcBorders>
          </w:tcPr>
          <w:p>
            <w:pPr>
              <w:spacing w:after="0"/>
              <w:rPr>
                <w:sz w:val="22"/>
                <w:szCs w:val="22"/>
                <w:color w:val="auto"/>
              </w:rPr>
            </w:pPr>
          </w:p>
        </w:tc>
        <w:tc>
          <w:tcPr>
            <w:tcW w:w="11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503,145</w:t>
            </w:r>
          </w:p>
        </w:tc>
        <w:tc>
          <w:tcPr>
            <w:tcW w:w="2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auto"/>
            </w:tcBorders>
          </w:tcPr>
          <w:p>
            <w:pPr>
              <w:spacing w:after="0"/>
              <w:rPr>
                <w:sz w:val="22"/>
                <w:szCs w:val="22"/>
                <w:color w:val="auto"/>
              </w:rPr>
            </w:pPr>
          </w:p>
        </w:tc>
        <w:tc>
          <w:tcPr>
            <w:tcW w:w="1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510,984</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540" w:type="dxa"/>
            <w:vAlign w:val="bottom"/>
            <w:gridSpan w:val="2"/>
            <w:vMerge w:val="restart"/>
          </w:tcPr>
          <w:p>
            <w:pPr>
              <w:spacing w:after="0"/>
              <w:rPr>
                <w:sz w:val="20"/>
                <w:szCs w:val="20"/>
                <w:color w:val="auto"/>
              </w:rPr>
            </w:pPr>
            <w:r>
              <w:rPr>
                <w:rFonts w:ascii="Arial" w:cs="Arial" w:eastAsia="Arial" w:hAnsi="Arial"/>
                <w:sz w:val="18"/>
                <w:szCs w:val="18"/>
                <w:color w:val="auto"/>
              </w:rPr>
              <w:t>__________</w:t>
            </w:r>
          </w:p>
        </w:tc>
        <w:tc>
          <w:tcPr>
            <w:tcW w:w="5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7540" w:type="dxa"/>
            <w:vAlign w:val="bottom"/>
            <w:gridSpan w:val="2"/>
            <w:vMerge w:val="continue"/>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Recovery of costs, but we are not allowed a rate of return.</w:t>
      </w:r>
    </w:p>
    <w:p>
      <w:pPr>
        <w:spacing w:after="0" w:line="9"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addition to recovery of costs, we are allowed a rate of return.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0"/>
        </w:numPr>
        <w:rPr>
          <w:rFonts w:ascii="Arial" w:cs="Arial" w:eastAsia="Arial" w:hAnsi="Arial"/>
          <w:sz w:val="16"/>
          <w:szCs w:val="16"/>
          <w:color w:val="auto"/>
        </w:rPr>
      </w:pPr>
      <w:r>
        <w:rPr>
          <w:rFonts w:ascii="Arial" w:cs="Arial" w:eastAsia="Arial" w:hAnsi="Arial"/>
          <w:sz w:val="16"/>
          <w:szCs w:val="16"/>
          <w:color w:val="auto"/>
        </w:rPr>
        <w:t>In addition to recovery or repayment of costs, we are allowed a return on a portion of this amount or a reduction in rate base.</w:t>
      </w:r>
    </w:p>
    <w:p>
      <w:pPr>
        <w:sectPr>
          <w:pgSz w:w="11900" w:h="16838" w:orient="portrait"/>
          <w:cols w:equalWidth="0" w:num="1">
            <w:col w:w="11420"/>
          </w:cols>
          <w:pgMar w:left="240" w:top="126"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420"/>
          </w:cols>
          <w:pgMar w:left="240" w:top="126" w:right="239" w:bottom="1440" w:gutter="0" w:footer="0" w:header="0"/>
          <w:type w:val="continuous"/>
        </w:sectPr>
      </w:pPr>
    </w:p>
    <w:bookmarkStart w:id="117" w:name="page118"/>
    <w:bookmarkEnd w:id="11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color w:val="auto"/>
        </w:rPr>
        <w:t>Regulatory assets represent items we expect to recover from customers through probable future rates.</w:t>
      </w:r>
    </w:p>
    <w:p>
      <w:pPr>
        <w:spacing w:after="0" w:line="225" w:lineRule="exact"/>
        <w:rPr>
          <w:sz w:val="20"/>
          <w:szCs w:val="20"/>
          <w:color w:val="auto"/>
        </w:rPr>
      </w:pPr>
    </w:p>
    <w:p>
      <w:pPr>
        <w:ind w:left="340" w:right="20"/>
        <w:spacing w:after="0" w:line="257" w:lineRule="auto"/>
        <w:rPr>
          <w:sz w:val="20"/>
          <w:szCs w:val="20"/>
          <w:color w:val="auto"/>
        </w:rPr>
      </w:pPr>
      <w:r>
        <w:rPr>
          <w:rFonts w:ascii="Arial" w:cs="Arial" w:eastAsia="Arial" w:hAnsi="Arial"/>
          <w:sz w:val="18"/>
          <w:szCs w:val="18"/>
          <w:u w:val="single" w:color="auto"/>
          <w:color w:val="auto"/>
        </w:rPr>
        <w:t>Deferred Energy and Fuel Cost Adjustments</w:t>
      </w:r>
      <w:r>
        <w:rPr>
          <w:rFonts w:ascii="Arial" w:cs="Arial" w:eastAsia="Arial" w:hAnsi="Arial"/>
          <w:sz w:val="18"/>
          <w:szCs w:val="18"/>
          <w:color w:val="auto"/>
        </w:rPr>
        <w:t xml:space="preserve"> - Deferred energy and fuel cost adjustments represent the cost of electricity delivered to our Electric Utility customers that is either higher or lower than the current rates and will be recovered or refunded in future rates. Deferred energy and fuel cost adjustments are recorded and recovered or amortized as approved by the appropriate state commission. Our Electric Utilities file periodic quarterly, semi-annual and/or annual filings to recover these costs based on the respective cost mechanisms approved by their applicable state utility commissions. The recovery period for these costs is less than a year.</w:t>
      </w:r>
    </w:p>
    <w:p>
      <w:pPr>
        <w:spacing w:after="0" w:line="188" w:lineRule="exact"/>
        <w:rPr>
          <w:sz w:val="20"/>
          <w:szCs w:val="20"/>
          <w:color w:val="auto"/>
        </w:rPr>
      </w:pPr>
    </w:p>
    <w:p>
      <w:pPr>
        <w:jc w:val="both"/>
        <w:ind w:left="340" w:right="80"/>
        <w:spacing w:after="0" w:line="302" w:lineRule="auto"/>
        <w:rPr>
          <w:sz w:val="20"/>
          <w:szCs w:val="20"/>
          <w:color w:val="auto"/>
        </w:rPr>
      </w:pPr>
      <w:r>
        <w:rPr>
          <w:rFonts w:ascii="Arial" w:cs="Arial" w:eastAsia="Arial" w:hAnsi="Arial"/>
          <w:sz w:val="16"/>
          <w:szCs w:val="16"/>
          <w:u w:val="single" w:color="auto"/>
          <w:color w:val="auto"/>
        </w:rPr>
        <w:t>Deferred Gas Cost Adjustment</w:t>
      </w:r>
      <w:r>
        <w:rPr>
          <w:rFonts w:ascii="Arial" w:cs="Arial" w:eastAsia="Arial" w:hAnsi="Arial"/>
          <w:sz w:val="16"/>
          <w:szCs w:val="16"/>
          <w:color w:val="auto"/>
        </w:rPr>
        <w:t xml:space="preserve"> - Our regulated gas utilities have GCA provisions that allow them to pass the cost of gas on to their customers. The GCA is based on forecasts of the upcoming gas costs and recovery or refund of prior under-recovered or over-recovered costs. To the extent that gas costs are under-recovered or over-recovered, they are recorded as a regulatory asset or liability, respectively. Our Gas Utilities file periodic estimates of future gas costs based on market forecasts with state utility commissions. The recovery period for these costs is less than a year.</w:t>
      </w:r>
    </w:p>
    <w:p>
      <w:pPr>
        <w:spacing w:after="0" w:line="154" w:lineRule="exact"/>
        <w:rPr>
          <w:sz w:val="20"/>
          <w:szCs w:val="20"/>
          <w:color w:val="auto"/>
        </w:rPr>
      </w:pPr>
    </w:p>
    <w:p>
      <w:pPr>
        <w:jc w:val="both"/>
        <w:ind w:left="340"/>
        <w:spacing w:after="0" w:line="312" w:lineRule="auto"/>
        <w:rPr>
          <w:sz w:val="20"/>
          <w:szCs w:val="20"/>
          <w:color w:val="auto"/>
        </w:rPr>
      </w:pPr>
      <w:r>
        <w:rPr>
          <w:rFonts w:ascii="Arial" w:cs="Arial" w:eastAsia="Arial" w:hAnsi="Arial"/>
          <w:sz w:val="16"/>
          <w:szCs w:val="16"/>
          <w:u w:val="single" w:color="auto"/>
          <w:color w:val="auto"/>
        </w:rPr>
        <w:t>Gas Price Derivatives</w:t>
      </w:r>
      <w:r>
        <w:rPr>
          <w:rFonts w:ascii="Arial" w:cs="Arial" w:eastAsia="Arial" w:hAnsi="Arial"/>
          <w:sz w:val="16"/>
          <w:szCs w:val="16"/>
          <w:color w:val="auto"/>
        </w:rPr>
        <w:t xml:space="preserve"> - Our regulated utilities, as allowed or required by state utility commissions, have entered into certain exchange-traded natural gas futures and options to reduce our customers’ underlying exposure to fluctuations in gas prices. Gas price derivatives represent our unrealized positions on our commodity contracts supporting our utilities. Gas price derivatives at December 31, 2019 are hedged over a maximum forward term of two years.</w:t>
      </w:r>
    </w:p>
    <w:p>
      <w:pPr>
        <w:spacing w:after="0" w:line="147" w:lineRule="exact"/>
        <w:rPr>
          <w:sz w:val="20"/>
          <w:szCs w:val="20"/>
          <w:color w:val="auto"/>
        </w:rPr>
      </w:pPr>
    </w:p>
    <w:p>
      <w:pPr>
        <w:ind w:left="340" w:right="140"/>
        <w:spacing w:after="0" w:line="297" w:lineRule="auto"/>
        <w:rPr>
          <w:sz w:val="20"/>
          <w:szCs w:val="20"/>
          <w:color w:val="auto"/>
        </w:rPr>
      </w:pPr>
      <w:r>
        <w:rPr>
          <w:rFonts w:ascii="Arial" w:cs="Arial" w:eastAsia="Arial" w:hAnsi="Arial"/>
          <w:sz w:val="16"/>
          <w:szCs w:val="16"/>
          <w:u w:val="single" w:color="auto"/>
          <w:color w:val="auto"/>
        </w:rPr>
        <w:t>Deferred Taxes on AFUDC</w:t>
      </w:r>
      <w:r>
        <w:rPr>
          <w:rFonts w:ascii="Arial" w:cs="Arial" w:eastAsia="Arial" w:hAnsi="Arial"/>
          <w:sz w:val="16"/>
          <w:szCs w:val="16"/>
          <w:color w:val="auto"/>
        </w:rPr>
        <w:t xml:space="preserve"> - The equity component of AFUDC is considered a permanent difference for tax purposes with the tax benefit being flowed through to customers as prescribed or allowed by regulators. If, based on a regulator’s action, it is probable the utility will recover the future increase in taxes payable represented by this flow-through treatment through a rate revenue increase, a regulatory asset is recognized. This regulatory asset is a temporary difference for which a deferred tax liability must be recognized. Accounting standards for income taxes specifically address AFUDC-equity and require a gross-up of such amounts to reflect the revenue requirement associated with a rate-regulated environment.</w:t>
      </w:r>
    </w:p>
    <w:p>
      <w:pPr>
        <w:spacing w:after="0" w:line="158" w:lineRule="exact"/>
        <w:rPr>
          <w:sz w:val="20"/>
          <w:szCs w:val="20"/>
          <w:color w:val="auto"/>
        </w:rPr>
      </w:pPr>
    </w:p>
    <w:p>
      <w:pPr>
        <w:ind w:left="340" w:right="140"/>
        <w:spacing w:after="0" w:line="277" w:lineRule="auto"/>
        <w:rPr>
          <w:sz w:val="20"/>
          <w:szCs w:val="20"/>
          <w:color w:val="auto"/>
        </w:rPr>
      </w:pPr>
      <w:r>
        <w:rPr>
          <w:rFonts w:ascii="Arial" w:cs="Arial" w:eastAsia="Arial" w:hAnsi="Arial"/>
          <w:sz w:val="18"/>
          <w:szCs w:val="18"/>
          <w:u w:val="single" w:color="auto"/>
          <w:color w:val="auto"/>
        </w:rPr>
        <w:t>Employee Benefit Plans</w:t>
      </w:r>
      <w:r>
        <w:rPr>
          <w:rFonts w:ascii="Arial" w:cs="Arial" w:eastAsia="Arial" w:hAnsi="Arial"/>
          <w:sz w:val="18"/>
          <w:szCs w:val="18"/>
          <w:color w:val="auto"/>
        </w:rPr>
        <w:t xml:space="preserve"> - Employee benefit plans include the unrecognized prior service costs and net actuarial loss associated with our defined benefit pension plan and post-retirement benefit plans in regulatory assets rather than in AOCI.</w:t>
      </w:r>
    </w:p>
    <w:p>
      <w:pPr>
        <w:spacing w:after="0" w:line="170" w:lineRule="exact"/>
        <w:rPr>
          <w:sz w:val="20"/>
          <w:szCs w:val="20"/>
          <w:color w:val="auto"/>
        </w:rPr>
      </w:pPr>
    </w:p>
    <w:p>
      <w:pPr>
        <w:ind w:left="340" w:right="120"/>
        <w:spacing w:after="0" w:line="264" w:lineRule="auto"/>
        <w:rPr>
          <w:sz w:val="20"/>
          <w:szCs w:val="20"/>
          <w:color w:val="auto"/>
        </w:rPr>
      </w:pPr>
      <w:r>
        <w:rPr>
          <w:rFonts w:ascii="Arial" w:cs="Arial" w:eastAsia="Arial" w:hAnsi="Arial"/>
          <w:sz w:val="18"/>
          <w:szCs w:val="18"/>
          <w:u w:val="single" w:color="auto"/>
          <w:color w:val="auto"/>
        </w:rPr>
        <w:t>Environmental</w:t>
      </w:r>
      <w:r>
        <w:rPr>
          <w:rFonts w:ascii="Arial" w:cs="Arial" w:eastAsia="Arial" w:hAnsi="Arial"/>
          <w:sz w:val="18"/>
          <w:szCs w:val="18"/>
          <w:color w:val="auto"/>
        </w:rPr>
        <w:t xml:space="preserve"> - Environmental expenditures are costs associated with manufactured gas plant sites. The amortization of this asset is first offset by recognition of insurance proceeds and settlements with other third parties. Any remaining recovery will be requested in future rate filings. Recovery has not yet been approved by the applicable commission or board and therefore, the recovery period is unknown.</w:t>
      </w:r>
    </w:p>
    <w:p>
      <w:pPr>
        <w:spacing w:after="0" w:line="181" w:lineRule="exact"/>
        <w:rPr>
          <w:sz w:val="20"/>
          <w:szCs w:val="20"/>
          <w:color w:val="auto"/>
        </w:rPr>
      </w:pPr>
    </w:p>
    <w:p>
      <w:pPr>
        <w:ind w:left="340" w:right="340"/>
        <w:spacing w:after="0" w:line="277" w:lineRule="auto"/>
        <w:rPr>
          <w:sz w:val="20"/>
          <w:szCs w:val="20"/>
          <w:color w:val="auto"/>
        </w:rPr>
      </w:pPr>
      <w:r>
        <w:rPr>
          <w:rFonts w:ascii="Arial" w:cs="Arial" w:eastAsia="Arial" w:hAnsi="Arial"/>
          <w:sz w:val="18"/>
          <w:szCs w:val="18"/>
          <w:u w:val="single" w:color="auto"/>
          <w:color w:val="auto"/>
        </w:rPr>
        <w:t>Loss on Reacquired Debt</w:t>
      </w:r>
      <w:r>
        <w:rPr>
          <w:rFonts w:ascii="Arial" w:cs="Arial" w:eastAsia="Arial" w:hAnsi="Arial"/>
          <w:sz w:val="18"/>
          <w:szCs w:val="18"/>
          <w:color w:val="auto"/>
        </w:rPr>
        <w:t xml:space="preserve"> - Loss on reacquired debt is recovered over the remaining life of the original issue or, if refinanced, over the life of the new issue.</w:t>
      </w:r>
    </w:p>
    <w:p>
      <w:pPr>
        <w:spacing w:after="0" w:line="170" w:lineRule="exact"/>
        <w:rPr>
          <w:sz w:val="20"/>
          <w:szCs w:val="20"/>
          <w:color w:val="auto"/>
        </w:rPr>
      </w:pPr>
    </w:p>
    <w:p>
      <w:pPr>
        <w:ind w:left="340"/>
        <w:spacing w:after="0" w:line="342" w:lineRule="auto"/>
        <w:rPr>
          <w:sz w:val="20"/>
          <w:szCs w:val="20"/>
          <w:color w:val="auto"/>
        </w:rPr>
      </w:pPr>
      <w:r>
        <w:rPr>
          <w:rFonts w:ascii="Arial" w:cs="Arial" w:eastAsia="Arial" w:hAnsi="Arial"/>
          <w:sz w:val="16"/>
          <w:szCs w:val="16"/>
          <w:u w:val="single" w:color="auto"/>
          <w:color w:val="auto"/>
        </w:rPr>
        <w:t>Renewable Energy Standard Adjustment</w:t>
      </w:r>
      <w:r>
        <w:rPr>
          <w:rFonts w:ascii="Arial" w:cs="Arial" w:eastAsia="Arial" w:hAnsi="Arial"/>
          <w:sz w:val="16"/>
          <w:szCs w:val="16"/>
          <w:color w:val="auto"/>
        </w:rPr>
        <w:t xml:space="preserve"> - The renewable energy standard adjustment is associated with incentives for our Colorado Electric customers to install renewable energy equipment at their location. These incentives are recovered over time with an additional rider charged on customers’ bills.</w:t>
      </w:r>
    </w:p>
    <w:p>
      <w:pPr>
        <w:spacing w:after="0" w:line="124" w:lineRule="exact"/>
        <w:rPr>
          <w:sz w:val="20"/>
          <w:szCs w:val="20"/>
          <w:color w:val="auto"/>
        </w:rPr>
      </w:pPr>
    </w:p>
    <w:p>
      <w:pPr>
        <w:ind w:left="340" w:right="20"/>
        <w:spacing w:after="0" w:line="302" w:lineRule="auto"/>
        <w:rPr>
          <w:sz w:val="20"/>
          <w:szCs w:val="20"/>
          <w:color w:val="auto"/>
        </w:rPr>
      </w:pPr>
      <w:r>
        <w:rPr>
          <w:rFonts w:ascii="Arial" w:cs="Arial" w:eastAsia="Arial" w:hAnsi="Arial"/>
          <w:sz w:val="16"/>
          <w:szCs w:val="16"/>
          <w:u w:val="single" w:color="auto"/>
          <w:color w:val="auto"/>
        </w:rPr>
        <w:t>Deferred Taxes on Flow-Through Accounting</w:t>
      </w:r>
      <w:r>
        <w:rPr>
          <w:rFonts w:ascii="Arial" w:cs="Arial" w:eastAsia="Arial" w:hAnsi="Arial"/>
          <w:sz w:val="16"/>
          <w:szCs w:val="16"/>
          <w:color w:val="auto"/>
        </w:rPr>
        <w:t xml:space="preserve"> - Under flow-through accounting, the income tax effects of certain tax items are reflected in our cost of service for the customer in the year in which the tax benefits are realized and result in lower utility rates. A regulatory asset was established to reflect that future increases in income taxes payable will be recovered from customers as the temporary differences reverse. As a result of this regulatory treatment, we continue to record a tax benefit for costs considered currently deductible for tax purposes, but are capitalized for book purposes.</w:t>
      </w:r>
    </w:p>
    <w:p>
      <w:pPr>
        <w:spacing w:after="0" w:line="154" w:lineRule="exact"/>
        <w:rPr>
          <w:sz w:val="20"/>
          <w:szCs w:val="20"/>
          <w:color w:val="auto"/>
        </w:rPr>
      </w:pPr>
    </w:p>
    <w:p>
      <w:pPr>
        <w:ind w:left="340" w:right="380"/>
        <w:spacing w:after="0" w:line="264" w:lineRule="auto"/>
        <w:rPr>
          <w:sz w:val="20"/>
          <w:szCs w:val="20"/>
          <w:color w:val="auto"/>
        </w:rPr>
      </w:pPr>
      <w:r>
        <w:rPr>
          <w:rFonts w:ascii="Arial" w:cs="Arial" w:eastAsia="Arial" w:hAnsi="Arial"/>
          <w:sz w:val="18"/>
          <w:szCs w:val="18"/>
          <w:u w:val="single" w:color="auto"/>
          <w:color w:val="auto"/>
        </w:rPr>
        <w:t>Decommissioning Costs</w:t>
      </w:r>
      <w:r>
        <w:rPr>
          <w:rFonts w:ascii="Arial" w:cs="Arial" w:eastAsia="Arial" w:hAnsi="Arial"/>
          <w:sz w:val="18"/>
          <w:szCs w:val="18"/>
          <w:color w:val="auto"/>
        </w:rPr>
        <w:t xml:space="preserve"> - South Dakota Electric and Colorado Electric received approval in 2014 for recovery of the remaining net book values and decommissioning costs of their decommissioned coal plants. In 2018, Arkansas Gas received approval to record Liquefied Natural Gas Plant decommissioning costs in a regulatory asset, with recovery to be determined in a future regulatory filing.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400"/>
          </w:cols>
          <w:pgMar w:left="240" w:top="126" w:right="259" w:bottom="1440" w:gutter="0" w:footer="0" w:header="0"/>
        </w:sectPr>
      </w:pPr>
    </w:p>
    <w:bookmarkStart w:id="118" w:name="page119"/>
    <w:bookmarkEnd w:id="11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340" w:right="40"/>
        <w:spacing w:after="0" w:line="254" w:lineRule="auto"/>
        <w:rPr>
          <w:sz w:val="20"/>
          <w:szCs w:val="20"/>
          <w:color w:val="auto"/>
        </w:rPr>
      </w:pPr>
      <w:r>
        <w:rPr>
          <w:rFonts w:ascii="Arial" w:cs="Arial" w:eastAsia="Arial" w:hAnsi="Arial"/>
          <w:sz w:val="18"/>
          <w:szCs w:val="18"/>
          <w:u w:val="single" w:color="auto"/>
          <w:color w:val="auto"/>
        </w:rPr>
        <w:t>Gas Supply Contract Termination</w:t>
      </w:r>
      <w:r>
        <w:rPr>
          <w:rFonts w:ascii="Arial" w:cs="Arial" w:eastAsia="Arial" w:hAnsi="Arial"/>
          <w:sz w:val="18"/>
          <w:szCs w:val="18"/>
          <w:color w:val="auto"/>
        </w:rPr>
        <w:t xml:space="preserve"> - Agreements under the previous ownership required the Company to purchase all of the natural gas produced over the productive life of specific leaseholds in the Bowdoin Field in Montana. The majority of these purchases were committed to distribution customers in Colorado, Nebraska, and Wyoming, which are subject to cost recovery mechanisms. The prices to be paid under these agreements varied, ranging from $6 to $8 per MMBtu at the time of acquisition, which exceeded market prices. We recorded a liability for this contract in our purchase price allocation. We were granted approval to terminate these agreements from the CPUC, NPSC and WPSC on the basis that these agreements were not beneficial to customers over the long term. We received written orders allowing us to create a regulatory asset for the net buyout costs associated with the contract termination, and recover the majority of costs from customers over a period of five years. We terminated the contract and settled the liability on April 29, 2016.</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Regulatory liabilities represent items we expect to refund to customers through probable future decreases in rates.</w:t>
      </w:r>
    </w:p>
    <w:p>
      <w:pPr>
        <w:spacing w:after="0" w:line="221" w:lineRule="exact"/>
        <w:rPr>
          <w:sz w:val="20"/>
          <w:szCs w:val="20"/>
          <w:color w:val="auto"/>
        </w:rPr>
      </w:pPr>
    </w:p>
    <w:p>
      <w:pPr>
        <w:ind w:left="340"/>
        <w:spacing w:after="0"/>
        <w:rPr>
          <w:sz w:val="20"/>
          <w:szCs w:val="20"/>
          <w:color w:val="auto"/>
        </w:rPr>
      </w:pPr>
      <w:r>
        <w:rPr>
          <w:rFonts w:ascii="Arial" w:cs="Arial" w:eastAsia="Arial" w:hAnsi="Arial"/>
          <w:sz w:val="16"/>
          <w:szCs w:val="16"/>
          <w:u w:val="single" w:color="auto"/>
          <w:color w:val="auto"/>
        </w:rPr>
        <w:t>Deferred Energy and Gas Costs</w:t>
      </w:r>
      <w:r>
        <w:rPr>
          <w:rFonts w:ascii="Arial" w:cs="Arial" w:eastAsia="Arial" w:hAnsi="Arial"/>
          <w:sz w:val="16"/>
          <w:szCs w:val="16"/>
          <w:color w:val="auto"/>
        </w:rPr>
        <w:t xml:space="preserve"> </w:t>
      </w:r>
      <w:r>
        <w:rPr>
          <w:rFonts w:ascii="Arial" w:cs="Arial" w:eastAsia="Arial" w:hAnsi="Arial"/>
          <w:sz w:val="16"/>
          <w:szCs w:val="16"/>
          <w:b w:val="1"/>
          <w:bCs w:val="1"/>
          <w:color w:val="auto"/>
        </w:rPr>
        <w:t>-</w:t>
      </w:r>
      <w:r>
        <w:rPr>
          <w:rFonts w:ascii="Arial" w:cs="Arial" w:eastAsia="Arial" w:hAnsi="Arial"/>
          <w:sz w:val="16"/>
          <w:szCs w:val="16"/>
          <w:color w:val="auto"/>
        </w:rPr>
        <w:t xml:space="preserve"> Deferred energy costs and gas costs related to over-recovery of purchased power, transmission and natural gas costs.</w:t>
      </w:r>
    </w:p>
    <w:p>
      <w:pPr>
        <w:spacing w:after="0" w:line="248" w:lineRule="exact"/>
        <w:rPr>
          <w:sz w:val="20"/>
          <w:szCs w:val="20"/>
          <w:color w:val="auto"/>
        </w:rPr>
      </w:pPr>
    </w:p>
    <w:p>
      <w:pPr>
        <w:ind w:left="340"/>
        <w:spacing w:after="0" w:line="258" w:lineRule="auto"/>
        <w:rPr>
          <w:sz w:val="20"/>
          <w:szCs w:val="20"/>
          <w:color w:val="auto"/>
        </w:rPr>
      </w:pPr>
      <w:r>
        <w:rPr>
          <w:rFonts w:ascii="Arial" w:cs="Arial" w:eastAsia="Arial" w:hAnsi="Arial"/>
          <w:sz w:val="18"/>
          <w:szCs w:val="18"/>
          <w:u w:val="single" w:color="auto"/>
          <w:color w:val="auto"/>
        </w:rPr>
        <w:t>Employee Benefit Plan Costs and Related Deferred Taxes</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Employee benefit plans represent the cumulative excess of pension and retiree healthcare costs recovered in rates over pension expense recorded in accordance with accounting standards for compensation - retirement benefits. In addition, this regulatory liability includes the income tax effect of the adjustment required under accounting for compensation - defined benefit plans, to record the full pension and post-retirement benefit obligations. Such income tax effect has been grossed-up to account for the revenue requirement associated with a rate regulated environment.</w:t>
      </w:r>
    </w:p>
    <w:p>
      <w:pPr>
        <w:spacing w:after="0" w:line="184" w:lineRule="exact"/>
        <w:rPr>
          <w:sz w:val="20"/>
          <w:szCs w:val="20"/>
          <w:color w:val="auto"/>
        </w:rPr>
      </w:pPr>
    </w:p>
    <w:p>
      <w:pPr>
        <w:ind w:left="340" w:right="140"/>
        <w:spacing w:after="0" w:line="282" w:lineRule="auto"/>
        <w:rPr>
          <w:sz w:val="20"/>
          <w:szCs w:val="20"/>
          <w:color w:val="auto"/>
        </w:rPr>
      </w:pPr>
      <w:r>
        <w:rPr>
          <w:rFonts w:ascii="Arial" w:cs="Arial" w:eastAsia="Arial" w:hAnsi="Arial"/>
          <w:sz w:val="18"/>
          <w:szCs w:val="18"/>
          <w:u w:val="single" w:color="auto"/>
          <w:color w:val="auto"/>
        </w:rPr>
        <w:t>Cost of Removal</w:t>
      </w:r>
      <w:r>
        <w:rPr>
          <w:rFonts w:ascii="Arial" w:cs="Arial" w:eastAsia="Arial" w:hAnsi="Arial"/>
          <w:sz w:val="18"/>
          <w:szCs w:val="18"/>
          <w:color w:val="auto"/>
        </w:rPr>
        <w:t xml:space="preserve"> </w:t>
      </w:r>
      <w:r>
        <w:rPr>
          <w:rFonts w:ascii="Arial" w:cs="Arial" w:eastAsia="Arial" w:hAnsi="Arial"/>
          <w:sz w:val="18"/>
          <w:szCs w:val="18"/>
          <w:b w:val="1"/>
          <w:bCs w:val="1"/>
          <w:color w:val="auto"/>
        </w:rPr>
        <w:t>-</w:t>
      </w:r>
      <w:r>
        <w:rPr>
          <w:rFonts w:ascii="Arial" w:cs="Arial" w:eastAsia="Arial" w:hAnsi="Arial"/>
          <w:sz w:val="18"/>
          <w:szCs w:val="18"/>
          <w:color w:val="auto"/>
        </w:rPr>
        <w:t xml:space="preserve"> Cost of removal represents the estimated cumulative net provisions for future removal costs for which there is no legal obligation for removal included in depreciation expense.</w:t>
      </w:r>
    </w:p>
    <w:p>
      <w:pPr>
        <w:spacing w:after="0" w:line="166" w:lineRule="exact"/>
        <w:rPr>
          <w:sz w:val="20"/>
          <w:szCs w:val="20"/>
          <w:color w:val="auto"/>
        </w:rPr>
      </w:pPr>
    </w:p>
    <w:p>
      <w:pPr>
        <w:ind w:left="340" w:right="80"/>
        <w:spacing w:after="0" w:line="308" w:lineRule="auto"/>
        <w:rPr>
          <w:sz w:val="20"/>
          <w:szCs w:val="20"/>
          <w:color w:val="auto"/>
        </w:rPr>
      </w:pPr>
      <w:r>
        <w:rPr>
          <w:rFonts w:ascii="Arial" w:cs="Arial" w:eastAsia="Arial" w:hAnsi="Arial"/>
          <w:sz w:val="17"/>
          <w:szCs w:val="17"/>
          <w:u w:val="single" w:color="auto"/>
          <w:color w:val="auto"/>
        </w:rPr>
        <w:t>Excess Deferred Income Taxes</w:t>
      </w:r>
      <w:r>
        <w:rPr>
          <w:rFonts w:ascii="Arial" w:cs="Arial" w:eastAsia="Arial" w:hAnsi="Arial"/>
          <w:sz w:val="17"/>
          <w:szCs w:val="17"/>
          <w:color w:val="auto"/>
        </w:rPr>
        <w:t xml:space="preserve"> - The revaluation of the regulated utilities' deferred tax assets and liabilities due to the passage of the TCJA was recorded as an excess deferred income tax to be refunded to customers primarily using the normalization principles as prescribed in the TCJA.</w:t>
      </w:r>
    </w:p>
    <w:p>
      <w:pPr>
        <w:spacing w:after="0" w:line="147" w:lineRule="exact"/>
        <w:rPr>
          <w:sz w:val="20"/>
          <w:szCs w:val="20"/>
          <w:color w:val="auto"/>
        </w:rPr>
      </w:pPr>
    </w:p>
    <w:p>
      <w:pPr>
        <w:ind w:left="340"/>
        <w:spacing w:after="0"/>
        <w:rPr>
          <w:rFonts w:ascii="Arial" w:cs="Arial" w:eastAsia="Arial" w:hAnsi="Arial"/>
          <w:sz w:val="18"/>
          <w:szCs w:val="18"/>
          <w:color w:val="auto"/>
        </w:rPr>
      </w:pPr>
      <w:r>
        <w:rPr>
          <w:rFonts w:ascii="Arial" w:cs="Arial" w:eastAsia="Arial" w:hAnsi="Arial"/>
          <w:sz w:val="18"/>
          <w:szCs w:val="18"/>
          <w:u w:val="single" w:color="auto"/>
          <w:color w:val="auto"/>
        </w:rPr>
        <w:t>TCJA Revenue Reserve</w:t>
      </w:r>
      <w:r>
        <w:rPr>
          <w:rFonts w:ascii="Arial" w:cs="Arial" w:eastAsia="Arial" w:hAnsi="Arial"/>
          <w:sz w:val="18"/>
          <w:szCs w:val="18"/>
          <w:color w:val="auto"/>
        </w:rPr>
        <w:t xml:space="preserve"> - Revenue to be returned to customers as a result of the TCJA. See </w:t>
      </w:r>
      <w:hyperlink w:anchor="page124">
        <w:r>
          <w:rPr>
            <w:rFonts w:ascii="Arial" w:cs="Arial" w:eastAsia="Arial" w:hAnsi="Arial"/>
            <w:sz w:val="18"/>
            <w:szCs w:val="18"/>
            <w:u w:val="single" w:color="auto"/>
            <w:color w:val="0000EE"/>
          </w:rPr>
          <w:t>Note 15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Regulatory Matters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Electric Utilities Regulatory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 Dakota Electric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Settlement</w:t>
      </w:r>
    </w:p>
    <w:p>
      <w:pPr>
        <w:spacing w:after="0" w:line="225"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January 7, 2020, South Dakota Electric received approval from the SDPUC on a settlement agreement to extend the 6-year moratorium period by an additional 3 years to June 30, 2026. Also, as part of the settlement, we withdrew our application for deferred accounting treatment and expensed $5.4 million of development costs related to projects we no longer intend to construct. This settlement amends a previous agreement approved by the SDPUC on June 16, 2017, whereby South Dakota Electric would not increase base rates, absent an extraordinary event, for a 6 year moratorium period effective July 1, 2017. The moratorium period also includes suspension of both the TFA and EIA.</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FERC Formula Rate</w:t>
      </w:r>
    </w:p>
    <w:p>
      <w:pPr>
        <w:spacing w:after="0" w:line="22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annual rate determination process is governed by the FERC formula rate protocols established in the filed FERC joint-access transmission tariff. Effective January 1, 2019 the annual revenue requirement increased by $1.9 million and included estimated weighted average capital additions of $31 million for 2018 and 2019 combined. The annual transmission revenue requirement has a true up mechanism that is posted in June of each year.</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400"/>
          </w:cols>
          <w:pgMar w:left="240" w:top="126" w:right="259" w:bottom="1440" w:gutter="0" w:footer="0" w:header="0"/>
        </w:sectPr>
      </w:pPr>
    </w:p>
    <w:bookmarkStart w:id="119" w:name="page120"/>
    <w:bookmarkEnd w:id="11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South Dakota Electric and Wyoming Electric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Renewable Ready</w:t>
      </w:r>
    </w:p>
    <w:p>
      <w:pPr>
        <w:spacing w:after="0" w:line="225" w:lineRule="exact"/>
        <w:rPr>
          <w:sz w:val="20"/>
          <w:szCs w:val="20"/>
          <w:color w:val="auto"/>
        </w:rPr>
      </w:pPr>
    </w:p>
    <w:p>
      <w:pPr>
        <w:jc w:val="both"/>
        <w:ind w:right="80"/>
        <w:spacing w:after="0" w:line="288" w:lineRule="auto"/>
        <w:rPr>
          <w:sz w:val="20"/>
          <w:szCs w:val="20"/>
          <w:color w:val="auto"/>
        </w:rPr>
      </w:pPr>
      <w:r>
        <w:rPr>
          <w:rFonts w:ascii="Arial" w:cs="Arial" w:eastAsia="Arial" w:hAnsi="Arial"/>
          <w:sz w:val="16"/>
          <w:szCs w:val="16"/>
          <w:color w:val="auto"/>
        </w:rPr>
        <w:t>In July 2019, South Dakota Electric and Wyoming Electric received approvals for the Renewable Ready program and related jointly-filed CPCN to construct Corriedale. The wind project will be jointly owned by the two electric utilities to deliver renewable energy for large commercial, industrial and governmental agency customers. In November 2019, South Dakota Electric received approval from the SDPUC to increase the offering under the program by 12.5 MW.</w:t>
      </w:r>
    </w:p>
    <w:p>
      <w:pPr>
        <w:ind w:right="540"/>
        <w:spacing w:after="0" w:line="261" w:lineRule="auto"/>
        <w:rPr>
          <w:sz w:val="20"/>
          <w:szCs w:val="20"/>
          <w:color w:val="auto"/>
        </w:rPr>
      </w:pPr>
      <w:r>
        <w:rPr>
          <w:rFonts w:ascii="Arial" w:cs="Arial" w:eastAsia="Arial" w:hAnsi="Arial"/>
          <w:sz w:val="18"/>
          <w:szCs w:val="18"/>
          <w:color w:val="auto"/>
        </w:rPr>
        <w:t>The two electric utilities also received a determination from the WPSC to increase the project to 52.5 MW. The $79 million project is expected to be in service by year-end 2020.</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Black Hills Wyoming and Wyoming Electric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Wygen 1 FERC Filing</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August 2, 2019, Black Hills Wyoming and Wyoming Electric jointly filed a request with FERC for approval of a new 60 MW PPA. The agreement would fulfill the capacity need for Wyoming Electric at the expiration of the current agreement on December 31, 2022. If approved, Black Hills Wyoming will continue to deliver 60 MW of energy to Wyoming Electric from its Wygen I power plant starting January 1, 2023, and continuing for an additional 20 years to December 31, 2042. On December 23, 2019, the Company filed a response to questions from the FERC and awaits a decision from FERC.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Electric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Blockchain Tariff</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On April 30, 2019, the WPSC approved Wyoming Electric’s application for a new Blockchain Interruptible Service Tariff. The utility has partnered with the economic development organization for City of Cheyenne and Laramie County to actively recruit blockchain customers to the state. This tariff is complementary to recently enacted Wyoming legislation supporting the development of blockchain within the state.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PCA Settlement</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October 31, 2018, Wyoming Electric received approval from the WPSC for a comprehensive, multi-year settlement regarding its PCA Application filed earlier in 2018. Wyoming Electric’s PCA permits the recovery of costs associated with fuel, purchased electricity and other specified costs, including the portion of the company’s energy that is delivered from the Wygen I PPA with Black Hills Wyoming. Wyoming Electric was to provide a total of $7.0 million in customer credits through the PCA mechanism in 2018, 2019 and 2020 to resolve all outstanding issues relating to its current and prior PCA filings. The settlement also stipulated the adjustment for the variable cost segment of the Wygen I PPA with Wyoming Electric will escalate by 3.0% annually through 2022, providing price certainty for Wyoming Electric and its customers.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Gas Utilities Regulatory Activity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Arkansas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Rate Review</w:t>
      </w:r>
    </w:p>
    <w:p>
      <w:pPr>
        <w:spacing w:after="0" w:line="225"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color w:val="auto"/>
        </w:rPr>
        <w:t>On October 5, 2018, Arkansas Gas received approval from the APSC for a general rate increase. The new rates were to generate approximately $12 million of new annual revenue. The APSC’s approval also allowed Arkansas Gas to include $11 million of revenue that was being collected through certain rider mechanisms in the new base rates. The new revenue increase was based on a return on equity of 9.61% and a capital structure of 49.1% equity and 50.9% debt. New rates, inclusive of customer benefits related to the TCJA, were effective October 15, 2018.</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420"/>
          </w:cols>
          <w:pgMar w:left="240" w:top="126" w:right="239" w:bottom="1440" w:gutter="0" w:footer="0" w:header="0"/>
        </w:sectPr>
      </w:pPr>
    </w:p>
    <w:bookmarkStart w:id="120" w:name="page121"/>
    <w:bookmarkEnd w:id="12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Colorado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25"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On February 1, 2019, Colorado Gas filed a rate review with the CPUC requesting approval to consolidate rates, tariffs, and services of its two existing gas distribution territories. The rate review requested $2.5 million in new revenue to recover investments in safety, reliability and system integrity. Colorado Gas also requested a new rider mechanism to recover future safety and integrity investments in its system. On December 27, 2019, the ALJ issued a recommended decision denying the company’s plan to consolidate rate territories and recommending a rate decrease. Colorado Gas has filed exceptions to the ALJ’s recommended decision. A decision by the CPUC is expected by the end of March 2020. Legal consolidation was previously approved by the CPUC in late 2018 and completed in early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Nebraska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October 29, 2019, Nebraska Gas received approval from the NPSC to merge its two gas distribution companies. Legal consolidation was effective January 1, 2020, and a rate review is expected to be filed by mid-year 2020 to consolidate the rates, tariffs and services.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SSIR</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June 1, 2018, Nebraska Gas Distribution filed an application with the NPSC requesting a continuation of the SSIR beyond the expiration date of October 31, 2019. On September 5, 2018, the NPSC approved continuation of the SSIR tariff to December 31, 2020. The SSIR provides approximately $6.0 million of revenue annually on investments made prior to January 1, 2018, with investments after that date to be recovered through other methods. If a base rate review is filed prior to expiration of the rider, that rate request will include the remaining investment to be recovered.</w:t>
      </w:r>
    </w:p>
    <w:p>
      <w:pPr>
        <w:spacing w:after="0" w:line="171" w:lineRule="exact"/>
        <w:rPr>
          <w:sz w:val="20"/>
          <w:szCs w:val="20"/>
          <w:color w:val="auto"/>
        </w:rPr>
      </w:pPr>
    </w:p>
    <w:p>
      <w:pPr>
        <w:jc w:val="both"/>
        <w:ind w:right="260"/>
        <w:spacing w:after="0" w:line="264" w:lineRule="auto"/>
        <w:rPr>
          <w:sz w:val="20"/>
          <w:szCs w:val="20"/>
          <w:color w:val="auto"/>
        </w:rPr>
      </w:pPr>
      <w:r>
        <w:rPr>
          <w:rFonts w:ascii="Arial" w:cs="Arial" w:eastAsia="Arial" w:hAnsi="Arial"/>
          <w:sz w:val="18"/>
          <w:szCs w:val="18"/>
          <w:color w:val="auto"/>
        </w:rPr>
        <w:t>On October 2, 2017, Nebraska Gas Distribution filed with the NPSC requesting recovery of $6.8 million, which includes $0.3 million of increased annual revenue related to system safety and integrity expenditures on projects for the period of 2012 through 2017. This SSIR tariff was approved by the NPSC in January 2018, and went into effect on February 1, 2018.</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Wyoming Gas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Jurisdictional Consolidation and Rate Review</w:t>
      </w:r>
    </w:p>
    <w:p>
      <w:pPr>
        <w:spacing w:after="0" w:line="225"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On December 11, 2019, Wyoming Gas received approval from the WPSC to consolidate the rates, tariffs and services of its four existing gas distribution territories. A new, single statewide rate structure will be effective March 1, 2020. New rates are expected to generate $13 million in new revenue based on a return on equity of 9.40% and a capital structure of 50.23% equity and 49.77% debt. The approval also allows for a rider to recover integrity investments for system safety and reliability.</w:t>
      </w:r>
    </w:p>
    <w:p>
      <w:pPr>
        <w:spacing w:after="0" w:line="399"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Lessee</w:t>
      </w:r>
    </w:p>
    <w:p>
      <w:pPr>
        <w:spacing w:after="0" w:line="189" w:lineRule="exact"/>
        <w:rPr>
          <w:sz w:val="20"/>
          <w:szCs w:val="20"/>
          <w:color w:val="auto"/>
        </w:rPr>
      </w:pPr>
    </w:p>
    <w:p>
      <w:pPr>
        <w:ind w:right="560"/>
        <w:spacing w:after="0" w:line="308" w:lineRule="auto"/>
        <w:rPr>
          <w:sz w:val="20"/>
          <w:szCs w:val="20"/>
          <w:color w:val="auto"/>
        </w:rPr>
      </w:pPr>
      <w:r>
        <w:rPr>
          <w:rFonts w:ascii="Arial" w:cs="Arial" w:eastAsia="Arial" w:hAnsi="Arial"/>
          <w:sz w:val="17"/>
          <w:szCs w:val="17"/>
          <w:color w:val="auto"/>
        </w:rPr>
        <w:t>We lease from third parties certain office and operation center facilities, communication tower sites, equipment, and materials storage. Our leases have remaining terms ranging from less than 1 year to 36 years, including options to extend that are reasonably certain to be exercised.</w:t>
      </w:r>
    </w:p>
    <w:p>
      <w:pPr>
        <w:spacing w:after="0" w:line="3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420"/>
          </w:cols>
          <w:pgMar w:left="240" w:top="126" w:right="239" w:bottom="1440" w:gutter="0" w:footer="0" w:header="0"/>
        </w:sectPr>
      </w:pPr>
    </w:p>
    <w:bookmarkStart w:id="121" w:name="page122"/>
    <w:bookmarkEnd w:id="121"/>
    <w:tbl>
      <w:tblPr>
        <w:tblLayout w:type="fixed"/>
        <w:tblInd w:w="0" w:type="dxa"/>
        <w:tblCellMar>
          <w:top w:w="0" w:type="dxa"/>
          <w:left w:w="0" w:type="dxa"/>
          <w:bottom w:w="0" w:type="dxa"/>
          <w:right w:w="0" w:type="dxa"/>
        </w:tblCellMar>
      </w:tblPr>
      <w:tr>
        <w:trPr>
          <w:trHeight w:val="184"/>
        </w:trPr>
        <w:tc>
          <w:tcPr>
            <w:tcW w:w="4120" w:type="dxa"/>
            <w:vAlign w:val="bottom"/>
            <w:gridSpan w:val="3"/>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5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20"/>
        </w:trPr>
        <w:tc>
          <w:tcPr>
            <w:tcW w:w="1220" w:type="dxa"/>
            <w:vAlign w:val="bottom"/>
            <w:gridSpan w:val="2"/>
            <w:shd w:val="clear" w:color="auto" w:fill="0000EE"/>
          </w:tcPr>
          <w:p>
            <w:pPr>
              <w:spacing w:after="0" w:line="20" w:lineRule="exact"/>
              <w:rPr>
                <w:sz w:val="1"/>
                <w:szCs w:val="1"/>
                <w:color w:val="auto"/>
              </w:rPr>
            </w:pPr>
          </w:p>
        </w:tc>
        <w:tc>
          <w:tcPr>
            <w:tcW w:w="86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r>
        <w:trPr>
          <w:trHeight w:val="439"/>
        </w:trPr>
        <w:tc>
          <w:tcPr>
            <w:tcW w:w="9820" w:type="dxa"/>
            <w:vAlign w:val="bottom"/>
            <w:gridSpan w:val="4"/>
          </w:tcPr>
          <w:p>
            <w:pPr>
              <w:spacing w:after="0"/>
              <w:rPr>
                <w:sz w:val="20"/>
                <w:szCs w:val="20"/>
                <w:color w:val="auto"/>
              </w:rPr>
            </w:pPr>
            <w:r>
              <w:rPr>
                <w:rFonts w:ascii="Arial" w:cs="Arial" w:eastAsia="Arial" w:hAnsi="Arial"/>
                <w:sz w:val="18"/>
                <w:szCs w:val="18"/>
                <w:color w:val="auto"/>
              </w:rPr>
              <w:t>The components of lease expense for the year ended December 31 were as follows (in thousands) :</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78"/>
        </w:trPr>
        <w:tc>
          <w:tcPr>
            <w:tcW w:w="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5700" w:type="dxa"/>
            <w:vAlign w:val="bottom"/>
          </w:tcPr>
          <w:p>
            <w:pPr>
              <w:ind w:left="1860"/>
              <w:spacing w:after="0"/>
              <w:rPr>
                <w:sz w:val="20"/>
                <w:szCs w:val="20"/>
                <w:color w:val="auto"/>
              </w:rPr>
            </w:pPr>
            <w:r>
              <w:rPr>
                <w:rFonts w:ascii="Arial" w:cs="Arial" w:eastAsia="Arial" w:hAnsi="Arial"/>
                <w:sz w:val="18"/>
                <w:szCs w:val="18"/>
                <w:color w:val="auto"/>
              </w:rPr>
              <w:t>Income Statement Location</w:t>
            </w:r>
          </w:p>
        </w:tc>
        <w:tc>
          <w:tcPr>
            <w:tcW w:w="360" w:type="dxa"/>
            <w:vAlign w:val="bottom"/>
          </w:tcPr>
          <w:p>
            <w:pPr>
              <w:spacing w:after="0"/>
              <w:rPr>
                <w:sz w:val="24"/>
                <w:szCs w:val="24"/>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20" w:type="dxa"/>
            <w:vAlign w:val="bottom"/>
          </w:tcPr>
          <w:p>
            <w:pPr>
              <w:spacing w:after="0"/>
              <w:rPr>
                <w:sz w:val="21"/>
                <w:szCs w:val="21"/>
                <w:color w:val="auto"/>
              </w:rPr>
            </w:pPr>
          </w:p>
        </w:tc>
        <w:tc>
          <w:tcPr>
            <w:tcW w:w="41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Operating lease cost</w:t>
            </w:r>
          </w:p>
        </w:tc>
        <w:tc>
          <w:tcPr>
            <w:tcW w:w="5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36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1,456</w:t>
            </w:r>
          </w:p>
        </w:tc>
      </w:tr>
      <w:tr>
        <w:trPr>
          <w:trHeight w:val="243"/>
        </w:trPr>
        <w:tc>
          <w:tcPr>
            <w:tcW w:w="20" w:type="dxa"/>
            <w:vAlign w:val="bottom"/>
          </w:tcPr>
          <w:p>
            <w:pPr>
              <w:spacing w:after="0"/>
              <w:rPr>
                <w:sz w:val="21"/>
                <w:szCs w:val="21"/>
                <w:color w:val="auto"/>
              </w:rPr>
            </w:pPr>
          </w:p>
        </w:tc>
        <w:tc>
          <w:tcPr>
            <w:tcW w:w="4100" w:type="dxa"/>
            <w:vAlign w:val="bottom"/>
            <w:gridSpan w:val="2"/>
          </w:tcPr>
          <w:p>
            <w:pPr>
              <w:ind w:left="20"/>
              <w:spacing w:after="0"/>
              <w:rPr>
                <w:sz w:val="20"/>
                <w:szCs w:val="20"/>
                <w:color w:val="auto"/>
              </w:rPr>
            </w:pPr>
            <w:r>
              <w:rPr>
                <w:rFonts w:ascii="Arial" w:cs="Arial" w:eastAsia="Arial" w:hAnsi="Arial"/>
                <w:sz w:val="18"/>
                <w:szCs w:val="18"/>
                <w:color w:val="auto"/>
              </w:rPr>
              <w:t>Finance lease cost:</w:t>
            </w:r>
          </w:p>
        </w:tc>
        <w:tc>
          <w:tcPr>
            <w:tcW w:w="57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290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41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Amortization of right-of-use asset</w:t>
            </w:r>
          </w:p>
        </w:tc>
        <w:tc>
          <w:tcPr>
            <w:tcW w:w="5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100</w:t>
            </w:r>
          </w:p>
        </w:tc>
      </w:tr>
      <w:tr>
        <w:trPr>
          <w:trHeight w:val="229"/>
        </w:trPr>
        <w:tc>
          <w:tcPr>
            <w:tcW w:w="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5700" w:type="dxa"/>
            <w:vAlign w:val="bottom"/>
          </w:tcPr>
          <w:p>
            <w:pPr>
              <w:ind w:left="40"/>
              <w:spacing w:after="0"/>
              <w:rPr>
                <w:sz w:val="20"/>
                <w:szCs w:val="20"/>
                <w:color w:val="auto"/>
              </w:rPr>
            </w:pPr>
            <w:r>
              <w:rPr>
                <w:rFonts w:ascii="Arial" w:cs="Arial" w:eastAsia="Arial" w:hAnsi="Arial"/>
                <w:sz w:val="18"/>
                <w:szCs w:val="18"/>
                <w:color w:val="auto"/>
                <w:w w:val="93"/>
              </w:rPr>
              <w:t>Interest expense incurred net of amounts capitalized (including amortization</w:t>
            </w: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4100" w:type="dxa"/>
            <w:vAlign w:val="bottom"/>
            <w:gridSpan w:val="2"/>
          </w:tcPr>
          <w:p>
            <w:pPr>
              <w:ind w:left="280"/>
              <w:spacing w:after="0"/>
              <w:rPr>
                <w:sz w:val="20"/>
                <w:szCs w:val="20"/>
                <w:color w:val="auto"/>
              </w:rPr>
            </w:pPr>
            <w:r>
              <w:rPr>
                <w:rFonts w:ascii="Arial" w:cs="Arial" w:eastAsia="Arial" w:hAnsi="Arial"/>
                <w:sz w:val="18"/>
                <w:szCs w:val="18"/>
                <w:color w:val="auto"/>
              </w:rPr>
              <w:t>Interest on lease liabilities</w:t>
            </w:r>
          </w:p>
        </w:tc>
        <w:tc>
          <w:tcPr>
            <w:tcW w:w="5700" w:type="dxa"/>
            <w:vAlign w:val="bottom"/>
          </w:tcPr>
          <w:p>
            <w:pPr>
              <w:ind w:left="40"/>
              <w:spacing w:after="0"/>
              <w:rPr>
                <w:sz w:val="20"/>
                <w:szCs w:val="20"/>
                <w:color w:val="auto"/>
              </w:rPr>
            </w:pPr>
            <w:r>
              <w:rPr>
                <w:rFonts w:ascii="Arial" w:cs="Arial" w:eastAsia="Arial" w:hAnsi="Arial"/>
                <w:sz w:val="18"/>
                <w:szCs w:val="18"/>
                <w:color w:val="auto"/>
              </w:rPr>
              <w:t>of debt issuance costs, premiums and discounts)</w:t>
            </w:r>
          </w:p>
        </w:tc>
        <w:tc>
          <w:tcPr>
            <w:tcW w:w="3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1200" w:type="dxa"/>
            <w:vAlign w:val="bottom"/>
            <w:tcBorders>
              <w:bottom w:val="single" w:sz="8" w:color="CEFFE7"/>
            </w:tcBorders>
          </w:tcPr>
          <w:p>
            <w:pPr>
              <w:spacing w:after="0"/>
              <w:rPr>
                <w:sz w:val="2"/>
                <w:szCs w:val="2"/>
                <w:color w:val="auto"/>
              </w:rPr>
            </w:pPr>
          </w:p>
        </w:tc>
        <w:tc>
          <w:tcPr>
            <w:tcW w:w="2900" w:type="dxa"/>
            <w:vAlign w:val="bottom"/>
            <w:tcBorders>
              <w:bottom w:val="single" w:sz="8" w:color="CEFFE7"/>
            </w:tcBorders>
          </w:tcPr>
          <w:p>
            <w:pPr>
              <w:spacing w:after="0"/>
              <w:rPr>
                <w:sz w:val="2"/>
                <w:szCs w:val="2"/>
                <w:color w:val="auto"/>
              </w:rPr>
            </w:pPr>
          </w:p>
        </w:tc>
        <w:tc>
          <w:tcPr>
            <w:tcW w:w="570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57"/>
        </w:trPr>
        <w:tc>
          <w:tcPr>
            <w:tcW w:w="20" w:type="dxa"/>
            <w:vAlign w:val="bottom"/>
          </w:tcPr>
          <w:p>
            <w:pPr>
              <w:spacing w:after="0"/>
              <w:rPr>
                <w:sz w:val="22"/>
                <w:szCs w:val="22"/>
                <w:color w:val="auto"/>
              </w:rPr>
            </w:pPr>
          </w:p>
        </w:tc>
        <w:tc>
          <w:tcPr>
            <w:tcW w:w="410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rPr>
              <w:t>Total lease cost</w:t>
            </w:r>
          </w:p>
        </w:tc>
        <w:tc>
          <w:tcPr>
            <w:tcW w:w="570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auto"/>
            </w:tcBorders>
            <w:shd w:val="clear" w:color="auto" w:fill="CEFFE7"/>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1,575</w:t>
            </w:r>
          </w:p>
        </w:tc>
      </w:tr>
      <w:tr>
        <w:trPr>
          <w:trHeight w:val="20"/>
        </w:trPr>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balance sheet information related to leases as of December 31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5700" w:type="dxa"/>
            <w:vAlign w:val="bottom"/>
          </w:tcPr>
          <w:p>
            <w:pPr>
              <w:ind w:left="2000"/>
              <w:spacing w:after="0"/>
              <w:rPr>
                <w:sz w:val="20"/>
                <w:szCs w:val="20"/>
                <w:color w:val="auto"/>
              </w:rPr>
            </w:pPr>
            <w:r>
              <w:rPr>
                <w:rFonts w:ascii="Arial" w:cs="Arial" w:eastAsia="Arial" w:hAnsi="Arial"/>
                <w:sz w:val="18"/>
                <w:szCs w:val="18"/>
                <w:color w:val="auto"/>
              </w:rPr>
              <w:t>Balance Sheet Location</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2019</w:t>
            </w:r>
          </w:p>
        </w:tc>
      </w:tr>
      <w:tr>
        <w:trPr>
          <w:trHeight w:val="27"/>
        </w:trPr>
        <w:tc>
          <w:tcPr>
            <w:tcW w:w="4120" w:type="dxa"/>
            <w:vAlign w:val="bottom"/>
            <w:tcBorders>
              <w:bottom w:val="single" w:sz="8" w:color="CEFFE7"/>
            </w:tcBorders>
          </w:tcPr>
          <w:p>
            <w:pPr>
              <w:spacing w:after="0"/>
              <w:rPr>
                <w:sz w:val="2"/>
                <w:szCs w:val="2"/>
                <w:color w:val="auto"/>
              </w:rPr>
            </w:pPr>
          </w:p>
        </w:tc>
        <w:tc>
          <w:tcPr>
            <w:tcW w:w="57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Assets:</w:t>
            </w:r>
          </w:p>
        </w:tc>
        <w:tc>
          <w:tcPr>
            <w:tcW w:w="57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Operating lease assets</w:t>
            </w:r>
          </w:p>
        </w:tc>
        <w:tc>
          <w:tcPr>
            <w:tcW w:w="5700" w:type="dxa"/>
            <w:vAlign w:val="bottom"/>
          </w:tcPr>
          <w:p>
            <w:pPr>
              <w:ind w:left="40"/>
              <w:spacing w:after="0"/>
              <w:rPr>
                <w:sz w:val="20"/>
                <w:szCs w:val="20"/>
                <w:color w:val="auto"/>
              </w:rPr>
            </w:pPr>
            <w:r>
              <w:rPr>
                <w:rFonts w:ascii="Arial" w:cs="Arial" w:eastAsia="Arial" w:hAnsi="Arial"/>
                <w:sz w:val="18"/>
                <w:szCs w:val="18"/>
                <w:color w:val="auto"/>
              </w:rPr>
              <w:t>Other assets, non-current</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4,629</w:t>
            </w:r>
          </w:p>
        </w:tc>
      </w:tr>
      <w:tr>
        <w:trPr>
          <w:trHeight w:val="27"/>
        </w:trPr>
        <w:tc>
          <w:tcPr>
            <w:tcW w:w="4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 assets</w:t>
            </w:r>
          </w:p>
        </w:tc>
        <w:tc>
          <w:tcPr>
            <w:tcW w:w="5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assets, non-current</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465</w:t>
            </w:r>
          </w:p>
        </w:tc>
      </w:tr>
      <w:tr>
        <w:trPr>
          <w:trHeight w:val="297"/>
        </w:trPr>
        <w:tc>
          <w:tcPr>
            <w:tcW w:w="4120" w:type="dxa"/>
            <w:vAlign w:val="bottom"/>
            <w:tcBorders>
              <w:bottom w:val="single" w:sz="8" w:color="CEFFE7"/>
            </w:tcBorders>
          </w:tcPr>
          <w:p>
            <w:pPr>
              <w:ind w:left="40"/>
              <w:spacing w:after="0"/>
              <w:rPr>
                <w:sz w:val="20"/>
                <w:szCs w:val="20"/>
                <w:color w:val="auto"/>
              </w:rPr>
            </w:pPr>
            <w:r>
              <w:rPr>
                <w:rFonts w:ascii="Arial" w:cs="Arial" w:eastAsia="Arial" w:hAnsi="Arial"/>
                <w:sz w:val="18"/>
                <w:szCs w:val="18"/>
                <w:color w:val="auto"/>
              </w:rPr>
              <w:t>Total lease assets</w:t>
            </w:r>
          </w:p>
        </w:tc>
        <w:tc>
          <w:tcPr>
            <w:tcW w:w="5700" w:type="dxa"/>
            <w:vAlign w:val="bottom"/>
            <w:tcBorders>
              <w:bottom w:val="single" w:sz="8" w:color="CEFFE7"/>
            </w:tcBorders>
          </w:tcPr>
          <w:p>
            <w:pPr>
              <w:spacing w:after="0"/>
              <w:rPr>
                <w:sz w:val="24"/>
                <w:szCs w:val="24"/>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5,094</w:t>
            </w:r>
          </w:p>
        </w:tc>
      </w:tr>
      <w:tr>
        <w:trPr>
          <w:trHeight w:val="311"/>
        </w:trPr>
        <w:tc>
          <w:tcPr>
            <w:tcW w:w="4120" w:type="dxa"/>
            <w:vAlign w:val="bottom"/>
            <w:shd w:val="clear" w:color="auto" w:fill="CEFFE7"/>
          </w:tcPr>
          <w:p>
            <w:pPr>
              <w:spacing w:after="0"/>
              <w:rPr>
                <w:sz w:val="24"/>
                <w:szCs w:val="24"/>
                <w:color w:val="auto"/>
              </w:rPr>
            </w:pPr>
          </w:p>
        </w:tc>
        <w:tc>
          <w:tcPr>
            <w:tcW w:w="5700" w:type="dxa"/>
            <w:vAlign w:val="bottom"/>
            <w:shd w:val="clear" w:color="auto" w:fill="CEFFE7"/>
          </w:tcPr>
          <w:p>
            <w:pPr>
              <w:spacing w:after="0"/>
              <w:rPr>
                <w:sz w:val="24"/>
                <w:szCs w:val="24"/>
                <w:color w:val="auto"/>
              </w:rPr>
            </w:pPr>
          </w:p>
        </w:tc>
        <w:tc>
          <w:tcPr>
            <w:tcW w:w="380" w:type="dxa"/>
            <w:vAlign w:val="bottom"/>
            <w:shd w:val="clear" w:color="auto" w:fill="CEFFE7"/>
          </w:tcPr>
          <w:p>
            <w:pPr>
              <w:spacing w:after="0"/>
              <w:rPr>
                <w:sz w:val="24"/>
                <w:szCs w:val="24"/>
                <w:color w:val="auto"/>
              </w:rPr>
            </w:pPr>
          </w:p>
        </w:tc>
        <w:tc>
          <w:tcPr>
            <w:tcW w:w="1220" w:type="dxa"/>
            <w:vAlign w:val="bottom"/>
            <w:shd w:val="clear" w:color="auto" w:fill="CEFFE7"/>
          </w:tcPr>
          <w:p>
            <w:pPr>
              <w:spacing w:after="0"/>
              <w:rPr>
                <w:sz w:val="24"/>
                <w:szCs w:val="24"/>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Liabilities:</w:t>
            </w:r>
          </w:p>
        </w:tc>
        <w:tc>
          <w:tcPr>
            <w:tcW w:w="57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Current:</w:t>
            </w:r>
          </w:p>
        </w:tc>
        <w:tc>
          <w:tcPr>
            <w:tcW w:w="57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5700" w:type="dxa"/>
            <w:vAlign w:val="bottom"/>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1,179</w:t>
            </w:r>
          </w:p>
        </w:tc>
      </w:tr>
      <w:tr>
        <w:trPr>
          <w:trHeight w:val="27"/>
        </w:trPr>
        <w:tc>
          <w:tcPr>
            <w:tcW w:w="4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41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5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Accrued liabilities</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109</w:t>
            </w:r>
          </w:p>
        </w:tc>
      </w:tr>
      <w:tr>
        <w:trPr>
          <w:trHeight w:val="324"/>
        </w:trPr>
        <w:tc>
          <w:tcPr>
            <w:tcW w:w="4120" w:type="dxa"/>
            <w:vAlign w:val="bottom"/>
          </w:tcPr>
          <w:p>
            <w:pPr>
              <w:spacing w:after="0"/>
              <w:rPr>
                <w:sz w:val="24"/>
                <w:szCs w:val="24"/>
                <w:color w:val="auto"/>
              </w:rPr>
            </w:pPr>
          </w:p>
        </w:tc>
        <w:tc>
          <w:tcPr>
            <w:tcW w:w="57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0"/>
        </w:trPr>
        <w:tc>
          <w:tcPr>
            <w:tcW w:w="412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Noncurrent:</w:t>
            </w:r>
          </w:p>
        </w:tc>
        <w:tc>
          <w:tcPr>
            <w:tcW w:w="5700" w:type="dxa"/>
            <w:vAlign w:val="bottom"/>
            <w:tcBorders>
              <w:bottom w:val="single" w:sz="8" w:color="CEFFE7"/>
            </w:tcBorders>
            <w:shd w:val="clear" w:color="auto" w:fill="CEFFE7"/>
          </w:tcPr>
          <w:p>
            <w:pPr>
              <w:spacing w:after="0"/>
              <w:rPr>
                <w:sz w:val="21"/>
                <w:szCs w:val="21"/>
                <w:color w:val="auto"/>
              </w:rPr>
            </w:pP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spacing w:after="0"/>
              <w:rPr>
                <w:sz w:val="21"/>
                <w:szCs w:val="21"/>
                <w:color w:val="auto"/>
              </w:rPr>
            </w:pPr>
          </w:p>
        </w:tc>
      </w:tr>
      <w:tr>
        <w:trPr>
          <w:trHeight w:val="243"/>
        </w:trPr>
        <w:tc>
          <w:tcPr>
            <w:tcW w:w="412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5700" w:type="dxa"/>
            <w:vAlign w:val="bottom"/>
          </w:tcPr>
          <w:p>
            <w:pPr>
              <w:ind w:left="40"/>
              <w:spacing w:after="0"/>
              <w:rPr>
                <w:sz w:val="20"/>
                <w:szCs w:val="20"/>
                <w:color w:val="auto"/>
              </w:rPr>
            </w:pPr>
            <w:r>
              <w:rPr>
                <w:rFonts w:ascii="Arial" w:cs="Arial" w:eastAsia="Arial" w:hAnsi="Arial"/>
                <w:sz w:val="18"/>
                <w:szCs w:val="18"/>
                <w:color w:val="auto"/>
              </w:rPr>
              <w:t>Other deferred credits and other liabilities</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3,821</w:t>
            </w:r>
          </w:p>
        </w:tc>
      </w:tr>
      <w:tr>
        <w:trPr>
          <w:trHeight w:val="27"/>
        </w:trPr>
        <w:tc>
          <w:tcPr>
            <w:tcW w:w="4120" w:type="dxa"/>
            <w:vAlign w:val="bottom"/>
          </w:tcPr>
          <w:p>
            <w:pPr>
              <w:spacing w:after="0"/>
              <w:rPr>
                <w:sz w:val="2"/>
                <w:szCs w:val="2"/>
                <w:color w:val="auto"/>
              </w:rPr>
            </w:pPr>
          </w:p>
        </w:tc>
        <w:tc>
          <w:tcPr>
            <w:tcW w:w="57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412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57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Other deferred credits and other liabilities</w:t>
            </w:r>
          </w:p>
        </w:tc>
        <w:tc>
          <w:tcPr>
            <w:tcW w:w="380" w:type="dxa"/>
            <w:vAlign w:val="bottom"/>
            <w:tcBorders>
              <w:bottom w:val="single" w:sz="8" w:color="CEFFE7"/>
            </w:tcBorders>
            <w:shd w:val="clear" w:color="auto" w:fill="CEFFE7"/>
          </w:tcPr>
          <w:p>
            <w:pPr>
              <w:spacing w:after="0"/>
              <w:rPr>
                <w:sz w:val="23"/>
                <w:szCs w:val="23"/>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364</w:t>
            </w: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Total lease liabilities</w:t>
            </w:r>
          </w:p>
        </w:tc>
        <w:tc>
          <w:tcPr>
            <w:tcW w:w="5700" w:type="dxa"/>
            <w:vAlign w:val="bottom"/>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5,473</w:t>
            </w:r>
          </w:p>
        </w:tc>
      </w:tr>
      <w:tr>
        <w:trPr>
          <w:trHeight w:val="20"/>
        </w:trPr>
        <w:tc>
          <w:tcPr>
            <w:tcW w:w="41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Supplemental cash flow information related to leases for the year ended December 31 was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6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40" w:type="dxa"/>
            <w:vAlign w:val="bottom"/>
          </w:tcPr>
          <w:p>
            <w:pPr>
              <w:jc w:val="right"/>
              <w:ind w:right="870"/>
              <w:spacing w:after="0"/>
              <w:rPr>
                <w:sz w:val="20"/>
                <w:szCs w:val="20"/>
                <w:color w:val="auto"/>
              </w:rPr>
            </w:pPr>
            <w:r>
              <w:rPr>
                <w:rFonts w:ascii="Arial" w:cs="Arial" w:eastAsia="Arial" w:hAnsi="Arial"/>
                <w:sz w:val="18"/>
                <w:szCs w:val="18"/>
                <w:color w:val="auto"/>
              </w:rPr>
              <w:t>2019</w:t>
            </w:r>
          </w:p>
        </w:tc>
      </w:tr>
      <w:tr>
        <w:trPr>
          <w:trHeight w:val="27"/>
        </w:trPr>
        <w:tc>
          <w:tcPr>
            <w:tcW w:w="5060" w:type="dxa"/>
            <w:vAlign w:val="bottom"/>
            <w:tcBorders>
              <w:bottom w:val="single" w:sz="8" w:color="CEFFE7"/>
            </w:tcBorders>
          </w:tcPr>
          <w:p>
            <w:pPr>
              <w:spacing w:after="0"/>
              <w:rPr>
                <w:sz w:val="2"/>
                <w:szCs w:val="2"/>
                <w:color w:val="auto"/>
              </w:rPr>
            </w:pPr>
          </w:p>
        </w:tc>
        <w:tc>
          <w:tcPr>
            <w:tcW w:w="4080" w:type="dxa"/>
            <w:vAlign w:val="bottom"/>
            <w:tcBorders>
              <w:bottom w:val="single" w:sz="8" w:color="CEFFE7"/>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r>
      <w:tr>
        <w:trPr>
          <w:trHeight w:val="244"/>
        </w:trPr>
        <w:tc>
          <w:tcPr>
            <w:tcW w:w="5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Cash paid included in the measurement of lease liabilities:</w:t>
            </w:r>
          </w:p>
        </w:tc>
        <w:tc>
          <w:tcPr>
            <w:tcW w:w="408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Operating cash flows from operating leases</w:t>
            </w:r>
          </w:p>
        </w:tc>
        <w:tc>
          <w:tcPr>
            <w:tcW w:w="4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1,263</w:t>
            </w:r>
          </w:p>
        </w:tc>
      </w:tr>
      <w:tr>
        <w:trPr>
          <w:trHeight w:val="27"/>
        </w:trPr>
        <w:tc>
          <w:tcPr>
            <w:tcW w:w="5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Operating cash flows from finance lease</w:t>
            </w:r>
          </w:p>
        </w:tc>
        <w:tc>
          <w:tcPr>
            <w:tcW w:w="4620" w:type="dxa"/>
            <w:vAlign w:val="bottom"/>
            <w:tcBorders>
              <w:bottom w:val="single" w:sz="8" w:color="CEFFE7"/>
            </w:tcBorders>
            <w:gridSpan w:val="2"/>
            <w:shd w:val="clear" w:color="auto" w:fill="CEFFE7"/>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19</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Financing cash flows from finance lease</w:t>
            </w:r>
          </w:p>
        </w:tc>
        <w:tc>
          <w:tcPr>
            <w:tcW w:w="4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93</w:t>
            </w:r>
          </w:p>
        </w:tc>
      </w:tr>
      <w:tr>
        <w:trPr>
          <w:trHeight w:val="27"/>
        </w:trPr>
        <w:tc>
          <w:tcPr>
            <w:tcW w:w="5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w w:val="99"/>
              </w:rPr>
              <w:t>Right-of-use assets obtained in exchange for lease obligations:</w:t>
            </w:r>
          </w:p>
        </w:tc>
        <w:tc>
          <w:tcPr>
            <w:tcW w:w="408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spacing w:after="0"/>
              <w:rPr>
                <w:sz w:val="21"/>
                <w:szCs w:val="21"/>
                <w:color w:val="auto"/>
              </w:rPr>
            </w:pPr>
          </w:p>
        </w:tc>
        <w:tc>
          <w:tcPr>
            <w:tcW w:w="1740" w:type="dxa"/>
            <w:vAlign w:val="bottom"/>
            <w:tcBorders>
              <w:bottom w:val="single" w:sz="8" w:color="CEFFE7"/>
            </w:tcBorders>
            <w:shd w:val="clear" w:color="auto" w:fill="CEFFE7"/>
          </w:tcPr>
          <w:p>
            <w:pPr>
              <w:spacing w:after="0"/>
              <w:rPr>
                <w:sz w:val="21"/>
                <w:szCs w:val="21"/>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Operating leases</w:t>
            </w:r>
          </w:p>
        </w:tc>
        <w:tc>
          <w:tcPr>
            <w:tcW w:w="4620" w:type="dxa"/>
            <w:vAlign w:val="bottom"/>
            <w:gridSpan w:val="2"/>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2,801</w:t>
            </w:r>
          </w:p>
        </w:tc>
      </w:tr>
      <w:tr>
        <w:trPr>
          <w:trHeight w:val="27"/>
        </w:trPr>
        <w:tc>
          <w:tcPr>
            <w:tcW w:w="5060" w:type="dxa"/>
            <w:vAlign w:val="bottom"/>
          </w:tcPr>
          <w:p>
            <w:pPr>
              <w:spacing w:after="0"/>
              <w:rPr>
                <w:sz w:val="2"/>
                <w:szCs w:val="2"/>
                <w:color w:val="auto"/>
              </w:rPr>
            </w:pPr>
          </w:p>
        </w:tc>
        <w:tc>
          <w:tcPr>
            <w:tcW w:w="4080" w:type="dxa"/>
            <w:vAlign w:val="bottom"/>
          </w:tcPr>
          <w:p>
            <w:pPr>
              <w:spacing w:after="0"/>
              <w:rPr>
                <w:sz w:val="2"/>
                <w:szCs w:val="2"/>
                <w:color w:val="auto"/>
              </w:rPr>
            </w:pPr>
          </w:p>
        </w:tc>
        <w:tc>
          <w:tcPr>
            <w:tcW w:w="540" w:type="dxa"/>
            <w:vAlign w:val="bottom"/>
          </w:tcPr>
          <w:p>
            <w:pPr>
              <w:spacing w:after="0"/>
              <w:rPr>
                <w:sz w:val="2"/>
                <w:szCs w:val="2"/>
                <w:color w:val="auto"/>
              </w:rPr>
            </w:pPr>
          </w:p>
        </w:tc>
        <w:tc>
          <w:tcPr>
            <w:tcW w:w="1740" w:type="dxa"/>
            <w:vAlign w:val="bottom"/>
          </w:tcPr>
          <w:p>
            <w:pPr>
              <w:spacing w:after="0"/>
              <w:rPr>
                <w:sz w:val="2"/>
                <w:szCs w:val="2"/>
                <w:color w:val="auto"/>
              </w:rPr>
            </w:pPr>
          </w:p>
        </w:tc>
      </w:tr>
      <w:tr>
        <w:trPr>
          <w:trHeight w:val="250"/>
        </w:trPr>
        <w:tc>
          <w:tcPr>
            <w:tcW w:w="506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Finance lease</w:t>
            </w:r>
          </w:p>
        </w:tc>
        <w:tc>
          <w:tcPr>
            <w:tcW w:w="4620" w:type="dxa"/>
            <w:vAlign w:val="bottom"/>
            <w:tcBorders>
              <w:bottom w:val="single" w:sz="8" w:color="CEFFE7"/>
            </w:tcBorders>
            <w:gridSpan w:val="2"/>
            <w:shd w:val="clear" w:color="auto" w:fill="CEFFE7"/>
          </w:tcPr>
          <w:p>
            <w:pPr>
              <w:jc w:val="right"/>
              <w:ind w:right="420"/>
              <w:spacing w:after="0"/>
              <w:rPr>
                <w:sz w:val="20"/>
                <w:szCs w:val="20"/>
                <w:color w:val="auto"/>
              </w:rPr>
            </w:pPr>
            <w:r>
              <w:rPr>
                <w:rFonts w:ascii="Arial" w:cs="Arial" w:eastAsia="Arial" w:hAnsi="Arial"/>
                <w:sz w:val="18"/>
                <w:szCs w:val="18"/>
                <w:color w:val="auto"/>
              </w:rPr>
              <w:t>$</w:t>
            </w:r>
          </w:p>
        </w:tc>
        <w:tc>
          <w:tcPr>
            <w:tcW w:w="17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67</w:t>
            </w:r>
          </w:p>
        </w:tc>
      </w:tr>
      <w:tr>
        <w:trPr>
          <w:trHeight w:val="864"/>
        </w:trPr>
        <w:tc>
          <w:tcPr>
            <w:tcW w:w="5060" w:type="dxa"/>
            <w:vAlign w:val="bottom"/>
          </w:tcPr>
          <w:p>
            <w:pPr>
              <w:spacing w:after="0"/>
              <w:rPr>
                <w:sz w:val="24"/>
                <w:szCs w:val="24"/>
                <w:color w:val="auto"/>
              </w:rPr>
            </w:pPr>
          </w:p>
        </w:tc>
        <w:tc>
          <w:tcPr>
            <w:tcW w:w="4080" w:type="dxa"/>
            <w:vAlign w:val="bottom"/>
          </w:tcPr>
          <w:p>
            <w:pPr>
              <w:jc w:val="right"/>
              <w:ind w:right="3210"/>
              <w:spacing w:after="0"/>
              <w:rPr>
                <w:sz w:val="20"/>
                <w:szCs w:val="20"/>
                <w:color w:val="auto"/>
              </w:rPr>
            </w:pPr>
            <w:r>
              <w:rPr>
                <w:rFonts w:ascii="Arial" w:cs="Arial" w:eastAsia="Arial" w:hAnsi="Arial"/>
                <w:sz w:val="18"/>
                <w:szCs w:val="18"/>
                <w:color w:val="auto"/>
              </w:rPr>
              <w:t>121</w:t>
            </w:r>
          </w:p>
        </w:tc>
        <w:tc>
          <w:tcPr>
            <w:tcW w:w="540" w:type="dxa"/>
            <w:vAlign w:val="bottom"/>
          </w:tcPr>
          <w:p>
            <w:pPr>
              <w:spacing w:after="0"/>
              <w:rPr>
                <w:sz w:val="24"/>
                <w:szCs w:val="24"/>
                <w:color w:val="auto"/>
              </w:rPr>
            </w:pPr>
          </w:p>
        </w:tc>
        <w:tc>
          <w:tcPr>
            <w:tcW w:w="17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22" w:name="page123"/>
    <w:bookmarkEnd w:id="12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Weighted average remaining terms and discount rates related to leases as of December 31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080" w:type="dxa"/>
            <w:vAlign w:val="bottom"/>
          </w:tcPr>
          <w:p>
            <w:pPr>
              <w:spacing w:after="0"/>
              <w:rPr>
                <w:sz w:val="20"/>
                <w:szCs w:val="20"/>
                <w:color w:val="auto"/>
              </w:rPr>
            </w:pPr>
          </w:p>
        </w:tc>
        <w:tc>
          <w:tcPr>
            <w:tcW w:w="2340" w:type="dxa"/>
            <w:vAlign w:val="bottom"/>
          </w:tcPr>
          <w:p>
            <w:pPr>
              <w:jc w:val="right"/>
              <w:ind w:right="910"/>
              <w:spacing w:after="0"/>
              <w:rPr>
                <w:sz w:val="20"/>
                <w:szCs w:val="20"/>
                <w:color w:val="auto"/>
              </w:rPr>
            </w:pPr>
            <w:r>
              <w:rPr>
                <w:rFonts w:ascii="Arial" w:cs="Arial" w:eastAsia="Arial" w:hAnsi="Arial"/>
                <w:sz w:val="18"/>
                <w:szCs w:val="18"/>
                <w:color w:val="auto"/>
              </w:rPr>
              <w:t>2019</w:t>
            </w:r>
          </w:p>
        </w:tc>
      </w:tr>
      <w:tr>
        <w:trPr>
          <w:trHeight w:val="27"/>
        </w:trPr>
        <w:tc>
          <w:tcPr>
            <w:tcW w:w="9080" w:type="dxa"/>
            <w:vAlign w:val="bottom"/>
            <w:tcBorders>
              <w:bottom w:val="single" w:sz="8" w:color="CEFFE7"/>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44"/>
        </w:trPr>
        <w:tc>
          <w:tcPr>
            <w:tcW w:w="9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remaining lease term (years):</w:t>
            </w:r>
          </w:p>
        </w:tc>
        <w:tc>
          <w:tcPr>
            <w:tcW w:w="2340" w:type="dxa"/>
            <w:vAlign w:val="bottom"/>
            <w:tcBorders>
              <w:bottom w:val="single" w:sz="8" w:color="CEFFE7"/>
            </w:tcBorders>
            <w:shd w:val="clear" w:color="auto" w:fill="CEFFE7"/>
          </w:tcPr>
          <w:p>
            <w:pPr>
              <w:spacing w:after="0"/>
              <w:rPr>
                <w:sz w:val="21"/>
                <w:szCs w:val="21"/>
                <w:color w:val="auto"/>
              </w:rPr>
            </w:pPr>
          </w:p>
        </w:tc>
      </w:tr>
      <w:tr>
        <w:trPr>
          <w:trHeight w:val="243"/>
        </w:trPr>
        <w:tc>
          <w:tcPr>
            <w:tcW w:w="90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ind w:right="90"/>
              <w:spacing w:after="0"/>
              <w:rPr>
                <w:sz w:val="20"/>
                <w:szCs w:val="20"/>
                <w:color w:val="auto"/>
              </w:rPr>
            </w:pPr>
            <w:r>
              <w:rPr>
                <w:rFonts w:ascii="Arial" w:cs="Arial" w:eastAsia="Arial" w:hAnsi="Arial"/>
                <w:sz w:val="18"/>
                <w:szCs w:val="18"/>
                <w:color w:val="auto"/>
              </w:rPr>
              <w:t>8 years</w:t>
            </w:r>
          </w:p>
        </w:tc>
      </w:tr>
      <w:tr>
        <w:trPr>
          <w:trHeight w:val="27"/>
        </w:trPr>
        <w:tc>
          <w:tcPr>
            <w:tcW w:w="9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50"/>
        </w:trPr>
        <w:tc>
          <w:tcPr>
            <w:tcW w:w="9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Finance lease</w:t>
            </w:r>
          </w:p>
        </w:tc>
        <w:tc>
          <w:tcPr>
            <w:tcW w:w="234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4 years</w:t>
            </w:r>
          </w:p>
        </w:tc>
      </w:tr>
      <w:tr>
        <w:trPr>
          <w:trHeight w:val="324"/>
        </w:trPr>
        <w:tc>
          <w:tcPr>
            <w:tcW w:w="9080" w:type="dxa"/>
            <w:vAlign w:val="bottom"/>
          </w:tcPr>
          <w:p>
            <w:pPr>
              <w:spacing w:after="0"/>
              <w:rPr>
                <w:sz w:val="24"/>
                <w:szCs w:val="24"/>
                <w:color w:val="auto"/>
              </w:rPr>
            </w:pPr>
          </w:p>
        </w:tc>
        <w:tc>
          <w:tcPr>
            <w:tcW w:w="2340" w:type="dxa"/>
            <w:vAlign w:val="bottom"/>
          </w:tcPr>
          <w:p>
            <w:pPr>
              <w:spacing w:after="0"/>
              <w:rPr>
                <w:sz w:val="24"/>
                <w:szCs w:val="24"/>
                <w:color w:val="auto"/>
              </w:rPr>
            </w:pPr>
          </w:p>
        </w:tc>
      </w:tr>
      <w:tr>
        <w:trPr>
          <w:trHeight w:val="250"/>
        </w:trPr>
        <w:tc>
          <w:tcPr>
            <w:tcW w:w="9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Weighted average discount rate:</w:t>
            </w:r>
          </w:p>
        </w:tc>
        <w:tc>
          <w:tcPr>
            <w:tcW w:w="2340" w:type="dxa"/>
            <w:vAlign w:val="bottom"/>
            <w:tcBorders>
              <w:bottom w:val="single" w:sz="8" w:color="CEFFE7"/>
            </w:tcBorders>
            <w:shd w:val="clear" w:color="auto" w:fill="CEFFE7"/>
          </w:tcPr>
          <w:p>
            <w:pPr>
              <w:spacing w:after="0"/>
              <w:rPr>
                <w:sz w:val="21"/>
                <w:szCs w:val="21"/>
                <w:color w:val="auto"/>
              </w:rPr>
            </w:pPr>
          </w:p>
        </w:tc>
      </w:tr>
      <w:tr>
        <w:trPr>
          <w:trHeight w:val="243"/>
        </w:trPr>
        <w:tc>
          <w:tcPr>
            <w:tcW w:w="90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234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27"/>
        </w:trPr>
        <w:tc>
          <w:tcPr>
            <w:tcW w:w="9080" w:type="dxa"/>
            <w:vAlign w:val="bottom"/>
          </w:tcPr>
          <w:p>
            <w:pPr>
              <w:spacing w:after="0"/>
              <w:rPr>
                <w:sz w:val="2"/>
                <w:szCs w:val="2"/>
                <w:color w:val="auto"/>
              </w:rPr>
            </w:pPr>
          </w:p>
        </w:tc>
        <w:tc>
          <w:tcPr>
            <w:tcW w:w="2340" w:type="dxa"/>
            <w:vAlign w:val="bottom"/>
          </w:tcPr>
          <w:p>
            <w:pPr>
              <w:spacing w:after="0"/>
              <w:rPr>
                <w:sz w:val="2"/>
                <w:szCs w:val="2"/>
                <w:color w:val="auto"/>
              </w:rPr>
            </w:pPr>
          </w:p>
        </w:tc>
      </w:tr>
      <w:tr>
        <w:trPr>
          <w:trHeight w:val="243"/>
        </w:trPr>
        <w:tc>
          <w:tcPr>
            <w:tcW w:w="9080" w:type="dxa"/>
            <w:vAlign w:val="bottom"/>
            <w:shd w:val="clear" w:color="auto" w:fill="CEFFE7"/>
          </w:tcPr>
          <w:p>
            <w:pPr>
              <w:ind w:left="180"/>
              <w:spacing w:after="0"/>
              <w:rPr>
                <w:sz w:val="20"/>
                <w:szCs w:val="20"/>
                <w:color w:val="auto"/>
              </w:rPr>
            </w:pPr>
            <w:r>
              <w:rPr>
                <w:rFonts w:ascii="Arial" w:cs="Arial" w:eastAsia="Arial" w:hAnsi="Arial"/>
                <w:sz w:val="18"/>
                <w:szCs w:val="18"/>
                <w:color w:val="auto"/>
              </w:rPr>
              <w:t>Finance lease</w:t>
            </w:r>
          </w:p>
        </w:tc>
        <w:tc>
          <w:tcPr>
            <w:tcW w:w="234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4.19%</w:t>
            </w:r>
          </w:p>
        </w:tc>
      </w:tr>
      <w:tr>
        <w:trPr>
          <w:trHeight w:val="27"/>
        </w:trPr>
        <w:tc>
          <w:tcPr>
            <w:tcW w:w="9080" w:type="dxa"/>
            <w:vAlign w:val="bottom"/>
            <w:shd w:val="clear" w:color="auto" w:fill="CEFFE7"/>
          </w:tcPr>
          <w:p>
            <w:pPr>
              <w:spacing w:after="0"/>
              <w:rPr>
                <w:sz w:val="2"/>
                <w:szCs w:val="2"/>
                <w:color w:val="auto"/>
              </w:rPr>
            </w:pPr>
          </w:p>
        </w:tc>
        <w:tc>
          <w:tcPr>
            <w:tcW w:w="234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scheduled maturities of lease liabilities for future years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9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tcPr>
          <w:p>
            <w:pPr>
              <w:jc w:val="right"/>
              <w:ind w:right="170"/>
              <w:spacing w:after="0"/>
              <w:rPr>
                <w:sz w:val="20"/>
                <w:szCs w:val="20"/>
                <w:color w:val="auto"/>
              </w:rPr>
            </w:pPr>
            <w:r>
              <w:rPr>
                <w:rFonts w:ascii="Arial" w:cs="Arial" w:eastAsia="Arial" w:hAnsi="Arial"/>
                <w:sz w:val="18"/>
                <w:szCs w:val="18"/>
                <w:color w:val="auto"/>
                <w:w w:val="91"/>
              </w:rPr>
              <w:t>Operating Leases</w:t>
            </w:r>
          </w:p>
        </w:tc>
        <w:tc>
          <w:tcPr>
            <w:tcW w:w="1480" w:type="dxa"/>
            <w:vAlign w:val="bottom"/>
          </w:tcPr>
          <w:p>
            <w:pPr>
              <w:jc w:val="right"/>
              <w:spacing w:after="0"/>
              <w:rPr>
                <w:sz w:val="20"/>
                <w:szCs w:val="20"/>
                <w:color w:val="auto"/>
              </w:rPr>
            </w:pPr>
            <w:r>
              <w:rPr>
                <w:rFonts w:ascii="Arial" w:cs="Arial" w:eastAsia="Arial" w:hAnsi="Arial"/>
                <w:sz w:val="18"/>
                <w:szCs w:val="18"/>
                <w:color w:val="auto"/>
              </w:rPr>
              <w:t>Finance Lease</w:t>
            </w:r>
          </w:p>
        </w:tc>
        <w:tc>
          <w:tcPr>
            <w:tcW w:w="3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0" w:type="dxa"/>
            <w:vAlign w:val="bottom"/>
          </w:tcPr>
          <w:p>
            <w:pPr>
              <w:jc w:val="right"/>
              <w:ind w:right="6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2020</w:t>
            </w:r>
          </w:p>
        </w:tc>
        <w:tc>
          <w:tcPr>
            <w:tcW w:w="2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1,018</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126</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1,144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2021</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865</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126</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2022</w:t>
            </w:r>
          </w:p>
        </w:tc>
        <w:tc>
          <w:tcPr>
            <w:tcW w:w="2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743</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126</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2023</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718</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79"/>
              </w:rPr>
              <w:t>126</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844</w:t>
            </w:r>
          </w:p>
        </w:tc>
        <w:tc>
          <w:tcPr>
            <w:tcW w:w="0" w:type="dxa"/>
            <w:vAlign w:val="bottom"/>
          </w:tcPr>
          <w:p>
            <w:pPr>
              <w:spacing w:after="0"/>
              <w:rPr>
                <w:sz w:val="1"/>
                <w:szCs w:val="1"/>
                <w:color w:val="auto"/>
              </w:rPr>
            </w:pPr>
          </w:p>
        </w:tc>
      </w:tr>
      <w:tr>
        <w:trPr>
          <w:trHeight w:val="27"/>
        </w:trPr>
        <w:tc>
          <w:tcPr>
            <w:tcW w:w="5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4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2024</w:t>
            </w:r>
          </w:p>
        </w:tc>
        <w:tc>
          <w:tcPr>
            <w:tcW w:w="200" w:type="dxa"/>
            <w:vAlign w:val="bottom"/>
            <w:tcBorders>
              <w:bottom w:val="single" w:sz="8" w:color="CEFFE7"/>
            </w:tcBorders>
            <w:shd w:val="clear" w:color="auto" w:fill="CEFFE7"/>
          </w:tcPr>
          <w:p>
            <w:pPr>
              <w:spacing w:after="0"/>
              <w:rPr>
                <w:sz w:val="21"/>
                <w:szCs w:val="21"/>
                <w:color w:val="auto"/>
              </w:rPr>
            </w:pPr>
          </w:p>
        </w:tc>
        <w:tc>
          <w:tcPr>
            <w:tcW w:w="15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714</w:t>
            </w:r>
          </w:p>
        </w:tc>
        <w:tc>
          <w:tcPr>
            <w:tcW w:w="1480" w:type="dxa"/>
            <w:vAlign w:val="bottom"/>
            <w:tcBorders>
              <w:bottom w:val="single" w:sz="8" w:color="CEFFE7"/>
            </w:tcBorders>
            <w:shd w:val="clear" w:color="auto" w:fill="CEFFE7"/>
          </w:tcPr>
          <w:p>
            <w:pPr>
              <w:spacing w:after="0"/>
              <w:rPr>
                <w:sz w:val="21"/>
                <w:szCs w:val="21"/>
                <w:color w:val="auto"/>
              </w:rPr>
            </w:pPr>
          </w:p>
        </w:tc>
        <w:tc>
          <w:tcPr>
            <w:tcW w:w="3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w:t>
            </w:r>
          </w:p>
        </w:tc>
        <w:tc>
          <w:tcPr>
            <w:tcW w:w="460" w:type="dxa"/>
            <w:vAlign w:val="bottom"/>
            <w:tcBorders>
              <w:bottom w:val="single" w:sz="8" w:color="CEFFE7"/>
            </w:tcBorders>
            <w:shd w:val="clear" w:color="auto" w:fill="CEFFE7"/>
          </w:tcPr>
          <w:p>
            <w:pPr>
              <w:spacing w:after="0"/>
              <w:rPr>
                <w:sz w:val="21"/>
                <w:szCs w:val="21"/>
                <w:color w:val="auto"/>
              </w:rPr>
            </w:pPr>
          </w:p>
        </w:tc>
        <w:tc>
          <w:tcPr>
            <w:tcW w:w="14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724</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2,009</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2,009</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96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Total lease payments </w:t>
            </w:r>
            <w:r>
              <w:rPr>
                <w:rFonts w:ascii="Arial" w:cs="Arial" w:eastAsia="Arial" w:hAnsi="Arial"/>
                <w:sz w:val="25"/>
                <w:szCs w:val="25"/>
                <w:color w:val="auto"/>
                <w:vertAlign w:val="superscript"/>
              </w:rPr>
              <w:t>(a)</w:t>
            </w:r>
          </w:p>
        </w:tc>
        <w:tc>
          <w:tcPr>
            <w:tcW w:w="2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6,067</w:t>
            </w:r>
          </w:p>
        </w:tc>
        <w:tc>
          <w:tcPr>
            <w:tcW w:w="1480" w:type="dxa"/>
            <w:vAlign w:val="bottom"/>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shd w:val="clear" w:color="auto" w:fill="CEFFE7"/>
          </w:tcPr>
          <w:p>
            <w:pPr>
              <w:jc w:val="right"/>
              <w:spacing w:after="0"/>
              <w:rPr>
                <w:sz w:val="20"/>
                <w:szCs w:val="20"/>
                <w:color w:val="auto"/>
              </w:rPr>
            </w:pPr>
            <w:r>
              <w:rPr>
                <w:rFonts w:ascii="Arial" w:cs="Arial" w:eastAsia="Arial" w:hAnsi="Arial"/>
                <w:sz w:val="18"/>
                <w:szCs w:val="18"/>
                <w:color w:val="auto"/>
                <w:w w:val="79"/>
              </w:rPr>
              <w:t>514</w:t>
            </w:r>
          </w:p>
        </w:tc>
        <w:tc>
          <w:tcPr>
            <w:tcW w:w="460" w:type="dxa"/>
            <w:vAlign w:val="bottom"/>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6,581</w:t>
            </w:r>
          </w:p>
        </w:tc>
        <w:tc>
          <w:tcPr>
            <w:tcW w:w="0" w:type="dxa"/>
            <w:vAlign w:val="bottom"/>
          </w:tcPr>
          <w:p>
            <w:pPr>
              <w:spacing w:after="0"/>
              <w:rPr>
                <w:sz w:val="1"/>
                <w:szCs w:val="1"/>
                <w:color w:val="auto"/>
              </w:rPr>
            </w:pPr>
          </w:p>
        </w:tc>
      </w:tr>
      <w:tr>
        <w:trPr>
          <w:trHeight w:val="243"/>
        </w:trPr>
        <w:tc>
          <w:tcPr>
            <w:tcW w:w="5960" w:type="dxa"/>
            <w:vAlign w:val="bottom"/>
          </w:tcPr>
          <w:p>
            <w:pPr>
              <w:ind w:left="40"/>
              <w:spacing w:after="0"/>
              <w:rPr>
                <w:sz w:val="20"/>
                <w:szCs w:val="20"/>
                <w:color w:val="auto"/>
              </w:rPr>
            </w:pPr>
            <w:r>
              <w:rPr>
                <w:rFonts w:ascii="Arial" w:cs="Arial" w:eastAsia="Arial" w:hAnsi="Arial"/>
                <w:sz w:val="18"/>
                <w:szCs w:val="18"/>
                <w:color w:val="auto"/>
              </w:rPr>
              <w:t>Less imputed interest</w:t>
            </w:r>
          </w:p>
        </w:tc>
        <w:tc>
          <w:tcPr>
            <w:tcW w:w="20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1,067</w:t>
            </w:r>
          </w:p>
        </w:tc>
        <w:tc>
          <w:tcPr>
            <w:tcW w:w="148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41</w:t>
            </w:r>
          </w:p>
        </w:tc>
        <w:tc>
          <w:tcPr>
            <w:tcW w:w="46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1,108</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9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Present value of lease liabilities</w:t>
            </w:r>
          </w:p>
        </w:tc>
        <w:tc>
          <w:tcPr>
            <w:tcW w:w="2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5,000</w:t>
            </w:r>
          </w:p>
        </w:tc>
        <w:tc>
          <w:tcPr>
            <w:tcW w:w="1480" w:type="dxa"/>
            <w:vAlign w:val="bottom"/>
            <w:tcBorders>
              <w:bottom w:val="single" w:sz="8" w:color="auto"/>
            </w:tcBorders>
            <w:shd w:val="clear" w:color="auto" w:fill="CEFFE7"/>
          </w:tcPr>
          <w:p>
            <w:pPr>
              <w:jc w:val="right"/>
              <w:ind w:right="12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79"/>
              </w:rPr>
              <w:t>473</w:t>
            </w:r>
          </w:p>
        </w:tc>
        <w:tc>
          <w:tcPr>
            <w:tcW w:w="460" w:type="dxa"/>
            <w:vAlign w:val="bottom"/>
            <w:tcBorders>
              <w:bottom w:val="single" w:sz="8" w:color="auto"/>
            </w:tcBorders>
            <w:shd w:val="clear" w:color="auto" w:fill="CEFFE7"/>
          </w:tcPr>
          <w:p>
            <w:pPr>
              <w:jc w:val="right"/>
              <w:ind w:right="21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5,473</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596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Lease payments exclude payments to landlords for common area maintenance, real estate taxes, and insurance.</w:t>
      </w:r>
    </w:p>
    <w:p>
      <w:pPr>
        <w:spacing w:after="0" w:line="200" w:lineRule="exact"/>
        <w:rPr>
          <w:sz w:val="20"/>
          <w:szCs w:val="20"/>
          <w:color w:val="auto"/>
        </w:rPr>
      </w:pPr>
    </w:p>
    <w:p>
      <w:pPr>
        <w:spacing w:after="0" w:line="219"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 xml:space="preserve">As previously disclosed in Note 14 of the Notes to the Consolidated Financial Statements in our 2018 Annual Report on Form 10-K, prior to the adoption of ASU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the future minimum payments required under operating lease agreements as of December 31, 2018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w w:val="99"/>
              </w:rPr>
              <w:t>Operating Leases</w:t>
            </w:r>
          </w:p>
        </w:tc>
      </w:tr>
      <w:tr>
        <w:trPr>
          <w:trHeight w:val="27"/>
        </w:trPr>
        <w:tc>
          <w:tcPr>
            <w:tcW w:w="91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2019</w:t>
            </w:r>
          </w:p>
        </w:tc>
        <w:tc>
          <w:tcPr>
            <w:tcW w:w="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1,052</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464</w:t>
            </w: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344</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224</w:t>
            </w: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1,776</w:t>
            </w:r>
          </w:p>
        </w:tc>
      </w:tr>
      <w:tr>
        <w:trPr>
          <w:trHeight w:val="27"/>
        </w:trPr>
        <w:tc>
          <w:tcPr>
            <w:tcW w:w="91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lease payments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4,076</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Lessor</w:t>
      </w:r>
    </w:p>
    <w:p>
      <w:pPr>
        <w:spacing w:after="0" w:line="22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We lease to third parties certain generating station ground leases, communication tower sites, and a natural gas pipeline. These leases have remaining terms ranging from less than one year to 35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revenue for the year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60" w:type="dxa"/>
            <w:vAlign w:val="bottom"/>
          </w:tcPr>
          <w:p>
            <w:pPr>
              <w:spacing w:after="0"/>
              <w:rPr>
                <w:sz w:val="20"/>
                <w:szCs w:val="20"/>
                <w:color w:val="auto"/>
              </w:rPr>
            </w:pPr>
          </w:p>
        </w:tc>
        <w:tc>
          <w:tcPr>
            <w:tcW w:w="4720" w:type="dxa"/>
            <w:vAlign w:val="bottom"/>
          </w:tcPr>
          <w:p>
            <w:pPr>
              <w:ind w:left="1800"/>
              <w:spacing w:after="0"/>
              <w:rPr>
                <w:sz w:val="20"/>
                <w:szCs w:val="20"/>
                <w:color w:val="auto"/>
              </w:rPr>
            </w:pPr>
            <w:r>
              <w:rPr>
                <w:rFonts w:ascii="Arial" w:cs="Arial" w:eastAsia="Arial" w:hAnsi="Arial"/>
                <w:sz w:val="18"/>
                <w:szCs w:val="18"/>
                <w:color w:val="auto"/>
              </w:rPr>
              <w:t>Income Statement Location</w:t>
            </w:r>
          </w:p>
        </w:tc>
        <w:tc>
          <w:tcPr>
            <w:tcW w:w="138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2019</w:t>
            </w:r>
          </w:p>
        </w:tc>
      </w:tr>
      <w:tr>
        <w:trPr>
          <w:trHeight w:val="27"/>
        </w:trPr>
        <w:tc>
          <w:tcPr>
            <w:tcW w:w="3660" w:type="dxa"/>
            <w:vAlign w:val="bottom"/>
            <w:tcBorders>
              <w:bottom w:val="single" w:sz="8" w:color="CEFFE7"/>
            </w:tcBorders>
          </w:tcPr>
          <w:p>
            <w:pPr>
              <w:spacing w:after="0"/>
              <w:rPr>
                <w:sz w:val="2"/>
                <w:szCs w:val="2"/>
                <w:color w:val="auto"/>
              </w:rPr>
            </w:pPr>
          </w:p>
        </w:tc>
        <w:tc>
          <w:tcPr>
            <w:tcW w:w="47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r>
      <w:tr>
        <w:trPr>
          <w:trHeight w:val="237"/>
        </w:trPr>
        <w:tc>
          <w:tcPr>
            <w:tcW w:w="3660" w:type="dxa"/>
            <w:vAlign w:val="bottom"/>
            <w:shd w:val="clear" w:color="auto" w:fill="CEFFE7"/>
          </w:tcPr>
          <w:p>
            <w:pPr>
              <w:ind w:left="40"/>
              <w:spacing w:after="0"/>
              <w:rPr>
                <w:sz w:val="20"/>
                <w:szCs w:val="20"/>
                <w:color w:val="auto"/>
              </w:rPr>
            </w:pPr>
            <w:r>
              <w:rPr>
                <w:rFonts w:ascii="Arial" w:cs="Arial" w:eastAsia="Arial" w:hAnsi="Arial"/>
                <w:sz w:val="18"/>
                <w:szCs w:val="18"/>
                <w:color w:val="auto"/>
              </w:rPr>
              <w:t>Operating lease income</w:t>
            </w:r>
          </w:p>
        </w:tc>
        <w:tc>
          <w:tcPr>
            <w:tcW w:w="4720" w:type="dxa"/>
            <w:vAlign w:val="bottom"/>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1380" w:type="dxa"/>
            <w:vAlign w:val="bottom"/>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2,306</w:t>
            </w:r>
          </w:p>
        </w:tc>
      </w:tr>
      <w:tr>
        <w:trPr>
          <w:trHeight w:val="27"/>
        </w:trPr>
        <w:tc>
          <w:tcPr>
            <w:tcW w:w="3660" w:type="dxa"/>
            <w:vAlign w:val="bottom"/>
            <w:shd w:val="clear" w:color="auto" w:fill="CEFFE7"/>
          </w:tcPr>
          <w:p>
            <w:pPr>
              <w:spacing w:after="0"/>
              <w:rPr>
                <w:sz w:val="2"/>
                <w:szCs w:val="2"/>
                <w:color w:val="auto"/>
              </w:rPr>
            </w:pPr>
          </w:p>
        </w:tc>
        <w:tc>
          <w:tcPr>
            <w:tcW w:w="4720" w:type="dxa"/>
            <w:vAlign w:val="bottom"/>
            <w:shd w:val="clear" w:color="auto" w:fill="CEFFE7"/>
          </w:tcPr>
          <w:p>
            <w:pPr>
              <w:spacing w:after="0"/>
              <w:rPr>
                <w:sz w:val="2"/>
                <w:szCs w:val="2"/>
                <w:color w:val="auto"/>
              </w:rPr>
            </w:pPr>
          </w:p>
        </w:tc>
        <w:tc>
          <w:tcPr>
            <w:tcW w:w="1380" w:type="dxa"/>
            <w:vAlign w:val="bottom"/>
            <w:shd w:val="clear" w:color="auto" w:fill="CEFFE7"/>
          </w:tcPr>
          <w:p>
            <w:pPr>
              <w:spacing w:after="0"/>
              <w:rPr>
                <w:sz w:val="2"/>
                <w:szCs w:val="2"/>
                <w:color w:val="auto"/>
              </w:rPr>
            </w:pPr>
          </w:p>
        </w:tc>
        <w:tc>
          <w:tcPr>
            <w:tcW w:w="166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420"/>
          </w:cols>
          <w:pgMar w:left="240" w:top="126" w:right="239" w:bottom="1440" w:gutter="0" w:footer="0" w:header="0"/>
          <w:type w:val="continuous"/>
        </w:sectPr>
      </w:pPr>
    </w:p>
    <w:bookmarkStart w:id="123" w:name="page124"/>
    <w:bookmarkEnd w:id="12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2019, scheduled maturities of operating lease payments to be received in future years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960" w:type="dxa"/>
            <w:vAlign w:val="bottom"/>
          </w:tcPr>
          <w:p>
            <w:pPr>
              <w:jc w:val="right"/>
              <w:ind w:right="430"/>
              <w:spacing w:after="0"/>
              <w:rPr>
                <w:sz w:val="20"/>
                <w:szCs w:val="20"/>
                <w:color w:val="auto"/>
              </w:rPr>
            </w:pPr>
            <w:r>
              <w:rPr>
                <w:rFonts w:ascii="Arial" w:cs="Arial" w:eastAsia="Arial" w:hAnsi="Arial"/>
                <w:sz w:val="18"/>
                <w:szCs w:val="18"/>
                <w:color w:val="auto"/>
                <w:w w:val="99"/>
              </w:rPr>
              <w:t>Operating Leases</w:t>
            </w:r>
          </w:p>
        </w:tc>
      </w:tr>
      <w:tr>
        <w:trPr>
          <w:trHeight w:val="27"/>
        </w:trPr>
        <w:tc>
          <w:tcPr>
            <w:tcW w:w="91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4"/>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2020</w:t>
            </w: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2,227</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2021</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1,857</w:t>
            </w: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2022</w:t>
            </w: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1,793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2023</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1,799</w:t>
            </w:r>
          </w:p>
        </w:tc>
      </w:tr>
      <w:tr>
        <w:trPr>
          <w:trHeight w:val="27"/>
        </w:trPr>
        <w:tc>
          <w:tcPr>
            <w:tcW w:w="91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2024</w:t>
            </w:r>
          </w:p>
        </w:tc>
        <w:tc>
          <w:tcPr>
            <w:tcW w:w="320" w:type="dxa"/>
            <w:vAlign w:val="bottom"/>
            <w:tcBorders>
              <w:bottom w:val="single" w:sz="8" w:color="CEFFE7"/>
            </w:tcBorders>
            <w:shd w:val="clear" w:color="auto" w:fill="CEFFE7"/>
          </w:tcPr>
          <w:p>
            <w:pPr>
              <w:spacing w:after="0"/>
              <w:rPr>
                <w:sz w:val="21"/>
                <w:szCs w:val="21"/>
                <w:color w:val="auto"/>
              </w:rPr>
            </w:pPr>
          </w:p>
        </w:tc>
        <w:tc>
          <w:tcPr>
            <w:tcW w:w="19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1,743</w:t>
            </w:r>
          </w:p>
        </w:tc>
      </w:tr>
      <w:tr>
        <w:trPr>
          <w:trHeight w:val="243"/>
        </w:trPr>
        <w:tc>
          <w:tcPr>
            <w:tcW w:w="91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20" w:type="dxa"/>
            <w:vAlign w:val="bottom"/>
          </w:tcPr>
          <w:p>
            <w:pPr>
              <w:spacing w:after="0"/>
              <w:rPr>
                <w:sz w:val="21"/>
                <w:szCs w:val="21"/>
                <w:color w:val="auto"/>
              </w:rPr>
            </w:pPr>
          </w:p>
        </w:tc>
        <w:tc>
          <w:tcPr>
            <w:tcW w:w="1960" w:type="dxa"/>
            <w:vAlign w:val="bottom"/>
          </w:tcPr>
          <w:p>
            <w:pPr>
              <w:jc w:val="right"/>
              <w:ind w:right="10"/>
              <w:spacing w:after="0"/>
              <w:rPr>
                <w:sz w:val="20"/>
                <w:szCs w:val="20"/>
                <w:color w:val="auto"/>
              </w:rPr>
            </w:pPr>
            <w:r>
              <w:rPr>
                <w:rFonts w:ascii="Arial" w:cs="Arial" w:eastAsia="Arial" w:hAnsi="Arial"/>
                <w:sz w:val="18"/>
                <w:szCs w:val="18"/>
                <w:color w:val="auto"/>
              </w:rPr>
              <w:t>53,739</w:t>
            </w:r>
          </w:p>
        </w:tc>
      </w:tr>
      <w:tr>
        <w:trPr>
          <w:trHeight w:val="27"/>
        </w:trPr>
        <w:tc>
          <w:tcPr>
            <w:tcW w:w="9140" w:type="dxa"/>
            <w:vAlign w:val="bottom"/>
            <w:tcBorders>
              <w:bottom w:val="single" w:sz="8" w:color="CEFFE7"/>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57"/>
        </w:trPr>
        <w:tc>
          <w:tcPr>
            <w:tcW w:w="914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lease receivables</w:t>
            </w:r>
          </w:p>
        </w:tc>
        <w:tc>
          <w:tcPr>
            <w:tcW w:w="320" w:type="dxa"/>
            <w:vAlign w:val="bottom"/>
            <w:tcBorders>
              <w:bottom w:val="single" w:sz="8" w:color="auto"/>
            </w:tcBorders>
            <w:shd w:val="clear" w:color="auto" w:fill="CEFFE7"/>
          </w:tcPr>
          <w:p>
            <w:pPr>
              <w:jc w:val="right"/>
              <w:ind w:right="11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63,158</w:t>
            </w:r>
          </w:p>
        </w:tc>
      </w:tr>
      <w:tr>
        <w:trPr>
          <w:trHeight w:val="20"/>
        </w:trPr>
        <w:tc>
          <w:tcPr>
            <w:tcW w:w="91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80" w:hanging="472"/>
        <w:spacing w:after="0"/>
        <w:tabs>
          <w:tab w:leader="none" w:pos="480" w:val="left"/>
        </w:tabs>
        <w:numPr>
          <w:ilvl w:val="0"/>
          <w:numId w:val="8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5"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TCJA</w:t>
      </w:r>
    </w:p>
    <w:p>
      <w:pPr>
        <w:spacing w:after="0" w:line="22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On December 22, 2017, the U.S. government enacted comprehensive tax legislation commonly referred to as the TCJA. The TCJA reduced the U.S. federal corporate tax rate from 35% to 21%. As such, the Company remeasured the deferred income taxes at the 21% federal tax rate as of December 31, 2017. The entities subject to regulatory construct have made their best estimate regarding the probability of settlements of net regulatory liabilities established pursuant to the TCJA. The amount of the settlements may change based on decisions and actions by the federal and state utility commissions, which could have a material impact on the Company’s future results of operations, cash flows or financial position. As a result of the revaluation at December 31, 2017, deferred tax assets and liabilities were reduced by approximately $309 million. Of the $309 million, approximately $301 million is related to our regulated utilities and is reclassified to a regulatory liability. During the year ended December 31, 2018 we recorded approximately $11 million of additional regulatory liability associated with TCJA related items primarily related to property, completing the revaluation of deferred taxes pursuant to the TCJA. A majority of the excess deferred taxes are subject to the average rate assumption method, as prescribed by the IRS, and will generally be amortized as a reduction of customer rates over the remaining lives of the related assets. As of December 31, 2019, the Company has amortized $6.5 million of the regulatory liability. The portion that was eligible for amortization under the average rate assumption method in 2019, but is awaiting resolution of the treatment of these amounts in future regulatory proceedings, has not been recognized and may be refunded in customer rates at any time in accordance with the resolution of pending or future regulatory proceedings.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Tax benefit related to legal entity restructuring</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As part of the Company’s ongoing efforts to continue to integrate the legal entities that the Company has acquired in recent years, certain legal entity restructuring transactions occurred on March 31, 2018 and December 31, 2018. As a result of these transactions, additional deferred income tax assets of $73 million, related to goodwill that is amortizable for tax purposes, were recorded and deferred tax benefits of $73 million were recorded to income tax benefit (expense) on the Consolidated Statements of Income. Due to this being a common control transaction, it had no effect on the other assets and liabilities of these entities.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420"/>
          </w:cols>
          <w:pgMar w:left="240" w:top="126" w:right="239" w:bottom="1440" w:gutter="0" w:footer="0" w:header="0"/>
        </w:sectPr>
      </w:pPr>
    </w:p>
    <w:bookmarkStart w:id="124" w:name="page125"/>
    <w:bookmarkEnd w:id="12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Income tax expense (benefit) from continuing operations for the years ended December 31 was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6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220" w:type="dxa"/>
            <w:vAlign w:val="bottom"/>
          </w:tcPr>
          <w:p>
            <w:pPr>
              <w:jc w:val="right"/>
              <w:ind w:right="53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6640" w:type="dxa"/>
            <w:vAlign w:val="bottom"/>
            <w:vMerge w:val="restart"/>
          </w:tcPr>
          <w:p>
            <w:pPr>
              <w:ind w:left="40"/>
              <w:spacing w:after="0"/>
              <w:rPr>
                <w:sz w:val="20"/>
                <w:szCs w:val="20"/>
                <w:color w:val="auto"/>
              </w:rPr>
            </w:pPr>
            <w:r>
              <w:rPr>
                <w:rFonts w:ascii="Arial" w:cs="Arial" w:eastAsia="Arial" w:hAnsi="Arial"/>
                <w:sz w:val="18"/>
                <w:szCs w:val="18"/>
                <w:color w:val="auto"/>
              </w:rPr>
              <w:t>Current:</w:t>
            </w: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64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(8,578)</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325</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(6,193)</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247</w:t>
            </w:r>
          </w:p>
        </w:tc>
        <w:tc>
          <w:tcPr>
            <w:tcW w:w="3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(1,432)</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(8,440)</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572</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(7,625)</w:t>
            </w:r>
          </w:p>
        </w:tc>
        <w:tc>
          <w:tcPr>
            <w:tcW w:w="0" w:type="dxa"/>
            <w:vAlign w:val="bottom"/>
          </w:tcPr>
          <w:p>
            <w:pPr>
              <w:spacing w:after="0"/>
              <w:rPr>
                <w:sz w:val="1"/>
                <w:szCs w:val="1"/>
                <w:color w:val="auto"/>
              </w:rPr>
            </w:pPr>
          </w:p>
        </w:tc>
      </w:tr>
      <w:tr>
        <w:trPr>
          <w:trHeight w:val="237"/>
        </w:trPr>
        <w:tc>
          <w:tcPr>
            <w:tcW w:w="6640" w:type="dxa"/>
            <w:vAlign w:val="bottom"/>
          </w:tcPr>
          <w:p>
            <w:pPr>
              <w:ind w:left="40"/>
              <w:spacing w:after="0"/>
              <w:rPr>
                <w:sz w:val="20"/>
                <w:szCs w:val="20"/>
                <w:color w:val="auto"/>
              </w:rPr>
            </w:pPr>
            <w:r>
              <w:rPr>
                <w:rFonts w:ascii="Arial" w:cs="Arial" w:eastAsia="Arial" w:hAnsi="Arial"/>
                <w:sz w:val="18"/>
                <w:szCs w:val="18"/>
                <w:color w:val="auto"/>
              </w:rPr>
              <w:t>Deferred:</w:t>
            </w:r>
          </w:p>
        </w:tc>
        <w:tc>
          <w:tcPr>
            <w:tcW w:w="3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6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6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w:t>
            </w:r>
          </w:p>
        </w:tc>
        <w:tc>
          <w:tcPr>
            <w:tcW w:w="36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34,551</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(25,022)</w:t>
            </w:r>
          </w:p>
        </w:tc>
        <w:tc>
          <w:tcPr>
            <w:tcW w:w="380" w:type="dxa"/>
            <w:vAlign w:val="bottom"/>
            <w:tcBorders>
              <w:bottom w:val="single" w:sz="8" w:color="CEFFE7"/>
            </w:tcBorders>
            <w:shd w:val="clear" w:color="auto" w:fill="CEFFE7"/>
          </w:tcPr>
          <w:p>
            <w:pPr>
              <w:spacing w:after="0"/>
              <w:rPr>
                <w:sz w:val="21"/>
                <w:szCs w:val="21"/>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76,522</w:t>
            </w:r>
          </w:p>
        </w:tc>
        <w:tc>
          <w:tcPr>
            <w:tcW w:w="0" w:type="dxa"/>
            <w:vAlign w:val="bottom"/>
          </w:tcPr>
          <w:p>
            <w:pPr>
              <w:spacing w:after="0"/>
              <w:rPr>
                <w:sz w:val="1"/>
                <w:szCs w:val="1"/>
                <w:color w:val="auto"/>
              </w:rPr>
            </w:pPr>
          </w:p>
        </w:tc>
      </w:tr>
      <w:tr>
        <w:trPr>
          <w:trHeight w:val="243"/>
        </w:trPr>
        <w:tc>
          <w:tcPr>
            <w:tcW w:w="6640" w:type="dxa"/>
            <w:vAlign w:val="bottom"/>
          </w:tcPr>
          <w:p>
            <w:pPr>
              <w:ind w:left="180"/>
              <w:spacing w:after="0"/>
              <w:rPr>
                <w:sz w:val="20"/>
                <w:szCs w:val="20"/>
                <w:color w:val="auto"/>
              </w:rPr>
            </w:pPr>
            <w:r>
              <w:rPr>
                <w:rFonts w:ascii="Arial" w:cs="Arial" w:eastAsia="Arial" w:hAnsi="Arial"/>
                <w:sz w:val="18"/>
                <w:szCs w:val="18"/>
                <w:color w:val="auto"/>
              </w:rPr>
              <w:t>State</w:t>
            </w: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3,469</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783</w:t>
            </w:r>
          </w:p>
        </w:tc>
        <w:tc>
          <w:tcPr>
            <w:tcW w:w="3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4,470</w:t>
            </w:r>
          </w:p>
        </w:tc>
        <w:tc>
          <w:tcPr>
            <w:tcW w:w="0" w:type="dxa"/>
            <w:vAlign w:val="bottom"/>
          </w:tcPr>
          <w:p>
            <w:pPr>
              <w:spacing w:after="0"/>
              <w:rPr>
                <w:sz w:val="1"/>
                <w:szCs w:val="1"/>
                <w:color w:val="auto"/>
              </w:rPr>
            </w:pPr>
          </w:p>
        </w:tc>
      </w:tr>
      <w:tr>
        <w:trPr>
          <w:trHeight w:val="27"/>
        </w:trPr>
        <w:tc>
          <w:tcPr>
            <w:tcW w:w="6640" w:type="dxa"/>
            <w:vAlign w:val="bottom"/>
            <w:tcBorders>
              <w:bottom w:val="single" w:sz="8" w:color="CEFFE7"/>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640" w:type="dxa"/>
            <w:vAlign w:val="bottom"/>
            <w:tcBorders>
              <w:bottom w:val="single" w:sz="8" w:color="CEFFE7"/>
            </w:tcBorders>
            <w:shd w:val="clear" w:color="auto" w:fill="CEFFE7"/>
          </w:tcPr>
          <w:p>
            <w:pPr>
              <w:spacing w:after="0"/>
              <w:rPr>
                <w:sz w:val="22"/>
                <w:szCs w:val="22"/>
                <w:color w:val="auto"/>
              </w:rPr>
            </w:pPr>
          </w:p>
        </w:tc>
        <w:tc>
          <w:tcPr>
            <w:tcW w:w="36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38,020</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(24,239)</w:t>
            </w:r>
          </w:p>
        </w:tc>
        <w:tc>
          <w:tcPr>
            <w:tcW w:w="380" w:type="dxa"/>
            <w:vAlign w:val="bottom"/>
            <w:tcBorders>
              <w:bottom w:val="single" w:sz="8" w:color="CEFFE7"/>
            </w:tcBorders>
            <w:shd w:val="clear" w:color="auto" w:fill="CEFFE7"/>
          </w:tcPr>
          <w:p>
            <w:pPr>
              <w:spacing w:after="0"/>
              <w:rPr>
                <w:sz w:val="22"/>
                <w:szCs w:val="22"/>
                <w:color w:val="auto"/>
              </w:rPr>
            </w:pP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80,992</w:t>
            </w:r>
          </w:p>
        </w:tc>
        <w:tc>
          <w:tcPr>
            <w:tcW w:w="0" w:type="dxa"/>
            <w:vAlign w:val="bottom"/>
          </w:tcPr>
          <w:p>
            <w:pPr>
              <w:spacing w:after="0"/>
              <w:rPr>
                <w:sz w:val="1"/>
                <w:szCs w:val="1"/>
                <w:color w:val="auto"/>
              </w:rPr>
            </w:pPr>
          </w:p>
        </w:tc>
      </w:tr>
      <w:tr>
        <w:trPr>
          <w:trHeight w:val="318"/>
        </w:trPr>
        <w:tc>
          <w:tcPr>
            <w:tcW w:w="6640" w:type="dxa"/>
            <w:vAlign w:val="bottom"/>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5"/>
        </w:trPr>
        <w:tc>
          <w:tcPr>
            <w:tcW w:w="6640" w:type="dxa"/>
            <w:vAlign w:val="bottom"/>
            <w:tcBorders>
              <w:bottom w:val="single" w:sz="8" w:color="CEFFE7"/>
            </w:tcBorders>
            <w:shd w:val="clear" w:color="auto" w:fill="CEFFE7"/>
          </w:tcPr>
          <w:p>
            <w:pPr>
              <w:spacing w:after="0"/>
              <w:rPr>
                <w:sz w:val="23"/>
                <w:szCs w:val="23"/>
                <w:color w:val="auto"/>
              </w:rPr>
            </w:pPr>
          </w:p>
        </w:tc>
        <w:tc>
          <w:tcPr>
            <w:tcW w:w="36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29,580</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(23,667)</w:t>
            </w:r>
          </w:p>
        </w:tc>
        <w:tc>
          <w:tcPr>
            <w:tcW w:w="380" w:type="dxa"/>
            <w:vAlign w:val="bottom"/>
            <w:tcBorders>
              <w:bottom w:val="single" w:sz="8" w:color="CEFFE7"/>
            </w:tcBorders>
            <w:shd w:val="clear" w:color="auto" w:fill="CEFFE7"/>
          </w:tcPr>
          <w:p>
            <w:pPr>
              <w:jc w:val="right"/>
              <w:ind w:right="17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73,367</w:t>
            </w:r>
          </w:p>
        </w:tc>
        <w:tc>
          <w:tcPr>
            <w:tcW w:w="0" w:type="dxa"/>
            <w:vAlign w:val="bottom"/>
          </w:tcPr>
          <w:p>
            <w:pPr>
              <w:spacing w:after="0"/>
              <w:rPr>
                <w:sz w:val="1"/>
                <w:szCs w:val="1"/>
                <w:color w:val="auto"/>
              </w:rPr>
            </w:pPr>
          </w:p>
        </w:tc>
      </w:tr>
      <w:tr>
        <w:trPr>
          <w:trHeight w:val="20"/>
        </w:trPr>
        <w:tc>
          <w:tcPr>
            <w:tcW w:w="6640" w:type="dxa"/>
            <w:vAlign w:val="bottom"/>
            <w:tcBorders>
              <w:top w:val="single" w:sz="8" w:color="CEFFE7"/>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Included in discontinued operations is a tax benefit of $2.6 million and $8.4 million for 2018 and 2017, 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temporary differences, which gave rise to the net deferred tax liability,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2019</w:t>
            </w: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jc w:val="right"/>
              <w:ind w:right="81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40"/>
              <w:spacing w:after="0"/>
              <w:rPr>
                <w:sz w:val="20"/>
                <w:szCs w:val="20"/>
                <w:color w:val="auto"/>
              </w:rPr>
            </w:pPr>
            <w:r>
              <w:rPr>
                <w:rFonts w:ascii="Arial" w:cs="Arial" w:eastAsia="Arial" w:hAnsi="Arial"/>
                <w:sz w:val="18"/>
                <w:szCs w:val="18"/>
                <w:color w:val="auto"/>
              </w:rPr>
              <w:t>Deferred tax assets:</w:t>
            </w: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7080" w:type="dxa"/>
            <w:vAlign w:val="bottom"/>
            <w:vMerge w:val="continue"/>
          </w:tcPr>
          <w:p>
            <w:pPr>
              <w:spacing w:after="0"/>
              <w:rPr>
                <w:sz w:val="20"/>
                <w:szCs w:val="20"/>
                <w:color w:val="auto"/>
              </w:rPr>
            </w:pPr>
          </w:p>
        </w:tc>
        <w:tc>
          <w:tcPr>
            <w:tcW w:w="13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Regulatory liabilities</w:t>
            </w:r>
          </w:p>
        </w:tc>
        <w:tc>
          <w:tcPr>
            <w:tcW w:w="1340" w:type="dxa"/>
            <w:vAlign w:val="bottom"/>
            <w:tcBorders>
              <w:bottom w:val="single" w:sz="8" w:color="CEFFE7"/>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89,754</w:t>
            </w:r>
          </w:p>
        </w:tc>
        <w:tc>
          <w:tcPr>
            <w:tcW w:w="520" w:type="dxa"/>
            <w:vAlign w:val="bottom"/>
            <w:tcBorders>
              <w:bottom w:val="single" w:sz="8" w:color="CEFFE7"/>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92,966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 tax credits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23,261</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20,466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Federal net operating loss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120,624</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139,371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State net operating loss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13,537</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16,647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Partnership</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14,030</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16,032</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Credit Carryovers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27,139</w:t>
            </w:r>
          </w:p>
        </w:tc>
        <w:tc>
          <w:tcPr>
            <w:tcW w:w="520" w:type="dxa"/>
            <w:vAlign w:val="bottom"/>
          </w:tcPr>
          <w:p>
            <w:pPr>
              <w:spacing w:after="0"/>
              <w:rPr>
                <w:sz w:val="21"/>
                <w:szCs w:val="21"/>
                <w:color w:val="auto"/>
              </w:rPr>
            </w:pPr>
          </w:p>
        </w:tc>
        <w:tc>
          <w:tcPr>
            <w:tcW w:w="1660" w:type="dxa"/>
            <w:vAlign w:val="bottom"/>
          </w:tcPr>
          <w:p>
            <w:pPr>
              <w:jc w:val="right"/>
              <w:ind w:right="10"/>
              <w:spacing w:after="0"/>
              <w:rPr>
                <w:sz w:val="20"/>
                <w:szCs w:val="20"/>
                <w:color w:val="auto"/>
              </w:rPr>
            </w:pPr>
            <w:r>
              <w:rPr>
                <w:rFonts w:ascii="Arial" w:cs="Arial" w:eastAsia="Arial" w:hAnsi="Arial"/>
                <w:sz w:val="18"/>
                <w:szCs w:val="18"/>
                <w:color w:val="auto"/>
              </w:rPr>
              <w:t>23,124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shd w:val="clear" w:color="auto" w:fill="CEFFE7"/>
          </w:tcPr>
          <w:p>
            <w:pPr>
              <w:ind w:left="180"/>
              <w:spacing w:after="0" w:line="270" w:lineRule="exact"/>
              <w:rPr>
                <w:sz w:val="20"/>
                <w:szCs w:val="20"/>
                <w:color w:val="auto"/>
              </w:rPr>
            </w:pPr>
            <w:r>
              <w:rPr>
                <w:rFonts w:ascii="Arial" w:cs="Arial" w:eastAsia="Arial" w:hAnsi="Arial"/>
                <w:sz w:val="18"/>
                <w:szCs w:val="18"/>
                <w:color w:val="auto"/>
              </w:rPr>
              <w:t>Other deferred tax assets</w:t>
            </w:r>
            <w:r>
              <w:rPr>
                <w:rFonts w:ascii="Arial" w:cs="Arial" w:eastAsia="Arial" w:hAnsi="Arial"/>
                <w:sz w:val="25"/>
                <w:szCs w:val="25"/>
                <w:color w:val="auto"/>
                <w:vertAlign w:val="superscript"/>
              </w:rPr>
              <w:t>(a)</w:t>
            </w:r>
          </w:p>
        </w:tc>
        <w:tc>
          <w:tcPr>
            <w:tcW w:w="1340" w:type="dxa"/>
            <w:vAlign w:val="bottom"/>
            <w:shd w:val="clear" w:color="auto" w:fill="CEFFE7"/>
          </w:tcPr>
          <w:p>
            <w:pPr>
              <w:spacing w:after="0"/>
              <w:rPr>
                <w:sz w:val="23"/>
                <w:szCs w:val="23"/>
                <w:color w:val="auto"/>
              </w:rPr>
            </w:pPr>
          </w:p>
        </w:tc>
        <w:tc>
          <w:tcPr>
            <w:tcW w:w="8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33,395</w:t>
            </w:r>
          </w:p>
        </w:tc>
        <w:tc>
          <w:tcPr>
            <w:tcW w:w="520" w:type="dxa"/>
            <w:vAlign w:val="bottom"/>
            <w:shd w:val="clear" w:color="auto" w:fill="CEFFE7"/>
          </w:tcPr>
          <w:p>
            <w:pPr>
              <w:spacing w:after="0"/>
              <w:rPr>
                <w:sz w:val="23"/>
                <w:szCs w:val="23"/>
                <w:color w:val="auto"/>
              </w:rPr>
            </w:pPr>
          </w:p>
        </w:tc>
        <w:tc>
          <w:tcPr>
            <w:tcW w:w="16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39,349</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Less: Valuation allowance</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(12,063)</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(11,809)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deferred tax assets</w:t>
            </w:r>
          </w:p>
        </w:tc>
        <w:tc>
          <w:tcPr>
            <w:tcW w:w="134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309,677</w:t>
            </w:r>
          </w:p>
        </w:tc>
        <w:tc>
          <w:tcPr>
            <w:tcW w:w="520" w:type="dxa"/>
            <w:vAlign w:val="bottom"/>
            <w:tcBorders>
              <w:bottom w:val="single" w:sz="8" w:color="CEFFE7"/>
            </w:tcBorders>
            <w:shd w:val="clear" w:color="auto" w:fill="CEFFE7"/>
          </w:tcPr>
          <w:p>
            <w:pPr>
              <w:spacing w:after="0"/>
              <w:rPr>
                <w:sz w:val="22"/>
                <w:szCs w:val="22"/>
                <w:color w:val="auto"/>
              </w:rPr>
            </w:pPr>
          </w:p>
        </w:tc>
        <w:tc>
          <w:tcPr>
            <w:tcW w:w="16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336,146</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Deferred tax liabilities: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Accelerated depreciation, amortization and other property-related differences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(533,292)</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(529,338)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Regulatory assets</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(23,586)</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(32,324)</w:t>
            </w:r>
          </w:p>
        </w:tc>
        <w:tc>
          <w:tcPr>
            <w:tcW w:w="0" w:type="dxa"/>
            <w:vAlign w:val="bottom"/>
          </w:tcPr>
          <w:p>
            <w:pPr>
              <w:spacing w:after="0"/>
              <w:rPr>
                <w:sz w:val="1"/>
                <w:szCs w:val="1"/>
                <w:color w:val="auto"/>
              </w:rPr>
            </w:pPr>
          </w:p>
        </w:tc>
      </w:tr>
      <w:tr>
        <w:trPr>
          <w:trHeight w:val="270"/>
        </w:trPr>
        <w:tc>
          <w:tcPr>
            <w:tcW w:w="7080" w:type="dxa"/>
            <w:vAlign w:val="bottom"/>
          </w:tcPr>
          <w:p>
            <w:pPr>
              <w:ind w:left="180"/>
              <w:spacing w:after="0" w:line="270" w:lineRule="exact"/>
              <w:rPr>
                <w:sz w:val="20"/>
                <w:szCs w:val="20"/>
                <w:color w:val="auto"/>
              </w:rPr>
            </w:pPr>
            <w:r>
              <w:rPr>
                <w:rFonts w:ascii="Arial" w:cs="Arial" w:eastAsia="Arial" w:hAnsi="Arial"/>
                <w:sz w:val="18"/>
                <w:szCs w:val="18"/>
                <w:color w:val="auto"/>
              </w:rPr>
              <w:t xml:space="preserve">Goodwill </w:t>
            </w:r>
            <w:r>
              <w:rPr>
                <w:rFonts w:ascii="Arial" w:cs="Arial" w:eastAsia="Arial" w:hAnsi="Arial"/>
                <w:sz w:val="25"/>
                <w:szCs w:val="25"/>
                <w:color w:val="auto"/>
                <w:vertAlign w:val="superscript"/>
              </w:rPr>
              <w:t>(b)</w:t>
            </w:r>
          </w:p>
        </w:tc>
        <w:tc>
          <w:tcPr>
            <w:tcW w:w="13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(15,875)</w:t>
            </w:r>
          </w:p>
        </w:tc>
        <w:tc>
          <w:tcPr>
            <w:tcW w:w="520" w:type="dxa"/>
            <w:vAlign w:val="bottom"/>
          </w:tcPr>
          <w:p>
            <w:pPr>
              <w:spacing w:after="0"/>
              <w:rPr>
                <w:sz w:val="23"/>
                <w:szCs w:val="23"/>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(602)</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State deferred tax liability</w:t>
            </w:r>
          </w:p>
        </w:tc>
        <w:tc>
          <w:tcPr>
            <w:tcW w:w="1340" w:type="dxa"/>
            <w:vAlign w:val="bottom"/>
            <w:tcBorders>
              <w:bottom w:val="single" w:sz="8" w:color="CEFFE7"/>
            </w:tcBorders>
            <w:shd w:val="clear" w:color="auto" w:fill="CEFFE7"/>
          </w:tcPr>
          <w:p>
            <w:pPr>
              <w:spacing w:after="0"/>
              <w:rPr>
                <w:sz w:val="21"/>
                <w:szCs w:val="21"/>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(72,911)</w:t>
            </w:r>
          </w:p>
        </w:tc>
        <w:tc>
          <w:tcPr>
            <w:tcW w:w="520" w:type="dxa"/>
            <w:vAlign w:val="bottom"/>
            <w:tcBorders>
              <w:bottom w:val="single" w:sz="8" w:color="CEFFE7"/>
            </w:tcBorders>
            <w:shd w:val="clear" w:color="auto" w:fill="CEFFE7"/>
          </w:tcPr>
          <w:p>
            <w:pPr>
              <w:spacing w:after="0"/>
              <w:rPr>
                <w:sz w:val="21"/>
                <w:szCs w:val="21"/>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(64,095)</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deferred tax liabilities</w:t>
            </w:r>
          </w:p>
        </w:tc>
        <w:tc>
          <w:tcPr>
            <w:tcW w:w="13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(24,732)</w:t>
            </w:r>
          </w:p>
        </w:tc>
        <w:tc>
          <w:tcPr>
            <w:tcW w:w="52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(21,118)</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EFFE7"/>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380"/>
              <w:spacing w:after="0"/>
              <w:rPr>
                <w:sz w:val="20"/>
                <w:szCs w:val="20"/>
                <w:color w:val="auto"/>
              </w:rPr>
            </w:pPr>
            <w:r>
              <w:rPr>
                <w:rFonts w:ascii="Arial" w:cs="Arial" w:eastAsia="Arial" w:hAnsi="Arial"/>
                <w:sz w:val="18"/>
                <w:szCs w:val="18"/>
                <w:color w:val="auto"/>
              </w:rPr>
              <w:t>Total deferred tax liabilities</w:t>
            </w:r>
          </w:p>
        </w:tc>
        <w:tc>
          <w:tcPr>
            <w:tcW w:w="1340" w:type="dxa"/>
            <w:vAlign w:val="bottom"/>
            <w:tcBorders>
              <w:bottom w:val="single" w:sz="8" w:color="CEFFE7"/>
            </w:tcBorders>
            <w:shd w:val="clear" w:color="auto" w:fill="CEFFE7"/>
          </w:tcPr>
          <w:p>
            <w:pPr>
              <w:spacing w:after="0"/>
              <w:rPr>
                <w:sz w:val="22"/>
                <w:szCs w:val="22"/>
                <w:color w:val="auto"/>
              </w:rPr>
            </w:pPr>
          </w:p>
        </w:tc>
        <w:tc>
          <w:tcPr>
            <w:tcW w:w="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(670,396)</w:t>
            </w:r>
          </w:p>
        </w:tc>
        <w:tc>
          <w:tcPr>
            <w:tcW w:w="520" w:type="dxa"/>
            <w:vAlign w:val="bottom"/>
            <w:tcBorders>
              <w:bottom w:val="single" w:sz="8" w:color="CEFFE7"/>
            </w:tcBorders>
            <w:shd w:val="clear" w:color="auto" w:fill="CEFFE7"/>
          </w:tcPr>
          <w:p>
            <w:pPr>
              <w:spacing w:after="0"/>
              <w:rPr>
                <w:sz w:val="22"/>
                <w:szCs w:val="22"/>
                <w:color w:val="auto"/>
              </w:rPr>
            </w:pPr>
          </w:p>
        </w:tc>
        <w:tc>
          <w:tcPr>
            <w:tcW w:w="16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(647,477)</w:t>
            </w:r>
          </w:p>
        </w:tc>
        <w:tc>
          <w:tcPr>
            <w:tcW w:w="0" w:type="dxa"/>
            <w:vAlign w:val="bottom"/>
          </w:tcPr>
          <w:p>
            <w:pPr>
              <w:spacing w:after="0"/>
              <w:rPr>
                <w:sz w:val="1"/>
                <w:szCs w:val="1"/>
                <w:color w:val="auto"/>
              </w:rPr>
            </w:pPr>
          </w:p>
        </w:tc>
      </w:tr>
      <w:tr>
        <w:trPr>
          <w:trHeight w:val="318"/>
        </w:trPr>
        <w:tc>
          <w:tcPr>
            <w:tcW w:w="7080" w:type="dxa"/>
            <w:vAlign w:val="bottom"/>
          </w:tcPr>
          <w:p>
            <w:pPr>
              <w:spacing w:after="0"/>
              <w:rPr>
                <w:sz w:val="24"/>
                <w:szCs w:val="24"/>
                <w:color w:val="auto"/>
              </w:rPr>
            </w:pPr>
          </w:p>
        </w:tc>
        <w:tc>
          <w:tcPr>
            <w:tcW w:w="1340" w:type="dxa"/>
            <w:vAlign w:val="bottom"/>
            <w:tcBorders>
              <w:top w:val="single" w:sz="8" w:color="auto"/>
            </w:tcBorders>
          </w:tcPr>
          <w:p>
            <w:pPr>
              <w:spacing w:after="0"/>
              <w:rPr>
                <w:sz w:val="24"/>
                <w:szCs w:val="24"/>
                <w:color w:val="auto"/>
              </w:rPr>
            </w:pPr>
          </w:p>
        </w:tc>
        <w:tc>
          <w:tcPr>
            <w:tcW w:w="820" w:type="dxa"/>
            <w:vAlign w:val="bottom"/>
            <w:tcBorders>
              <w:top w:val="single" w:sz="8" w:color="auto"/>
            </w:tcBorders>
          </w:tcPr>
          <w:p>
            <w:pPr>
              <w:spacing w:after="0"/>
              <w:rPr>
                <w:sz w:val="24"/>
                <w:szCs w:val="24"/>
                <w:color w:val="auto"/>
              </w:rPr>
            </w:pPr>
          </w:p>
        </w:tc>
        <w:tc>
          <w:tcPr>
            <w:tcW w:w="520" w:type="dxa"/>
            <w:vAlign w:val="bottom"/>
            <w:tcBorders>
              <w:top w:val="single" w:sz="8" w:color="auto"/>
            </w:tcBorders>
          </w:tcPr>
          <w:p>
            <w:pPr>
              <w:spacing w:after="0"/>
              <w:rPr>
                <w:sz w:val="24"/>
                <w:szCs w:val="24"/>
                <w:color w:val="auto"/>
              </w:rPr>
            </w:pPr>
          </w:p>
        </w:tc>
        <w:tc>
          <w:tcPr>
            <w:tcW w:w="16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EFFE7"/>
            </w:tcBorders>
            <w:shd w:val="clear" w:color="auto" w:fill="CEFFE7"/>
          </w:tcPr>
          <w:p>
            <w:pPr>
              <w:ind w:left="280"/>
              <w:spacing w:after="0"/>
              <w:rPr>
                <w:sz w:val="20"/>
                <w:szCs w:val="20"/>
                <w:color w:val="auto"/>
              </w:rPr>
            </w:pPr>
            <w:r>
              <w:rPr>
                <w:rFonts w:ascii="Arial" w:cs="Arial" w:eastAsia="Arial" w:hAnsi="Arial"/>
                <w:sz w:val="18"/>
                <w:szCs w:val="18"/>
                <w:color w:val="auto"/>
              </w:rPr>
              <w:t>Net deferred tax liability</w:t>
            </w:r>
          </w:p>
        </w:tc>
        <w:tc>
          <w:tcPr>
            <w:tcW w:w="1340" w:type="dxa"/>
            <w:vAlign w:val="bottom"/>
            <w:tcBorders>
              <w:bottom w:val="single" w:sz="8" w:color="auto"/>
            </w:tcBorders>
            <w:shd w:val="clear" w:color="auto" w:fill="CEFFE7"/>
          </w:tcPr>
          <w:p>
            <w:pPr>
              <w:jc w:val="right"/>
              <w:ind w:right="11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(360,719)</w:t>
            </w:r>
          </w:p>
        </w:tc>
        <w:tc>
          <w:tcPr>
            <w:tcW w:w="520" w:type="dxa"/>
            <w:vAlign w:val="bottom"/>
            <w:tcBorders>
              <w:bottom w:val="single" w:sz="8" w:color="auto"/>
            </w:tcBorders>
            <w:shd w:val="clear" w:color="auto" w:fill="CEFFE7"/>
          </w:tcPr>
          <w:p>
            <w:pPr>
              <w:jc w:val="right"/>
              <w:ind w:right="29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(311,331)</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6"/>
                <w:szCs w:val="16"/>
                <w:color w:val="auto"/>
              </w:rPr>
              <w:t>_______________</w:t>
            </w:r>
          </w:p>
        </w:tc>
        <w:tc>
          <w:tcPr>
            <w:tcW w:w="13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7080" w:type="dxa"/>
            <w:vAlign w:val="bottom"/>
            <w:vMerge w:val="continue"/>
          </w:tcPr>
          <w:p>
            <w:pPr>
              <w:spacing w:after="0"/>
              <w:rPr>
                <w:sz w:val="15"/>
                <w:szCs w:val="15"/>
                <w:color w:val="auto"/>
              </w:rPr>
            </w:pPr>
          </w:p>
        </w:tc>
        <w:tc>
          <w:tcPr>
            <w:tcW w:w="13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right="340" w:hanging="332"/>
        <w:spacing w:after="0" w:line="246" w:lineRule="auto"/>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Other deferred tax assets consist primarily of alternative minimum tax credit and federal research and development credits. No single item exceeds 5% of the total net deferred tax liability.</w:t>
      </w:r>
    </w:p>
    <w:p>
      <w:pPr>
        <w:ind w:left="340" w:hanging="332"/>
        <w:spacing w:after="0"/>
        <w:tabs>
          <w:tab w:leader="none" w:pos="340" w:val="left"/>
        </w:tabs>
        <w:numPr>
          <w:ilvl w:val="0"/>
          <w:numId w:val="82"/>
        </w:numPr>
        <w:rPr>
          <w:rFonts w:ascii="Arial" w:cs="Arial" w:eastAsia="Arial" w:hAnsi="Arial"/>
          <w:sz w:val="16"/>
          <w:szCs w:val="16"/>
          <w:color w:val="auto"/>
        </w:rPr>
      </w:pPr>
      <w:r>
        <w:rPr>
          <w:rFonts w:ascii="Arial" w:cs="Arial" w:eastAsia="Arial" w:hAnsi="Arial"/>
          <w:sz w:val="16"/>
          <w:szCs w:val="16"/>
          <w:color w:val="auto"/>
        </w:rPr>
        <w:t>Legal entity restructuring - see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420"/>
          </w:cols>
          <w:pgMar w:left="240" w:top="126" w:right="239" w:bottom="1440" w:gutter="0" w:footer="0" w:header="0"/>
        </w:sectPr>
      </w:pPr>
    </w:p>
    <w:bookmarkStart w:id="125" w:name="page126"/>
    <w:bookmarkEnd w:id="125"/>
    <w:tbl>
      <w:tblPr>
        <w:tblLayout w:type="fixed"/>
        <w:tblInd w:w="0" w:type="dxa"/>
        <w:tblCellMar>
          <w:top w:w="0" w:type="dxa"/>
          <w:left w:w="0" w:type="dxa"/>
          <w:bottom w:w="0" w:type="dxa"/>
          <w:right w:w="0" w:type="dxa"/>
        </w:tblCellMar>
      </w:tblPr>
      <w:tr>
        <w:trPr>
          <w:trHeight w:val="184"/>
        </w:trPr>
        <w:tc>
          <w:tcPr>
            <w:tcW w:w="64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9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7160" w:type="dxa"/>
            <w:vAlign w:val="bottom"/>
            <w:gridSpan w:val="2"/>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8380" w:type="dxa"/>
            <w:vAlign w:val="bottom"/>
            <w:gridSpan w:val="3"/>
          </w:tcPr>
          <w:p>
            <w:pPr>
              <w:spacing w:after="0"/>
              <w:rPr>
                <w:sz w:val="20"/>
                <w:szCs w:val="20"/>
                <w:color w:val="auto"/>
              </w:rPr>
            </w:pPr>
            <w:r>
              <w:rPr>
                <w:rFonts w:ascii="Arial" w:cs="Arial" w:eastAsia="Arial" w:hAnsi="Arial"/>
                <w:sz w:val="18"/>
                <w:szCs w:val="18"/>
                <w:color w:val="auto"/>
              </w:rPr>
              <w:t>The effective tax rate differs from the federal statutory rate for the years ended December 31, as follows:</w:t>
            </w:r>
          </w:p>
        </w:tc>
        <w:tc>
          <w:tcPr>
            <w:tcW w:w="16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220" w:type="dxa"/>
            <w:vAlign w:val="bottom"/>
          </w:tcPr>
          <w:p>
            <w:pPr>
              <w:spacing w:after="0"/>
              <w:rPr>
                <w:sz w:val="24"/>
                <w:szCs w:val="24"/>
                <w:color w:val="auto"/>
              </w:rPr>
            </w:pPr>
          </w:p>
        </w:tc>
        <w:tc>
          <w:tcPr>
            <w:tcW w:w="5180" w:type="dxa"/>
            <w:vAlign w:val="bottom"/>
          </w:tcPr>
          <w:p>
            <w:pPr>
              <w:spacing w:after="0"/>
              <w:rPr>
                <w:sz w:val="24"/>
                <w:szCs w:val="24"/>
                <w:color w:val="auto"/>
              </w:rPr>
            </w:pPr>
          </w:p>
        </w:tc>
        <w:tc>
          <w:tcPr>
            <w:tcW w:w="1980" w:type="dxa"/>
            <w:vAlign w:val="bottom"/>
          </w:tcPr>
          <w:p>
            <w:pPr>
              <w:jc w:val="right"/>
              <w:ind w:right="870"/>
              <w:spacing w:after="0"/>
              <w:rPr>
                <w:sz w:val="20"/>
                <w:szCs w:val="20"/>
                <w:color w:val="auto"/>
              </w:rPr>
            </w:pPr>
            <w:r>
              <w:rPr>
                <w:rFonts w:ascii="Arial" w:cs="Arial" w:eastAsia="Arial" w:hAnsi="Arial"/>
                <w:sz w:val="18"/>
                <w:szCs w:val="18"/>
                <w:color w:val="auto"/>
              </w:rPr>
              <w:t>2019</w:t>
            </w:r>
          </w:p>
        </w:tc>
        <w:tc>
          <w:tcPr>
            <w:tcW w:w="1680" w:type="dxa"/>
            <w:vAlign w:val="bottom"/>
          </w:tcPr>
          <w:p>
            <w:pPr>
              <w:jc w:val="right"/>
              <w:ind w:right="870"/>
              <w:spacing w:after="0"/>
              <w:rPr>
                <w:sz w:val="20"/>
                <w:szCs w:val="20"/>
                <w:color w:val="auto"/>
              </w:rPr>
            </w:pPr>
            <w:r>
              <w:rPr>
                <w:rFonts w:ascii="Arial" w:cs="Arial" w:eastAsia="Arial" w:hAnsi="Arial"/>
                <w:sz w:val="18"/>
                <w:szCs w:val="18"/>
                <w:color w:val="auto"/>
              </w:rPr>
              <w:t>2018</w:t>
            </w:r>
          </w:p>
        </w:tc>
        <w:tc>
          <w:tcPr>
            <w:tcW w:w="1360" w:type="dxa"/>
            <w:vAlign w:val="bottom"/>
          </w:tcPr>
          <w:p>
            <w:pPr>
              <w:jc w:val="right"/>
              <w:ind w:right="57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1220" w:type="dxa"/>
            <w:vAlign w:val="bottom"/>
            <w:tcBorders>
              <w:bottom w:val="single" w:sz="8" w:color="CEFFE7"/>
            </w:tcBorders>
          </w:tcPr>
          <w:p>
            <w:pPr>
              <w:spacing w:after="0"/>
              <w:rPr>
                <w:sz w:val="2"/>
                <w:szCs w:val="2"/>
                <w:color w:val="auto"/>
              </w:rPr>
            </w:pPr>
          </w:p>
        </w:tc>
        <w:tc>
          <w:tcPr>
            <w:tcW w:w="5180" w:type="dxa"/>
            <w:vAlign w:val="bottom"/>
            <w:tcBorders>
              <w:bottom w:val="single" w:sz="8" w:color="CEFFE7"/>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4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Federal statutory rate</w:t>
            </w:r>
          </w:p>
        </w:tc>
        <w:tc>
          <w:tcPr>
            <w:tcW w:w="198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21.0 %</w:t>
            </w:r>
          </w:p>
        </w:tc>
        <w:tc>
          <w:tcPr>
            <w:tcW w:w="168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21.0 %</w:t>
            </w:r>
          </w:p>
        </w:tc>
        <w:tc>
          <w:tcPr>
            <w:tcW w:w="13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35.0 %</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State income tax (net of federal tax effect)</w:t>
            </w:r>
          </w:p>
        </w:tc>
        <w:tc>
          <w:tcPr>
            <w:tcW w:w="1980" w:type="dxa"/>
            <w:vAlign w:val="bottom"/>
          </w:tcPr>
          <w:p>
            <w:pPr>
              <w:jc w:val="right"/>
              <w:ind w:right="450"/>
              <w:spacing w:after="0"/>
              <w:rPr>
                <w:sz w:val="20"/>
                <w:szCs w:val="20"/>
                <w:color w:val="auto"/>
              </w:rPr>
            </w:pPr>
            <w:r>
              <w:rPr>
                <w:rFonts w:ascii="Arial" w:cs="Arial" w:eastAsia="Arial" w:hAnsi="Arial"/>
                <w:sz w:val="18"/>
                <w:szCs w:val="18"/>
                <w:color w:val="auto"/>
              </w:rPr>
              <w:t>1.5</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2.3</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Non-controlling interest </w:t>
            </w:r>
            <w:r>
              <w:rPr>
                <w:rFonts w:ascii="Arial" w:cs="Arial" w:eastAsia="Arial" w:hAnsi="Arial"/>
                <w:sz w:val="25"/>
                <w:szCs w:val="25"/>
                <w:color w:val="auto"/>
                <w:vertAlign w:val="superscript"/>
              </w:rPr>
              <w:t>(a)</w:t>
            </w:r>
          </w:p>
        </w:tc>
        <w:tc>
          <w:tcPr>
            <w:tcW w:w="19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(1.2)</w:t>
            </w:r>
          </w:p>
        </w:tc>
        <w:tc>
          <w:tcPr>
            <w:tcW w:w="16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(1.3)</w:t>
            </w:r>
          </w:p>
        </w:tc>
        <w:tc>
          <w:tcPr>
            <w:tcW w:w="13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43"/>
        </w:trPr>
        <w:tc>
          <w:tcPr>
            <w:tcW w:w="6400" w:type="dxa"/>
            <w:vAlign w:val="bottom"/>
            <w:gridSpan w:val="2"/>
          </w:tcPr>
          <w:p>
            <w:pPr>
              <w:ind w:left="40"/>
              <w:spacing w:after="0"/>
              <w:rPr>
                <w:sz w:val="20"/>
                <w:szCs w:val="20"/>
                <w:color w:val="auto"/>
              </w:rPr>
            </w:pPr>
            <w:r>
              <w:rPr>
                <w:rFonts w:ascii="Arial" w:cs="Arial" w:eastAsia="Arial" w:hAnsi="Arial"/>
                <w:sz w:val="18"/>
                <w:szCs w:val="18"/>
                <w:color w:val="auto"/>
              </w:rPr>
              <w:t>Tax credits</w:t>
            </w:r>
          </w:p>
        </w:tc>
        <w:tc>
          <w:tcPr>
            <w:tcW w:w="1980" w:type="dxa"/>
            <w:vAlign w:val="bottom"/>
          </w:tcPr>
          <w:p>
            <w:pPr>
              <w:jc w:val="right"/>
              <w:ind w:right="390"/>
              <w:spacing w:after="0"/>
              <w:rPr>
                <w:sz w:val="20"/>
                <w:szCs w:val="20"/>
                <w:color w:val="auto"/>
              </w:rPr>
            </w:pPr>
            <w:r>
              <w:rPr>
                <w:rFonts w:ascii="Arial" w:cs="Arial" w:eastAsia="Arial" w:hAnsi="Arial"/>
                <w:sz w:val="18"/>
                <w:szCs w:val="18"/>
                <w:color w:val="auto"/>
              </w:rPr>
              <w:t>(3.9)</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(2.0)</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1220" w:type="dxa"/>
            <w:vAlign w:val="bottom"/>
          </w:tcPr>
          <w:p>
            <w:pPr>
              <w:spacing w:after="0"/>
              <w:rPr>
                <w:sz w:val="2"/>
                <w:szCs w:val="2"/>
                <w:color w:val="auto"/>
              </w:rPr>
            </w:pPr>
          </w:p>
        </w:tc>
        <w:tc>
          <w:tcPr>
            <w:tcW w:w="5180" w:type="dxa"/>
            <w:vAlign w:val="bottom"/>
          </w:tcPr>
          <w:p>
            <w:pPr>
              <w:spacing w:after="0"/>
              <w:rPr>
                <w:sz w:val="2"/>
                <w:szCs w:val="2"/>
                <w:color w:val="auto"/>
              </w:rPr>
            </w:pPr>
          </w:p>
        </w:tc>
        <w:tc>
          <w:tcPr>
            <w:tcW w:w="19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Flow-through adjustments </w:t>
            </w:r>
            <w:r>
              <w:rPr>
                <w:rFonts w:ascii="Arial" w:cs="Arial" w:eastAsia="Arial" w:hAnsi="Arial"/>
                <w:sz w:val="25"/>
                <w:szCs w:val="25"/>
                <w:color w:val="auto"/>
                <w:vertAlign w:val="superscript"/>
              </w:rPr>
              <w:t>(b)</w:t>
            </w:r>
          </w:p>
        </w:tc>
        <w:tc>
          <w:tcPr>
            <w:tcW w:w="19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(2.4)</w:t>
            </w:r>
          </w:p>
        </w:tc>
        <w:tc>
          <w:tcPr>
            <w:tcW w:w="1680" w:type="dxa"/>
            <w:vAlign w:val="bottom"/>
            <w:shd w:val="clear" w:color="auto" w:fill="CEFFE7"/>
          </w:tcPr>
          <w:p>
            <w:pPr>
              <w:jc w:val="right"/>
              <w:ind w:right="390"/>
              <w:spacing w:after="0"/>
              <w:rPr>
                <w:sz w:val="20"/>
                <w:szCs w:val="20"/>
                <w:color w:val="auto"/>
              </w:rPr>
            </w:pPr>
            <w:r>
              <w:rPr>
                <w:rFonts w:ascii="Arial" w:cs="Arial" w:eastAsia="Arial" w:hAnsi="Arial"/>
                <w:sz w:val="18"/>
                <w:szCs w:val="18"/>
                <w:color w:val="auto"/>
              </w:rPr>
              <w:t>(1.6)</w:t>
            </w:r>
          </w:p>
        </w:tc>
        <w:tc>
          <w:tcPr>
            <w:tcW w:w="1360" w:type="dxa"/>
            <w:vAlign w:val="bottom"/>
            <w:shd w:val="clear" w:color="auto" w:fill="CEFFE7"/>
          </w:tcPr>
          <w:p>
            <w:pPr>
              <w:jc w:val="right"/>
              <w:ind w:right="7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Jurisdictional consolidation project </w:t>
            </w:r>
            <w:r>
              <w:rPr>
                <w:rFonts w:ascii="Arial" w:cs="Arial" w:eastAsia="Arial" w:hAnsi="Arial"/>
                <w:sz w:val="25"/>
                <w:szCs w:val="25"/>
                <w:color w:val="auto"/>
                <w:vertAlign w:val="superscript"/>
              </w:rPr>
              <w:t>(d)</w:t>
            </w:r>
          </w:p>
        </w:tc>
        <w:tc>
          <w:tcPr>
            <w:tcW w:w="1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390"/>
              <w:spacing w:after="0"/>
              <w:rPr>
                <w:sz w:val="20"/>
                <w:szCs w:val="20"/>
                <w:color w:val="auto"/>
              </w:rPr>
            </w:pPr>
            <w:r>
              <w:rPr>
                <w:rFonts w:ascii="Arial" w:cs="Arial" w:eastAsia="Arial" w:hAnsi="Arial"/>
                <w:sz w:val="18"/>
                <w:szCs w:val="18"/>
                <w:color w:val="auto"/>
              </w:rPr>
              <w:t>(28.5)</w:t>
            </w:r>
          </w:p>
        </w:tc>
        <w:tc>
          <w:tcPr>
            <w:tcW w:w="136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40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Other tax differences</w:t>
            </w:r>
          </w:p>
        </w:tc>
        <w:tc>
          <w:tcPr>
            <w:tcW w:w="19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(1.6)</w:t>
            </w:r>
          </w:p>
        </w:tc>
        <w:tc>
          <w:tcPr>
            <w:tcW w:w="1680" w:type="dxa"/>
            <w:vAlign w:val="bottom"/>
            <w:tcBorders>
              <w:bottom w:val="single" w:sz="8" w:color="CEFFE7"/>
            </w:tcBorders>
            <w:shd w:val="clear" w:color="auto" w:fill="CEFFE7"/>
          </w:tcPr>
          <w:p>
            <w:pPr>
              <w:jc w:val="right"/>
              <w:ind w:right="390"/>
              <w:spacing w:after="0"/>
              <w:rPr>
                <w:sz w:val="20"/>
                <w:szCs w:val="20"/>
                <w:color w:val="auto"/>
              </w:rPr>
            </w:pPr>
            <w:r>
              <w:rPr>
                <w:rFonts w:ascii="Arial" w:cs="Arial" w:eastAsia="Arial" w:hAnsi="Arial"/>
                <w:sz w:val="18"/>
                <w:szCs w:val="18"/>
                <w:color w:val="auto"/>
              </w:rPr>
              <w:t>(0.1)</w:t>
            </w:r>
          </w:p>
        </w:tc>
        <w:tc>
          <w:tcPr>
            <w:tcW w:w="13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0"/>
        </w:trPr>
        <w:tc>
          <w:tcPr>
            <w:tcW w:w="640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TCJA corporate rate reduction </w:t>
            </w:r>
            <w:r>
              <w:rPr>
                <w:rFonts w:ascii="Arial" w:cs="Arial" w:eastAsia="Arial" w:hAnsi="Arial"/>
                <w:sz w:val="25"/>
                <w:szCs w:val="25"/>
                <w:color w:val="auto"/>
                <w:vertAlign w:val="superscript"/>
              </w:rPr>
              <w:t>(c)</w:t>
            </w:r>
          </w:p>
        </w:tc>
        <w:tc>
          <w:tcPr>
            <w:tcW w:w="1980" w:type="dxa"/>
            <w:vAlign w:val="bottom"/>
          </w:tcPr>
          <w:p>
            <w:pPr>
              <w:jc w:val="right"/>
              <w:ind w:right="45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450"/>
              <w:spacing w:after="0"/>
              <w:rPr>
                <w:sz w:val="20"/>
                <w:szCs w:val="20"/>
                <w:color w:val="auto"/>
              </w:rPr>
            </w:pPr>
            <w:r>
              <w:rPr>
                <w:rFonts w:ascii="Arial" w:cs="Arial" w:eastAsia="Arial" w:hAnsi="Arial"/>
                <w:sz w:val="18"/>
                <w:szCs w:val="18"/>
                <w:color w:val="auto"/>
              </w:rPr>
              <w:t>1.6</w:t>
            </w: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70"/>
        </w:trPr>
        <w:tc>
          <w:tcPr>
            <w:tcW w:w="6400" w:type="dxa"/>
            <w:vAlign w:val="bottom"/>
            <w:gridSpan w:val="2"/>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Amortization of excess deferred income tax expense </w:t>
            </w:r>
            <w:r>
              <w:rPr>
                <w:rFonts w:ascii="Arial" w:cs="Arial" w:eastAsia="Arial" w:hAnsi="Arial"/>
                <w:sz w:val="25"/>
                <w:szCs w:val="25"/>
                <w:color w:val="auto"/>
                <w:vertAlign w:val="superscript"/>
              </w:rPr>
              <w:t>(e)</w:t>
            </w:r>
          </w:p>
        </w:tc>
        <w:tc>
          <w:tcPr>
            <w:tcW w:w="198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rPr>
              <w:t>(1.2)</w:t>
            </w:r>
          </w:p>
        </w:tc>
        <w:tc>
          <w:tcPr>
            <w:tcW w:w="1680" w:type="dxa"/>
            <w:vAlign w:val="bottom"/>
            <w:tcBorders>
              <w:bottom w:val="single" w:sz="8" w:color="auto"/>
            </w:tcBorders>
            <w:shd w:val="clear" w:color="auto" w:fill="CEFFE7"/>
          </w:tcPr>
          <w:p>
            <w:pPr>
              <w:jc w:val="right"/>
              <w:ind w:right="390"/>
              <w:spacing w:after="0"/>
              <w:rPr>
                <w:sz w:val="20"/>
                <w:szCs w:val="20"/>
                <w:color w:val="auto"/>
              </w:rPr>
            </w:pPr>
            <w:r>
              <w:rPr>
                <w:rFonts w:ascii="Arial" w:cs="Arial" w:eastAsia="Arial" w:hAnsi="Arial"/>
                <w:sz w:val="18"/>
                <w:szCs w:val="18"/>
                <w:color w:val="auto"/>
              </w:rPr>
              <w:t>(0.7)</w:t>
            </w:r>
          </w:p>
        </w:tc>
        <w:tc>
          <w:tcPr>
            <w:tcW w:w="136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1220" w:type="dxa"/>
            <w:vAlign w:val="bottom"/>
          </w:tcPr>
          <w:p>
            <w:pPr>
              <w:spacing w:after="0"/>
              <w:rPr>
                <w:sz w:val="20"/>
                <w:szCs w:val="20"/>
                <w:color w:val="auto"/>
              </w:rPr>
            </w:pPr>
          </w:p>
        </w:tc>
        <w:tc>
          <w:tcPr>
            <w:tcW w:w="5180" w:type="dxa"/>
            <w:vAlign w:val="bottom"/>
          </w:tcPr>
          <w:p>
            <w:pPr>
              <w:spacing w:after="0"/>
              <w:rPr>
                <w:sz w:val="20"/>
                <w:szCs w:val="20"/>
                <w:color w:val="auto"/>
              </w:rPr>
            </w:pPr>
          </w:p>
        </w:tc>
        <w:tc>
          <w:tcPr>
            <w:tcW w:w="1980" w:type="dxa"/>
            <w:vAlign w:val="bottom"/>
          </w:tcPr>
          <w:p>
            <w:pPr>
              <w:jc w:val="right"/>
              <w:ind w:right="250"/>
              <w:spacing w:after="0"/>
              <w:rPr>
                <w:sz w:val="20"/>
                <w:szCs w:val="20"/>
                <w:color w:val="auto"/>
              </w:rPr>
            </w:pPr>
            <w:r>
              <w:rPr>
                <w:rFonts w:ascii="Arial" w:cs="Arial" w:eastAsia="Arial" w:hAnsi="Arial"/>
                <w:sz w:val="18"/>
                <w:szCs w:val="18"/>
                <w:color w:val="auto"/>
              </w:rPr>
              <w:t>12.2 %</w:t>
            </w:r>
          </w:p>
        </w:tc>
        <w:tc>
          <w:tcPr>
            <w:tcW w:w="1680" w:type="dxa"/>
            <w:vAlign w:val="bottom"/>
          </w:tcPr>
          <w:p>
            <w:pPr>
              <w:jc w:val="right"/>
              <w:ind w:right="250"/>
              <w:spacing w:after="0"/>
              <w:rPr>
                <w:sz w:val="20"/>
                <w:szCs w:val="20"/>
                <w:color w:val="auto"/>
              </w:rPr>
            </w:pPr>
            <w:r>
              <w:rPr>
                <w:rFonts w:ascii="Arial" w:cs="Arial" w:eastAsia="Arial" w:hAnsi="Arial"/>
                <w:sz w:val="18"/>
                <w:szCs w:val="18"/>
                <w:color w:val="auto"/>
              </w:rPr>
              <w:t>(9.3)%</w:t>
            </w:r>
          </w:p>
        </w:tc>
        <w:tc>
          <w:tcPr>
            <w:tcW w:w="1360" w:type="dxa"/>
            <w:vAlign w:val="bottom"/>
          </w:tcPr>
          <w:p>
            <w:pPr>
              <w:jc w:val="right"/>
              <w:spacing w:after="0"/>
              <w:rPr>
                <w:sz w:val="20"/>
                <w:szCs w:val="20"/>
                <w:color w:val="auto"/>
              </w:rPr>
            </w:pPr>
            <w:r>
              <w:rPr>
                <w:rFonts w:ascii="Arial" w:cs="Arial" w:eastAsia="Arial" w:hAnsi="Arial"/>
                <w:sz w:val="18"/>
                <w:szCs w:val="18"/>
                <w:color w:val="auto"/>
              </w:rPr>
              <w:t>26.0 %</w:t>
            </w:r>
          </w:p>
        </w:tc>
        <w:tc>
          <w:tcPr>
            <w:tcW w:w="0" w:type="dxa"/>
            <w:vAlign w:val="bottom"/>
          </w:tcPr>
          <w:p>
            <w:pPr>
              <w:spacing w:after="0"/>
              <w:rPr>
                <w:sz w:val="1"/>
                <w:szCs w:val="1"/>
                <w:color w:val="auto"/>
              </w:rPr>
            </w:pPr>
          </w:p>
        </w:tc>
      </w:tr>
      <w:tr>
        <w:trPr>
          <w:trHeight w:val="27"/>
        </w:trPr>
        <w:tc>
          <w:tcPr>
            <w:tcW w:w="64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_________________________</w:t>
            </w:r>
          </w:p>
        </w:tc>
        <w:tc>
          <w:tcPr>
            <w:tcW w:w="19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400" w:type="dxa"/>
            <w:vAlign w:val="bottom"/>
            <w:gridSpan w:val="2"/>
            <w:vMerge w:val="continue"/>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vMerge w:val="continue"/>
          </w:tcPr>
          <w:p>
            <w:pPr>
              <w:spacing w:after="0"/>
              <w:rPr>
                <w:sz w:val="17"/>
                <w:szCs w:val="17"/>
                <w:color w:val="auto"/>
              </w:rPr>
            </w:pPr>
          </w:p>
        </w:tc>
        <w:tc>
          <w:tcPr>
            <w:tcW w:w="19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effective tax rate reflects the income attributable to the noncontrolling interest in Black Hills Colorado IPP for which a tax provision was not recorded.</w:t>
      </w:r>
    </w:p>
    <w:p>
      <w:pPr>
        <w:spacing w:after="0" w:line="9" w:lineRule="exact"/>
        <w:rPr>
          <w:rFonts w:ascii="Arial" w:cs="Arial" w:eastAsia="Arial" w:hAnsi="Arial"/>
          <w:sz w:val="16"/>
          <w:szCs w:val="16"/>
          <w:color w:val="auto"/>
        </w:rPr>
      </w:pPr>
    </w:p>
    <w:p>
      <w:pPr>
        <w:ind w:left="340" w:right="4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Flow-through adjustments related primarily to accounting method changes for tax purposes that allow us to take a current tax deduction for repair costs and certain indirect costs. We recorded a deferred income tax liability in recognition of the temporary difference created between book and tax treatment and flowed the tax benefit through to tax expense. A regulatory asset was established to reflect the recovery of future increases in taxes payable from customers as the temporary differences reverse. As a result of this regulatory treatment, we continue to record tax benefits consistent with the flow-through method.</w:t>
      </w:r>
    </w:p>
    <w:p>
      <w:pPr>
        <w:spacing w:after="0" w:line="1" w:lineRule="exact"/>
        <w:rPr>
          <w:rFonts w:ascii="Arial" w:cs="Arial" w:eastAsia="Arial" w:hAnsi="Arial"/>
          <w:sz w:val="16"/>
          <w:szCs w:val="16"/>
          <w:color w:val="auto"/>
        </w:rPr>
      </w:pPr>
    </w:p>
    <w:p>
      <w:pPr>
        <w:ind w:left="340" w:right="220" w:hanging="332"/>
        <w:spacing w:after="0" w:line="246" w:lineRule="auto"/>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On December 22, 2017, the TCJA was signed into law reducing the federal corporate rate from 35% to 21% effective January 1, 2018. The 2017 effective tax rate reduction reflects the revaluation of deferred income taxes associated with non-regulated operations required by the change. During the year ended December 31, 2018, we recorded $4.0 million of additional tax expense associated with changes in the prior estimated impacts of TCJA related items. During the year ended December 31, 2017, we recorded $7.6 million of tax benefit resulting from revaluation of net deferred tax liabilities in accordance with ASC 740 and the enactment of the TCJA on December 22, 2017.</w:t>
      </w:r>
    </w:p>
    <w:p>
      <w:pPr>
        <w:spacing w:after="0" w:line="2"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Legal entity restructuring - see above.</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Primarily TCJA - see above.</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At December 31, 2019, we have federal and state NOL carryforwards that will expire at various dates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240" w:type="dxa"/>
            <w:vAlign w:val="bottom"/>
          </w:tcPr>
          <w:p>
            <w:pPr>
              <w:jc w:val="right"/>
              <w:ind w:right="1130"/>
              <w:spacing w:after="0"/>
              <w:rPr>
                <w:sz w:val="20"/>
                <w:szCs w:val="20"/>
                <w:color w:val="auto"/>
              </w:rPr>
            </w:pPr>
            <w:r>
              <w:rPr>
                <w:rFonts w:ascii="Arial" w:cs="Arial" w:eastAsia="Arial" w:hAnsi="Arial"/>
                <w:sz w:val="18"/>
                <w:szCs w:val="18"/>
                <w:color w:val="auto"/>
              </w:rPr>
              <w:t>Amounts</w:t>
            </w:r>
          </w:p>
        </w:tc>
        <w:tc>
          <w:tcPr>
            <w:tcW w:w="1040" w:type="dxa"/>
            <w:vAlign w:val="bottom"/>
          </w:tcPr>
          <w:p>
            <w:pPr>
              <w:spacing w:after="0"/>
              <w:rPr>
                <w:sz w:val="20"/>
                <w:szCs w:val="20"/>
                <w:color w:val="auto"/>
              </w:rPr>
            </w:pPr>
          </w:p>
        </w:tc>
        <w:tc>
          <w:tcPr>
            <w:tcW w:w="1520" w:type="dxa"/>
            <w:vAlign w:val="bottom"/>
          </w:tcPr>
          <w:p>
            <w:pPr>
              <w:jc w:val="center"/>
              <w:spacing w:after="0"/>
              <w:rPr>
                <w:sz w:val="20"/>
                <w:szCs w:val="20"/>
                <w:color w:val="auto"/>
              </w:rPr>
            </w:pPr>
            <w:r>
              <w:rPr>
                <w:rFonts w:ascii="Arial" w:cs="Arial" w:eastAsia="Arial" w:hAnsi="Arial"/>
                <w:sz w:val="18"/>
                <w:szCs w:val="18"/>
                <w:color w:val="auto"/>
                <w:w w:val="90"/>
              </w:rPr>
              <w:t>Expiration Dates</w:t>
            </w:r>
          </w:p>
        </w:tc>
        <w:tc>
          <w:tcPr>
            <w:tcW w:w="1000" w:type="dxa"/>
            <w:vAlign w:val="bottom"/>
          </w:tcPr>
          <w:p>
            <w:pPr>
              <w:spacing w:after="0"/>
              <w:rPr>
                <w:sz w:val="20"/>
                <w:szCs w:val="20"/>
                <w:color w:val="auto"/>
              </w:rPr>
            </w:pPr>
          </w:p>
        </w:tc>
      </w:tr>
      <w:tr>
        <w:trPr>
          <w:trHeight w:val="27"/>
        </w:trPr>
        <w:tc>
          <w:tcPr>
            <w:tcW w:w="41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Federal Net Operating Loss Carryforward</w:t>
            </w:r>
          </w:p>
        </w:tc>
        <w:tc>
          <w:tcPr>
            <w:tcW w:w="1500" w:type="dxa"/>
            <w:vAlign w:val="bottom"/>
            <w:tcBorders>
              <w:bottom w:val="single" w:sz="8" w:color="CEFFE7"/>
            </w:tcBorders>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2240" w:type="dxa"/>
            <w:vAlign w:val="bottom"/>
            <w:tcBorders>
              <w:bottom w:val="single" w:sz="8" w:color="CEFFE7"/>
            </w:tcBorders>
            <w:shd w:val="clear" w:color="auto" w:fill="CEFFE7"/>
          </w:tcPr>
          <w:p>
            <w:pPr>
              <w:jc w:val="right"/>
              <w:ind w:right="430"/>
              <w:spacing w:after="0"/>
              <w:rPr>
                <w:sz w:val="20"/>
                <w:szCs w:val="20"/>
                <w:color w:val="auto"/>
              </w:rPr>
            </w:pPr>
            <w:r>
              <w:rPr>
                <w:rFonts w:ascii="Arial" w:cs="Arial" w:eastAsia="Arial" w:hAnsi="Arial"/>
                <w:sz w:val="18"/>
                <w:szCs w:val="18"/>
                <w:color w:val="auto"/>
              </w:rPr>
              <w:t>575,457</w:t>
            </w:r>
          </w:p>
        </w:tc>
        <w:tc>
          <w:tcPr>
            <w:tcW w:w="1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2022</w:t>
            </w:r>
          </w:p>
        </w:tc>
        <w:tc>
          <w:tcPr>
            <w:tcW w:w="152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tcBorders>
              <w:bottom w:val="single" w:sz="8" w:color="CEFFE7"/>
            </w:tcBorders>
            <w:shd w:val="clear" w:color="auto" w:fill="CEFFE7"/>
          </w:tcPr>
          <w:p>
            <w:pPr>
              <w:jc w:val="right"/>
              <w:ind w:right="410"/>
              <w:spacing w:after="0"/>
              <w:rPr>
                <w:sz w:val="20"/>
                <w:szCs w:val="20"/>
                <w:color w:val="auto"/>
              </w:rPr>
            </w:pPr>
            <w:r>
              <w:rPr>
                <w:rFonts w:ascii="Arial" w:cs="Arial" w:eastAsia="Arial" w:hAnsi="Arial"/>
                <w:sz w:val="18"/>
                <w:szCs w:val="18"/>
                <w:color w:val="auto"/>
              </w:rPr>
              <w:t>2037</w:t>
            </w:r>
          </w:p>
        </w:tc>
      </w:tr>
      <w:tr>
        <w:trPr>
          <w:trHeight w:val="324"/>
        </w:trPr>
        <w:tc>
          <w:tcPr>
            <w:tcW w:w="4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70"/>
        </w:trPr>
        <w:tc>
          <w:tcPr>
            <w:tcW w:w="4120" w:type="dxa"/>
            <w:vAlign w:val="bottom"/>
            <w:shd w:val="clear" w:color="auto" w:fill="CEFFE7"/>
          </w:tcPr>
          <w:p>
            <w:pPr>
              <w:ind w:left="40"/>
              <w:spacing w:after="0" w:line="270" w:lineRule="exact"/>
              <w:rPr>
                <w:sz w:val="20"/>
                <w:szCs w:val="20"/>
                <w:color w:val="auto"/>
              </w:rPr>
            </w:pPr>
            <w:r>
              <w:rPr>
                <w:rFonts w:ascii="Arial" w:cs="Arial" w:eastAsia="Arial" w:hAnsi="Arial"/>
                <w:sz w:val="18"/>
                <w:szCs w:val="18"/>
                <w:color w:val="auto"/>
              </w:rPr>
              <w:t xml:space="preserve">State Net Operating Loss Carryforward </w:t>
            </w:r>
            <w:r>
              <w:rPr>
                <w:rFonts w:ascii="Arial" w:cs="Arial" w:eastAsia="Arial" w:hAnsi="Arial"/>
                <w:sz w:val="25"/>
                <w:szCs w:val="25"/>
                <w:color w:val="auto"/>
                <w:vertAlign w:val="superscript"/>
              </w:rPr>
              <w:t>(a)</w:t>
            </w:r>
          </w:p>
        </w:tc>
        <w:tc>
          <w:tcPr>
            <w:tcW w:w="1500" w:type="dxa"/>
            <w:vAlign w:val="bottom"/>
            <w:shd w:val="clear" w:color="auto" w:fill="CEFFE7"/>
          </w:tcPr>
          <w:p>
            <w:pPr>
              <w:jc w:val="right"/>
              <w:ind w:right="250"/>
              <w:spacing w:after="0"/>
              <w:rPr>
                <w:sz w:val="20"/>
                <w:szCs w:val="20"/>
                <w:color w:val="auto"/>
              </w:rPr>
            </w:pPr>
            <w:r>
              <w:rPr>
                <w:rFonts w:ascii="Arial" w:cs="Arial" w:eastAsia="Arial" w:hAnsi="Arial"/>
                <w:sz w:val="18"/>
                <w:szCs w:val="18"/>
                <w:color w:val="auto"/>
              </w:rPr>
              <w:t>$</w:t>
            </w:r>
          </w:p>
        </w:tc>
        <w:tc>
          <w:tcPr>
            <w:tcW w:w="2240" w:type="dxa"/>
            <w:vAlign w:val="bottom"/>
            <w:shd w:val="clear" w:color="auto" w:fill="CEFFE7"/>
          </w:tcPr>
          <w:p>
            <w:pPr>
              <w:jc w:val="right"/>
              <w:ind w:right="430"/>
              <w:spacing w:after="0"/>
              <w:rPr>
                <w:sz w:val="20"/>
                <w:szCs w:val="20"/>
                <w:color w:val="auto"/>
              </w:rPr>
            </w:pPr>
            <w:r>
              <w:rPr>
                <w:rFonts w:ascii="Arial" w:cs="Arial" w:eastAsia="Arial" w:hAnsi="Arial"/>
                <w:sz w:val="18"/>
                <w:szCs w:val="18"/>
                <w:color w:val="auto"/>
              </w:rPr>
              <w:t>224,716</w:t>
            </w:r>
          </w:p>
        </w:tc>
        <w:tc>
          <w:tcPr>
            <w:tcW w:w="1040" w:type="dxa"/>
            <w:vAlign w:val="bottom"/>
            <w:shd w:val="clear" w:color="auto" w:fill="CEFFE7"/>
          </w:tcPr>
          <w:p>
            <w:pPr>
              <w:jc w:val="right"/>
              <w:ind w:right="50"/>
              <w:spacing w:after="0"/>
              <w:rPr>
                <w:sz w:val="20"/>
                <w:szCs w:val="20"/>
                <w:color w:val="auto"/>
              </w:rPr>
            </w:pPr>
            <w:r>
              <w:rPr>
                <w:rFonts w:ascii="Arial" w:cs="Arial" w:eastAsia="Arial" w:hAnsi="Arial"/>
                <w:sz w:val="18"/>
                <w:szCs w:val="18"/>
                <w:color w:val="auto"/>
              </w:rPr>
              <w:t>2020</w:t>
            </w:r>
          </w:p>
        </w:tc>
        <w:tc>
          <w:tcPr>
            <w:tcW w:w="152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2"/>
              </w:rPr>
              <w:t>to</w:t>
            </w:r>
          </w:p>
        </w:tc>
        <w:tc>
          <w:tcPr>
            <w:tcW w:w="1000" w:type="dxa"/>
            <w:vAlign w:val="bottom"/>
            <w:shd w:val="clear" w:color="auto" w:fill="CEFFE7"/>
          </w:tcPr>
          <w:p>
            <w:pPr>
              <w:jc w:val="right"/>
              <w:ind w:right="410"/>
              <w:spacing w:after="0"/>
              <w:rPr>
                <w:sz w:val="20"/>
                <w:szCs w:val="20"/>
                <w:color w:val="auto"/>
              </w:rPr>
            </w:pPr>
            <w:r>
              <w:rPr>
                <w:rFonts w:ascii="Arial" w:cs="Arial" w:eastAsia="Arial" w:hAnsi="Arial"/>
                <w:sz w:val="18"/>
                <w:szCs w:val="18"/>
                <w:color w:val="auto"/>
              </w:rPr>
              <w:t>2040</w:t>
            </w:r>
          </w:p>
        </w:tc>
      </w:tr>
      <w:tr>
        <w:trPr>
          <w:trHeight w:val="432"/>
        </w:trPr>
        <w:tc>
          <w:tcPr>
            <w:tcW w:w="4120" w:type="dxa"/>
            <w:vAlign w:val="bottom"/>
          </w:tcPr>
          <w:p>
            <w:pPr>
              <w:jc w:val="right"/>
              <w:ind w:right="1770"/>
              <w:spacing w:after="0"/>
              <w:rPr>
                <w:sz w:val="20"/>
                <w:szCs w:val="20"/>
                <w:color w:val="auto"/>
              </w:rPr>
            </w:pPr>
            <w:r>
              <w:rPr>
                <w:rFonts w:ascii="Arial" w:cs="Arial" w:eastAsia="Arial" w:hAnsi="Arial"/>
                <w:sz w:val="18"/>
                <w:szCs w:val="18"/>
                <w:color w:val="auto"/>
                <w:w w:val="89"/>
              </w:rPr>
              <w:t>_________________________</w:t>
            </w:r>
          </w:p>
        </w:tc>
        <w:tc>
          <w:tcPr>
            <w:tcW w:w="15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pacing w:after="0"/>
        <w:tabs>
          <w:tab w:leader="none" w:pos="320" w:val="left"/>
        </w:tabs>
        <w:rPr>
          <w:sz w:val="20"/>
          <w:szCs w:val="20"/>
          <w:color w:val="auto"/>
        </w:rPr>
      </w:pPr>
      <w:r>
        <w:rPr>
          <w:rFonts w:ascii="Arial" w:cs="Arial" w:eastAsia="Arial" w:hAnsi="Arial"/>
          <w:sz w:val="16"/>
          <w:szCs w:val="16"/>
          <w:color w:val="auto"/>
        </w:rPr>
        <w:t>(a)</w:t>
      </w:r>
      <w:r>
        <w:rPr>
          <w:sz w:val="20"/>
          <w:szCs w:val="20"/>
          <w:color w:val="auto"/>
        </w:rPr>
        <w:tab/>
      </w:r>
      <w:r>
        <w:rPr>
          <w:rFonts w:ascii="Arial" w:cs="Arial" w:eastAsia="Arial" w:hAnsi="Arial"/>
          <w:sz w:val="14"/>
          <w:szCs w:val="14"/>
          <w:color w:val="auto"/>
        </w:rPr>
        <w:t>The carryforward balance is reflected on the basis of apportioned tax losses to jurisdictions imposing state income taxes.</w:t>
      </w:r>
    </w:p>
    <w:p>
      <w:pPr>
        <w:spacing w:after="0" w:line="207"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As of December 31, 2019, we had a $0.5 million valuation allowance against the state NOL carryforwards. Our 2019 analysis of the ability to utilize such NOLs resulted in no increase in the valuation allowance. If the valuation allowance is adjusted due to higher or lower than anticipated utilization of the NOLs, the offsetting amount will affect tax expense.</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420"/>
          </w:cols>
          <w:pgMar w:left="240" w:top="118" w:right="239" w:bottom="1440" w:gutter="0" w:footer="0" w:header="0"/>
        </w:sectPr>
      </w:pPr>
    </w:p>
    <w:bookmarkStart w:id="126" w:name="page127"/>
    <w:bookmarkEnd w:id="12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The following table reconciles the total amounts of unrecognized tax benefits, without interest, at the beginning and end of the period included in Other deferred credits and other liabilities on the accompanying Consolidated Balance Sheets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tcPr>
          <w:p>
            <w:pPr>
              <w:jc w:val="right"/>
              <w:ind w:right="230"/>
              <w:spacing w:after="0"/>
              <w:rPr>
                <w:sz w:val="20"/>
                <w:szCs w:val="20"/>
                <w:color w:val="auto"/>
              </w:rPr>
            </w:pPr>
            <w:r>
              <w:rPr>
                <w:rFonts w:ascii="Arial" w:cs="Arial" w:eastAsia="Arial" w:hAnsi="Arial"/>
                <w:sz w:val="18"/>
                <w:szCs w:val="18"/>
                <w:color w:val="auto"/>
                <w:w w:val="94"/>
              </w:rPr>
              <w:t>Changes in Uncertain Tax</w:t>
            </w:r>
          </w:p>
        </w:tc>
      </w:tr>
      <w:tr>
        <w:trPr>
          <w:trHeight w:val="230"/>
        </w:trPr>
        <w:tc>
          <w:tcPr>
            <w:tcW w:w="8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300" w:type="dxa"/>
            <w:vAlign w:val="bottom"/>
          </w:tcPr>
          <w:p>
            <w:pPr>
              <w:jc w:val="right"/>
              <w:ind w:right="830"/>
              <w:spacing w:after="0"/>
              <w:rPr>
                <w:sz w:val="20"/>
                <w:szCs w:val="20"/>
                <w:color w:val="auto"/>
              </w:rPr>
            </w:pPr>
            <w:r>
              <w:rPr>
                <w:rFonts w:ascii="Arial" w:cs="Arial" w:eastAsia="Arial" w:hAnsi="Arial"/>
                <w:sz w:val="18"/>
                <w:szCs w:val="18"/>
                <w:color w:val="auto"/>
              </w:rPr>
              <w:t>Positions</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Beginning balance at January 1, 2017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3,592</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358</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(5,713)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5,026</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2017</w:t>
            </w:r>
          </w:p>
        </w:tc>
        <w:tc>
          <w:tcPr>
            <w:tcW w:w="220" w:type="dxa"/>
            <w:vAlign w:val="bottom"/>
            <w:tcBorders>
              <w:top w:val="single" w:sz="8" w:color="auto"/>
            </w:tcBorders>
          </w:tcPr>
          <w:p>
            <w:pPr>
              <w:spacing w:after="0"/>
              <w:rPr>
                <w:sz w:val="20"/>
                <w:szCs w:val="20"/>
                <w:color w:val="auto"/>
              </w:rPr>
            </w:pPr>
          </w:p>
        </w:tc>
        <w:tc>
          <w:tcPr>
            <w:tcW w:w="2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3,263</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251</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Pr>
          <w:p>
            <w:pPr>
              <w:spacing w:after="0"/>
              <w:rPr>
                <w:sz w:val="21"/>
                <w:szCs w:val="21"/>
                <w:color w:val="auto"/>
              </w:rPr>
            </w:pPr>
          </w:p>
        </w:tc>
        <w:tc>
          <w:tcPr>
            <w:tcW w:w="2300" w:type="dxa"/>
            <w:vAlign w:val="bottom"/>
          </w:tcPr>
          <w:p>
            <w:pPr>
              <w:jc w:val="right"/>
              <w:spacing w:after="0"/>
              <w:rPr>
                <w:sz w:val="20"/>
                <w:szCs w:val="20"/>
                <w:color w:val="auto"/>
              </w:rPr>
            </w:pPr>
            <w:r>
              <w:rPr>
                <w:rFonts w:ascii="Arial" w:cs="Arial" w:eastAsia="Arial" w:hAnsi="Arial"/>
                <w:sz w:val="18"/>
                <w:szCs w:val="18"/>
                <w:color w:val="auto"/>
              </w:rPr>
              <w:t>(417)</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486</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9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tcPr>
          <w:p>
            <w:pPr>
              <w:spacing w:after="0"/>
              <w:rPr>
                <w:sz w:val="2"/>
                <w:szCs w:val="2"/>
                <w:color w:val="auto"/>
              </w:rPr>
            </w:pPr>
          </w:p>
        </w:tc>
      </w:tr>
      <w:tr>
        <w:trPr>
          <w:trHeight w:val="244"/>
        </w:trPr>
        <w:tc>
          <w:tcPr>
            <w:tcW w:w="8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Ending balance at December 31, 2018</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3,583</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prior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446</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5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Reductions for prior year tax positions</w:t>
            </w:r>
          </w:p>
        </w:tc>
        <w:tc>
          <w:tcPr>
            <w:tcW w:w="220" w:type="dxa"/>
            <w:vAlign w:val="bottom"/>
            <w:tcBorders>
              <w:bottom w:val="single" w:sz="8" w:color="CEFFE7"/>
            </w:tcBorders>
            <w:shd w:val="clear" w:color="auto" w:fill="CEFFE7"/>
          </w:tcPr>
          <w:p>
            <w:pPr>
              <w:spacing w:after="0"/>
              <w:rPr>
                <w:sz w:val="21"/>
                <w:szCs w:val="21"/>
                <w:color w:val="auto"/>
              </w:rPr>
            </w:pPr>
          </w:p>
        </w:tc>
        <w:tc>
          <w:tcPr>
            <w:tcW w:w="23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(862)</w:t>
            </w:r>
          </w:p>
        </w:tc>
      </w:tr>
      <w:tr>
        <w:trPr>
          <w:trHeight w:val="243"/>
        </w:trPr>
        <w:tc>
          <w:tcPr>
            <w:tcW w:w="8900" w:type="dxa"/>
            <w:vAlign w:val="bottom"/>
          </w:tcPr>
          <w:p>
            <w:pPr>
              <w:ind w:left="180"/>
              <w:spacing w:after="0"/>
              <w:rPr>
                <w:sz w:val="20"/>
                <w:szCs w:val="20"/>
                <w:color w:val="auto"/>
              </w:rPr>
            </w:pPr>
            <w:r>
              <w:rPr>
                <w:rFonts w:ascii="Arial" w:cs="Arial" w:eastAsia="Arial" w:hAnsi="Arial"/>
                <w:sz w:val="18"/>
                <w:szCs w:val="18"/>
                <w:color w:val="auto"/>
              </w:rPr>
              <w:t>Additions for current year tax positions</w:t>
            </w:r>
          </w:p>
        </w:tc>
        <w:tc>
          <w:tcPr>
            <w:tcW w:w="220" w:type="dxa"/>
            <w:vAlign w:val="bottom"/>
          </w:tcPr>
          <w:p>
            <w:pPr>
              <w:spacing w:after="0"/>
              <w:rPr>
                <w:sz w:val="21"/>
                <w:szCs w:val="21"/>
                <w:color w:val="auto"/>
              </w:rPr>
            </w:pPr>
          </w:p>
        </w:tc>
        <w:tc>
          <w:tcPr>
            <w:tcW w:w="2300" w:type="dxa"/>
            <w:vAlign w:val="bottom"/>
          </w:tcPr>
          <w:p>
            <w:pPr>
              <w:jc w:val="right"/>
              <w:ind w:right="10"/>
              <w:spacing w:after="0"/>
              <w:rPr>
                <w:sz w:val="20"/>
                <w:szCs w:val="20"/>
                <w:color w:val="auto"/>
              </w:rPr>
            </w:pPr>
            <w:r>
              <w:rPr>
                <w:rFonts w:ascii="Arial" w:cs="Arial" w:eastAsia="Arial" w:hAnsi="Arial"/>
                <w:sz w:val="18"/>
                <w:szCs w:val="18"/>
                <w:color w:val="auto"/>
              </w:rPr>
              <w:t>998</w:t>
            </w:r>
          </w:p>
        </w:tc>
      </w:tr>
      <w:tr>
        <w:trPr>
          <w:trHeight w:val="27"/>
        </w:trPr>
        <w:tc>
          <w:tcPr>
            <w:tcW w:w="89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300" w:type="dxa"/>
            <w:vAlign w:val="bottom"/>
          </w:tcPr>
          <w:p>
            <w:pPr>
              <w:spacing w:after="0"/>
              <w:rPr>
                <w:sz w:val="2"/>
                <w:szCs w:val="2"/>
                <w:color w:val="auto"/>
              </w:rPr>
            </w:pPr>
          </w:p>
        </w:tc>
      </w:tr>
      <w:tr>
        <w:trPr>
          <w:trHeight w:val="270"/>
        </w:trPr>
        <w:tc>
          <w:tcPr>
            <w:tcW w:w="89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EFFE7"/>
            </w:tcBorders>
            <w:shd w:val="clear" w:color="auto" w:fill="CEFFE7"/>
          </w:tcPr>
          <w:p>
            <w:pPr>
              <w:spacing w:after="0"/>
              <w:rPr>
                <w:sz w:val="23"/>
                <w:szCs w:val="23"/>
                <w:color w:val="auto"/>
              </w:rPr>
            </w:pPr>
          </w:p>
        </w:tc>
        <w:tc>
          <w:tcPr>
            <w:tcW w:w="2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8900" w:type="dxa"/>
            <w:vAlign w:val="bottom"/>
          </w:tcPr>
          <w:p>
            <w:pPr>
              <w:ind w:left="40"/>
              <w:spacing w:after="0"/>
              <w:rPr>
                <w:sz w:val="20"/>
                <w:szCs w:val="20"/>
                <w:color w:val="auto"/>
              </w:rPr>
            </w:pPr>
            <w:r>
              <w:rPr>
                <w:rFonts w:ascii="Arial" w:cs="Arial" w:eastAsia="Arial" w:hAnsi="Arial"/>
                <w:sz w:val="18"/>
                <w:szCs w:val="18"/>
                <w:color w:val="auto"/>
              </w:rPr>
              <w:t>Ending balance at December 31, 2019</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3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4,165</w:t>
            </w:r>
          </w:p>
        </w:tc>
      </w:tr>
      <w:tr>
        <w:trPr>
          <w:trHeight w:val="20"/>
        </w:trPr>
        <w:tc>
          <w:tcPr>
            <w:tcW w:w="8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3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total amount of unrecognized tax benefits that, if recognized, would impact the effective tax rate is approximately $0.3 million.</w:t>
      </w:r>
    </w:p>
    <w:p>
      <w:pPr>
        <w:spacing w:after="0" w:line="225" w:lineRule="exact"/>
        <w:rPr>
          <w:sz w:val="20"/>
          <w:szCs w:val="20"/>
          <w:color w:val="auto"/>
        </w:rPr>
      </w:pPr>
    </w:p>
    <w:p>
      <w:pPr>
        <w:ind w:right="300"/>
        <w:spacing w:after="0" w:line="308" w:lineRule="auto"/>
        <w:rPr>
          <w:sz w:val="20"/>
          <w:szCs w:val="20"/>
          <w:color w:val="auto"/>
        </w:rPr>
      </w:pPr>
      <w:r>
        <w:rPr>
          <w:rFonts w:ascii="Arial" w:cs="Arial" w:eastAsia="Arial" w:hAnsi="Arial"/>
          <w:sz w:val="17"/>
          <w:szCs w:val="17"/>
          <w:color w:val="auto"/>
        </w:rPr>
        <w:t>We recognized no interest expense associated with income taxes for the years ended December 31, 2019, December 31, 2018 and December 31, 2017. We had no accrued interest (before tax effect) associated with income taxes at December 31, 2019 and December 31, 2018.</w:t>
      </w:r>
    </w:p>
    <w:p>
      <w:pPr>
        <w:spacing w:after="0" w:line="14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The Company is subject to federal income tax as well as income tax in various state and local jurisdictions. Black Hills Gas, Inc. and subsidiaries, which filed a separate consolidated tax return from BHC and subsidiaries through March 31, 2018, is under examination by the IRS for 2014. BHC is no longer subject to examination for tax years prior to 2016.</w:t>
      </w:r>
    </w:p>
    <w:p>
      <w:pPr>
        <w:spacing w:after="0" w:line="18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As of December 31, 2019, we do not have any tax positions for which it is reasonably possible that the total amount of unrecognized tax benefits will significantly increase or decrease on or before December 31, 2020.</w:t>
      </w:r>
    </w:p>
    <w:p>
      <w:pPr>
        <w:spacing w:after="0" w:line="170"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State tax credits have been generated and are available to offset future state income taxes. At December 31, 2019, we had the following state tax credit carryforwards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80" w:type="dxa"/>
            <w:vAlign w:val="bottom"/>
            <w:gridSpan w:val="2"/>
          </w:tcPr>
          <w:p>
            <w:pPr>
              <w:ind w:left="1800"/>
              <w:spacing w:after="0"/>
              <w:rPr>
                <w:sz w:val="20"/>
                <w:szCs w:val="20"/>
                <w:color w:val="auto"/>
              </w:rPr>
            </w:pPr>
            <w:r>
              <w:rPr>
                <w:rFonts w:ascii="Arial" w:cs="Arial" w:eastAsia="Arial" w:hAnsi="Arial"/>
                <w:sz w:val="18"/>
                <w:szCs w:val="18"/>
                <w:color w:val="auto"/>
              </w:rPr>
              <w:t>State Tax Credit Carryforwards</w:t>
            </w:r>
          </w:p>
        </w:tc>
        <w:tc>
          <w:tcPr>
            <w:tcW w:w="162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780" w:type="dxa"/>
            <w:vAlign w:val="bottom"/>
            <w:gridSpan w:val="2"/>
          </w:tcPr>
          <w:p>
            <w:pPr>
              <w:jc w:val="center"/>
              <w:ind w:right="1710"/>
              <w:spacing w:after="0"/>
              <w:rPr>
                <w:sz w:val="20"/>
                <w:szCs w:val="20"/>
                <w:color w:val="auto"/>
              </w:rPr>
            </w:pPr>
            <w:r>
              <w:rPr>
                <w:rFonts w:ascii="Arial" w:cs="Arial" w:eastAsia="Arial" w:hAnsi="Arial"/>
                <w:sz w:val="18"/>
                <w:szCs w:val="18"/>
                <w:color w:val="auto"/>
                <w:w w:val="92"/>
              </w:rPr>
              <w:t>Expiration Year</w:t>
            </w:r>
          </w:p>
        </w:tc>
      </w:tr>
      <w:tr>
        <w:trPr>
          <w:trHeight w:val="27"/>
        </w:trPr>
        <w:tc>
          <w:tcPr>
            <w:tcW w:w="30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44"/>
        </w:trPr>
        <w:tc>
          <w:tcPr>
            <w:tcW w:w="3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ITC</w:t>
            </w:r>
          </w:p>
        </w:tc>
        <w:tc>
          <w:tcPr>
            <w:tcW w:w="168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tcBorders>
              <w:bottom w:val="single" w:sz="8" w:color="CEFFE7"/>
            </w:tcBorders>
            <w:shd w:val="clear" w:color="auto" w:fill="CEFFE7"/>
          </w:tcPr>
          <w:p>
            <w:pPr>
              <w:jc w:val="right"/>
              <w:ind w:right="470"/>
              <w:spacing w:after="0"/>
              <w:rPr>
                <w:sz w:val="20"/>
                <w:szCs w:val="20"/>
                <w:color w:val="auto"/>
              </w:rPr>
            </w:pPr>
            <w:r>
              <w:rPr>
                <w:rFonts w:ascii="Arial" w:cs="Arial" w:eastAsia="Arial" w:hAnsi="Arial"/>
                <w:sz w:val="18"/>
                <w:szCs w:val="18"/>
                <w:color w:val="auto"/>
              </w:rPr>
              <w:t>23,060</w:t>
            </w:r>
          </w:p>
        </w:tc>
        <w:tc>
          <w:tcPr>
            <w:tcW w:w="1340" w:type="dxa"/>
            <w:vAlign w:val="bottom"/>
            <w:tcBorders>
              <w:bottom w:val="single" w:sz="8" w:color="CEFFE7"/>
            </w:tcBorders>
            <w:shd w:val="clear" w:color="auto" w:fill="CEFFE7"/>
          </w:tcPr>
          <w:p>
            <w:pPr>
              <w:jc w:val="right"/>
              <w:ind w:right="330"/>
              <w:spacing w:after="0"/>
              <w:rPr>
                <w:sz w:val="20"/>
                <w:szCs w:val="20"/>
                <w:color w:val="auto"/>
              </w:rPr>
            </w:pPr>
            <w:r>
              <w:rPr>
                <w:rFonts w:ascii="Arial" w:cs="Arial" w:eastAsia="Arial" w:hAnsi="Arial"/>
                <w:sz w:val="18"/>
                <w:szCs w:val="18"/>
                <w:color w:val="auto"/>
              </w:rPr>
              <w:t>2023</w:t>
            </w:r>
          </w:p>
        </w:tc>
        <w:tc>
          <w:tcPr>
            <w:tcW w:w="1240" w:type="dxa"/>
            <w:vAlign w:val="bottom"/>
            <w:tcBorders>
              <w:bottom w:val="single" w:sz="8" w:color="CEFFE7"/>
            </w:tcBorders>
            <w:shd w:val="clear" w:color="auto" w:fill="CEFFE7"/>
          </w:tcPr>
          <w:p>
            <w:pPr>
              <w:jc w:val="center"/>
              <w:ind w:left="650"/>
              <w:spacing w:after="0"/>
              <w:rPr>
                <w:sz w:val="20"/>
                <w:szCs w:val="20"/>
                <w:color w:val="auto"/>
              </w:rPr>
            </w:pPr>
            <w:r>
              <w:rPr>
                <w:rFonts w:ascii="Arial" w:cs="Arial" w:eastAsia="Arial" w:hAnsi="Arial"/>
                <w:sz w:val="18"/>
                <w:szCs w:val="18"/>
                <w:color w:val="auto"/>
                <w:w w:val="92"/>
              </w:rPr>
              <w:t>to</w:t>
            </w:r>
          </w:p>
        </w:tc>
        <w:tc>
          <w:tcPr>
            <w:tcW w:w="2540" w:type="dxa"/>
            <w:vAlign w:val="bottom"/>
            <w:tcBorders>
              <w:bottom w:val="single" w:sz="8" w:color="CEFFE7"/>
            </w:tcBorders>
            <w:shd w:val="clear" w:color="auto" w:fill="CEFFE7"/>
          </w:tcPr>
          <w:p>
            <w:pPr>
              <w:jc w:val="right"/>
              <w:ind w:right="1910"/>
              <w:spacing w:after="0"/>
              <w:rPr>
                <w:sz w:val="20"/>
                <w:szCs w:val="20"/>
                <w:color w:val="auto"/>
              </w:rPr>
            </w:pPr>
            <w:r>
              <w:rPr>
                <w:rFonts w:ascii="Arial" w:cs="Arial" w:eastAsia="Arial" w:hAnsi="Arial"/>
                <w:sz w:val="18"/>
                <w:szCs w:val="18"/>
                <w:color w:val="auto"/>
              </w:rPr>
              <w:t>2041</w:t>
            </w:r>
          </w:p>
        </w:tc>
      </w:tr>
      <w:tr>
        <w:trPr>
          <w:trHeight w:val="243"/>
        </w:trPr>
        <w:tc>
          <w:tcPr>
            <w:tcW w:w="3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168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20" w:type="dxa"/>
            <w:vAlign w:val="bottom"/>
          </w:tcPr>
          <w:p>
            <w:pPr>
              <w:jc w:val="right"/>
              <w:ind w:right="470"/>
              <w:spacing w:after="0"/>
              <w:rPr>
                <w:sz w:val="20"/>
                <w:szCs w:val="20"/>
                <w:color w:val="auto"/>
              </w:rPr>
            </w:pPr>
            <w:r>
              <w:rPr>
                <w:rFonts w:ascii="Arial" w:cs="Arial" w:eastAsia="Arial" w:hAnsi="Arial"/>
                <w:sz w:val="18"/>
                <w:szCs w:val="18"/>
                <w:color w:val="auto"/>
              </w:rPr>
              <w:t>201</w:t>
            </w:r>
          </w:p>
        </w:tc>
        <w:tc>
          <w:tcPr>
            <w:tcW w:w="1340" w:type="dxa"/>
            <w:vAlign w:val="bottom"/>
          </w:tcPr>
          <w:p>
            <w:pPr>
              <w:spacing w:after="0"/>
              <w:rPr>
                <w:sz w:val="21"/>
                <w:szCs w:val="21"/>
                <w:color w:val="auto"/>
              </w:rPr>
            </w:pPr>
          </w:p>
        </w:tc>
        <w:tc>
          <w:tcPr>
            <w:tcW w:w="3780" w:type="dxa"/>
            <w:vAlign w:val="bottom"/>
            <w:gridSpan w:val="2"/>
          </w:tcPr>
          <w:p>
            <w:pPr>
              <w:jc w:val="center"/>
              <w:ind w:right="1710"/>
              <w:spacing w:after="0"/>
              <w:rPr>
                <w:sz w:val="20"/>
                <w:szCs w:val="20"/>
                <w:color w:val="auto"/>
              </w:rPr>
            </w:pPr>
            <w:r>
              <w:rPr>
                <w:rFonts w:ascii="Arial" w:cs="Arial" w:eastAsia="Arial" w:hAnsi="Arial"/>
                <w:sz w:val="18"/>
                <w:szCs w:val="18"/>
                <w:color w:val="auto"/>
                <w:w w:val="92"/>
              </w:rPr>
              <w:t>No expiration</w:t>
            </w:r>
          </w:p>
        </w:tc>
      </w:tr>
    </w:tbl>
    <w:p>
      <w:pPr>
        <w:spacing w:after="0" w:line="200" w:lineRule="exact"/>
        <w:rPr>
          <w:sz w:val="20"/>
          <w:szCs w:val="20"/>
          <w:color w:val="auto"/>
        </w:rPr>
      </w:pPr>
    </w:p>
    <w:p>
      <w:pPr>
        <w:spacing w:after="0" w:line="245"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As of December 31, 2019, we had a $9 million valuation allowance against the state tax credit carryforwards. Ultimate usage of these credits depends upon our future tax filings. If the valuation allowance is adjusted due to higher or lower than anticipated utilization of the state tax credit carryforwards, the offsetting amount will affect tax expense.</w:t>
      </w:r>
    </w:p>
    <w:p>
      <w:pPr>
        <w:spacing w:after="0" w:line="393"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(16)</w:t>
        <w:tab/>
        <w:t>OTHER COMPREHENSIVE INCOME</w:t>
      </w:r>
    </w:p>
    <w:p>
      <w:pPr>
        <w:spacing w:after="0" w:line="229"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We record deferred gains (losses) in AOCI related to interest rate swaps designated as cash flow hedges, commodity contracts designated as cash flow hedges and the amortization of components of our defined benefit plans. Deferred gains (losses) for our commodity contracts designated as cash flow hedges are recognized in earnings upon settlement, while deferred gains (losses) related to our interest rate swaps are recognized in earnings as they are amortized.</w:t>
      </w:r>
    </w:p>
    <w:p>
      <w:pPr>
        <w:sectPr>
          <w:pgSz w:w="11900" w:h="16838" w:orient="portrait"/>
          <w:cols w:equalWidth="0" w:num="1">
            <w:col w:w="11420"/>
          </w:cols>
          <w:pgMar w:left="240" w:top="126" w:right="239" w:bottom="1440" w:gutter="0" w:footer="0" w:header="0"/>
        </w:sect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420"/>
          </w:cols>
          <w:pgMar w:left="240" w:top="126" w:right="239" w:bottom="1440" w:gutter="0" w:footer="0" w:header="0"/>
          <w:type w:val="continuous"/>
        </w:sectPr>
      </w:pPr>
    </w:p>
    <w:bookmarkStart w:id="127" w:name="page128"/>
    <w:bookmarkEnd w:id="12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details reclassifications out of AOCI and into net income. The amounts in parentheses below indicate decreases to net income in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Income for the period, net of tax (in thousands):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4860" w:type="dxa"/>
            <w:vAlign w:val="bottom"/>
          </w:tcPr>
          <w:p>
            <w:pPr>
              <w:spacing w:after="0"/>
              <w:rPr>
                <w:sz w:val="23"/>
                <w:szCs w:val="23"/>
                <w:color w:val="auto"/>
              </w:rPr>
            </w:pPr>
          </w:p>
        </w:tc>
        <w:tc>
          <w:tcPr>
            <w:tcW w:w="3380" w:type="dxa"/>
            <w:vAlign w:val="bottom"/>
          </w:tcPr>
          <w:p>
            <w:pPr>
              <w:ind w:left="140"/>
              <w:spacing w:after="0"/>
              <w:rPr>
                <w:sz w:val="20"/>
                <w:szCs w:val="20"/>
                <w:color w:val="auto"/>
              </w:rPr>
            </w:pPr>
            <w:r>
              <w:rPr>
                <w:rFonts w:ascii="Arial" w:cs="Arial" w:eastAsia="Arial" w:hAnsi="Arial"/>
                <w:sz w:val="18"/>
                <w:szCs w:val="18"/>
                <w:color w:val="auto"/>
                <w:w w:val="92"/>
              </w:rPr>
              <w:t>Location on the Consolidated Statements of</w:t>
            </w:r>
          </w:p>
        </w:tc>
        <w:tc>
          <w:tcPr>
            <w:tcW w:w="260" w:type="dxa"/>
            <w:vAlign w:val="bottom"/>
          </w:tcPr>
          <w:p>
            <w:pPr>
              <w:spacing w:after="0"/>
              <w:rPr>
                <w:sz w:val="23"/>
                <w:szCs w:val="23"/>
                <w:color w:val="auto"/>
              </w:rPr>
            </w:pPr>
          </w:p>
        </w:tc>
        <w:tc>
          <w:tcPr>
            <w:tcW w:w="2920" w:type="dxa"/>
            <w:vAlign w:val="bottom"/>
            <w:gridSpan w:val="3"/>
          </w:tcPr>
          <w:p>
            <w:pPr>
              <w:jc w:val="right"/>
              <w:ind w:right="290"/>
              <w:spacing w:after="0"/>
              <w:rPr>
                <w:sz w:val="20"/>
                <w:szCs w:val="20"/>
                <w:color w:val="auto"/>
              </w:rPr>
            </w:pPr>
            <w:r>
              <w:rPr>
                <w:rFonts w:ascii="Arial" w:cs="Arial" w:eastAsia="Arial" w:hAnsi="Arial"/>
                <w:sz w:val="18"/>
                <w:szCs w:val="18"/>
                <w:color w:val="auto"/>
                <w:w w:val="99"/>
              </w:rPr>
              <w:t>Amount Reclassified from AOCI</w:t>
            </w: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3380" w:type="dxa"/>
            <w:vAlign w:val="bottom"/>
          </w:tcPr>
          <w:p>
            <w:pPr>
              <w:ind w:left="1440"/>
              <w:spacing w:after="0"/>
              <w:rPr>
                <w:sz w:val="20"/>
                <w:szCs w:val="20"/>
                <w:color w:val="auto"/>
              </w:rPr>
            </w:pPr>
            <w:r>
              <w:rPr>
                <w:rFonts w:ascii="Arial" w:cs="Arial" w:eastAsia="Arial" w:hAnsi="Arial"/>
                <w:sz w:val="18"/>
                <w:szCs w:val="18"/>
                <w:color w:val="auto"/>
              </w:rPr>
              <w:t>Income</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w w:val="93"/>
              </w:rPr>
              <w:t>December 31, 2019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w w:val="94"/>
              </w:rPr>
              <w:t>December 31, 2018</w:t>
            </w:r>
          </w:p>
        </w:tc>
        <w:tc>
          <w:tcPr>
            <w:tcW w:w="0" w:type="dxa"/>
            <w:vAlign w:val="bottom"/>
          </w:tcPr>
          <w:p>
            <w:pPr>
              <w:spacing w:after="0"/>
              <w:rPr>
                <w:sz w:val="1"/>
                <w:szCs w:val="1"/>
                <w:color w:val="auto"/>
              </w:rPr>
            </w:pPr>
          </w:p>
        </w:tc>
      </w:tr>
      <w:tr>
        <w:trPr>
          <w:trHeight w:val="27"/>
        </w:trPr>
        <w:tc>
          <w:tcPr>
            <w:tcW w:w="4860" w:type="dxa"/>
            <w:vAlign w:val="bottom"/>
            <w:tcBorders>
              <w:bottom w:val="single" w:sz="8" w:color="auto"/>
            </w:tcBorders>
          </w:tcPr>
          <w:p>
            <w:pPr>
              <w:spacing w:after="0"/>
              <w:rPr>
                <w:sz w:val="2"/>
                <w:szCs w:val="2"/>
                <w:color w:val="auto"/>
              </w:rPr>
            </w:pPr>
          </w:p>
        </w:tc>
        <w:tc>
          <w:tcPr>
            <w:tcW w:w="3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60" w:type="dxa"/>
            <w:vAlign w:val="bottom"/>
          </w:tcPr>
          <w:p>
            <w:pPr>
              <w:ind w:left="40"/>
              <w:spacing w:after="0"/>
              <w:rPr>
                <w:sz w:val="20"/>
                <w:szCs w:val="20"/>
                <w:color w:val="auto"/>
              </w:rPr>
            </w:pPr>
            <w:r>
              <w:rPr>
                <w:rFonts w:ascii="Arial" w:cs="Arial" w:eastAsia="Arial" w:hAnsi="Arial"/>
                <w:sz w:val="18"/>
                <w:szCs w:val="18"/>
                <w:color w:val="auto"/>
              </w:rPr>
              <w:t>Gains and (losses) on cash flow hedges:</w:t>
            </w:r>
          </w:p>
        </w:tc>
        <w:tc>
          <w:tcPr>
            <w:tcW w:w="3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6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Interest rate swaps</w:t>
            </w:r>
          </w:p>
        </w:tc>
        <w:tc>
          <w:tcPr>
            <w:tcW w:w="33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Interest expense</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(2,851)</w:t>
            </w:r>
          </w:p>
        </w:tc>
        <w:tc>
          <w:tcPr>
            <w:tcW w:w="580" w:type="dxa"/>
            <w:vAlign w:val="bottom"/>
            <w:tcBorders>
              <w:bottom w:val="single" w:sz="8" w:color="CEFFE7"/>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(2,851)</w:t>
            </w:r>
          </w:p>
        </w:tc>
        <w:tc>
          <w:tcPr>
            <w:tcW w:w="0" w:type="dxa"/>
            <w:vAlign w:val="bottom"/>
          </w:tcPr>
          <w:p>
            <w:pPr>
              <w:spacing w:after="0"/>
              <w:rPr>
                <w:sz w:val="1"/>
                <w:szCs w:val="1"/>
                <w:color w:val="auto"/>
              </w:rPr>
            </w:pPr>
          </w:p>
        </w:tc>
      </w:tr>
      <w:tr>
        <w:trPr>
          <w:trHeight w:val="229"/>
        </w:trPr>
        <w:tc>
          <w:tcPr>
            <w:tcW w:w="4860" w:type="dxa"/>
            <w:vAlign w:val="bottom"/>
          </w:tcPr>
          <w:p>
            <w:pPr>
              <w:ind w:left="180"/>
              <w:spacing w:after="0"/>
              <w:rPr>
                <w:sz w:val="20"/>
                <w:szCs w:val="20"/>
                <w:color w:val="auto"/>
              </w:rPr>
            </w:pPr>
            <w:r>
              <w:rPr>
                <w:rFonts w:ascii="Arial" w:cs="Arial" w:eastAsia="Arial" w:hAnsi="Arial"/>
                <w:sz w:val="18"/>
                <w:szCs w:val="18"/>
                <w:color w:val="auto"/>
              </w:rPr>
              <w:t>Commodity contracts</w:t>
            </w:r>
          </w:p>
        </w:tc>
        <w:tc>
          <w:tcPr>
            <w:tcW w:w="3380" w:type="dxa"/>
            <w:vAlign w:val="bottom"/>
          </w:tcPr>
          <w:p>
            <w:pPr>
              <w:ind w:left="100"/>
              <w:spacing w:after="0"/>
              <w:rPr>
                <w:sz w:val="20"/>
                <w:szCs w:val="20"/>
                <w:color w:val="auto"/>
              </w:rPr>
            </w:pPr>
            <w:r>
              <w:rPr>
                <w:rFonts w:ascii="Arial" w:cs="Arial" w:eastAsia="Arial" w:hAnsi="Arial"/>
                <w:sz w:val="18"/>
                <w:szCs w:val="18"/>
                <w:color w:val="auto"/>
                <w:w w:val="96"/>
              </w:rPr>
              <w:t>Fuel, purchased power and cost of natural</w:t>
            </w:r>
          </w:p>
        </w:tc>
        <w:tc>
          <w:tcPr>
            <w:tcW w:w="26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60" w:type="dxa"/>
            <w:vAlign w:val="bottom"/>
          </w:tcPr>
          <w:p>
            <w:pPr>
              <w:spacing w:after="0"/>
              <w:rPr>
                <w:sz w:val="20"/>
                <w:szCs w:val="20"/>
                <w:color w:val="auto"/>
              </w:rPr>
            </w:pPr>
          </w:p>
        </w:tc>
        <w:tc>
          <w:tcPr>
            <w:tcW w:w="3380" w:type="dxa"/>
            <w:vAlign w:val="bottom"/>
          </w:tcPr>
          <w:p>
            <w:pPr>
              <w:ind w:left="100"/>
              <w:spacing w:after="0"/>
              <w:rPr>
                <w:sz w:val="20"/>
                <w:szCs w:val="20"/>
                <w:color w:val="auto"/>
              </w:rPr>
            </w:pPr>
            <w:r>
              <w:rPr>
                <w:rFonts w:ascii="Arial" w:cs="Arial" w:eastAsia="Arial" w:hAnsi="Arial"/>
                <w:sz w:val="18"/>
                <w:szCs w:val="18"/>
                <w:color w:val="auto"/>
              </w:rPr>
              <w:t>gas sold</w:t>
            </w:r>
          </w:p>
        </w:tc>
        <w:tc>
          <w:tcPr>
            <w:tcW w:w="26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417</w:t>
            </w:r>
          </w:p>
        </w:tc>
        <w:tc>
          <w:tcPr>
            <w:tcW w:w="5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60" w:type="dxa"/>
            <w:vAlign w:val="bottom"/>
            <w:tcBorders>
              <w:bottom w:val="single" w:sz="8" w:color="CEFFE7"/>
            </w:tcBorders>
            <w:shd w:val="clear" w:color="auto" w:fill="CEFFE7"/>
          </w:tcPr>
          <w:p>
            <w:pPr>
              <w:spacing w:after="0"/>
              <w:rPr>
                <w:sz w:val="21"/>
                <w:szCs w:val="21"/>
                <w:color w:val="auto"/>
              </w:rPr>
            </w:pPr>
          </w:p>
        </w:tc>
        <w:tc>
          <w:tcPr>
            <w:tcW w:w="33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(2,434)</w:t>
            </w: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(2,981)</w:t>
            </w: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58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1"/>
              </w:rPr>
              <w:t>Total reclassification adjustments related to cash flow hedges, net</w:t>
            </w:r>
          </w:p>
        </w:tc>
        <w:tc>
          <w:tcPr>
            <w:tcW w:w="3380" w:type="dxa"/>
            <w:vAlign w:val="bottom"/>
            <w:shd w:val="clear" w:color="auto" w:fill="CEFFE7"/>
          </w:tcPr>
          <w:p>
            <w:pPr>
              <w:spacing w:after="0"/>
              <w:rPr>
                <w:sz w:val="18"/>
                <w:szCs w:val="18"/>
                <w:color w:val="auto"/>
              </w:rPr>
            </w:pPr>
          </w:p>
        </w:tc>
        <w:tc>
          <w:tcPr>
            <w:tcW w:w="26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(1,823)</w:t>
            </w:r>
          </w:p>
        </w:tc>
        <w:tc>
          <w:tcPr>
            <w:tcW w:w="580" w:type="dxa"/>
            <w:vAlign w:val="bottom"/>
            <w:vMerge w:val="restart"/>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(2,351)</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of tax</w:t>
            </w:r>
          </w:p>
        </w:tc>
        <w:tc>
          <w:tcPr>
            <w:tcW w:w="338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320" w:type="dxa"/>
            <w:vAlign w:val="bottom"/>
            <w:tcBorders>
              <w:bottom w:val="single" w:sz="8" w:color="auto"/>
            </w:tcBorders>
            <w:vMerge w:val="continue"/>
            <w:shd w:val="clear" w:color="auto" w:fill="CEFFE7"/>
          </w:tcPr>
          <w:p>
            <w:pPr>
              <w:spacing w:after="0"/>
              <w:rPr>
                <w:sz w:val="20"/>
                <w:szCs w:val="20"/>
                <w:color w:val="auto"/>
              </w:rPr>
            </w:pPr>
          </w:p>
        </w:tc>
        <w:tc>
          <w:tcPr>
            <w:tcW w:w="580" w:type="dxa"/>
            <w:vAlign w:val="bottom"/>
            <w:tcBorders>
              <w:bottom w:val="single" w:sz="8" w:color="auto"/>
            </w:tcBorders>
            <w:vMerge w:val="continue"/>
            <w:shd w:val="clear" w:color="auto" w:fill="CEFFE7"/>
          </w:tcPr>
          <w:p>
            <w:pPr>
              <w:spacing w:after="0"/>
              <w:rPr>
                <w:sz w:val="20"/>
                <w:szCs w:val="20"/>
                <w:color w:val="auto"/>
              </w:rPr>
            </w:pPr>
          </w:p>
        </w:tc>
        <w:tc>
          <w:tcPr>
            <w:tcW w:w="102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60" w:type="dxa"/>
            <w:vAlign w:val="bottom"/>
          </w:tcPr>
          <w:p>
            <w:pPr>
              <w:spacing w:after="0"/>
              <w:rPr>
                <w:sz w:val="24"/>
                <w:szCs w:val="24"/>
                <w:color w:val="auto"/>
              </w:rPr>
            </w:pPr>
          </w:p>
        </w:tc>
        <w:tc>
          <w:tcPr>
            <w:tcW w:w="33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Amortization of components of defined benefit plans:</w:t>
            </w:r>
          </w:p>
        </w:tc>
        <w:tc>
          <w:tcPr>
            <w:tcW w:w="3380" w:type="dxa"/>
            <w:vAlign w:val="bottom"/>
            <w:tcBorders>
              <w:bottom w:val="single" w:sz="8" w:color="CEFFE7"/>
            </w:tcBorders>
            <w:shd w:val="clear" w:color="auto" w:fill="CEFFE7"/>
          </w:tcPr>
          <w:p>
            <w:pPr>
              <w:spacing w:after="0"/>
              <w:rPr>
                <w:sz w:val="21"/>
                <w:szCs w:val="21"/>
                <w:color w:val="auto"/>
              </w:rPr>
            </w:pPr>
          </w:p>
        </w:tc>
        <w:tc>
          <w:tcPr>
            <w:tcW w:w="260" w:type="dxa"/>
            <w:vAlign w:val="bottom"/>
            <w:tcBorders>
              <w:bottom w:val="single" w:sz="8" w:color="CEFFE7"/>
            </w:tcBorders>
            <w:shd w:val="clear" w:color="auto" w:fill="CEFFE7"/>
          </w:tcPr>
          <w:p>
            <w:pPr>
              <w:spacing w:after="0"/>
              <w:rPr>
                <w:sz w:val="21"/>
                <w:szCs w:val="21"/>
                <w:color w:val="auto"/>
              </w:rPr>
            </w:pPr>
          </w:p>
        </w:tc>
        <w:tc>
          <w:tcPr>
            <w:tcW w:w="1320" w:type="dxa"/>
            <w:vAlign w:val="bottom"/>
            <w:tcBorders>
              <w:bottom w:val="single" w:sz="8" w:color="CEFFE7"/>
            </w:tcBorders>
            <w:shd w:val="clear" w:color="auto" w:fill="CEFFE7"/>
          </w:tcPr>
          <w:p>
            <w:pPr>
              <w:spacing w:after="0"/>
              <w:rPr>
                <w:sz w:val="21"/>
                <w:szCs w:val="21"/>
                <w:color w:val="auto"/>
              </w:rPr>
            </w:pPr>
          </w:p>
        </w:tc>
        <w:tc>
          <w:tcPr>
            <w:tcW w:w="5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Prior service cost</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77</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7"/>
        </w:trPr>
        <w:tc>
          <w:tcPr>
            <w:tcW w:w="4860" w:type="dxa"/>
            <w:vAlign w:val="bottom"/>
          </w:tcPr>
          <w:p>
            <w:pPr>
              <w:spacing w:after="0"/>
              <w:rPr>
                <w:sz w:val="2"/>
                <w:szCs w:val="2"/>
                <w:color w:val="auto"/>
              </w:rPr>
            </w:pPr>
          </w:p>
        </w:tc>
        <w:tc>
          <w:tcPr>
            <w:tcW w:w="3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324"/>
        </w:trPr>
        <w:tc>
          <w:tcPr>
            <w:tcW w:w="4860" w:type="dxa"/>
            <w:vAlign w:val="bottom"/>
            <w:shd w:val="clear" w:color="auto" w:fill="CEFFE7"/>
          </w:tcPr>
          <w:p>
            <w:pPr>
              <w:spacing w:after="0"/>
              <w:rPr>
                <w:sz w:val="24"/>
                <w:szCs w:val="24"/>
                <w:color w:val="auto"/>
              </w:rPr>
            </w:pPr>
          </w:p>
        </w:tc>
        <w:tc>
          <w:tcPr>
            <w:tcW w:w="33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580" w:type="dxa"/>
            <w:vAlign w:val="bottom"/>
            <w:shd w:val="clear" w:color="auto" w:fill="CEFFE7"/>
          </w:tcPr>
          <w:p>
            <w:pPr>
              <w:spacing w:after="0"/>
              <w:rPr>
                <w:sz w:val="24"/>
                <w:szCs w:val="24"/>
                <w:color w:val="auto"/>
              </w:rPr>
            </w:pPr>
          </w:p>
        </w:tc>
        <w:tc>
          <w:tcPr>
            <w:tcW w:w="1020" w:type="dxa"/>
            <w:vAlign w:val="bottom"/>
            <w:shd w:val="clear" w:color="auto" w:fill="CEFFE7"/>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860" w:type="dxa"/>
            <w:vAlign w:val="bottom"/>
          </w:tcPr>
          <w:p>
            <w:pPr>
              <w:ind w:left="180"/>
              <w:spacing w:after="0"/>
              <w:rPr>
                <w:sz w:val="20"/>
                <w:szCs w:val="20"/>
                <w:color w:val="auto"/>
              </w:rPr>
            </w:pPr>
            <w:r>
              <w:rPr>
                <w:rFonts w:ascii="Arial" w:cs="Arial" w:eastAsia="Arial" w:hAnsi="Arial"/>
                <w:sz w:val="18"/>
                <w:szCs w:val="18"/>
                <w:color w:val="auto"/>
              </w:rPr>
              <w:t>Actuarial gain (loss)</w:t>
            </w:r>
          </w:p>
        </w:tc>
        <w:tc>
          <w:tcPr>
            <w:tcW w:w="3380" w:type="dxa"/>
            <w:vAlign w:val="bottom"/>
          </w:tcPr>
          <w:p>
            <w:pPr>
              <w:ind w:left="100"/>
              <w:spacing w:after="0"/>
              <w:rPr>
                <w:sz w:val="20"/>
                <w:szCs w:val="20"/>
                <w:color w:val="auto"/>
              </w:rPr>
            </w:pPr>
            <w:r>
              <w:rPr>
                <w:rFonts w:ascii="Arial" w:cs="Arial" w:eastAsia="Arial" w:hAnsi="Arial"/>
                <w:sz w:val="18"/>
                <w:szCs w:val="18"/>
                <w:color w:val="auto"/>
              </w:rPr>
              <w:t>Operations and maintenance</w:t>
            </w:r>
          </w:p>
        </w:tc>
        <w:tc>
          <w:tcPr>
            <w:tcW w:w="26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(745)</w:t>
            </w:r>
          </w:p>
        </w:tc>
        <w:tc>
          <w:tcPr>
            <w:tcW w:w="5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(2,487)</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860" w:type="dxa"/>
            <w:vAlign w:val="bottom"/>
            <w:tcBorders>
              <w:bottom w:val="single" w:sz="8" w:color="CEFFE7"/>
            </w:tcBorders>
            <w:shd w:val="clear" w:color="auto" w:fill="CEFFE7"/>
          </w:tcPr>
          <w:p>
            <w:pPr>
              <w:spacing w:after="0"/>
              <w:rPr>
                <w:sz w:val="22"/>
                <w:szCs w:val="22"/>
                <w:color w:val="auto"/>
              </w:rPr>
            </w:pPr>
          </w:p>
        </w:tc>
        <w:tc>
          <w:tcPr>
            <w:tcW w:w="33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CEFFE7"/>
            </w:tcBorders>
            <w:shd w:val="clear" w:color="auto" w:fill="CEFFE7"/>
          </w:tcPr>
          <w:p>
            <w:pPr>
              <w:spacing w:after="0"/>
              <w:rPr>
                <w:sz w:val="22"/>
                <w:szCs w:val="22"/>
                <w:color w:val="auto"/>
              </w:rPr>
            </w:pPr>
          </w:p>
        </w:tc>
        <w:tc>
          <w:tcPr>
            <w:tcW w:w="13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(668)</w:t>
            </w:r>
          </w:p>
        </w:tc>
        <w:tc>
          <w:tcPr>
            <w:tcW w:w="580" w:type="dxa"/>
            <w:vAlign w:val="bottom"/>
            <w:tcBorders>
              <w:bottom w:val="single" w:sz="8" w:color="CEFFE7"/>
            </w:tcBorders>
            <w:shd w:val="clear" w:color="auto" w:fill="CEFFE7"/>
          </w:tcPr>
          <w:p>
            <w:pPr>
              <w:spacing w:after="0"/>
              <w:rPr>
                <w:sz w:val="22"/>
                <w:szCs w:val="22"/>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(2,309)</w:t>
            </w:r>
          </w:p>
        </w:tc>
        <w:tc>
          <w:tcPr>
            <w:tcW w:w="0" w:type="dxa"/>
            <w:vAlign w:val="bottom"/>
          </w:tcPr>
          <w:p>
            <w:pPr>
              <w:spacing w:after="0"/>
              <w:rPr>
                <w:sz w:val="1"/>
                <w:szCs w:val="1"/>
                <w:color w:val="auto"/>
              </w:rPr>
            </w:pPr>
          </w:p>
        </w:tc>
      </w:tr>
      <w:tr>
        <w:trPr>
          <w:trHeight w:val="237"/>
        </w:trPr>
        <w:tc>
          <w:tcPr>
            <w:tcW w:w="486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3380" w:type="dxa"/>
            <w:vAlign w:val="bottom"/>
          </w:tcPr>
          <w:p>
            <w:pPr>
              <w:ind w:left="100"/>
              <w:spacing w:after="0"/>
              <w:rPr>
                <w:sz w:val="20"/>
                <w:szCs w:val="20"/>
                <w:color w:val="auto"/>
              </w:rPr>
            </w:pPr>
            <w:r>
              <w:rPr>
                <w:rFonts w:ascii="Arial" w:cs="Arial" w:eastAsia="Arial" w:hAnsi="Arial"/>
                <w:sz w:val="18"/>
                <w:szCs w:val="18"/>
                <w:color w:val="auto"/>
              </w:rPr>
              <w:t>Income tax benefit (expense)</w:t>
            </w:r>
          </w:p>
        </w:tc>
        <w:tc>
          <w:tcPr>
            <w:tcW w:w="26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w:t>
            </w:r>
          </w:p>
        </w:tc>
        <w:tc>
          <w:tcPr>
            <w:tcW w:w="58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4860" w:type="dxa"/>
            <w:vAlign w:val="bottom"/>
            <w:tcBorders>
              <w:bottom w:val="single" w:sz="8" w:color="CEFFE7"/>
            </w:tcBorders>
          </w:tcPr>
          <w:p>
            <w:pPr>
              <w:spacing w:after="0"/>
              <w:rPr>
                <w:sz w:val="2"/>
                <w:szCs w:val="2"/>
                <w:color w:val="auto"/>
              </w:rPr>
            </w:pPr>
          </w:p>
        </w:tc>
        <w:tc>
          <w:tcPr>
            <w:tcW w:w="338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EFFE7"/>
          </w:tcPr>
          <w:p>
            <w:pPr>
              <w:ind w:left="40"/>
              <w:spacing w:after="0"/>
              <w:rPr>
                <w:sz w:val="20"/>
                <w:szCs w:val="20"/>
                <w:color w:val="auto"/>
              </w:rPr>
            </w:pPr>
            <w:r>
              <w:rPr>
                <w:rFonts w:ascii="Arial" w:cs="Arial" w:eastAsia="Arial" w:hAnsi="Arial"/>
                <w:sz w:val="18"/>
                <w:szCs w:val="18"/>
                <w:color w:val="auto"/>
                <w:w w:val="92"/>
              </w:rPr>
              <w:t>Total reclassification adjustments related to defined benefit plans,</w:t>
            </w:r>
          </w:p>
        </w:tc>
        <w:tc>
          <w:tcPr>
            <w:tcW w:w="3380" w:type="dxa"/>
            <w:vAlign w:val="bottom"/>
            <w:shd w:val="clear" w:color="auto" w:fill="CEFFE7"/>
          </w:tcPr>
          <w:p>
            <w:pPr>
              <w:spacing w:after="0"/>
              <w:rPr>
                <w:sz w:val="18"/>
                <w:szCs w:val="18"/>
                <w:color w:val="auto"/>
              </w:rPr>
            </w:pPr>
          </w:p>
        </w:tc>
        <w:tc>
          <w:tcPr>
            <w:tcW w:w="260" w:type="dxa"/>
            <w:vAlign w:val="bottom"/>
            <w:vMerge w:val="restart"/>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(1,121)</w:t>
            </w:r>
          </w:p>
        </w:tc>
        <w:tc>
          <w:tcPr>
            <w:tcW w:w="580" w:type="dxa"/>
            <w:vAlign w:val="bottom"/>
            <w:vMerge w:val="restart"/>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vMerge w:val="restart"/>
            <w:shd w:val="clear" w:color="auto" w:fill="CEFFE7"/>
          </w:tcPr>
          <w:p>
            <w:pPr>
              <w:jc w:val="right"/>
              <w:spacing w:after="0"/>
              <w:rPr>
                <w:sz w:val="20"/>
                <w:szCs w:val="20"/>
                <w:color w:val="auto"/>
              </w:rPr>
            </w:pPr>
            <w:r>
              <w:rPr>
                <w:rFonts w:ascii="Arial" w:cs="Arial" w:eastAsia="Arial" w:hAnsi="Arial"/>
                <w:sz w:val="18"/>
                <w:szCs w:val="18"/>
                <w:color w:val="auto"/>
              </w:rPr>
              <w:t>(1,766)</w:t>
            </w:r>
          </w:p>
        </w:tc>
        <w:tc>
          <w:tcPr>
            <w:tcW w:w="0" w:type="dxa"/>
            <w:vAlign w:val="bottom"/>
          </w:tcPr>
          <w:p>
            <w:pPr>
              <w:spacing w:after="0"/>
              <w:rPr>
                <w:sz w:val="1"/>
                <w:szCs w:val="1"/>
                <w:color w:val="auto"/>
              </w:rPr>
            </w:pPr>
          </w:p>
        </w:tc>
      </w:tr>
      <w:tr>
        <w:trPr>
          <w:trHeight w:val="23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of tax</w:t>
            </w:r>
          </w:p>
        </w:tc>
        <w:tc>
          <w:tcPr>
            <w:tcW w:w="3380" w:type="dxa"/>
            <w:vAlign w:val="bottom"/>
            <w:tcBorders>
              <w:bottom w:val="single" w:sz="8" w:color="CEFFE7"/>
            </w:tcBorders>
            <w:shd w:val="clear" w:color="auto" w:fill="CEFFE7"/>
          </w:tcPr>
          <w:p>
            <w:pPr>
              <w:spacing w:after="0"/>
              <w:rPr>
                <w:sz w:val="20"/>
                <w:szCs w:val="20"/>
                <w:color w:val="auto"/>
              </w:rPr>
            </w:pPr>
          </w:p>
        </w:tc>
        <w:tc>
          <w:tcPr>
            <w:tcW w:w="260" w:type="dxa"/>
            <w:vAlign w:val="bottom"/>
            <w:tcBorders>
              <w:bottom w:val="single" w:sz="8" w:color="auto"/>
            </w:tcBorders>
            <w:vMerge w:val="continue"/>
            <w:shd w:val="clear" w:color="auto" w:fill="CEFFE7"/>
          </w:tcPr>
          <w:p>
            <w:pPr>
              <w:spacing w:after="0"/>
              <w:rPr>
                <w:sz w:val="20"/>
                <w:szCs w:val="20"/>
                <w:color w:val="auto"/>
              </w:rPr>
            </w:pPr>
          </w:p>
        </w:tc>
        <w:tc>
          <w:tcPr>
            <w:tcW w:w="1320" w:type="dxa"/>
            <w:vAlign w:val="bottom"/>
            <w:tcBorders>
              <w:bottom w:val="single" w:sz="8" w:color="auto"/>
            </w:tcBorders>
            <w:vMerge w:val="continue"/>
            <w:shd w:val="clear" w:color="auto" w:fill="CEFFE7"/>
          </w:tcPr>
          <w:p>
            <w:pPr>
              <w:spacing w:after="0"/>
              <w:rPr>
                <w:sz w:val="20"/>
                <w:szCs w:val="20"/>
                <w:color w:val="auto"/>
              </w:rPr>
            </w:pPr>
          </w:p>
        </w:tc>
        <w:tc>
          <w:tcPr>
            <w:tcW w:w="580" w:type="dxa"/>
            <w:vAlign w:val="bottom"/>
            <w:tcBorders>
              <w:bottom w:val="single" w:sz="8" w:color="auto"/>
            </w:tcBorders>
            <w:vMerge w:val="continue"/>
            <w:shd w:val="clear" w:color="auto" w:fill="CEFFE7"/>
          </w:tcPr>
          <w:p>
            <w:pPr>
              <w:spacing w:after="0"/>
              <w:rPr>
                <w:sz w:val="20"/>
                <w:szCs w:val="20"/>
                <w:color w:val="auto"/>
              </w:rPr>
            </w:pPr>
          </w:p>
        </w:tc>
        <w:tc>
          <w:tcPr>
            <w:tcW w:w="1020" w:type="dxa"/>
            <w:vAlign w:val="bottom"/>
            <w:tcBorders>
              <w:bottom w:val="single" w:sz="8" w:color="auto"/>
            </w:tcBorders>
            <w:vMerge w:val="continue"/>
            <w:shd w:val="clear" w:color="auto" w:fill="CEFFE7"/>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5"/>
        </w:trPr>
        <w:tc>
          <w:tcPr>
            <w:tcW w:w="4860" w:type="dxa"/>
            <w:vAlign w:val="bottom"/>
            <w:tcBorders>
              <w:bottom w:val="single" w:sz="8" w:color="CEFFE7"/>
            </w:tcBorders>
          </w:tcPr>
          <w:p>
            <w:pPr>
              <w:spacing w:after="0"/>
              <w:rPr>
                <w:sz w:val="24"/>
                <w:szCs w:val="24"/>
                <w:color w:val="auto"/>
              </w:rPr>
            </w:pPr>
          </w:p>
        </w:tc>
        <w:tc>
          <w:tcPr>
            <w:tcW w:w="3380" w:type="dxa"/>
            <w:vAlign w:val="bottom"/>
            <w:tcBorders>
              <w:bottom w:val="single" w:sz="8" w:color="CEFFE7"/>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48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Total reclassifications</w:t>
            </w:r>
          </w:p>
        </w:tc>
        <w:tc>
          <w:tcPr>
            <w:tcW w:w="3380" w:type="dxa"/>
            <w:vAlign w:val="bottom"/>
            <w:tcBorders>
              <w:bottom w:val="single" w:sz="8" w:color="CEFFE7"/>
            </w:tcBorders>
            <w:shd w:val="clear" w:color="auto" w:fill="CEFFE7"/>
          </w:tcPr>
          <w:p>
            <w:pPr>
              <w:spacing w:after="0"/>
              <w:rPr>
                <w:sz w:val="22"/>
                <w:szCs w:val="22"/>
                <w:color w:val="auto"/>
              </w:rPr>
            </w:pP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(2,944)</w:t>
            </w:r>
          </w:p>
        </w:tc>
        <w:tc>
          <w:tcPr>
            <w:tcW w:w="58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Balances by classification included within AOCI, net of tax on the accompanying Consolidated Balance Sheets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2018</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(17,307)</w:t>
            </w:r>
          </w:p>
        </w:tc>
        <w:tc>
          <w:tcPr>
            <w:tcW w:w="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(9,937)</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(422)</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(6,261)</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(6,683)</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2,185</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(362)</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1,121</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2,944</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2019</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(15,122)</w:t>
            </w:r>
          </w:p>
        </w:tc>
        <w:tc>
          <w:tcPr>
            <w:tcW w:w="7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(456)</w:t>
            </w:r>
          </w:p>
        </w:tc>
        <w:tc>
          <w:tcPr>
            <w:tcW w:w="32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(15,077)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(30,655)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80" w:type="dxa"/>
            <w:vAlign w:val="bottom"/>
            <w:tcBorders>
              <w:bottom w:val="single" w:sz="8" w:color="auto"/>
            </w:tcBorders>
            <w:gridSpan w:val="3"/>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4"/>
        </w:trPr>
        <w:tc>
          <w:tcPr>
            <w:tcW w:w="4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3"/>
          </w:tcPr>
          <w:p>
            <w:pPr>
              <w:ind w:left="100"/>
              <w:spacing w:after="0"/>
              <w:rPr>
                <w:sz w:val="20"/>
                <w:szCs w:val="20"/>
                <w:color w:val="auto"/>
              </w:rPr>
            </w:pPr>
            <w:r>
              <w:rPr>
                <w:rFonts w:ascii="Arial" w:cs="Arial" w:eastAsia="Arial" w:hAnsi="Arial"/>
                <w:sz w:val="18"/>
                <w:szCs w:val="18"/>
                <w:color w:val="auto"/>
                <w:w w:val="97"/>
              </w:rPr>
              <w:t>Derivatives Designated as Cash Flow Hedges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460" w:type="dxa"/>
            <w:vAlign w:val="bottom"/>
            <w:gridSpan w:val="2"/>
            <w:vMerge w:val="restart"/>
          </w:tcPr>
          <w:p>
            <w:pPr>
              <w:jc w:val="center"/>
              <w:spacing w:after="0"/>
              <w:rPr>
                <w:sz w:val="20"/>
                <w:szCs w:val="20"/>
                <w:color w:val="auto"/>
              </w:rPr>
            </w:pPr>
            <w:r>
              <w:rPr>
                <w:rFonts w:ascii="Arial" w:cs="Arial" w:eastAsia="Arial" w:hAnsi="Arial"/>
                <w:sz w:val="18"/>
                <w:szCs w:val="18"/>
                <w:color w:val="auto"/>
                <w:w w:val="92"/>
              </w:rPr>
              <w:t>Employee Benefit</w:t>
            </w: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60" w:type="dxa"/>
            <w:vAlign w:val="bottom"/>
            <w:gridSpan w:val="2"/>
            <w:vMerge w:val="continue"/>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40" w:type="dxa"/>
            <w:vAlign w:val="bottom"/>
          </w:tcPr>
          <w:p>
            <w:pPr>
              <w:ind w:left="100"/>
              <w:spacing w:after="0"/>
              <w:rPr>
                <w:sz w:val="20"/>
                <w:szCs w:val="20"/>
                <w:color w:val="auto"/>
              </w:rPr>
            </w:pPr>
            <w:r>
              <w:rPr>
                <w:rFonts w:ascii="Arial" w:cs="Arial" w:eastAsia="Arial" w:hAnsi="Arial"/>
                <w:sz w:val="18"/>
                <w:szCs w:val="18"/>
                <w:color w:val="auto"/>
              </w:rPr>
              <w:t>Interest Rate Swaps</w:t>
            </w:r>
          </w:p>
        </w:tc>
        <w:tc>
          <w:tcPr>
            <w:tcW w:w="1840" w:type="dxa"/>
            <w:vAlign w:val="bottom"/>
            <w:gridSpan w:val="2"/>
          </w:tcPr>
          <w:p>
            <w:pPr>
              <w:ind w:left="60"/>
              <w:spacing w:after="0"/>
              <w:rPr>
                <w:sz w:val="20"/>
                <w:szCs w:val="20"/>
                <w:color w:val="auto"/>
              </w:rPr>
            </w:pPr>
            <w:r>
              <w:rPr>
                <w:rFonts w:ascii="Arial" w:cs="Arial" w:eastAsia="Arial" w:hAnsi="Arial"/>
                <w:sz w:val="18"/>
                <w:szCs w:val="18"/>
                <w:color w:val="auto"/>
                <w:w w:val="95"/>
              </w:rPr>
              <w:t>Commodity Derivatives</w:t>
            </w:r>
          </w:p>
        </w:tc>
        <w:tc>
          <w:tcPr>
            <w:tcW w:w="320" w:type="dxa"/>
            <w:vAlign w:val="bottom"/>
          </w:tcPr>
          <w:p>
            <w:pPr>
              <w:spacing w:after="0"/>
              <w:rPr>
                <w:sz w:val="20"/>
                <w:szCs w:val="20"/>
                <w:color w:val="auto"/>
              </w:rPr>
            </w:pPr>
          </w:p>
        </w:tc>
        <w:tc>
          <w:tcPr>
            <w:tcW w:w="1140" w:type="dxa"/>
            <w:vAlign w:val="bottom"/>
          </w:tcPr>
          <w:p>
            <w:pPr>
              <w:jc w:val="center"/>
              <w:ind w:right="230"/>
              <w:spacing w:after="0"/>
              <w:rPr>
                <w:sz w:val="20"/>
                <w:szCs w:val="20"/>
                <w:color w:val="auto"/>
              </w:rPr>
            </w:pPr>
            <w:r>
              <w:rPr>
                <w:rFonts w:ascii="Arial" w:cs="Arial" w:eastAsia="Arial" w:hAnsi="Arial"/>
                <w:sz w:val="18"/>
                <w:szCs w:val="18"/>
                <w:color w:val="auto"/>
                <w:w w:val="84"/>
              </w:rPr>
              <w:t>Plans</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(19,581)</w:t>
            </w:r>
          </w:p>
        </w:tc>
        <w:tc>
          <w:tcPr>
            <w:tcW w:w="7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(518)</w:t>
            </w:r>
          </w:p>
        </w:tc>
        <w:tc>
          <w:tcPr>
            <w:tcW w:w="32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(21,103)</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(41,202)</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22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before reclassifications</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755</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2,155</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2,910</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Amounts reclassified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2,252</w:t>
            </w:r>
          </w:p>
        </w:tc>
        <w:tc>
          <w:tcPr>
            <w:tcW w:w="760" w:type="dxa"/>
            <w:vAlign w:val="bottom"/>
          </w:tcPr>
          <w:p>
            <w:pPr>
              <w:spacing w:after="0"/>
              <w:rPr>
                <w:sz w:val="21"/>
                <w:szCs w:val="21"/>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99</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1,766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4,117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Reclassification to regulatory asset</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spacing w:after="0"/>
              <w:rPr>
                <w:sz w:val="21"/>
                <w:szCs w:val="21"/>
                <w:color w:val="auto"/>
              </w:rPr>
            </w:pPr>
          </w:p>
        </w:tc>
        <w:tc>
          <w:tcPr>
            <w:tcW w:w="10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spacing w:after="0"/>
              <w:rPr>
                <w:sz w:val="21"/>
                <w:szCs w:val="21"/>
                <w:color w:val="auto"/>
              </w:rPr>
            </w:pP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6,519</w:t>
            </w:r>
          </w:p>
        </w:tc>
        <w:tc>
          <w:tcPr>
            <w:tcW w:w="28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6,519</w:t>
            </w:r>
          </w:p>
        </w:tc>
        <w:tc>
          <w:tcPr>
            <w:tcW w:w="0" w:type="dxa"/>
            <w:vAlign w:val="bottom"/>
          </w:tcPr>
          <w:p>
            <w:pPr>
              <w:spacing w:after="0"/>
              <w:rPr>
                <w:sz w:val="1"/>
                <w:szCs w:val="1"/>
                <w:color w:val="auto"/>
              </w:rPr>
            </w:pPr>
          </w:p>
        </w:tc>
      </w:tr>
      <w:tr>
        <w:trPr>
          <w:trHeight w:val="243"/>
        </w:trPr>
        <w:tc>
          <w:tcPr>
            <w:tcW w:w="4800" w:type="dxa"/>
            <w:vAlign w:val="bottom"/>
          </w:tcPr>
          <w:p>
            <w:pPr>
              <w:ind w:left="40"/>
              <w:spacing w:after="0"/>
              <w:rPr>
                <w:sz w:val="20"/>
                <w:szCs w:val="20"/>
                <w:color w:val="auto"/>
              </w:rPr>
            </w:pPr>
            <w:r>
              <w:rPr>
                <w:rFonts w:ascii="Arial" w:cs="Arial" w:eastAsia="Arial" w:hAnsi="Arial"/>
                <w:sz w:val="18"/>
                <w:szCs w:val="18"/>
                <w:color w:val="auto"/>
              </w:rPr>
              <w:t>Reclassification of certain tax effects from AOCI</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7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28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As of December 31, 2018</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(17,307)</w:t>
            </w:r>
          </w:p>
        </w:tc>
        <w:tc>
          <w:tcPr>
            <w:tcW w:w="760" w:type="dxa"/>
            <w:vAlign w:val="bottom"/>
            <w:tcBorders>
              <w:bottom w:val="single" w:sz="8" w:color="auto"/>
            </w:tcBorders>
            <w:shd w:val="clear" w:color="auto" w:fill="CEFFE7"/>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328</w:t>
            </w:r>
          </w:p>
        </w:tc>
        <w:tc>
          <w:tcPr>
            <w:tcW w:w="320" w:type="dxa"/>
            <w:vAlign w:val="bottom"/>
            <w:tcBorders>
              <w:bottom w:val="single" w:sz="8" w:color="auto"/>
            </w:tcBorders>
            <w:shd w:val="clear" w:color="auto" w:fill="CEFFE7"/>
          </w:tcPr>
          <w:p>
            <w:pPr>
              <w:jc w:val="right"/>
              <w:ind w:right="1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(9,937)</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(26,916)</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420"/>
          </w:cols>
          <w:pgMar w:left="240" w:top="126" w:right="239" w:bottom="1440" w:gutter="0" w:footer="0" w:header="0"/>
          <w:type w:val="continuous"/>
        </w:sectPr>
      </w:pPr>
    </w:p>
    <w:bookmarkStart w:id="128" w:name="page129"/>
    <w:bookmarkEnd w:id="128"/>
    <w:tbl>
      <w:tblPr>
        <w:tblLayout w:type="fixed"/>
        <w:tblInd w:w="0" w:type="dxa"/>
        <w:tblCellMar>
          <w:top w:w="0" w:type="dxa"/>
          <w:left w:w="0" w:type="dxa"/>
          <w:bottom w:w="0" w:type="dxa"/>
          <w:right w:w="0" w:type="dxa"/>
        </w:tblCellMar>
      </w:tblPr>
      <w:tr>
        <w:trPr>
          <w:trHeight w:val="184"/>
        </w:trPr>
        <w:tc>
          <w:tcPr>
            <w:tcW w:w="654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64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655"/>
        </w:trPr>
        <w:tc>
          <w:tcPr>
            <w:tcW w:w="6540" w:type="dxa"/>
            <w:vAlign w:val="bottom"/>
            <w:gridSpan w:val="2"/>
          </w:tcPr>
          <w:p>
            <w:pPr>
              <w:spacing w:after="0"/>
              <w:rPr>
                <w:sz w:val="20"/>
                <w:szCs w:val="20"/>
                <w:color w:val="auto"/>
              </w:rPr>
            </w:pPr>
            <w:r>
              <w:rPr>
                <w:rFonts w:ascii="Arial" w:cs="Arial" w:eastAsia="Arial" w:hAnsi="Arial"/>
                <w:sz w:val="18"/>
                <w:szCs w:val="18"/>
                <w:b w:val="1"/>
                <w:bCs w:val="1"/>
                <w:color w:val="auto"/>
              </w:rPr>
              <w:t>(17)  SUPPLEMENTAL DISCLOSURE OF CASH FLOW INFORMATION</w:t>
            </w:r>
          </w:p>
        </w:tc>
        <w:tc>
          <w:tcPr>
            <w:tcW w:w="6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94"/>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Years ended December 31,</w:t>
            </w:r>
          </w:p>
        </w:tc>
        <w:tc>
          <w:tcPr>
            <w:tcW w:w="640" w:type="dxa"/>
            <w:vAlign w:val="bottom"/>
          </w:tcPr>
          <w:p>
            <w:pPr>
              <w:spacing w:after="0"/>
              <w:rPr>
                <w:sz w:val="24"/>
                <w:szCs w:val="24"/>
                <w:color w:val="auto"/>
              </w:rPr>
            </w:pPr>
          </w:p>
        </w:tc>
        <w:tc>
          <w:tcPr>
            <w:tcW w:w="1180" w:type="dxa"/>
            <w:vAlign w:val="bottom"/>
          </w:tcPr>
          <w:p>
            <w:pPr>
              <w:jc w:val="right"/>
              <w:ind w:right="53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4"/>
                <w:szCs w:val="24"/>
                <w:color w:val="auto"/>
              </w:rPr>
            </w:pPr>
          </w:p>
        </w:tc>
        <w:tc>
          <w:tcPr>
            <w:tcW w:w="1320" w:type="dxa"/>
            <w:vAlign w:val="bottom"/>
          </w:tcPr>
          <w:p>
            <w:pPr>
              <w:jc w:val="right"/>
              <w:ind w:right="510"/>
              <w:spacing w:after="0"/>
              <w:rPr>
                <w:sz w:val="20"/>
                <w:szCs w:val="20"/>
                <w:color w:val="auto"/>
              </w:rPr>
            </w:pPr>
            <w:r>
              <w:rPr>
                <w:rFonts w:ascii="Arial" w:cs="Arial" w:eastAsia="Arial" w:hAnsi="Arial"/>
                <w:sz w:val="18"/>
                <w:szCs w:val="18"/>
                <w:color w:val="auto"/>
              </w:rPr>
              <w:t>2018</w:t>
            </w:r>
          </w:p>
        </w:tc>
        <w:tc>
          <w:tcPr>
            <w:tcW w:w="420" w:type="dxa"/>
            <w:vAlign w:val="bottom"/>
          </w:tcPr>
          <w:p>
            <w:pPr>
              <w:spacing w:after="0"/>
              <w:rPr>
                <w:sz w:val="24"/>
                <w:szCs w:val="24"/>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2017</w:t>
            </w:r>
          </w:p>
        </w:tc>
      </w:tr>
      <w:tr>
        <w:trPr>
          <w:trHeight w:val="27"/>
        </w:trPr>
        <w:tc>
          <w:tcPr>
            <w:tcW w:w="1220" w:type="dxa"/>
            <w:vAlign w:val="bottom"/>
            <w:tcBorders>
              <w:bottom w:val="single" w:sz="8" w:color="auto"/>
            </w:tcBorders>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170"/>
              <w:spacing w:after="0"/>
              <w:rPr>
                <w:sz w:val="20"/>
                <w:szCs w:val="20"/>
                <w:color w:val="auto"/>
              </w:rPr>
            </w:pPr>
            <w:r>
              <w:rPr>
                <w:rFonts w:ascii="Arial" w:cs="Arial" w:eastAsia="Arial" w:hAnsi="Arial"/>
                <w:sz w:val="18"/>
                <w:szCs w:val="18"/>
                <w:color w:val="auto"/>
                <w:w w:val="91"/>
              </w:rPr>
              <w:t>(in thousands)</w:t>
            </w: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0"/>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Non-cash investing activities and financing from continuing operations -</w:t>
            </w:r>
          </w:p>
        </w:tc>
        <w:tc>
          <w:tcPr>
            <w:tcW w:w="64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
        </w:trPr>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Accrued property, plant and equipment purchases at December 31</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91,491</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69,017</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28,191</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w w:val="93"/>
              </w:rPr>
              <w:t>Increase (decrease) in capitalized assets associated with asset retirement obligations</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5,044</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2,625</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3,198</w:t>
            </w:r>
          </w:p>
        </w:tc>
      </w:tr>
      <w:tr>
        <w:trPr>
          <w:trHeight w:val="27"/>
        </w:trPr>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324"/>
        </w:trPr>
        <w:tc>
          <w:tcPr>
            <w:tcW w:w="1220" w:type="dxa"/>
            <w:vAlign w:val="bottom"/>
            <w:shd w:val="clear" w:color="auto" w:fill="CEFFE7"/>
          </w:tcPr>
          <w:p>
            <w:pPr>
              <w:spacing w:after="0"/>
              <w:rPr>
                <w:sz w:val="24"/>
                <w:szCs w:val="24"/>
                <w:color w:val="auto"/>
              </w:rPr>
            </w:pPr>
          </w:p>
        </w:tc>
        <w:tc>
          <w:tcPr>
            <w:tcW w:w="5320" w:type="dxa"/>
            <w:vAlign w:val="bottom"/>
            <w:shd w:val="clear" w:color="auto" w:fill="CEFFE7"/>
          </w:tcPr>
          <w:p>
            <w:pPr>
              <w:spacing w:after="0"/>
              <w:rPr>
                <w:sz w:val="24"/>
                <w:szCs w:val="24"/>
                <w:color w:val="auto"/>
              </w:rPr>
            </w:pPr>
          </w:p>
        </w:tc>
        <w:tc>
          <w:tcPr>
            <w:tcW w:w="640" w:type="dxa"/>
            <w:vAlign w:val="bottom"/>
            <w:shd w:val="clear" w:color="auto" w:fill="CEFFE7"/>
          </w:tcPr>
          <w:p>
            <w:pPr>
              <w:spacing w:after="0"/>
              <w:rPr>
                <w:sz w:val="24"/>
                <w:szCs w:val="24"/>
                <w:color w:val="auto"/>
              </w:rPr>
            </w:pPr>
          </w:p>
        </w:tc>
        <w:tc>
          <w:tcPr>
            <w:tcW w:w="1180" w:type="dxa"/>
            <w:vAlign w:val="bottom"/>
            <w:shd w:val="clear" w:color="auto" w:fill="CEFFE7"/>
          </w:tcPr>
          <w:p>
            <w:pPr>
              <w:spacing w:after="0"/>
              <w:rPr>
                <w:sz w:val="24"/>
                <w:szCs w:val="24"/>
                <w:color w:val="auto"/>
              </w:rPr>
            </w:pPr>
          </w:p>
        </w:tc>
        <w:tc>
          <w:tcPr>
            <w:tcW w:w="260" w:type="dxa"/>
            <w:vAlign w:val="bottom"/>
            <w:shd w:val="clear" w:color="auto" w:fill="CEFFE7"/>
          </w:tcPr>
          <w:p>
            <w:pPr>
              <w:spacing w:after="0"/>
              <w:rPr>
                <w:sz w:val="24"/>
                <w:szCs w:val="24"/>
                <w:color w:val="auto"/>
              </w:rPr>
            </w:pPr>
          </w:p>
        </w:tc>
        <w:tc>
          <w:tcPr>
            <w:tcW w:w="1320" w:type="dxa"/>
            <w:vAlign w:val="bottom"/>
            <w:shd w:val="clear" w:color="auto" w:fill="CEFFE7"/>
          </w:tcPr>
          <w:p>
            <w:pPr>
              <w:spacing w:after="0"/>
              <w:rPr>
                <w:sz w:val="24"/>
                <w:szCs w:val="24"/>
                <w:color w:val="auto"/>
              </w:rPr>
            </w:pPr>
          </w:p>
        </w:tc>
        <w:tc>
          <w:tcPr>
            <w:tcW w:w="420" w:type="dxa"/>
            <w:vAlign w:val="bottom"/>
            <w:shd w:val="clear" w:color="auto" w:fill="CEFFE7"/>
          </w:tcPr>
          <w:p>
            <w:pPr>
              <w:spacing w:after="0"/>
              <w:rPr>
                <w:sz w:val="24"/>
                <w:szCs w:val="24"/>
                <w:color w:val="auto"/>
              </w:rPr>
            </w:pPr>
          </w:p>
        </w:tc>
        <w:tc>
          <w:tcPr>
            <w:tcW w:w="1060" w:type="dxa"/>
            <w:vAlign w:val="bottom"/>
            <w:shd w:val="clear" w:color="auto" w:fill="CEFFE7"/>
          </w:tcPr>
          <w:p>
            <w:pPr>
              <w:spacing w:after="0"/>
              <w:rPr>
                <w:sz w:val="24"/>
                <w:szCs w:val="24"/>
                <w:color w:val="auto"/>
              </w:rPr>
            </w:pPr>
          </w:p>
        </w:tc>
      </w:tr>
      <w:tr>
        <w:trPr>
          <w:trHeight w:val="243"/>
        </w:trPr>
        <w:tc>
          <w:tcPr>
            <w:tcW w:w="6540" w:type="dxa"/>
            <w:vAlign w:val="bottom"/>
            <w:gridSpan w:val="2"/>
          </w:tcPr>
          <w:p>
            <w:pPr>
              <w:ind w:left="40"/>
              <w:spacing w:after="0"/>
              <w:rPr>
                <w:sz w:val="20"/>
                <w:szCs w:val="20"/>
                <w:color w:val="auto"/>
              </w:rPr>
            </w:pPr>
            <w:r>
              <w:rPr>
                <w:rFonts w:ascii="Arial" w:cs="Arial" w:eastAsia="Arial" w:hAnsi="Arial"/>
                <w:sz w:val="18"/>
                <w:szCs w:val="18"/>
                <w:color w:val="auto"/>
              </w:rPr>
              <w:t>Cash (paid) refunded during the period for continuing operations-</w:t>
            </w:r>
          </w:p>
        </w:tc>
        <w:tc>
          <w:tcPr>
            <w:tcW w:w="64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1220" w:type="dxa"/>
            <w:vAlign w:val="bottom"/>
          </w:tcPr>
          <w:p>
            <w:pPr>
              <w:spacing w:after="0"/>
              <w:rPr>
                <w:sz w:val="2"/>
                <w:szCs w:val="2"/>
                <w:color w:val="auto"/>
              </w:rPr>
            </w:pPr>
          </w:p>
        </w:tc>
        <w:tc>
          <w:tcPr>
            <w:tcW w:w="5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6540" w:type="dxa"/>
            <w:vAlign w:val="bottom"/>
            <w:tcBorders>
              <w:bottom w:val="single" w:sz="8" w:color="CEFFE7"/>
            </w:tcBorders>
            <w:gridSpan w:val="2"/>
            <w:shd w:val="clear" w:color="auto" w:fill="CEFFE7"/>
          </w:tcPr>
          <w:p>
            <w:pPr>
              <w:ind w:left="180"/>
              <w:spacing w:after="0"/>
              <w:rPr>
                <w:sz w:val="20"/>
                <w:szCs w:val="20"/>
                <w:color w:val="auto"/>
              </w:rPr>
            </w:pPr>
            <w:r>
              <w:rPr>
                <w:rFonts w:ascii="Arial" w:cs="Arial" w:eastAsia="Arial" w:hAnsi="Arial"/>
                <w:sz w:val="18"/>
                <w:szCs w:val="18"/>
                <w:color w:val="auto"/>
              </w:rPr>
              <w:t>Interest (net of amounts capitalized)</w:t>
            </w:r>
          </w:p>
        </w:tc>
        <w:tc>
          <w:tcPr>
            <w:tcW w:w="640" w:type="dxa"/>
            <w:vAlign w:val="bottom"/>
            <w:tcBorders>
              <w:bottom w:val="single" w:sz="8" w:color="CEFFE7"/>
            </w:tcBorders>
            <w:shd w:val="clear" w:color="auto" w:fill="CEFFE7"/>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(131,774)</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(137,965)</w:t>
            </w:r>
          </w:p>
        </w:tc>
        <w:tc>
          <w:tcPr>
            <w:tcW w:w="42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(132,428)</w:t>
            </w:r>
          </w:p>
        </w:tc>
      </w:tr>
      <w:tr>
        <w:trPr>
          <w:trHeight w:val="243"/>
        </w:trPr>
        <w:tc>
          <w:tcPr>
            <w:tcW w:w="6540" w:type="dxa"/>
            <w:vAlign w:val="bottom"/>
            <w:gridSpan w:val="2"/>
          </w:tcPr>
          <w:p>
            <w:pPr>
              <w:ind w:left="180"/>
              <w:spacing w:after="0"/>
              <w:rPr>
                <w:sz w:val="20"/>
                <w:szCs w:val="20"/>
                <w:color w:val="auto"/>
              </w:rPr>
            </w:pPr>
            <w:r>
              <w:rPr>
                <w:rFonts w:ascii="Arial" w:cs="Arial" w:eastAsia="Arial" w:hAnsi="Arial"/>
                <w:sz w:val="18"/>
                <w:szCs w:val="18"/>
                <w:color w:val="auto"/>
              </w:rPr>
              <w:t>Income taxes (paid) refunded</w:t>
            </w: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10"/>
              <w:spacing w:after="0"/>
              <w:rPr>
                <w:sz w:val="20"/>
                <w:szCs w:val="20"/>
                <w:color w:val="auto"/>
              </w:rPr>
            </w:pPr>
            <w:r>
              <w:rPr>
                <w:rFonts w:ascii="Arial" w:cs="Arial" w:eastAsia="Arial" w:hAnsi="Arial"/>
                <w:sz w:val="18"/>
                <w:szCs w:val="18"/>
                <w:color w:val="auto"/>
              </w:rPr>
              <w:t>4,682</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50"/>
              <w:spacing w:after="0"/>
              <w:rPr>
                <w:sz w:val="20"/>
                <w:szCs w:val="20"/>
                <w:color w:val="auto"/>
              </w:rPr>
            </w:pPr>
            <w:r>
              <w:rPr>
                <w:rFonts w:ascii="Arial" w:cs="Arial" w:eastAsia="Arial" w:hAnsi="Arial"/>
                <w:sz w:val="18"/>
                <w:szCs w:val="18"/>
                <w:color w:val="auto"/>
              </w:rPr>
              <w:t>(14,730)</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1,775</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8440" w:firstLine="8"/>
        <w:spacing w:after="0" w:line="503" w:lineRule="auto"/>
        <w:tabs>
          <w:tab w:leader="none" w:pos="480"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 PLANS Defined Contribution Plans</w:t>
      </w:r>
    </w:p>
    <w:p>
      <w:pPr>
        <w:spacing w:after="0" w:line="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We sponsor a 401(k) retirement savings plan (the 401(k) Plan). Participants in the 401(k) Plan may elect to invest a portion of their eligible compensation in the 401(k) Plan up to the maximum amounts established by the IRS. The 401(k) Plan provides employees the opportunity to invest up to 50% of their eligible compensation on a pre-tax or after-tax basis.</w:t>
      </w:r>
    </w:p>
    <w:p>
      <w:pPr>
        <w:spacing w:after="0" w:line="181" w:lineRule="exact"/>
        <w:rPr>
          <w:sz w:val="20"/>
          <w:szCs w:val="20"/>
          <w:color w:val="auto"/>
        </w:rPr>
      </w:pPr>
    </w:p>
    <w:p>
      <w:pPr>
        <w:jc w:val="both"/>
        <w:ind w:right="80"/>
        <w:spacing w:after="0" w:line="286" w:lineRule="auto"/>
        <w:rPr>
          <w:sz w:val="20"/>
          <w:szCs w:val="20"/>
          <w:color w:val="auto"/>
        </w:rPr>
      </w:pPr>
      <w:r>
        <w:rPr>
          <w:rFonts w:ascii="Arial" w:cs="Arial" w:eastAsia="Arial" w:hAnsi="Arial"/>
          <w:sz w:val="17"/>
          <w:szCs w:val="17"/>
          <w:color w:val="auto"/>
        </w:rPr>
        <w:t>The 401(k) Plan provides a Company matching contribution for all eligible participants. Certain eligible participants who are not currently accruing a benefit in the Pension Plan also receive a Company retirement contribution based on the participant’s age and years of service. Vesting of all Company and matching contributions occurs at 20% per year with 100% vesting when the participant has 5 years of service with the Company.</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Plan</w:t>
      </w:r>
    </w:p>
    <w:p>
      <w:pPr>
        <w:spacing w:after="0" w:line="229" w:lineRule="exact"/>
        <w:rPr>
          <w:sz w:val="20"/>
          <w:szCs w:val="20"/>
          <w:color w:val="auto"/>
        </w:rPr>
      </w:pPr>
    </w:p>
    <w:p>
      <w:pPr>
        <w:ind w:right="660"/>
        <w:spacing w:after="0" w:line="312" w:lineRule="auto"/>
        <w:rPr>
          <w:sz w:val="20"/>
          <w:szCs w:val="20"/>
          <w:color w:val="auto"/>
        </w:rPr>
      </w:pPr>
      <w:r>
        <w:rPr>
          <w:rFonts w:ascii="Arial" w:cs="Arial" w:eastAsia="Arial" w:hAnsi="Arial"/>
          <w:sz w:val="16"/>
          <w:szCs w:val="16"/>
          <w:color w:val="auto"/>
        </w:rPr>
        <w:t>We have one defined benefit pension plan, the Black Hills Retirement Plan (Pension Plan). The Pension Plan covers certain eligible employees of the Company. The benefits for the Pension Plan are based on years of service and calculations of average earnings during a specific time period prior to retirement. The Pension Plan is closed to new employees and frozen for certain employees who did not meet age and service based criteria.</w:t>
      </w:r>
    </w:p>
    <w:p>
      <w:pPr>
        <w:spacing w:after="0" w:line="147"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The Pension Plan assets are held in a Master Trust. Our Board of Directors has approved the Pension Plan’s investment policy. The objective of the investment policy is to manage assets in such a way that will allow the eventual settlement of our obligations to the Pension Plan’s beneficiaries. To meet this objective, our pension assets are managed by an outside adviser using a portfolio strategy that will provide liquidity to meet the Pension Plan’s benefit payment obligations. The Pension Plan’s assets consist primarily of equity, fixed income and hedged investments.</w:t>
      </w:r>
    </w:p>
    <w:p>
      <w:pPr>
        <w:spacing w:after="0" w:line="17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The expected rate of return on the Pension Plan assets is determined by reviewing the historical and expected returns of both equity and fixed income markets, taking into account asset allocation, the correlation between asset class returns, and the mix of active and passive investments. The Pension Plan utilizes a dynamic asset allocation where the target range to return-seeking and liability-hedging assets is determined based on the funded status of the Plan. As of December 31, 2019, the expected rate of return on pension plan assets was based on the targeted asset allocation range of 29% to 37% return-seeking assets and 63% to 71% liability-hedging assets.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Our Pension Plan is funded in compliance with the federal government’s funding requirements.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420"/>
          </w:cols>
          <w:pgMar w:left="240" w:top="118" w:right="239" w:bottom="1440" w:gutter="0" w:footer="0" w:header="0"/>
        </w:sectPr>
      </w:pPr>
    </w:p>
    <w:bookmarkStart w:id="129" w:name="page130"/>
    <w:bookmarkEnd w:id="12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percentages of total plan asset by investment category for our Pension Plan at December 31 were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00" w:type="dxa"/>
            <w:vAlign w:val="bottom"/>
          </w:tcPr>
          <w:p>
            <w:pPr>
              <w:spacing w:after="0"/>
              <w:rPr>
                <w:sz w:val="20"/>
                <w:szCs w:val="20"/>
                <w:color w:val="auto"/>
              </w:rPr>
            </w:pP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2019</w:t>
            </w:r>
          </w:p>
        </w:tc>
        <w:tc>
          <w:tcPr>
            <w:tcW w:w="376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3900" w:type="dxa"/>
            <w:vAlign w:val="bottom"/>
            <w:tcBorders>
              <w:bottom w:val="single" w:sz="8" w:color="CEFFE7"/>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c>
          <w:tcPr>
            <w:tcW w:w="3760" w:type="dxa"/>
            <w:vAlign w:val="bottom"/>
            <w:tcBorders>
              <w:bottom w:val="single" w:sz="8" w:color="auto"/>
            </w:tcBorders>
          </w:tcPr>
          <w:p>
            <w:pPr>
              <w:spacing w:after="0"/>
              <w:rPr>
                <w:sz w:val="2"/>
                <w:szCs w:val="2"/>
                <w:color w:val="auto"/>
              </w:rPr>
            </w:pPr>
          </w:p>
        </w:tc>
      </w:tr>
      <w:tr>
        <w:trPr>
          <w:trHeight w:val="244"/>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Equity</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20%</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8"/>
              </w:rPr>
              <w:t>17%</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Real estate</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3</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5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Fixed income</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71</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71</w:t>
            </w:r>
          </w:p>
        </w:tc>
      </w:tr>
      <w:tr>
        <w:trPr>
          <w:trHeight w:val="243"/>
        </w:trPr>
        <w:tc>
          <w:tcPr>
            <w:tcW w:w="3900" w:type="dxa"/>
            <w:vAlign w:val="bottom"/>
          </w:tcPr>
          <w:p>
            <w:pPr>
              <w:ind w:left="40"/>
              <w:spacing w:after="0"/>
              <w:rPr>
                <w:sz w:val="20"/>
                <w:szCs w:val="20"/>
                <w:color w:val="auto"/>
              </w:rPr>
            </w:pPr>
            <w:r>
              <w:rPr>
                <w:rFonts w:ascii="Arial" w:cs="Arial" w:eastAsia="Arial" w:hAnsi="Arial"/>
                <w:sz w:val="18"/>
                <w:szCs w:val="18"/>
                <w:color w:val="auto"/>
              </w:rPr>
              <w:t>Cash</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1</w:t>
            </w:r>
          </w:p>
        </w:tc>
        <w:tc>
          <w:tcPr>
            <w:tcW w:w="3760" w:type="dxa"/>
            <w:vAlign w:val="bottom"/>
          </w:tcPr>
          <w:p>
            <w:pPr>
              <w:jc w:val="center"/>
              <w:spacing w:after="0"/>
              <w:rPr>
                <w:sz w:val="20"/>
                <w:szCs w:val="20"/>
                <w:color w:val="auto"/>
              </w:rPr>
            </w:pPr>
            <w:r>
              <w:rPr>
                <w:rFonts w:ascii="Arial" w:cs="Arial" w:eastAsia="Arial" w:hAnsi="Arial"/>
                <w:sz w:val="18"/>
                <w:szCs w:val="18"/>
                <w:color w:val="auto"/>
                <w:w w:val="79"/>
              </w:rPr>
              <w:t>3</w:t>
            </w:r>
          </w:p>
        </w:tc>
      </w:tr>
      <w:tr>
        <w:trPr>
          <w:trHeight w:val="27"/>
        </w:trPr>
        <w:tc>
          <w:tcPr>
            <w:tcW w:w="3900" w:type="dxa"/>
            <w:vAlign w:val="bottom"/>
          </w:tcPr>
          <w:p>
            <w:pPr>
              <w:spacing w:after="0"/>
              <w:rPr>
                <w:sz w:val="2"/>
                <w:szCs w:val="2"/>
                <w:color w:val="auto"/>
              </w:rPr>
            </w:pPr>
          </w:p>
        </w:tc>
        <w:tc>
          <w:tcPr>
            <w:tcW w:w="3760" w:type="dxa"/>
            <w:vAlign w:val="bottom"/>
          </w:tcPr>
          <w:p>
            <w:pPr>
              <w:spacing w:after="0"/>
              <w:rPr>
                <w:sz w:val="2"/>
                <w:szCs w:val="2"/>
                <w:color w:val="auto"/>
              </w:rPr>
            </w:pPr>
          </w:p>
        </w:tc>
        <w:tc>
          <w:tcPr>
            <w:tcW w:w="3760" w:type="dxa"/>
            <w:vAlign w:val="bottom"/>
          </w:tcPr>
          <w:p>
            <w:pPr>
              <w:spacing w:after="0"/>
              <w:rPr>
                <w:sz w:val="2"/>
                <w:szCs w:val="2"/>
                <w:color w:val="auto"/>
              </w:rPr>
            </w:pPr>
          </w:p>
        </w:tc>
      </w:tr>
      <w:tr>
        <w:trPr>
          <w:trHeight w:val="270"/>
        </w:trPr>
        <w:tc>
          <w:tcPr>
            <w:tcW w:w="39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Hedge funds</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5</w:t>
            </w:r>
          </w:p>
        </w:tc>
        <w:tc>
          <w:tcPr>
            <w:tcW w:w="376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79"/>
              </w:rPr>
              <w:t>5</w:t>
            </w:r>
          </w:p>
        </w:tc>
      </w:tr>
      <w:tr>
        <w:trPr>
          <w:trHeight w:val="257"/>
        </w:trPr>
        <w:tc>
          <w:tcPr>
            <w:tcW w:w="3900" w:type="dxa"/>
            <w:vAlign w:val="bottom"/>
          </w:tcPr>
          <w:p>
            <w:pPr>
              <w:ind w:left="280"/>
              <w:spacing w:after="0"/>
              <w:rPr>
                <w:sz w:val="20"/>
                <w:szCs w:val="20"/>
                <w:color w:val="auto"/>
              </w:rPr>
            </w:pPr>
            <w:r>
              <w:rPr>
                <w:rFonts w:ascii="Arial" w:cs="Arial" w:eastAsia="Arial" w:hAnsi="Arial"/>
                <w:sz w:val="18"/>
                <w:szCs w:val="18"/>
                <w:color w:val="auto"/>
              </w:rPr>
              <w:t>Total</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c>
          <w:tcPr>
            <w:tcW w:w="376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1"/>
              </w:rPr>
              <w:t>100%</w:t>
            </w:r>
          </w:p>
        </w:tc>
      </w:tr>
      <w:tr>
        <w:trPr>
          <w:trHeight w:val="20"/>
        </w:trPr>
        <w:tc>
          <w:tcPr>
            <w:tcW w:w="3900" w:type="dxa"/>
            <w:vAlign w:val="bottom"/>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c>
          <w:tcPr>
            <w:tcW w:w="37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Non-qualified Defined Benefit Plans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have various supplemental retirement plans for key executives of the Company. The plans are non-qualified defined benefit and defined contribution plans (Supplemental Plans). The Supplemental Plans are subject to various vesting schedules and are funded on a cash basis as benefits are paid.</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Non-pension Defined Benefit Postretirement Healthcare Plan</w:t>
      </w:r>
    </w:p>
    <w:p>
      <w:pPr>
        <w:spacing w:after="0" w:line="229" w:lineRule="exact"/>
        <w:rPr>
          <w:sz w:val="20"/>
          <w:szCs w:val="20"/>
          <w:color w:val="auto"/>
        </w:rPr>
      </w:pPr>
    </w:p>
    <w:p>
      <w:pPr>
        <w:ind w:right="200"/>
        <w:spacing w:after="0" w:line="302" w:lineRule="auto"/>
        <w:rPr>
          <w:sz w:val="20"/>
          <w:szCs w:val="20"/>
          <w:color w:val="auto"/>
        </w:rPr>
      </w:pPr>
      <w:r>
        <w:rPr>
          <w:rFonts w:ascii="Arial" w:cs="Arial" w:eastAsia="Arial" w:hAnsi="Arial"/>
          <w:sz w:val="16"/>
          <w:szCs w:val="16"/>
          <w:color w:val="auto"/>
        </w:rPr>
        <w:t>BHC sponsors a retiree healthcare plan (Healthcare Plan) for employees who meet certain age and service requirements at retirement. Healthcare Plan benefits are subject to premiums, deductibles, co-payment provisions and other limitations. A portion of the Healthcare Plan for participating business units are pre-funded via VEBA trusts. Pre-65 retirees as well as a grandfathered group of post-65 retirees receive their retiree medical benefits through the Black Hills self-insured retiree medical plans. Healthcare coverage for Medicare-eligible retirees is provided through an individual market healthcare exchange.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Plan Assets</w:t>
      </w:r>
    </w:p>
    <w:p>
      <w:pPr>
        <w:spacing w:after="0" w:line="225" w:lineRule="exact"/>
        <w:rPr>
          <w:sz w:val="20"/>
          <w:szCs w:val="20"/>
          <w:color w:val="auto"/>
        </w:rPr>
      </w:pPr>
    </w:p>
    <w:p>
      <w:pPr>
        <w:ind w:right="500"/>
        <w:spacing w:after="0" w:line="286" w:lineRule="auto"/>
        <w:rPr>
          <w:sz w:val="20"/>
          <w:szCs w:val="20"/>
          <w:color w:val="auto"/>
        </w:rPr>
      </w:pPr>
      <w:r>
        <w:rPr>
          <w:rFonts w:ascii="Arial" w:cs="Arial" w:eastAsia="Arial" w:hAnsi="Arial"/>
          <w:sz w:val="17"/>
          <w:szCs w:val="17"/>
          <w:color w:val="auto"/>
        </w:rPr>
        <w:t>We fund the Healthcare Plan on a cash basis as benefits are paid. The Black Hills Corporation Retiree Medical Plan provides for partial pre-funding via VEBA trusts. Assets related to this pre-funding are held in trust and are for the benefit of the union and non-union employees located in the states of Arkansas, Iowa and Kansas. We do not pre-fund the Healthcare Plan for those employees outside Arkansas, Iowa and Kansas.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Contributions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Contributions to the Pension Plan are cash contributions made directly to the Master Trust. Healthcare and Supplemental Plan contributions are made in the form of benefit payments. Healthcare benefits include company and participant paid premiums. Contributions for the years ended December 31 were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Contribution Plan</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Borders>
              <w:top w:val="single" w:sz="8" w:color="auto"/>
            </w:tcBorders>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Company retirement contributions</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9,714</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8,766</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Company matching contributions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14,558</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13,559</w:t>
            </w:r>
          </w:p>
        </w:tc>
        <w:tc>
          <w:tcPr>
            <w:tcW w:w="0" w:type="dxa"/>
            <w:vAlign w:val="bottom"/>
          </w:tcPr>
          <w:p>
            <w:pPr>
              <w:spacing w:after="0"/>
              <w:rPr>
                <w:sz w:val="1"/>
                <w:szCs w:val="1"/>
                <w:color w:val="auto"/>
              </w:rPr>
            </w:pPr>
          </w:p>
        </w:tc>
      </w:tr>
      <w:tr>
        <w:trPr>
          <w:trHeight w:val="621"/>
        </w:trPr>
        <w:tc>
          <w:tcPr>
            <w:tcW w:w="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80" w:type="dxa"/>
            <w:vAlign w:val="bottom"/>
          </w:tcPr>
          <w:p>
            <w:pPr>
              <w:jc w:val="right"/>
              <w:ind w:right="5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4"/>
                <w:szCs w:val="24"/>
                <w:color w:val="auto"/>
              </w:rPr>
            </w:pPr>
          </w:p>
        </w:tc>
        <w:tc>
          <w:tcPr>
            <w:tcW w:w="1300" w:type="dxa"/>
            <w:vAlign w:val="bottom"/>
          </w:tcPr>
          <w:p>
            <w:pPr>
              <w:jc w:val="right"/>
              <w:ind w:right="5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8000" w:type="dxa"/>
            <w:vAlign w:val="bottom"/>
            <w:gridSpan w:val="4"/>
            <w:vMerge w:val="restart"/>
          </w:tcPr>
          <w:p>
            <w:pPr>
              <w:ind w:left="40"/>
              <w:spacing w:after="0"/>
              <w:rPr>
                <w:sz w:val="20"/>
                <w:szCs w:val="20"/>
                <w:color w:val="auto"/>
              </w:rPr>
            </w:pPr>
            <w:r>
              <w:rPr>
                <w:rFonts w:ascii="Arial" w:cs="Arial" w:eastAsia="Arial" w:hAnsi="Arial"/>
                <w:sz w:val="18"/>
                <w:szCs w:val="18"/>
                <w:color w:val="auto"/>
              </w:rPr>
              <w:t>Defined Benefit Plans</w:t>
            </w:r>
          </w:p>
        </w:tc>
        <w:tc>
          <w:tcPr>
            <w:tcW w:w="4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6"/>
        </w:trPr>
        <w:tc>
          <w:tcPr>
            <w:tcW w:w="8000" w:type="dxa"/>
            <w:vAlign w:val="bottom"/>
            <w:gridSpan w:val="4"/>
            <w:vMerge w:val="continue"/>
          </w:tcPr>
          <w:p>
            <w:pPr>
              <w:spacing w:after="0"/>
              <w:rPr>
                <w:sz w:val="17"/>
                <w:szCs w:val="17"/>
                <w:color w:val="auto"/>
              </w:rPr>
            </w:pPr>
          </w:p>
        </w:tc>
        <w:tc>
          <w:tcPr>
            <w:tcW w:w="4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8"/>
        </w:trPr>
        <w:tc>
          <w:tcPr>
            <w:tcW w:w="40" w:type="dxa"/>
            <w:vAlign w:val="bottom"/>
          </w:tcPr>
          <w:p>
            <w:pPr>
              <w:spacing w:after="0"/>
              <w:rPr>
                <w:sz w:val="4"/>
                <w:szCs w:val="4"/>
                <w:color w:val="auto"/>
              </w:rPr>
            </w:pPr>
          </w:p>
        </w:tc>
        <w:tc>
          <w:tcPr>
            <w:tcW w:w="1580" w:type="dxa"/>
            <w:vAlign w:val="bottom"/>
            <w:tcBorders>
              <w:top w:val="single" w:sz="8" w:color="auto"/>
            </w:tcBorders>
          </w:tcPr>
          <w:p>
            <w:pPr>
              <w:spacing w:after="0"/>
              <w:rPr>
                <w:sz w:val="4"/>
                <w:szCs w:val="4"/>
                <w:color w:val="auto"/>
              </w:rPr>
            </w:pPr>
          </w:p>
        </w:tc>
        <w:tc>
          <w:tcPr>
            <w:tcW w:w="320" w:type="dxa"/>
            <w:vAlign w:val="bottom"/>
          </w:tcPr>
          <w:p>
            <w:pPr>
              <w:spacing w:after="0"/>
              <w:rPr>
                <w:sz w:val="4"/>
                <w:szCs w:val="4"/>
                <w:color w:val="auto"/>
              </w:rPr>
            </w:pPr>
          </w:p>
        </w:tc>
        <w:tc>
          <w:tcPr>
            <w:tcW w:w="606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13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000" w:type="dxa"/>
            <w:vAlign w:val="bottom"/>
            <w:tcBorders>
              <w:bottom w:val="single" w:sz="8" w:color="CEFFE7"/>
            </w:tcBorders>
            <w:gridSpan w:val="4"/>
            <w:shd w:val="clear" w:color="auto" w:fill="CEFFE7"/>
          </w:tcPr>
          <w:p>
            <w:pPr>
              <w:ind w:left="40"/>
              <w:spacing w:after="0"/>
              <w:rPr>
                <w:sz w:val="20"/>
                <w:szCs w:val="20"/>
                <w:color w:val="auto"/>
              </w:rPr>
            </w:pPr>
            <w:r>
              <w:rPr>
                <w:rFonts w:ascii="Arial" w:cs="Arial" w:eastAsia="Arial" w:hAnsi="Arial"/>
                <w:sz w:val="18"/>
                <w:szCs w:val="18"/>
                <w:color w:val="auto"/>
              </w:rPr>
              <w:t>Defined Benefit Pension Plan</w:t>
            </w:r>
          </w:p>
        </w:tc>
        <w:tc>
          <w:tcPr>
            <w:tcW w:w="40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12,700</w:t>
            </w:r>
          </w:p>
        </w:tc>
        <w:tc>
          <w:tcPr>
            <w:tcW w:w="440" w:type="dxa"/>
            <w:vAlign w:val="bottom"/>
            <w:tcBorders>
              <w:bottom w:val="single" w:sz="8" w:color="CEFFE7"/>
            </w:tcBorders>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c>
          <w:tcPr>
            <w:tcW w:w="0" w:type="dxa"/>
            <w:vAlign w:val="bottom"/>
          </w:tcPr>
          <w:p>
            <w:pPr>
              <w:spacing w:after="0"/>
              <w:rPr>
                <w:sz w:val="1"/>
                <w:szCs w:val="1"/>
                <w:color w:val="auto"/>
              </w:rPr>
            </w:pPr>
          </w:p>
        </w:tc>
      </w:tr>
      <w:tr>
        <w:trPr>
          <w:trHeight w:val="243"/>
        </w:trPr>
        <w:tc>
          <w:tcPr>
            <w:tcW w:w="8000" w:type="dxa"/>
            <w:vAlign w:val="bottom"/>
            <w:gridSpan w:val="4"/>
          </w:tcPr>
          <w:p>
            <w:pPr>
              <w:ind w:left="40"/>
              <w:spacing w:after="0"/>
              <w:rPr>
                <w:sz w:val="20"/>
                <w:szCs w:val="20"/>
                <w:color w:val="auto"/>
              </w:rPr>
            </w:pPr>
            <w:r>
              <w:rPr>
                <w:rFonts w:ascii="Arial" w:cs="Arial" w:eastAsia="Arial" w:hAnsi="Arial"/>
                <w:sz w:val="18"/>
                <w:szCs w:val="18"/>
                <w:color w:val="auto"/>
              </w:rPr>
              <w:t>Non-Pension Defined Benefit Postretirement Healthcare Plan</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7,033</w:t>
            </w:r>
          </w:p>
        </w:tc>
        <w:tc>
          <w:tcPr>
            <w:tcW w:w="44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000" w:type="dxa"/>
            <w:vAlign w:val="bottom"/>
            <w:gridSpan w:val="4"/>
            <w:shd w:val="clear" w:color="auto" w:fill="CEFFE7"/>
          </w:tcPr>
          <w:p>
            <w:pPr>
              <w:ind w:left="40"/>
              <w:spacing w:after="0"/>
              <w:rPr>
                <w:sz w:val="20"/>
                <w:szCs w:val="20"/>
                <w:color w:val="auto"/>
              </w:rPr>
            </w:pPr>
            <w:r>
              <w:rPr>
                <w:rFonts w:ascii="Arial" w:cs="Arial" w:eastAsia="Arial" w:hAnsi="Arial"/>
                <w:sz w:val="18"/>
                <w:szCs w:val="18"/>
                <w:color w:val="auto"/>
              </w:rPr>
              <w:t>Supplemental Non-Qualified Defined Benefit Plans</w:t>
            </w:r>
          </w:p>
        </w:tc>
        <w:tc>
          <w:tcPr>
            <w:tcW w:w="40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2,344</w:t>
            </w:r>
          </w:p>
        </w:tc>
        <w:tc>
          <w:tcPr>
            <w:tcW w:w="440" w:type="dxa"/>
            <w:vAlign w:val="bottom"/>
            <w:shd w:val="clear" w:color="auto" w:fill="CEFFE7"/>
          </w:tcPr>
          <w:p>
            <w:pPr>
              <w:jc w:val="right"/>
              <w:ind w:right="19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2,073</w:t>
            </w:r>
          </w:p>
        </w:tc>
        <w:tc>
          <w:tcPr>
            <w:tcW w:w="0" w:type="dxa"/>
            <w:vAlign w:val="bottom"/>
          </w:tcPr>
          <w:p>
            <w:pPr>
              <w:spacing w:after="0"/>
              <w:rPr>
                <w:sz w:val="1"/>
                <w:szCs w:val="1"/>
                <w:color w:val="auto"/>
              </w:rPr>
            </w:pPr>
          </w:p>
        </w:tc>
      </w:tr>
      <w:tr>
        <w:trPr>
          <w:trHeight w:val="27"/>
        </w:trPr>
        <w:tc>
          <w:tcPr>
            <w:tcW w:w="40" w:type="dxa"/>
            <w:vAlign w:val="bottom"/>
            <w:shd w:val="clear" w:color="auto" w:fill="CEFFE7"/>
          </w:tcPr>
          <w:p>
            <w:pPr>
              <w:spacing w:after="0"/>
              <w:rPr>
                <w:sz w:val="2"/>
                <w:szCs w:val="2"/>
                <w:color w:val="auto"/>
              </w:rPr>
            </w:pPr>
          </w:p>
        </w:tc>
        <w:tc>
          <w:tcPr>
            <w:tcW w:w="1580" w:type="dxa"/>
            <w:vAlign w:val="bottom"/>
            <w:shd w:val="clear" w:color="auto" w:fill="CEFFE7"/>
          </w:tcPr>
          <w:p>
            <w:pPr>
              <w:spacing w:after="0"/>
              <w:rPr>
                <w:sz w:val="2"/>
                <w:szCs w:val="2"/>
                <w:color w:val="auto"/>
              </w:rPr>
            </w:pPr>
          </w:p>
        </w:tc>
        <w:tc>
          <w:tcPr>
            <w:tcW w:w="320" w:type="dxa"/>
            <w:vAlign w:val="bottom"/>
            <w:shd w:val="clear" w:color="auto" w:fill="CEFFE7"/>
          </w:tcPr>
          <w:p>
            <w:pPr>
              <w:spacing w:after="0"/>
              <w:rPr>
                <w:sz w:val="2"/>
                <w:szCs w:val="2"/>
                <w:color w:val="auto"/>
              </w:rPr>
            </w:pPr>
          </w:p>
        </w:tc>
        <w:tc>
          <w:tcPr>
            <w:tcW w:w="6060" w:type="dxa"/>
            <w:vAlign w:val="bottom"/>
            <w:shd w:val="clear" w:color="auto" w:fill="CEFFE7"/>
          </w:tcPr>
          <w:p>
            <w:pPr>
              <w:spacing w:after="0"/>
              <w:rPr>
                <w:sz w:val="2"/>
                <w:szCs w:val="2"/>
                <w:color w:val="auto"/>
              </w:rPr>
            </w:pPr>
          </w:p>
        </w:tc>
        <w:tc>
          <w:tcPr>
            <w:tcW w:w="400" w:type="dxa"/>
            <w:vAlign w:val="bottom"/>
            <w:shd w:val="clear" w:color="auto" w:fill="CEFFE7"/>
          </w:tcPr>
          <w:p>
            <w:pPr>
              <w:spacing w:after="0"/>
              <w:rPr>
                <w:sz w:val="2"/>
                <w:szCs w:val="2"/>
                <w:color w:val="auto"/>
              </w:rPr>
            </w:pPr>
          </w:p>
        </w:tc>
        <w:tc>
          <w:tcPr>
            <w:tcW w:w="1280" w:type="dxa"/>
            <w:vAlign w:val="bottom"/>
            <w:shd w:val="clear" w:color="auto" w:fill="CEFFE7"/>
          </w:tcPr>
          <w:p>
            <w:pPr>
              <w:spacing w:after="0"/>
              <w:rPr>
                <w:sz w:val="2"/>
                <w:szCs w:val="2"/>
                <w:color w:val="auto"/>
              </w:rPr>
            </w:pPr>
          </w:p>
        </w:tc>
        <w:tc>
          <w:tcPr>
            <w:tcW w:w="440" w:type="dxa"/>
            <w:vAlign w:val="bottom"/>
            <w:shd w:val="clear" w:color="auto" w:fill="CEFFE7"/>
          </w:tcPr>
          <w:p>
            <w:pPr>
              <w:spacing w:after="0"/>
              <w:rPr>
                <w:sz w:val="2"/>
                <w:szCs w:val="2"/>
                <w:color w:val="auto"/>
              </w:rPr>
            </w:pPr>
          </w:p>
        </w:tc>
        <w:tc>
          <w:tcPr>
            <w:tcW w:w="1300" w:type="dxa"/>
            <w:vAlign w:val="bottom"/>
            <w:shd w:val="clear" w:color="auto" w:fill="CEFFE7"/>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While we do not have required contributions, we expect to make approximately $13 million in contributions to our Pension Plan in 2020.</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420"/>
          </w:cols>
          <w:pgMar w:left="240" w:top="126" w:right="239" w:bottom="1440" w:gutter="0" w:footer="0" w:header="0"/>
        </w:sectPr>
      </w:pPr>
    </w:p>
    <w:bookmarkStart w:id="130" w:name="page131"/>
    <w:bookmarkEnd w:id="13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Assets and liabilities are classified in their entirety based on the lowest level of input that is significant to the fair value measurement. The Company’s assessment of the significance of a particular input to the fair value measurement requires judgment and may affect their placement within the fair value hierarchy levels.</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tables set forth, by level within the fair value hierarchy, the assets that were accounted for at fair value on a recurring basis (in thousands):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2019</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60</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60</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60</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7,054</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7,054</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7,054</w:t>
            </w: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87,106</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87,106</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87,106</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306,275</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306,275</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306,275</w:t>
            </w: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14,239</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14,239</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19,550</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19,550</w:t>
            </w: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400,495</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400,495</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33,789</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434,284</w:t>
            </w:r>
          </w:p>
        </w:tc>
      </w:tr>
      <w:tr>
        <w:trPr>
          <w:trHeight w:val="20"/>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gridSpan w:val="3"/>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562"/>
        </w:trPr>
        <w:tc>
          <w:tcPr>
            <w:tcW w:w="4000" w:type="dxa"/>
            <w:vAlign w:val="bottom"/>
          </w:tcPr>
          <w:p>
            <w:pPr>
              <w:ind w:left="40"/>
              <w:spacing w:after="0"/>
              <w:rPr>
                <w:sz w:val="20"/>
                <w:szCs w:val="20"/>
                <w:color w:val="auto"/>
              </w:rPr>
            </w:pPr>
            <w:r>
              <w:rPr>
                <w:rFonts w:ascii="Arial" w:cs="Arial" w:eastAsia="Arial" w:hAnsi="Arial"/>
                <w:sz w:val="16"/>
                <w:szCs w:val="16"/>
                <w:color w:val="auto"/>
              </w:rPr>
              <w:t>Pension Plan</w:t>
            </w:r>
          </w:p>
        </w:tc>
        <w:tc>
          <w:tcPr>
            <w:tcW w:w="8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80" w:type="dxa"/>
            <w:vAlign w:val="bottom"/>
            <w:gridSpan w:val="3"/>
          </w:tcPr>
          <w:p>
            <w:pPr>
              <w:ind w:left="280"/>
              <w:spacing w:after="0"/>
              <w:rPr>
                <w:sz w:val="20"/>
                <w:szCs w:val="20"/>
                <w:color w:val="auto"/>
              </w:rPr>
            </w:pPr>
            <w:r>
              <w:rPr>
                <w:rFonts w:ascii="Arial" w:cs="Arial" w:eastAsia="Arial" w:hAnsi="Arial"/>
                <w:sz w:val="16"/>
                <w:szCs w:val="16"/>
                <w:color w:val="auto"/>
              </w:rPr>
              <w:t>December 31, 2018</w:t>
            </w: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40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40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Total</w:t>
            </w:r>
          </w:p>
        </w:tc>
        <w:tc>
          <w:tcPr>
            <w:tcW w:w="3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92"/>
              </w:rPr>
              <w:t>Investments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40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jc w:val="center"/>
              <w:ind w:right="79"/>
              <w:spacing w:after="0"/>
              <w:rPr>
                <w:sz w:val="20"/>
                <w:szCs w:val="20"/>
                <w:color w:val="auto"/>
              </w:rPr>
            </w:pPr>
            <w:r>
              <w:rPr>
                <w:rFonts w:ascii="Arial" w:cs="Arial" w:eastAsia="Arial" w:hAnsi="Arial"/>
                <w:sz w:val="16"/>
                <w:szCs w:val="16"/>
                <w:color w:val="auto"/>
                <w:w w:val="89"/>
              </w:rPr>
              <w:t>Measured at</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jc w:val="center"/>
              <w:ind w:right="59"/>
              <w:spacing w:after="0"/>
              <w:rPr>
                <w:sz w:val="20"/>
                <w:szCs w:val="20"/>
                <w:color w:val="auto"/>
              </w:rPr>
            </w:pPr>
            <w:r>
              <w:rPr>
                <w:rFonts w:ascii="Arial" w:cs="Arial" w:eastAsia="Arial" w:hAnsi="Arial"/>
                <w:sz w:val="16"/>
                <w:szCs w:val="16"/>
                <w:color w:val="auto"/>
                <w:w w:val="89"/>
              </w:rPr>
              <w:t>Total</w:t>
            </w:r>
          </w:p>
        </w:tc>
      </w:tr>
      <w:tr>
        <w:trPr>
          <w:trHeight w:val="239"/>
        </w:trPr>
        <w:tc>
          <w:tcPr>
            <w:tcW w:w="4000" w:type="dxa"/>
            <w:vAlign w:val="bottom"/>
            <w:tcBorders>
              <w:bottom w:val="single" w:sz="8" w:color="CEFFE7"/>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Level 1</w:t>
            </w:r>
          </w:p>
        </w:tc>
        <w:tc>
          <w:tcPr>
            <w:tcW w:w="3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Level 2</w:t>
            </w:r>
          </w:p>
        </w:tc>
        <w:tc>
          <w:tcPr>
            <w:tcW w:w="3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ind w:left="100"/>
              <w:spacing w:after="0"/>
              <w:rPr>
                <w:sz w:val="20"/>
                <w:szCs w:val="20"/>
                <w:color w:val="auto"/>
              </w:rPr>
            </w:pPr>
            <w:r>
              <w:rPr>
                <w:rFonts w:ascii="Arial" w:cs="Arial" w:eastAsia="Arial" w:hAnsi="Arial"/>
                <w:sz w:val="16"/>
                <w:szCs w:val="16"/>
                <w:color w:val="auto"/>
              </w:rPr>
              <w:t>Level 3</w:t>
            </w:r>
          </w:p>
        </w:tc>
        <w:tc>
          <w:tcPr>
            <w:tcW w:w="2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color w:val="auto"/>
                <w:w w:val="93"/>
              </w:rPr>
              <w:t>Fair Value</w:t>
            </w:r>
          </w:p>
        </w:tc>
        <w:tc>
          <w:tcPr>
            <w:tcW w:w="3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239"/>
              <w:spacing w:after="0" w:line="239" w:lineRule="exact"/>
              <w:rPr>
                <w:sz w:val="20"/>
                <w:szCs w:val="20"/>
                <w:color w:val="auto"/>
              </w:rPr>
            </w:pPr>
            <w:r>
              <w:rPr>
                <w:rFonts w:ascii="Arial" w:cs="Arial" w:eastAsia="Arial" w:hAnsi="Arial"/>
                <w:sz w:val="16"/>
                <w:szCs w:val="16"/>
                <w:color w:val="auto"/>
              </w:rPr>
              <w:t xml:space="preserve">NAV </w:t>
            </w:r>
            <w:r>
              <w:rPr>
                <w:rFonts w:ascii="Arial" w:cs="Arial" w:eastAsia="Arial" w:hAnsi="Arial"/>
                <w:sz w:val="21"/>
                <w:szCs w:val="21"/>
                <w:color w:val="auto"/>
                <w:vertAlign w:val="superscript"/>
              </w:rPr>
              <w:t>(a)</w:t>
            </w: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color w:val="auto"/>
                <w:w w:val="92"/>
              </w:rPr>
              <w:t>Investments</w:t>
            </w:r>
          </w:p>
        </w:tc>
      </w:tr>
      <w:tr>
        <w:trPr>
          <w:trHeight w:val="244"/>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AXA Equitable General Fixed Income</w:t>
            </w:r>
          </w:p>
        </w:tc>
        <w:tc>
          <w:tcPr>
            <w:tcW w:w="860" w:type="dxa"/>
            <w:vAlign w:val="bottom"/>
            <w:tcBorders>
              <w:bottom w:val="single" w:sz="8" w:color="CEFFE7"/>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1,867</w:t>
            </w:r>
          </w:p>
        </w:tc>
        <w:tc>
          <w:tcPr>
            <w:tcW w:w="34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1,867</w:t>
            </w:r>
          </w:p>
        </w:tc>
        <w:tc>
          <w:tcPr>
            <w:tcW w:w="30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1,867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Cash and Cash Equivalents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9,923</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9,923</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9,923</w:t>
            </w: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Equity</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67,457</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67,457</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67,457</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Common Collective Trust - Fixed Income</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279,148</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279,148</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279,148</w:t>
            </w:r>
          </w:p>
        </w:tc>
      </w:tr>
      <w:tr>
        <w:trPr>
          <w:trHeight w:val="33"/>
        </w:trPr>
        <w:tc>
          <w:tcPr>
            <w:tcW w:w="4000" w:type="dxa"/>
            <w:vAlign w:val="bottom"/>
          </w:tcPr>
          <w:p>
            <w:pPr>
              <w:spacing w:after="0"/>
              <w:rPr>
                <w:sz w:val="2"/>
                <w:szCs w:val="2"/>
                <w:color w:val="auto"/>
              </w:rPr>
            </w:pPr>
          </w:p>
        </w:tc>
        <w:tc>
          <w:tcPr>
            <w:tcW w:w="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9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Common Collective Trust - Real Estate</w:t>
            </w:r>
          </w:p>
        </w:tc>
        <w:tc>
          <w:tcPr>
            <w:tcW w:w="860" w:type="dxa"/>
            <w:vAlign w:val="bottom"/>
            <w:tcBorders>
              <w:bottom w:val="single" w:sz="8" w:color="CEFFE7"/>
            </w:tcBorders>
            <w:shd w:val="clear" w:color="auto" w:fill="CEFFE7"/>
          </w:tcPr>
          <w:p>
            <w:pPr>
              <w:spacing w:after="0"/>
              <w:rPr>
                <w:sz w:val="21"/>
                <w:szCs w:val="21"/>
                <w:color w:val="auto"/>
              </w:rPr>
            </w:pPr>
          </w:p>
        </w:tc>
        <w:tc>
          <w:tcPr>
            <w:tcW w:w="3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67</w:t>
            </w:r>
          </w:p>
        </w:tc>
        <w:tc>
          <w:tcPr>
            <w:tcW w:w="340" w:type="dxa"/>
            <w:vAlign w:val="bottom"/>
            <w:tcBorders>
              <w:bottom w:val="single" w:sz="8" w:color="CEFFE7"/>
            </w:tcBorders>
            <w:shd w:val="clear" w:color="auto" w:fill="CEFFE7"/>
          </w:tcPr>
          <w:p>
            <w:pPr>
              <w:spacing w:after="0"/>
              <w:rPr>
                <w:sz w:val="21"/>
                <w:szCs w:val="21"/>
                <w:color w:val="auto"/>
              </w:rPr>
            </w:pPr>
          </w:p>
        </w:tc>
        <w:tc>
          <w:tcPr>
            <w:tcW w:w="940" w:type="dxa"/>
            <w:vAlign w:val="bottom"/>
            <w:tcBorders>
              <w:bottom w:val="single" w:sz="8" w:color="CEFFE7"/>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CEFFE7"/>
            </w:tcBorders>
            <w:shd w:val="clear" w:color="auto" w:fill="CEFFE7"/>
          </w:tcPr>
          <w:p>
            <w:pPr>
              <w:spacing w:after="0"/>
              <w:rPr>
                <w:sz w:val="21"/>
                <w:szCs w:val="21"/>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67</w:t>
            </w:r>
          </w:p>
        </w:tc>
        <w:tc>
          <w:tcPr>
            <w:tcW w:w="300" w:type="dxa"/>
            <w:vAlign w:val="bottom"/>
            <w:tcBorders>
              <w:bottom w:val="single" w:sz="8" w:color="CEFFE7"/>
            </w:tcBorders>
            <w:shd w:val="clear" w:color="auto" w:fill="CEFFE7"/>
          </w:tcPr>
          <w:p>
            <w:pPr>
              <w:spacing w:after="0"/>
              <w:rPr>
                <w:sz w:val="21"/>
                <w:szCs w:val="21"/>
                <w:color w:val="auto"/>
              </w:rPr>
            </w:pPr>
          </w:p>
        </w:tc>
        <w:tc>
          <w:tcPr>
            <w:tcW w:w="9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13,551</w:t>
            </w:r>
          </w:p>
        </w:tc>
        <w:tc>
          <w:tcPr>
            <w:tcW w:w="24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13,618</w:t>
            </w:r>
          </w:p>
        </w:tc>
      </w:tr>
      <w:tr>
        <w:trPr>
          <w:trHeight w:val="237"/>
        </w:trPr>
        <w:tc>
          <w:tcPr>
            <w:tcW w:w="4000" w:type="dxa"/>
            <w:vAlign w:val="bottom"/>
          </w:tcPr>
          <w:p>
            <w:pPr>
              <w:ind w:left="40"/>
              <w:spacing w:after="0"/>
              <w:rPr>
                <w:sz w:val="20"/>
                <w:szCs w:val="20"/>
                <w:color w:val="auto"/>
              </w:rPr>
            </w:pPr>
            <w:r>
              <w:rPr>
                <w:rFonts w:ascii="Arial" w:cs="Arial" w:eastAsia="Arial" w:hAnsi="Arial"/>
                <w:sz w:val="16"/>
                <w:szCs w:val="16"/>
                <w:color w:val="auto"/>
              </w:rPr>
              <w:t>Hedge Funds</w:t>
            </w:r>
          </w:p>
        </w:tc>
        <w:tc>
          <w:tcPr>
            <w:tcW w:w="860" w:type="dxa"/>
            <w:vAlign w:val="bottom"/>
          </w:tcPr>
          <w:p>
            <w:pPr>
              <w:spacing w:after="0"/>
              <w:rPr>
                <w:sz w:val="20"/>
                <w:szCs w:val="20"/>
                <w:color w:val="auto"/>
              </w:rPr>
            </w:pPr>
          </w:p>
        </w:tc>
        <w:tc>
          <w:tcPr>
            <w:tcW w:w="320" w:type="dxa"/>
            <w:vAlign w:val="bottom"/>
          </w:tcPr>
          <w:p>
            <w:pPr>
              <w:ind w:left="2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0"/>
                <w:szCs w:val="20"/>
                <w:color w:val="auto"/>
              </w:rPr>
            </w:pPr>
          </w:p>
        </w:tc>
        <w:tc>
          <w:tcPr>
            <w:tcW w:w="940" w:type="dxa"/>
            <w:vAlign w:val="bottom"/>
          </w:tcPr>
          <w:p>
            <w:pPr>
              <w:ind w:left="64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0"/>
                <w:szCs w:val="20"/>
                <w:color w:val="auto"/>
              </w:rPr>
            </w:pPr>
          </w:p>
        </w:tc>
        <w:tc>
          <w:tcPr>
            <w:tcW w:w="920" w:type="dxa"/>
            <w:vAlign w:val="bottom"/>
          </w:tcPr>
          <w:p>
            <w:pPr>
              <w:jc w:val="right"/>
              <w:ind w:right="39"/>
              <w:spacing w:after="0"/>
              <w:rPr>
                <w:sz w:val="20"/>
                <w:szCs w:val="20"/>
                <w:color w:val="auto"/>
              </w:rPr>
            </w:pPr>
            <w:r>
              <w:rPr>
                <w:rFonts w:ascii="Arial" w:cs="Arial" w:eastAsia="Arial" w:hAnsi="Arial"/>
                <w:sz w:val="16"/>
                <w:szCs w:val="16"/>
                <w:color w:val="auto"/>
              </w:rPr>
              <w:t>18,783</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18,783</w:t>
            </w:r>
          </w:p>
        </w:tc>
      </w:tr>
      <w:tr>
        <w:trPr>
          <w:trHeight w:val="33"/>
        </w:trPr>
        <w:tc>
          <w:tcPr>
            <w:tcW w:w="4000" w:type="dxa"/>
            <w:vAlign w:val="bottom"/>
            <w:tcBorders>
              <w:bottom w:val="single" w:sz="8" w:color="CEFFE7"/>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57"/>
        </w:trPr>
        <w:tc>
          <w:tcPr>
            <w:tcW w:w="400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860" w:type="dxa"/>
            <w:vAlign w:val="bottom"/>
            <w:tcBorders>
              <w:bottom w:val="single" w:sz="8" w:color="auto"/>
            </w:tcBorders>
            <w:shd w:val="clear" w:color="auto" w:fill="CEFFE7"/>
          </w:tcPr>
          <w:p>
            <w:pPr>
              <w:jc w:val="right"/>
              <w:ind w:right="6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auto"/>
            </w:tcBorders>
            <w:shd w:val="clear" w:color="auto" w:fill="CEFFE7"/>
          </w:tcPr>
          <w:p>
            <w:pPr>
              <w:ind w:left="20"/>
              <w:spacing w:after="0"/>
              <w:rPr>
                <w:sz w:val="20"/>
                <w:szCs w:val="20"/>
                <w:color w:val="auto"/>
              </w:rPr>
            </w:pPr>
            <w:r>
              <w:rPr>
                <w:rFonts w:ascii="Arial" w:cs="Arial" w:eastAsia="Arial" w:hAnsi="Arial"/>
                <w:sz w:val="16"/>
                <w:szCs w:val="16"/>
                <w:color w:val="auto"/>
              </w:rPr>
              <w:t>—</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jc w:val="right"/>
              <w:ind w:right="59"/>
              <w:spacing w:after="0"/>
              <w:rPr>
                <w:sz w:val="20"/>
                <w:szCs w:val="20"/>
                <w:color w:val="auto"/>
              </w:rPr>
            </w:pPr>
            <w:r>
              <w:rPr>
                <w:rFonts w:ascii="Arial" w:cs="Arial" w:eastAsia="Arial" w:hAnsi="Arial"/>
                <w:sz w:val="16"/>
                <w:szCs w:val="16"/>
                <w:color w:val="auto"/>
              </w:rPr>
              <w:t>358,462</w:t>
            </w:r>
          </w:p>
        </w:tc>
        <w:tc>
          <w:tcPr>
            <w:tcW w:w="34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shd w:val="clear" w:color="auto" w:fill="CEFFE7"/>
          </w:tcPr>
          <w:p>
            <w:pPr>
              <w:ind w:left="640"/>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358,462</w:t>
            </w:r>
          </w:p>
        </w:tc>
        <w:tc>
          <w:tcPr>
            <w:tcW w:w="30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EFFE7"/>
          </w:tcPr>
          <w:p>
            <w:pPr>
              <w:jc w:val="right"/>
              <w:ind w:right="39"/>
              <w:spacing w:after="0"/>
              <w:rPr>
                <w:sz w:val="20"/>
                <w:szCs w:val="20"/>
                <w:color w:val="auto"/>
              </w:rPr>
            </w:pPr>
            <w:r>
              <w:rPr>
                <w:rFonts w:ascii="Arial" w:cs="Arial" w:eastAsia="Arial" w:hAnsi="Arial"/>
                <w:sz w:val="16"/>
                <w:szCs w:val="16"/>
                <w:color w:val="auto"/>
              </w:rPr>
              <w:t>32,334</w:t>
            </w:r>
          </w:p>
        </w:tc>
        <w:tc>
          <w:tcPr>
            <w:tcW w:w="2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auto"/>
            </w:tcBorders>
            <w:shd w:val="clear" w:color="auto" w:fill="CEFFE7"/>
          </w:tcPr>
          <w:p>
            <w:pPr>
              <w:jc w:val="right"/>
              <w:ind w:right="19"/>
              <w:spacing w:after="0"/>
              <w:rPr>
                <w:sz w:val="20"/>
                <w:szCs w:val="20"/>
                <w:color w:val="auto"/>
              </w:rPr>
            </w:pPr>
            <w:r>
              <w:rPr>
                <w:rFonts w:ascii="Arial" w:cs="Arial" w:eastAsia="Arial" w:hAnsi="Arial"/>
                <w:sz w:val="16"/>
                <w:szCs w:val="16"/>
                <w:color w:val="auto"/>
              </w:rPr>
              <w:t>390,796</w:t>
            </w:r>
          </w:p>
        </w:tc>
      </w:tr>
      <w:tr>
        <w:trPr>
          <w:trHeight w:val="20"/>
        </w:trPr>
        <w:tc>
          <w:tcPr>
            <w:tcW w:w="40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_____________</w:t>
      </w:r>
    </w:p>
    <w:p>
      <w:pPr>
        <w:spacing w:after="0" w:line="13" w:lineRule="exact"/>
        <w:rPr>
          <w:sz w:val="20"/>
          <w:szCs w:val="20"/>
          <w:color w:val="auto"/>
        </w:rPr>
      </w:pPr>
    </w:p>
    <w:p>
      <w:pPr>
        <w:ind w:left="340" w:right="220" w:hanging="332"/>
        <w:spacing w:after="0" w:line="248" w:lineRule="auto"/>
        <w:tabs>
          <w:tab w:leader="none" w:pos="340" w:val="left"/>
        </w:tabs>
        <w:numPr>
          <w:ilvl w:val="0"/>
          <w:numId w:val="85"/>
        </w:numPr>
        <w:rPr>
          <w:rFonts w:ascii="Arial" w:cs="Arial" w:eastAsia="Arial" w:hAnsi="Arial"/>
          <w:sz w:val="14"/>
          <w:szCs w:val="14"/>
          <w:color w:val="auto"/>
        </w:rPr>
      </w:pPr>
      <w:r>
        <w:rPr>
          <w:rFonts w:ascii="Arial" w:cs="Arial" w:eastAsia="Arial" w:hAnsi="Arial"/>
          <w:sz w:val="14"/>
          <w:szCs w:val="14"/>
          <w:color w:val="auto"/>
        </w:rPr>
        <w:t>Certain investments that are measured at fair value using NAV per share (or its equivalent) for practical expedient have not been classified in the fair value hierarchy. The fair value amounts presented in these tables for these investments are intended to permit reconciliation of the fair value hierarchy to the amounts presented in the reconciliation of changes in the plan’s benefit obligations and fair value of plan assets above.</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5260" w:type="dxa"/>
            <w:vAlign w:val="bottom"/>
          </w:tcPr>
          <w:p>
            <w:pPr>
              <w:ind w:left="40"/>
              <w:spacing w:after="0"/>
              <w:rPr>
                <w:sz w:val="20"/>
                <w:szCs w:val="20"/>
                <w:color w:val="auto"/>
              </w:rPr>
            </w:pPr>
            <w:r>
              <w:rPr>
                <w:rFonts w:ascii="Arial" w:cs="Arial" w:eastAsia="Arial" w:hAnsi="Arial"/>
                <w:sz w:val="16"/>
                <w:szCs w:val="16"/>
                <w:color w:val="auto"/>
              </w:rPr>
              <w:t>Non-pension Defined Benefit Postretirement Healthcare Plan</w:t>
            </w: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color w:val="auto"/>
                <w:w w:val="92"/>
              </w:rPr>
              <w:t>December 31, 2019</w:t>
            </w: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33"/>
        </w:trPr>
        <w:tc>
          <w:tcPr>
            <w:tcW w:w="526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5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5"/>
              </w:rPr>
              <w:t>Total</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0"/>
              </w:rPr>
              <w:t>Investments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87"/>
              </w:rPr>
              <w:t>Measured at</w:t>
            </w: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206"/>
        </w:trPr>
        <w:tc>
          <w:tcPr>
            <w:tcW w:w="5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17"/>
                <w:szCs w:val="17"/>
                <w:color w:val="auto"/>
              </w:rPr>
            </w:pPr>
          </w:p>
        </w:tc>
        <w:tc>
          <w:tcPr>
            <w:tcW w:w="900" w:type="dxa"/>
            <w:vAlign w:val="bottom"/>
          </w:tcPr>
          <w:p>
            <w:pPr>
              <w:ind w:left="120"/>
              <w:spacing w:after="0"/>
              <w:rPr>
                <w:sz w:val="20"/>
                <w:szCs w:val="20"/>
                <w:color w:val="auto"/>
              </w:rPr>
            </w:pPr>
            <w:r>
              <w:rPr>
                <w:rFonts w:ascii="Arial" w:cs="Arial" w:eastAsia="Arial" w:hAnsi="Arial"/>
                <w:sz w:val="16"/>
                <w:szCs w:val="16"/>
                <w:color w:val="auto"/>
              </w:rPr>
              <w:t>Level 2</w:t>
            </w:r>
          </w:p>
        </w:tc>
        <w:tc>
          <w:tcPr>
            <w:tcW w:w="3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0"/>
              </w:rPr>
              <w:t>Fair Value</w:t>
            </w:r>
          </w:p>
        </w:tc>
        <w:tc>
          <w:tcPr>
            <w:tcW w:w="24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2"/>
              </w:rPr>
              <w:t>Investments</w:t>
            </w:r>
          </w:p>
        </w:tc>
      </w:tr>
      <w:tr>
        <w:trPr>
          <w:trHeight w:val="33"/>
        </w:trPr>
        <w:tc>
          <w:tcPr>
            <w:tcW w:w="5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8,305</w:t>
            </w:r>
          </w:p>
        </w:tc>
        <w:tc>
          <w:tcPr>
            <w:tcW w:w="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8,305</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8,305</w:t>
            </w:r>
          </w:p>
        </w:tc>
      </w:tr>
      <w:tr>
        <w:trPr>
          <w:trHeight w:val="257"/>
        </w:trPr>
        <w:tc>
          <w:tcPr>
            <w:tcW w:w="5260" w:type="dxa"/>
            <w:vAlign w:val="bottom"/>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8,305</w:t>
            </w: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8,305</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8,305</w:t>
            </w:r>
          </w:p>
        </w:tc>
      </w:tr>
      <w:tr>
        <w:trPr>
          <w:trHeight w:val="20"/>
        </w:trPr>
        <w:tc>
          <w:tcPr>
            <w:tcW w:w="5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420"/>
          </w:cols>
          <w:pgMar w:left="240" w:top="126" w:right="239"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84"/>
        </w:trPr>
        <w:tc>
          <w:tcPr>
            <w:tcW w:w="526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582"/>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Non-pension Defined Benefit Postretirement Healthcare Plan</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color w:val="auto"/>
                <w:w w:val="92"/>
              </w:rPr>
              <w:t>December 31, 2018</w:t>
            </w: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
        </w:trPr>
        <w:tc>
          <w:tcPr>
            <w:tcW w:w="122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13"/>
        </w:trPr>
        <w:tc>
          <w:tcPr>
            <w:tcW w:w="1220" w:type="dxa"/>
            <w:vAlign w:val="bottom"/>
          </w:tcPr>
          <w:p>
            <w:pPr>
              <w:spacing w:after="0"/>
              <w:rPr>
                <w:sz w:val="18"/>
                <w:szCs w:val="18"/>
                <w:color w:val="auto"/>
              </w:rPr>
            </w:pPr>
          </w:p>
        </w:tc>
        <w:tc>
          <w:tcPr>
            <w:tcW w:w="4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5"/>
              </w:rPr>
              <w:t>Total</w:t>
            </w:r>
          </w:p>
        </w:tc>
        <w:tc>
          <w:tcPr>
            <w:tcW w:w="2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03"/>
        </w:trPr>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0"/>
              </w:rPr>
              <w:t>Investments</w:t>
            </w:r>
          </w:p>
        </w:tc>
        <w:tc>
          <w:tcPr>
            <w:tcW w:w="24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03"/>
        </w:trPr>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87"/>
              </w:rPr>
              <w:t>Measured at</w:t>
            </w:r>
          </w:p>
        </w:tc>
        <w:tc>
          <w:tcPr>
            <w:tcW w:w="240" w:type="dxa"/>
            <w:vAlign w:val="bottom"/>
          </w:tcPr>
          <w:p>
            <w:pPr>
              <w:spacing w:after="0"/>
              <w:rPr>
                <w:sz w:val="17"/>
                <w:szCs w:val="17"/>
                <w:color w:val="auto"/>
              </w:rPr>
            </w:pPr>
          </w:p>
        </w:tc>
        <w:tc>
          <w:tcPr>
            <w:tcW w:w="980" w:type="dxa"/>
            <w:vAlign w:val="bottom"/>
          </w:tcPr>
          <w:p>
            <w:pPr>
              <w:jc w:val="right"/>
              <w:ind w:right="319"/>
              <w:spacing w:after="0"/>
              <w:rPr>
                <w:sz w:val="20"/>
                <w:szCs w:val="20"/>
                <w:color w:val="auto"/>
              </w:rPr>
            </w:pPr>
            <w:r>
              <w:rPr>
                <w:rFonts w:ascii="Arial" w:cs="Arial" w:eastAsia="Arial" w:hAnsi="Arial"/>
                <w:sz w:val="16"/>
                <w:szCs w:val="16"/>
                <w:color w:val="auto"/>
              </w:rPr>
              <w:t>Total</w:t>
            </w:r>
          </w:p>
        </w:tc>
      </w:tr>
      <w:tr>
        <w:trPr>
          <w:trHeight w:val="206"/>
        </w:trPr>
        <w:tc>
          <w:tcPr>
            <w:tcW w:w="122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color w:val="auto"/>
              </w:rPr>
              <w:t>Level 1</w:t>
            </w:r>
          </w:p>
        </w:tc>
        <w:tc>
          <w:tcPr>
            <w:tcW w:w="320" w:type="dxa"/>
            <w:vAlign w:val="bottom"/>
          </w:tcPr>
          <w:p>
            <w:pPr>
              <w:spacing w:after="0"/>
              <w:rPr>
                <w:sz w:val="17"/>
                <w:szCs w:val="17"/>
                <w:color w:val="auto"/>
              </w:rPr>
            </w:pPr>
          </w:p>
        </w:tc>
        <w:tc>
          <w:tcPr>
            <w:tcW w:w="900" w:type="dxa"/>
            <w:vAlign w:val="bottom"/>
          </w:tcPr>
          <w:p>
            <w:pPr>
              <w:jc w:val="right"/>
              <w:ind w:right="199"/>
              <w:spacing w:after="0"/>
              <w:rPr>
                <w:sz w:val="20"/>
                <w:szCs w:val="20"/>
                <w:color w:val="auto"/>
              </w:rPr>
            </w:pPr>
            <w:r>
              <w:rPr>
                <w:rFonts w:ascii="Arial" w:cs="Arial" w:eastAsia="Arial" w:hAnsi="Arial"/>
                <w:sz w:val="16"/>
                <w:szCs w:val="16"/>
                <w:color w:val="auto"/>
              </w:rPr>
              <w:t>Level 2</w:t>
            </w:r>
          </w:p>
        </w:tc>
        <w:tc>
          <w:tcPr>
            <w:tcW w:w="380" w:type="dxa"/>
            <w:vAlign w:val="bottom"/>
          </w:tcPr>
          <w:p>
            <w:pPr>
              <w:spacing w:after="0"/>
              <w:rPr>
                <w:sz w:val="17"/>
                <w:szCs w:val="17"/>
                <w:color w:val="auto"/>
              </w:rPr>
            </w:pPr>
          </w:p>
        </w:tc>
        <w:tc>
          <w:tcPr>
            <w:tcW w:w="1000" w:type="dxa"/>
            <w:vAlign w:val="bottom"/>
          </w:tcPr>
          <w:p>
            <w:pPr>
              <w:ind w:left="100"/>
              <w:spacing w:after="0"/>
              <w:rPr>
                <w:sz w:val="20"/>
                <w:szCs w:val="20"/>
                <w:color w:val="auto"/>
              </w:rPr>
            </w:pPr>
            <w:r>
              <w:rPr>
                <w:rFonts w:ascii="Arial" w:cs="Arial" w:eastAsia="Arial" w:hAnsi="Arial"/>
                <w:sz w:val="16"/>
                <w:szCs w:val="16"/>
                <w:color w:val="auto"/>
              </w:rPr>
              <w:t>Level 3</w:t>
            </w:r>
          </w:p>
        </w:tc>
        <w:tc>
          <w:tcPr>
            <w:tcW w:w="160" w:type="dxa"/>
            <w:vAlign w:val="bottom"/>
          </w:tcPr>
          <w:p>
            <w:pPr>
              <w:spacing w:after="0"/>
              <w:rPr>
                <w:sz w:val="17"/>
                <w:szCs w:val="17"/>
                <w:color w:val="auto"/>
              </w:rPr>
            </w:pPr>
          </w:p>
        </w:tc>
        <w:tc>
          <w:tcPr>
            <w:tcW w:w="1000" w:type="dxa"/>
            <w:vAlign w:val="bottom"/>
          </w:tcPr>
          <w:p>
            <w:pPr>
              <w:jc w:val="center"/>
              <w:ind w:right="59"/>
              <w:spacing w:after="0"/>
              <w:rPr>
                <w:sz w:val="20"/>
                <w:szCs w:val="20"/>
                <w:color w:val="auto"/>
              </w:rPr>
            </w:pPr>
            <w:r>
              <w:rPr>
                <w:rFonts w:ascii="Arial" w:cs="Arial" w:eastAsia="Arial" w:hAnsi="Arial"/>
                <w:sz w:val="16"/>
                <w:szCs w:val="16"/>
                <w:color w:val="auto"/>
                <w:w w:val="90"/>
              </w:rPr>
              <w:t>Fair Value</w:t>
            </w:r>
          </w:p>
        </w:tc>
        <w:tc>
          <w:tcPr>
            <w:tcW w:w="240" w:type="dxa"/>
            <w:vAlign w:val="bottom"/>
          </w:tcPr>
          <w:p>
            <w:pPr>
              <w:spacing w:after="0"/>
              <w:rPr>
                <w:sz w:val="17"/>
                <w:szCs w:val="17"/>
                <w:color w:val="auto"/>
              </w:rPr>
            </w:pPr>
          </w:p>
        </w:tc>
        <w:tc>
          <w:tcPr>
            <w:tcW w:w="980" w:type="dxa"/>
            <w:vAlign w:val="bottom"/>
          </w:tcPr>
          <w:p>
            <w:pPr>
              <w:jc w:val="right"/>
              <w:ind w:right="79"/>
              <w:spacing w:after="0"/>
              <w:rPr>
                <w:sz w:val="20"/>
                <w:szCs w:val="20"/>
                <w:color w:val="auto"/>
              </w:rPr>
            </w:pPr>
            <w:r>
              <w:rPr>
                <w:rFonts w:ascii="Arial" w:cs="Arial" w:eastAsia="Arial" w:hAnsi="Arial"/>
                <w:sz w:val="16"/>
                <w:szCs w:val="16"/>
                <w:color w:val="auto"/>
                <w:w w:val="92"/>
              </w:rPr>
              <w:t>Investments</w:t>
            </w:r>
          </w:p>
        </w:tc>
      </w:tr>
      <w:tr>
        <w:trPr>
          <w:trHeight w:val="33"/>
        </w:trPr>
        <w:tc>
          <w:tcPr>
            <w:tcW w:w="1220" w:type="dxa"/>
            <w:vAlign w:val="bottom"/>
            <w:tcBorders>
              <w:bottom w:val="single" w:sz="8" w:color="CEFFE7"/>
            </w:tcBorders>
          </w:tcPr>
          <w:p>
            <w:pPr>
              <w:spacing w:after="0"/>
              <w:rPr>
                <w:sz w:val="2"/>
                <w:szCs w:val="2"/>
                <w:color w:val="auto"/>
              </w:rPr>
            </w:pPr>
          </w:p>
        </w:tc>
        <w:tc>
          <w:tcPr>
            <w:tcW w:w="404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44"/>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4,873</w:t>
            </w:r>
          </w:p>
        </w:tc>
        <w:tc>
          <w:tcPr>
            <w:tcW w:w="32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4,873</w:t>
            </w:r>
          </w:p>
        </w:tc>
        <w:tc>
          <w:tcPr>
            <w:tcW w:w="2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4,873</w:t>
            </w:r>
          </w:p>
        </w:tc>
      </w:tr>
      <w:tr>
        <w:trPr>
          <w:trHeight w:val="23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Equity Securities</w:t>
            </w:r>
          </w:p>
        </w:tc>
        <w:tc>
          <w:tcPr>
            <w:tcW w:w="220" w:type="dxa"/>
            <w:vAlign w:val="bottom"/>
          </w:tcPr>
          <w:p>
            <w:pPr>
              <w:spacing w:after="0"/>
              <w:rPr>
                <w:sz w:val="20"/>
                <w:szCs w:val="20"/>
                <w:color w:val="auto"/>
              </w:rPr>
            </w:pPr>
          </w:p>
        </w:tc>
        <w:tc>
          <w:tcPr>
            <w:tcW w:w="960" w:type="dxa"/>
            <w:vAlign w:val="bottom"/>
          </w:tcPr>
          <w:p>
            <w:pPr>
              <w:jc w:val="right"/>
              <w:ind w:right="59"/>
              <w:spacing w:after="0"/>
              <w:rPr>
                <w:sz w:val="20"/>
                <w:szCs w:val="20"/>
                <w:color w:val="auto"/>
              </w:rPr>
            </w:pPr>
            <w:r>
              <w:rPr>
                <w:rFonts w:ascii="Arial" w:cs="Arial" w:eastAsia="Arial" w:hAnsi="Arial"/>
                <w:sz w:val="16"/>
                <w:szCs w:val="16"/>
                <w:color w:val="auto"/>
              </w:rPr>
              <w:t>1,005</w:t>
            </w:r>
          </w:p>
        </w:tc>
        <w:tc>
          <w:tcPr>
            <w:tcW w:w="3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20"/>
                <w:szCs w:val="20"/>
                <w:color w:val="auto"/>
              </w:rPr>
            </w:pPr>
          </w:p>
        </w:tc>
        <w:tc>
          <w:tcPr>
            <w:tcW w:w="1000" w:type="dxa"/>
            <w:vAlign w:val="bottom"/>
          </w:tcPr>
          <w:p>
            <w:pPr>
              <w:ind w:left="6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1000" w:type="dxa"/>
            <w:vAlign w:val="bottom"/>
          </w:tcPr>
          <w:p>
            <w:pPr>
              <w:jc w:val="right"/>
              <w:ind w:right="39"/>
              <w:spacing w:after="0"/>
              <w:rPr>
                <w:sz w:val="20"/>
                <w:szCs w:val="20"/>
                <w:color w:val="auto"/>
              </w:rPr>
            </w:pPr>
            <w:r>
              <w:rPr>
                <w:rFonts w:ascii="Arial" w:cs="Arial" w:eastAsia="Arial" w:hAnsi="Arial"/>
                <w:sz w:val="16"/>
                <w:szCs w:val="16"/>
                <w:color w:val="auto"/>
              </w:rPr>
              <w:t>1,005</w:t>
            </w:r>
          </w:p>
        </w:tc>
        <w:tc>
          <w:tcPr>
            <w:tcW w:w="240" w:type="dxa"/>
            <w:vAlign w:val="bottom"/>
          </w:tcPr>
          <w:p>
            <w:pPr>
              <w:spacing w:after="0"/>
              <w:rPr>
                <w:sz w:val="20"/>
                <w:szCs w:val="20"/>
                <w:color w:val="auto"/>
              </w:rPr>
            </w:pPr>
          </w:p>
        </w:tc>
        <w:tc>
          <w:tcPr>
            <w:tcW w:w="980" w:type="dxa"/>
            <w:vAlign w:val="bottom"/>
          </w:tcPr>
          <w:p>
            <w:pPr>
              <w:jc w:val="right"/>
              <w:ind w:right="19"/>
              <w:spacing w:after="0"/>
              <w:rPr>
                <w:sz w:val="20"/>
                <w:szCs w:val="20"/>
                <w:color w:val="auto"/>
              </w:rPr>
            </w:pPr>
            <w:r>
              <w:rPr>
                <w:rFonts w:ascii="Arial" w:cs="Arial" w:eastAsia="Arial" w:hAnsi="Arial"/>
                <w:sz w:val="16"/>
                <w:szCs w:val="16"/>
                <w:color w:val="auto"/>
              </w:rPr>
              <w:t>1,005</w:t>
            </w:r>
          </w:p>
        </w:tc>
      </w:tr>
      <w:tr>
        <w:trPr>
          <w:trHeight w:val="33"/>
        </w:trPr>
        <w:tc>
          <w:tcPr>
            <w:tcW w:w="1220" w:type="dxa"/>
            <w:vAlign w:val="bottom"/>
          </w:tcPr>
          <w:p>
            <w:pPr>
              <w:spacing w:after="0"/>
              <w:rPr>
                <w:sz w:val="2"/>
                <w:szCs w:val="2"/>
                <w:color w:val="auto"/>
              </w:rPr>
            </w:pPr>
          </w:p>
        </w:tc>
        <w:tc>
          <w:tcPr>
            <w:tcW w:w="404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70"/>
        </w:trPr>
        <w:tc>
          <w:tcPr>
            <w:tcW w:w="526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6"/>
                <w:szCs w:val="16"/>
                <w:color w:val="auto"/>
              </w:rPr>
              <w:t>Intermediate-term Bond</w:t>
            </w:r>
          </w:p>
        </w:tc>
        <w:tc>
          <w:tcPr>
            <w:tcW w:w="220" w:type="dxa"/>
            <w:vAlign w:val="bottom"/>
            <w:tcBorders>
              <w:bottom w:val="single" w:sz="8" w:color="CEFFE7"/>
            </w:tcBorders>
            <w:shd w:val="clear" w:color="auto" w:fill="CEFFE7"/>
          </w:tcPr>
          <w:p>
            <w:pPr>
              <w:spacing w:after="0"/>
              <w:rPr>
                <w:sz w:val="23"/>
                <w:szCs w:val="23"/>
                <w:color w:val="auto"/>
              </w:rPr>
            </w:pPr>
          </w:p>
        </w:tc>
        <w:tc>
          <w:tcPr>
            <w:tcW w:w="960" w:type="dxa"/>
            <w:vAlign w:val="bottom"/>
            <w:tcBorders>
              <w:bottom w:val="single" w:sz="8" w:color="CEFFE7"/>
            </w:tcBorders>
            <w:shd w:val="clear" w:color="auto" w:fill="CEFFE7"/>
          </w:tcPr>
          <w:p>
            <w:pPr>
              <w:jc w:val="right"/>
              <w:ind w:right="59"/>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EFFE7"/>
            </w:tcBorders>
            <w:shd w:val="clear" w:color="auto" w:fill="CEFFE7"/>
          </w:tcPr>
          <w:p>
            <w:pPr>
              <w:spacing w:after="0"/>
              <w:rPr>
                <w:sz w:val="23"/>
                <w:szCs w:val="23"/>
                <w:color w:val="auto"/>
              </w:rPr>
            </w:pPr>
          </w:p>
        </w:tc>
        <w:tc>
          <w:tcPr>
            <w:tcW w:w="9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6"/>
                <w:szCs w:val="16"/>
                <w:color w:val="auto"/>
              </w:rPr>
              <w:t>2,284</w:t>
            </w:r>
          </w:p>
        </w:tc>
        <w:tc>
          <w:tcPr>
            <w:tcW w:w="38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EFFE7"/>
            </w:tcBorders>
            <w:shd w:val="clear" w:color="auto" w:fill="CEFFE7"/>
          </w:tcPr>
          <w:p>
            <w:pPr>
              <w:spacing w:after="0"/>
              <w:rPr>
                <w:sz w:val="23"/>
                <w:szCs w:val="23"/>
                <w:color w:val="auto"/>
              </w:rPr>
            </w:pPr>
          </w:p>
        </w:tc>
        <w:tc>
          <w:tcPr>
            <w:tcW w:w="1000" w:type="dxa"/>
            <w:vAlign w:val="bottom"/>
            <w:tcBorders>
              <w:bottom w:val="single" w:sz="8" w:color="CEFFE7"/>
            </w:tcBorders>
            <w:shd w:val="clear" w:color="auto" w:fill="CEFFE7"/>
          </w:tcPr>
          <w:p>
            <w:pPr>
              <w:jc w:val="right"/>
              <w:ind w:right="39"/>
              <w:spacing w:after="0"/>
              <w:rPr>
                <w:sz w:val="20"/>
                <w:szCs w:val="20"/>
                <w:color w:val="auto"/>
              </w:rPr>
            </w:pPr>
            <w:r>
              <w:rPr>
                <w:rFonts w:ascii="Arial" w:cs="Arial" w:eastAsia="Arial" w:hAnsi="Arial"/>
                <w:sz w:val="16"/>
                <w:szCs w:val="16"/>
                <w:color w:val="auto"/>
              </w:rPr>
              <w:t>2,284</w:t>
            </w:r>
          </w:p>
        </w:tc>
        <w:tc>
          <w:tcPr>
            <w:tcW w:w="240" w:type="dxa"/>
            <w:vAlign w:val="bottom"/>
            <w:tcBorders>
              <w:bottom w:val="single" w:sz="8" w:color="CEFFE7"/>
            </w:tcBorders>
            <w:shd w:val="clear" w:color="auto" w:fill="CEFFE7"/>
          </w:tcPr>
          <w:p>
            <w:pPr>
              <w:spacing w:after="0"/>
              <w:rPr>
                <w:sz w:val="23"/>
                <w:szCs w:val="23"/>
                <w:color w:val="auto"/>
              </w:rPr>
            </w:pPr>
          </w:p>
        </w:tc>
        <w:tc>
          <w:tcPr>
            <w:tcW w:w="980" w:type="dxa"/>
            <w:vAlign w:val="bottom"/>
            <w:tcBorders>
              <w:bottom w:val="single" w:sz="8" w:color="CEFFE7"/>
            </w:tcBorders>
            <w:shd w:val="clear" w:color="auto" w:fill="CEFFE7"/>
          </w:tcPr>
          <w:p>
            <w:pPr>
              <w:jc w:val="right"/>
              <w:ind w:right="19"/>
              <w:spacing w:after="0"/>
              <w:rPr>
                <w:sz w:val="20"/>
                <w:szCs w:val="20"/>
                <w:color w:val="auto"/>
              </w:rPr>
            </w:pPr>
            <w:r>
              <w:rPr>
                <w:rFonts w:ascii="Arial" w:cs="Arial" w:eastAsia="Arial" w:hAnsi="Arial"/>
                <w:sz w:val="16"/>
                <w:szCs w:val="16"/>
                <w:color w:val="auto"/>
              </w:rPr>
              <w:t>2,284</w:t>
            </w:r>
          </w:p>
        </w:tc>
      </w:tr>
      <w:tr>
        <w:trPr>
          <w:trHeight w:val="257"/>
        </w:trPr>
        <w:tc>
          <w:tcPr>
            <w:tcW w:w="5260" w:type="dxa"/>
            <w:vAlign w:val="bottom"/>
            <w:gridSpan w:val="2"/>
          </w:tcPr>
          <w:p>
            <w:pPr>
              <w:ind w:left="40"/>
              <w:spacing w:after="0"/>
              <w:rPr>
                <w:sz w:val="20"/>
                <w:szCs w:val="20"/>
                <w:color w:val="auto"/>
              </w:rPr>
            </w:pPr>
            <w:r>
              <w:rPr>
                <w:rFonts w:ascii="Arial" w:cs="Arial" w:eastAsia="Arial" w:hAnsi="Arial"/>
                <w:sz w:val="16"/>
                <w:szCs w:val="16"/>
                <w:color w:val="auto"/>
              </w:rPr>
              <w:t>Total investments measured at fair value</w:t>
            </w: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w w:val="89"/>
              </w:rPr>
              <w:t>$</w:t>
            </w:r>
          </w:p>
        </w:tc>
        <w:tc>
          <w:tcPr>
            <w:tcW w:w="9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5,878</w:t>
            </w:r>
          </w:p>
        </w:tc>
        <w:tc>
          <w:tcPr>
            <w:tcW w:w="3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2,284</w:t>
            </w:r>
          </w:p>
        </w:tc>
        <w:tc>
          <w:tcPr>
            <w:tcW w:w="3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color w:val="auto"/>
              </w:rPr>
              <w:t>8,162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98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6"/>
                <w:szCs w:val="16"/>
                <w:color w:val="auto"/>
              </w:rPr>
              <w:t>8,162</w:t>
            </w:r>
          </w:p>
        </w:tc>
      </w:tr>
      <w:tr>
        <w:trPr>
          <w:trHeight w:val="20"/>
        </w:trPr>
        <w:tc>
          <w:tcPr>
            <w:tcW w:w="122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spacing w:after="0"/>
        <w:rPr>
          <w:sz w:val="20"/>
          <w:szCs w:val="20"/>
          <w:color w:val="auto"/>
        </w:rPr>
      </w:pPr>
      <w:r>
        <w:rPr>
          <w:rFonts w:ascii="Arial" w:cs="Arial" w:eastAsia="Arial" w:hAnsi="Arial"/>
          <w:sz w:val="16"/>
          <w:szCs w:val="16"/>
          <w:color w:val="auto"/>
        </w:rPr>
        <w:t>Additional information about assets of the benefit plans, including methods and assumptions used to estimate the fair value of these assets, is as follows:</w:t>
      </w:r>
    </w:p>
    <w:p>
      <w:pPr>
        <w:spacing w:after="0" w:line="248" w:lineRule="exact"/>
        <w:rPr>
          <w:sz w:val="20"/>
          <w:szCs w:val="20"/>
          <w:color w:val="auto"/>
        </w:rPr>
      </w:pPr>
    </w:p>
    <w:p>
      <w:pPr>
        <w:spacing w:after="0" w:line="271" w:lineRule="auto"/>
        <w:rPr>
          <w:sz w:val="20"/>
          <w:szCs w:val="20"/>
          <w:color w:val="auto"/>
        </w:rPr>
      </w:pPr>
      <w:r>
        <w:rPr>
          <w:rFonts w:ascii="Arial" w:cs="Arial" w:eastAsia="Arial" w:hAnsi="Arial"/>
          <w:sz w:val="17"/>
          <w:szCs w:val="17"/>
          <w:i w:val="1"/>
          <w:iCs w:val="1"/>
          <w:color w:val="auto"/>
        </w:rPr>
        <w:t>AXA Equitable General Fixed Income Fund</w:t>
      </w:r>
      <w:r>
        <w:rPr>
          <w:rFonts w:ascii="Arial" w:cs="Arial" w:eastAsia="Arial" w:hAnsi="Arial"/>
          <w:sz w:val="17"/>
          <w:szCs w:val="17"/>
          <w:color w:val="auto"/>
        </w:rPr>
        <w:t>: This fund is a diversified portfolio, primarily composed of fixed income instruments. Assets are invested in</w:t>
      </w:r>
      <w:r>
        <w:rPr>
          <w:rFonts w:ascii="Arial" w:cs="Arial" w:eastAsia="Arial" w:hAnsi="Arial"/>
          <w:sz w:val="17"/>
          <w:szCs w:val="17"/>
          <w:i w:val="1"/>
          <w:iCs w:val="1"/>
          <w:color w:val="auto"/>
        </w:rPr>
        <w:t xml:space="preserve"> </w:t>
      </w:r>
      <w:r>
        <w:rPr>
          <w:rFonts w:ascii="Arial" w:cs="Arial" w:eastAsia="Arial" w:hAnsi="Arial"/>
          <w:sz w:val="17"/>
          <w:szCs w:val="17"/>
          <w:color w:val="auto"/>
        </w:rPr>
        <w:t>long-term holdings, such as commercial, agricultural and residential mortgages, publicly traded and privately placed bonds and real estate as well as short-term bonds. Fair values of mortgage loans are measured by discounting future contractual cash flows to be received on the mortgage loans using interest rates of loans with similar characteristics. The discount rate is derived from taking the appropriate U.S. Treasury rate with a like term. The fair value of public fixed maturity securities are generally based on prices obtained from independent valuation service providers with reasonableness prices compared with directly observable market trades. The fair value of privately placed securities are determined using a discounted cash flow model. These models use observable inputs with a discount rate based upon the average of spread surveys collected from private market intermediaries and industry sector of the issuer. The Plan’s investments in the AXA Equitable General Fixed Income Fund are categorized as Level 2.</w:t>
      </w:r>
    </w:p>
    <w:p>
      <w:pPr>
        <w:spacing w:after="0" w:line="17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i w:val="1"/>
          <w:iCs w:val="1"/>
          <w:color w:val="auto"/>
        </w:rPr>
        <w:t xml:space="preserve">Common Collective Trust Funds: </w:t>
      </w:r>
      <w:r>
        <w:rPr>
          <w:rFonts w:ascii="Arial" w:cs="Arial" w:eastAsia="Arial" w:hAnsi="Arial"/>
          <w:sz w:val="18"/>
          <w:szCs w:val="18"/>
          <w:color w:val="auto"/>
        </w:rPr>
        <w:t>These funds are valued based upon the redemption price of units held by the Plan, which is based on the current fair value</w:t>
      </w:r>
      <w:r>
        <w:rPr>
          <w:rFonts w:ascii="Arial" w:cs="Arial" w:eastAsia="Arial" w:hAnsi="Arial"/>
          <w:sz w:val="18"/>
          <w:szCs w:val="18"/>
          <w:i w:val="1"/>
          <w:iCs w:val="1"/>
          <w:color w:val="auto"/>
        </w:rPr>
        <w:t xml:space="preserve"> </w:t>
      </w:r>
      <w:r>
        <w:rPr>
          <w:rFonts w:ascii="Arial" w:cs="Arial" w:eastAsia="Arial" w:hAnsi="Arial"/>
          <w:sz w:val="18"/>
          <w:szCs w:val="18"/>
          <w:color w:val="auto"/>
        </w:rPr>
        <w:t>of the common collective trust funds’ underlying assets. Unit values are determined by the financial institution sponsoring such funds by dividing the fund’s net assets at fair value by its units outstanding at the valuation dates. The Plan’s investments in common collective trust funds, with the exception of shares of the common collective trust-real estate are categorized as Level 2.</w:t>
      </w:r>
    </w:p>
    <w:p>
      <w:pPr>
        <w:spacing w:after="0" w:line="146"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i w:val="1"/>
          <w:iCs w:val="1"/>
          <w:color w:val="auto"/>
        </w:rPr>
        <w:t>Common Collective Trust-Real Estate Fund</w:t>
      </w:r>
      <w:r>
        <w:rPr>
          <w:rFonts w:ascii="Arial" w:cs="Arial" w:eastAsia="Arial" w:hAnsi="Arial"/>
          <w:sz w:val="17"/>
          <w:szCs w:val="17"/>
          <w:color w:val="auto"/>
        </w:rPr>
        <w:t>: This fund is valued based on various factors of the underlying real estate properties, including market rent,</w:t>
      </w:r>
      <w:r>
        <w:rPr>
          <w:rFonts w:ascii="Arial" w:cs="Arial" w:eastAsia="Arial" w:hAnsi="Arial"/>
          <w:sz w:val="17"/>
          <w:szCs w:val="17"/>
          <w:i w:val="1"/>
          <w:iCs w:val="1"/>
          <w:color w:val="auto"/>
        </w:rPr>
        <w:t xml:space="preserve"> </w:t>
      </w:r>
      <w:r>
        <w:rPr>
          <w:rFonts w:ascii="Arial" w:cs="Arial" w:eastAsia="Arial" w:hAnsi="Arial"/>
          <w:sz w:val="17"/>
          <w:szCs w:val="17"/>
          <w:color w:val="auto"/>
        </w:rPr>
        <w:t>market rent growth, occupancy levels, etc. As part of the trustee’s valuation process, properties are externally appraised generally on an annual basis. The appraisals are conducted by reputable independent appraisal firms and signed by appraisers that are members of the Appraisal Institute, with professional designation of Member, Appraisal Institute. All external appraisals are performed in accordance with the Uniform Standards of Professional Appraisal Practices. We receive monthly statements from the trustee, along with the annual schedule of investments and rely on these reports for pricing the units of the fund. Some of the funds without participant withdrawal limitations are categorized as Level 2.</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investments are measured at NAV and are not classified in the fair value hierarchy, in accordance with accounting guidance:</w:t>
      </w:r>
    </w:p>
    <w:p>
      <w:pPr>
        <w:spacing w:after="0" w:line="185" w:lineRule="exact"/>
        <w:rPr>
          <w:sz w:val="20"/>
          <w:szCs w:val="20"/>
          <w:color w:val="auto"/>
        </w:rPr>
      </w:pPr>
    </w:p>
    <w:p>
      <w:pPr>
        <w:ind w:left="340" w:right="600"/>
        <w:spacing w:after="0" w:line="277" w:lineRule="auto"/>
        <w:rPr>
          <w:sz w:val="20"/>
          <w:szCs w:val="20"/>
          <w:color w:val="auto"/>
        </w:rPr>
      </w:pPr>
      <w:r>
        <w:rPr>
          <w:rFonts w:ascii="Arial" w:cs="Arial" w:eastAsia="Arial" w:hAnsi="Arial"/>
          <w:sz w:val="18"/>
          <w:szCs w:val="18"/>
          <w:i w:val="1"/>
          <w:iCs w:val="1"/>
          <w:color w:val="auto"/>
        </w:rPr>
        <w:t>Common Collective Trust-Real Estate Fund</w:t>
      </w:r>
      <w:r>
        <w:rPr>
          <w:rFonts w:ascii="Arial" w:cs="Arial" w:eastAsia="Arial" w:hAnsi="Arial"/>
          <w:sz w:val="18"/>
          <w:szCs w:val="18"/>
          <w:color w:val="auto"/>
        </w:rPr>
        <w:t>: This is the same fund as above except that certain of the funds’ assets contain participant withdrawal</w:t>
      </w:r>
      <w:r>
        <w:rPr>
          <w:rFonts w:ascii="Arial" w:cs="Arial" w:eastAsia="Arial" w:hAnsi="Arial"/>
          <w:sz w:val="18"/>
          <w:szCs w:val="18"/>
          <w:i w:val="1"/>
          <w:iCs w:val="1"/>
          <w:color w:val="auto"/>
        </w:rPr>
        <w:t xml:space="preserve"> </w:t>
      </w:r>
      <w:r>
        <w:rPr>
          <w:rFonts w:ascii="Arial" w:cs="Arial" w:eastAsia="Arial" w:hAnsi="Arial"/>
          <w:sz w:val="18"/>
          <w:szCs w:val="18"/>
          <w:color w:val="auto"/>
        </w:rPr>
        <w:t>policies with restrictions on redemption and are therefore not included in the fair value hierarchy.</w:t>
      </w:r>
    </w:p>
    <w:p>
      <w:pPr>
        <w:spacing w:after="0" w:line="130" w:lineRule="exact"/>
        <w:rPr>
          <w:sz w:val="20"/>
          <w:szCs w:val="20"/>
          <w:color w:val="auto"/>
        </w:rPr>
      </w:pPr>
    </w:p>
    <w:p>
      <w:pPr>
        <w:ind w:left="340" w:right="140"/>
        <w:spacing w:after="0" w:line="293" w:lineRule="auto"/>
        <w:rPr>
          <w:sz w:val="20"/>
          <w:szCs w:val="20"/>
          <w:color w:val="auto"/>
        </w:rPr>
      </w:pPr>
      <w:r>
        <w:rPr>
          <w:rFonts w:ascii="Arial" w:cs="Arial" w:eastAsia="Arial" w:hAnsi="Arial"/>
          <w:sz w:val="16"/>
          <w:szCs w:val="16"/>
          <w:i w:val="1"/>
          <w:iCs w:val="1"/>
          <w:color w:val="auto"/>
        </w:rPr>
        <w:t xml:space="preserve">Hedge Funds: </w:t>
      </w:r>
      <w:r>
        <w:rPr>
          <w:rFonts w:ascii="Arial" w:cs="Arial" w:eastAsia="Arial" w:hAnsi="Arial"/>
          <w:sz w:val="16"/>
          <w:szCs w:val="16"/>
          <w:color w:val="auto"/>
        </w:rPr>
        <w:t>These funds represent investments in other investment funds that seek a return utilizing a number of diverse investment strategies. The</w:t>
      </w:r>
      <w:r>
        <w:rPr>
          <w:rFonts w:ascii="Arial" w:cs="Arial" w:eastAsia="Arial" w:hAnsi="Arial"/>
          <w:sz w:val="16"/>
          <w:szCs w:val="16"/>
          <w:i w:val="1"/>
          <w:iCs w:val="1"/>
          <w:color w:val="auto"/>
        </w:rPr>
        <w:t xml:space="preserve"> </w:t>
      </w:r>
      <w:r>
        <w:rPr>
          <w:rFonts w:ascii="Arial" w:cs="Arial" w:eastAsia="Arial" w:hAnsi="Arial"/>
          <w:sz w:val="16"/>
          <w:szCs w:val="16"/>
          <w:color w:val="auto"/>
        </w:rPr>
        <w:t>strategies, when combined, aim to reduce volatility and risk while attempting to deliver positive returns under all market conditions. Amounts are reported on a one-month lag. The fair value of hedge funds is determined using net asset value per share based on the fair value of the hedge fund’s underlying investments. 20% of the shares may be redeemed at the end of each month with a 10-day notice and full redemptions are available at the end of each quarter with 30-day notice and is limited to a percentage of the total net assets value of the fund. The net asset values are based on the fair value of each fund’s underlying investments. There are no unfunded commitments related to these hedge funds.</w:t>
      </w:r>
    </w:p>
    <w:p>
      <w:pPr>
        <w:spacing w:after="0" w:line="124"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i w:val="1"/>
          <w:iCs w:val="1"/>
          <w:color w:val="auto"/>
        </w:rPr>
        <w:t xml:space="preserve">Cash and Cash Equivalents: </w:t>
      </w:r>
      <w:r>
        <w:rPr>
          <w:rFonts w:ascii="Arial" w:cs="Arial" w:eastAsia="Arial" w:hAnsi="Arial"/>
          <w:sz w:val="18"/>
          <w:szCs w:val="18"/>
          <w:color w:val="auto"/>
        </w:rPr>
        <w:t>This represents an investment in Invesco Treasury Portfolio, which is a short-term investment trust, as well as an investment in</w:t>
      </w:r>
      <w:r>
        <w:rPr>
          <w:rFonts w:ascii="Arial" w:cs="Arial" w:eastAsia="Arial" w:hAnsi="Arial"/>
          <w:sz w:val="18"/>
          <w:szCs w:val="18"/>
          <w:i w:val="1"/>
          <w:iCs w:val="1"/>
          <w:color w:val="auto"/>
        </w:rPr>
        <w:t xml:space="preserve"> </w:t>
      </w:r>
      <w:r>
        <w:rPr>
          <w:rFonts w:ascii="Arial" w:cs="Arial" w:eastAsia="Arial" w:hAnsi="Arial"/>
          <w:sz w:val="18"/>
          <w:szCs w:val="18"/>
          <w:color w:val="auto"/>
        </w:rPr>
        <w:t>Northern Institutional Government Assets Portfolio, which is a government money market fund. As shares held reflect quoted prices in an active market, they are categorized as Level 1.</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i w:val="1"/>
          <w:iCs w:val="1"/>
          <w:color w:val="auto"/>
        </w:rPr>
        <w:t xml:space="preserve">Equity Securities: </w:t>
      </w:r>
      <w:r>
        <w:rPr>
          <w:rFonts w:ascii="Arial" w:cs="Arial" w:eastAsia="Arial" w:hAnsi="Arial"/>
          <w:sz w:val="17"/>
          <w:szCs w:val="17"/>
          <w:color w:val="auto"/>
        </w:rPr>
        <w:t>These represent investments in a combination of equity positions for mainly large cap core allocation and Exchange Trade Funds (ETFs)</w:t>
      </w:r>
      <w:r>
        <w:rPr>
          <w:rFonts w:ascii="Arial" w:cs="Arial" w:eastAsia="Arial" w:hAnsi="Arial"/>
          <w:sz w:val="17"/>
          <w:szCs w:val="17"/>
          <w:i w:val="1"/>
          <w:iCs w:val="1"/>
          <w:color w:val="auto"/>
        </w:rPr>
        <w:t xml:space="preserve"> </w:t>
      </w:r>
      <w:r>
        <w:rPr>
          <w:rFonts w:ascii="Arial" w:cs="Arial" w:eastAsia="Arial" w:hAnsi="Arial"/>
          <w:sz w:val="17"/>
          <w:szCs w:val="17"/>
          <w:color w:val="auto"/>
        </w:rPr>
        <w:t>for diversification into the other sectors of the economy. ETFs are a basket of securities traded like individual stocks on the exchange. Value of equity securities held at year end are based on published market quotations of active markets. The ETF funds can be redeemed on a daily basis at their market price and have no redemption restrictions. As shares held reflect quoted prices in an active market, they are categorized as Level 1.</w:t>
      </w:r>
    </w:p>
    <w:p>
      <w:pPr>
        <w:spacing w:after="0" w:line="17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i w:val="1"/>
          <w:iCs w:val="1"/>
          <w:color w:val="auto"/>
        </w:rPr>
        <w:t xml:space="preserve">Intermediate-term Bond: </w:t>
      </w:r>
      <w:r>
        <w:rPr>
          <w:rFonts w:ascii="Arial" w:cs="Arial" w:eastAsia="Arial" w:hAnsi="Arial"/>
          <w:sz w:val="18"/>
          <w:szCs w:val="18"/>
          <w:color w:val="auto"/>
        </w:rPr>
        <w:t>This is comprised of a diversified pool of high quality, individual municipal bonds. Pricing is evaluated using multi-dimensional</w:t>
      </w:r>
      <w:r>
        <w:rPr>
          <w:rFonts w:ascii="Arial" w:cs="Arial" w:eastAsia="Arial" w:hAnsi="Arial"/>
          <w:sz w:val="18"/>
          <w:szCs w:val="18"/>
          <w:i w:val="1"/>
          <w:iCs w:val="1"/>
          <w:color w:val="auto"/>
        </w:rPr>
        <w:t xml:space="preserve"> </w:t>
      </w:r>
      <w:r>
        <w:rPr>
          <w:rFonts w:ascii="Arial" w:cs="Arial" w:eastAsia="Arial" w:hAnsi="Arial"/>
          <w:sz w:val="18"/>
          <w:szCs w:val="18"/>
          <w:color w:val="auto"/>
        </w:rPr>
        <w:t>relational models, as well as a series of matrices using Standard Inputs, including Municipal Securities Rule Making Board (MSRB) reported trades and material event notices, plus Municipal Market Data (MMD) benchmark yields and new issue data. As the models use observable inputs and standard data, the investments are categorized as Level 2.</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Plan Information</w:t>
      </w:r>
    </w:p>
    <w:p>
      <w:pPr>
        <w:spacing w:after="0" w:line="22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The following tables provide a reconciliation of the employee benefit plan obligations, fair value of assets and amounts recognized in the Consolidated Balance Sheets, components of the net periodic expense and elements of AOCI:</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360" w:type="dxa"/>
            <w:vAlign w:val="bottom"/>
            <w:gridSpan w:val="3"/>
          </w:tcPr>
          <w:p>
            <w:pPr>
              <w:spacing w:after="0"/>
              <w:rPr>
                <w:sz w:val="20"/>
                <w:szCs w:val="20"/>
                <w:color w:val="auto"/>
              </w:rPr>
            </w:pPr>
            <w:r>
              <w:rPr>
                <w:rFonts w:ascii="Arial" w:cs="Arial" w:eastAsia="Arial" w:hAnsi="Arial"/>
                <w:sz w:val="18"/>
                <w:szCs w:val="18"/>
                <w:color w:val="auto"/>
              </w:rPr>
              <w:t>Benefit Obligations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84"/>
        </w:trPr>
        <w:tc>
          <w:tcPr>
            <w:tcW w:w="142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tcPr>
          <w:p>
            <w:pPr>
              <w:jc w:val="center"/>
              <w:ind w:right="70"/>
              <w:spacing w:after="0"/>
              <w:rPr>
                <w:sz w:val="20"/>
                <w:szCs w:val="20"/>
                <w:color w:val="auto"/>
              </w:rPr>
            </w:pPr>
            <w:r>
              <w:rPr>
                <w:rFonts w:ascii="Arial" w:cs="Arial" w:eastAsia="Arial" w:hAnsi="Arial"/>
                <w:sz w:val="18"/>
                <w:szCs w:val="18"/>
                <w:color w:val="auto"/>
                <w:w w:val="91"/>
              </w:rPr>
              <w:t>Defined Benefit Pension</w:t>
            </w:r>
          </w:p>
        </w:tc>
        <w:tc>
          <w:tcPr>
            <w:tcW w:w="260" w:type="dxa"/>
            <w:vAlign w:val="bottom"/>
          </w:tcPr>
          <w:p>
            <w:pPr>
              <w:spacing w:after="0"/>
              <w:rPr>
                <w:sz w:val="24"/>
                <w:szCs w:val="24"/>
                <w:color w:val="auto"/>
              </w:rPr>
            </w:pPr>
          </w:p>
        </w:tc>
        <w:tc>
          <w:tcPr>
            <w:tcW w:w="2360" w:type="dxa"/>
            <w:vAlign w:val="bottom"/>
            <w:gridSpan w:val="3"/>
          </w:tcPr>
          <w:p>
            <w:pPr>
              <w:jc w:val="right"/>
              <w:ind w:right="170"/>
              <w:spacing w:after="0"/>
              <w:rPr>
                <w:sz w:val="20"/>
                <w:szCs w:val="20"/>
                <w:color w:val="auto"/>
              </w:rPr>
            </w:pPr>
            <w:r>
              <w:rPr>
                <w:rFonts w:ascii="Arial" w:cs="Arial" w:eastAsia="Arial" w:hAnsi="Arial"/>
                <w:sz w:val="18"/>
                <w:szCs w:val="18"/>
                <w:color w:val="auto"/>
                <w:w w:val="94"/>
              </w:rPr>
              <w:t>Supplemental Non-qualified</w:t>
            </w:r>
          </w:p>
        </w:tc>
        <w:tc>
          <w:tcPr>
            <w:tcW w:w="2340" w:type="dxa"/>
            <w:vAlign w:val="bottom"/>
            <w:gridSpan w:val="4"/>
          </w:tcPr>
          <w:p>
            <w:pPr>
              <w:jc w:val="center"/>
              <w:ind w:left="1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230"/>
        </w:trPr>
        <w:tc>
          <w:tcPr>
            <w:tcW w:w="14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gridSpan w:val="2"/>
          </w:tcPr>
          <w:p>
            <w:pPr>
              <w:jc w:val="center"/>
              <w:ind w:left="630"/>
              <w:spacing w:after="0"/>
              <w:rPr>
                <w:sz w:val="20"/>
                <w:szCs w:val="20"/>
                <w:color w:val="auto"/>
              </w:rPr>
            </w:pPr>
            <w:r>
              <w:rPr>
                <w:rFonts w:ascii="Arial" w:cs="Arial" w:eastAsia="Arial" w:hAnsi="Arial"/>
                <w:sz w:val="18"/>
                <w:szCs w:val="18"/>
                <w:color w:val="auto"/>
                <w:w w:val="88"/>
              </w:rPr>
              <w:t>Plan</w:t>
            </w: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color w:val="auto"/>
              </w:rPr>
              <w:t>Defined Benefit Plans</w:t>
            </w:r>
          </w:p>
        </w:tc>
        <w:tc>
          <w:tcPr>
            <w:tcW w:w="2340" w:type="dxa"/>
            <w:vAlign w:val="bottom"/>
            <w:gridSpan w:val="4"/>
          </w:tcPr>
          <w:p>
            <w:pPr>
              <w:ind w:left="100"/>
              <w:spacing w:after="0"/>
              <w:rPr>
                <w:sz w:val="20"/>
                <w:szCs w:val="20"/>
                <w:color w:val="auto"/>
              </w:rPr>
            </w:pPr>
            <w:r>
              <w:rPr>
                <w:rFonts w:ascii="Arial" w:cs="Arial" w:eastAsia="Arial" w:hAnsi="Arial"/>
                <w:sz w:val="18"/>
                <w:szCs w:val="18"/>
                <w:color w:val="auto"/>
                <w:w w:val="88"/>
              </w:rPr>
              <w:t>Postretirement Healthcare Plan</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As of December 31 (in thousands),</w:t>
            </w: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360" w:type="dxa"/>
            <w:vAlign w:val="bottom"/>
            <w:gridSpan w:val="3"/>
            <w:vMerge w:val="restart"/>
          </w:tcPr>
          <w:p>
            <w:pPr>
              <w:ind w:left="40"/>
              <w:spacing w:after="0"/>
              <w:rPr>
                <w:sz w:val="20"/>
                <w:szCs w:val="20"/>
                <w:color w:val="auto"/>
              </w:rPr>
            </w:pPr>
            <w:r>
              <w:rPr>
                <w:rFonts w:ascii="Arial" w:cs="Arial" w:eastAsia="Arial" w:hAnsi="Arial"/>
                <w:sz w:val="18"/>
                <w:szCs w:val="18"/>
                <w:color w:val="auto"/>
              </w:rPr>
              <w:t>Change in benefit obligation:</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Projected benefit obligation at beginning of year</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445,381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474,725</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43,010</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45,112</w:t>
            </w:r>
          </w:p>
        </w:tc>
        <w:tc>
          <w:tcPr>
            <w:tcW w:w="32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2"/>
              <w:spacing w:after="0"/>
              <w:rPr>
                <w:sz w:val="20"/>
                <w:szCs w:val="20"/>
                <w:color w:val="auto"/>
              </w:rPr>
            </w:pPr>
            <w:r>
              <w:rPr>
                <w:rFonts w:ascii="Arial" w:cs="Arial" w:eastAsia="Arial" w:hAnsi="Arial"/>
                <w:sz w:val="18"/>
                <w:szCs w:val="18"/>
                <w:color w:val="auto"/>
              </w:rPr>
              <w:t>60,817</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69,339</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Service cost</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5,383</w:t>
            </w:r>
          </w:p>
        </w:tc>
        <w:tc>
          <w:tcPr>
            <w:tcW w:w="2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6,834</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4,995</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1,764</w:t>
            </w:r>
          </w:p>
        </w:tc>
        <w:tc>
          <w:tcPr>
            <w:tcW w:w="3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1,815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2,291</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Interest cost</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17,374</w:t>
            </w:r>
          </w:p>
        </w:tc>
        <w:tc>
          <w:tcPr>
            <w:tcW w:w="20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15,470</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1,295</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1,170</w:t>
            </w:r>
          </w:p>
        </w:tc>
        <w:tc>
          <w:tcPr>
            <w:tcW w:w="32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2"/>
              <w:spacing w:after="0"/>
              <w:rPr>
                <w:sz w:val="20"/>
                <w:szCs w:val="20"/>
                <w:color w:val="auto"/>
              </w:rPr>
            </w:pPr>
            <w:r>
              <w:rPr>
                <w:rFonts w:ascii="Arial" w:cs="Arial" w:eastAsia="Arial" w:hAnsi="Arial"/>
                <w:sz w:val="18"/>
                <w:szCs w:val="18"/>
                <w:color w:val="auto"/>
              </w:rPr>
              <w:t>2,247</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2,085</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Actuarial (gain) loss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56,384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(31,340)</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7,132</w:t>
            </w:r>
          </w:p>
        </w:tc>
        <w:tc>
          <w:tcPr>
            <w:tcW w:w="28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(2,963)</w:t>
            </w:r>
          </w:p>
        </w:tc>
        <w:tc>
          <w:tcPr>
            <w:tcW w:w="3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5,976</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(9,045)</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(39,146)</w:t>
            </w:r>
          </w:p>
        </w:tc>
        <w:tc>
          <w:tcPr>
            <w:tcW w:w="20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(20,308)</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(2,344)</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(2,073)</w:t>
            </w:r>
          </w:p>
        </w:tc>
        <w:tc>
          <w:tcPr>
            <w:tcW w:w="32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(7,033)</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Plan participants’ contributions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1420" w:type="dxa"/>
            <w:vAlign w:val="bottom"/>
            <w:tcBorders>
              <w:bottom w:val="single" w:sz="8" w:color="CEFFE7"/>
            </w:tcBorders>
          </w:tcPr>
          <w:p>
            <w:pPr>
              <w:spacing w:after="0"/>
              <w:rPr>
                <w:sz w:val="2"/>
                <w:szCs w:val="2"/>
                <w:color w:val="auto"/>
              </w:rPr>
            </w:pPr>
          </w:p>
        </w:tc>
        <w:tc>
          <w:tcPr>
            <w:tcW w:w="780" w:type="dxa"/>
            <w:vAlign w:val="bottom"/>
            <w:tcBorders>
              <w:bottom w:val="single" w:sz="8" w:color="CEFFE7"/>
            </w:tcBorders>
          </w:tcPr>
          <w:p>
            <w:pPr>
              <w:spacing w:after="0"/>
              <w:rPr>
                <w:sz w:val="2"/>
                <w:szCs w:val="2"/>
                <w:color w:val="auto"/>
              </w:rPr>
            </w:pPr>
          </w:p>
        </w:tc>
        <w:tc>
          <w:tcPr>
            <w:tcW w:w="2160" w:type="dxa"/>
            <w:vAlign w:val="bottom"/>
            <w:tcBorders>
              <w:bottom w:val="single" w:sz="8" w:color="CEFFE7"/>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Projected benefit obligation at end of year</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485,376</w:t>
            </w:r>
          </w:p>
        </w:tc>
        <w:tc>
          <w:tcPr>
            <w:tcW w:w="20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445,381</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54,088</w:t>
            </w:r>
          </w:p>
        </w:tc>
        <w:tc>
          <w:tcPr>
            <w:tcW w:w="28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43,010</w:t>
            </w:r>
          </w:p>
        </w:tc>
        <w:tc>
          <w:tcPr>
            <w:tcW w:w="320" w:type="dxa"/>
            <w:vAlign w:val="bottom"/>
            <w:tcBorders>
              <w:bottom w:val="single" w:sz="8" w:color="auto"/>
            </w:tcBorders>
            <w:shd w:val="clear" w:color="auto" w:fill="CEFFE7"/>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2"/>
              <w:spacing w:after="0"/>
              <w:rPr>
                <w:sz w:val="20"/>
                <w:szCs w:val="20"/>
                <w:color w:val="auto"/>
              </w:rPr>
            </w:pPr>
            <w:r>
              <w:rPr>
                <w:rFonts w:ascii="Arial" w:cs="Arial" w:eastAsia="Arial" w:hAnsi="Arial"/>
                <w:sz w:val="18"/>
                <w:szCs w:val="18"/>
                <w:color w:val="auto"/>
              </w:rPr>
              <w:t>65,277</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60,817</w:t>
            </w:r>
          </w:p>
        </w:tc>
        <w:tc>
          <w:tcPr>
            <w:tcW w:w="0" w:type="dxa"/>
            <w:vAlign w:val="bottom"/>
          </w:tcPr>
          <w:p>
            <w:pPr>
              <w:spacing w:after="0"/>
              <w:rPr>
                <w:sz w:val="1"/>
                <w:szCs w:val="1"/>
                <w:color w:val="auto"/>
              </w:rPr>
            </w:pPr>
          </w:p>
        </w:tc>
      </w:tr>
      <w:tr>
        <w:trPr>
          <w:trHeight w:val="20"/>
        </w:trPr>
        <w:tc>
          <w:tcPr>
            <w:tcW w:w="4360" w:type="dxa"/>
            <w:vAlign w:val="bottom"/>
            <w:gridSpan w:val="3"/>
            <w:vMerge w:val="restart"/>
          </w:tcPr>
          <w:p>
            <w:pPr>
              <w:spacing w:after="0"/>
              <w:rPr>
                <w:sz w:val="20"/>
                <w:szCs w:val="20"/>
                <w:color w:val="auto"/>
              </w:rPr>
            </w:pPr>
            <w:r>
              <w:rPr>
                <w:rFonts w:ascii="Arial" w:cs="Arial" w:eastAsia="Arial" w:hAnsi="Arial"/>
                <w:sz w:val="18"/>
                <w:szCs w:val="18"/>
                <w:color w:val="auto"/>
              </w:rPr>
              <w:t>Employee Benefit Plan Assets</w:t>
            </w: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95"/>
        </w:trPr>
        <w:tc>
          <w:tcPr>
            <w:tcW w:w="4360" w:type="dxa"/>
            <w:vAlign w:val="bottom"/>
            <w:gridSpan w:val="3"/>
            <w:vMerge w:val="continue"/>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4"/>
        </w:trPr>
        <w:tc>
          <w:tcPr>
            <w:tcW w:w="14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960" w:type="dxa"/>
            <w:vAlign w:val="bottom"/>
            <w:gridSpan w:val="3"/>
            <w:vMerge w:val="restart"/>
          </w:tcPr>
          <w:p>
            <w:pPr>
              <w:jc w:val="center"/>
              <w:ind w:right="70"/>
              <w:spacing w:after="0"/>
              <w:rPr>
                <w:sz w:val="20"/>
                <w:szCs w:val="20"/>
                <w:color w:val="auto"/>
              </w:rPr>
            </w:pPr>
            <w:r>
              <w:rPr>
                <w:rFonts w:ascii="Arial" w:cs="Arial" w:eastAsia="Arial" w:hAnsi="Arial"/>
                <w:sz w:val="18"/>
                <w:szCs w:val="18"/>
                <w:color w:val="auto"/>
                <w:w w:val="94"/>
              </w:rPr>
              <w:t>Defined Benefit</w:t>
            </w:r>
          </w:p>
        </w:tc>
        <w:tc>
          <w:tcPr>
            <w:tcW w:w="260" w:type="dxa"/>
            <w:vAlign w:val="bottom"/>
          </w:tcPr>
          <w:p>
            <w:pPr>
              <w:spacing w:after="0"/>
              <w:rPr>
                <w:sz w:val="24"/>
                <w:szCs w:val="24"/>
                <w:color w:val="auto"/>
              </w:rPr>
            </w:pPr>
          </w:p>
        </w:tc>
        <w:tc>
          <w:tcPr>
            <w:tcW w:w="2360" w:type="dxa"/>
            <w:vAlign w:val="bottom"/>
            <w:gridSpan w:val="3"/>
            <w:vMerge w:val="restart"/>
          </w:tcPr>
          <w:p>
            <w:pPr>
              <w:jc w:val="right"/>
              <w:ind w:right="170"/>
              <w:spacing w:after="0"/>
              <w:rPr>
                <w:sz w:val="20"/>
                <w:szCs w:val="20"/>
                <w:color w:val="auto"/>
              </w:rPr>
            </w:pPr>
            <w:r>
              <w:rPr>
                <w:rFonts w:ascii="Arial" w:cs="Arial" w:eastAsia="Arial" w:hAnsi="Arial"/>
                <w:sz w:val="18"/>
                <w:szCs w:val="18"/>
                <w:color w:val="auto"/>
                <w:w w:val="94"/>
              </w:rPr>
              <w:t>Supplemental Non-qualified</w:t>
            </w:r>
          </w:p>
        </w:tc>
        <w:tc>
          <w:tcPr>
            <w:tcW w:w="2340" w:type="dxa"/>
            <w:vAlign w:val="bottom"/>
            <w:gridSpan w:val="4"/>
          </w:tcPr>
          <w:p>
            <w:pPr>
              <w:jc w:val="center"/>
              <w:ind w:left="10"/>
              <w:spacing w:after="0"/>
              <w:rPr>
                <w:sz w:val="20"/>
                <w:szCs w:val="20"/>
                <w:color w:val="auto"/>
              </w:rPr>
            </w:pPr>
            <w:r>
              <w:rPr>
                <w:rFonts w:ascii="Arial" w:cs="Arial" w:eastAsia="Arial" w:hAnsi="Arial"/>
                <w:sz w:val="18"/>
                <w:szCs w:val="18"/>
                <w:color w:val="auto"/>
                <w:w w:val="92"/>
              </w:rPr>
              <w:t>Non-pension Defined Benefit</w:t>
            </w:r>
          </w:p>
        </w:tc>
        <w:tc>
          <w:tcPr>
            <w:tcW w:w="0" w:type="dxa"/>
            <w:vAlign w:val="bottom"/>
          </w:tcPr>
          <w:p>
            <w:pPr>
              <w:spacing w:after="0"/>
              <w:rPr>
                <w:sz w:val="1"/>
                <w:szCs w:val="1"/>
                <w:color w:val="auto"/>
              </w:rPr>
            </w:pPr>
          </w:p>
        </w:tc>
      </w:tr>
      <w:tr>
        <w:trPr>
          <w:trHeight w:val="149"/>
        </w:trPr>
        <w:tc>
          <w:tcPr>
            <w:tcW w:w="14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960" w:type="dxa"/>
            <w:vAlign w:val="bottom"/>
            <w:gridSpan w:val="3"/>
            <w:vMerge w:val="continue"/>
          </w:tcPr>
          <w:p>
            <w:pPr>
              <w:spacing w:after="0"/>
              <w:rPr>
                <w:sz w:val="12"/>
                <w:szCs w:val="12"/>
                <w:color w:val="auto"/>
              </w:rPr>
            </w:pPr>
          </w:p>
        </w:tc>
        <w:tc>
          <w:tcPr>
            <w:tcW w:w="260" w:type="dxa"/>
            <w:vAlign w:val="bottom"/>
          </w:tcPr>
          <w:p>
            <w:pPr>
              <w:spacing w:after="0"/>
              <w:rPr>
                <w:sz w:val="12"/>
                <w:szCs w:val="12"/>
                <w:color w:val="auto"/>
              </w:rPr>
            </w:pPr>
          </w:p>
        </w:tc>
        <w:tc>
          <w:tcPr>
            <w:tcW w:w="2360" w:type="dxa"/>
            <w:vAlign w:val="bottom"/>
            <w:gridSpan w:val="3"/>
            <w:vMerge w:val="continue"/>
          </w:tcPr>
          <w:p>
            <w:pPr>
              <w:spacing w:after="0"/>
              <w:rPr>
                <w:sz w:val="12"/>
                <w:szCs w:val="12"/>
                <w:color w:val="auto"/>
              </w:rPr>
            </w:pPr>
          </w:p>
        </w:tc>
        <w:tc>
          <w:tcPr>
            <w:tcW w:w="2340" w:type="dxa"/>
            <w:vAlign w:val="bottom"/>
            <w:gridSpan w:val="4"/>
            <w:vMerge w:val="restart"/>
          </w:tcPr>
          <w:p>
            <w:pPr>
              <w:ind w:left="100"/>
              <w:spacing w:after="0"/>
              <w:rPr>
                <w:sz w:val="20"/>
                <w:szCs w:val="20"/>
                <w:color w:val="auto"/>
              </w:rPr>
            </w:pPr>
            <w:r>
              <w:rPr>
                <w:rFonts w:ascii="Arial" w:cs="Arial" w:eastAsia="Arial" w:hAnsi="Arial"/>
                <w:sz w:val="18"/>
                <w:szCs w:val="18"/>
                <w:color w:val="auto"/>
                <w:w w:val="88"/>
              </w:rPr>
              <w:t>Postretirement Healthcare Plan</w:t>
            </w:r>
          </w:p>
        </w:tc>
        <w:tc>
          <w:tcPr>
            <w:tcW w:w="0" w:type="dxa"/>
            <w:vAlign w:val="bottom"/>
          </w:tcPr>
          <w:p>
            <w:pPr>
              <w:spacing w:after="0"/>
              <w:rPr>
                <w:sz w:val="1"/>
                <w:szCs w:val="1"/>
                <w:color w:val="auto"/>
              </w:rPr>
            </w:pPr>
          </w:p>
        </w:tc>
      </w:tr>
      <w:tr>
        <w:trPr>
          <w:trHeight w:val="68"/>
        </w:trPr>
        <w:tc>
          <w:tcPr>
            <w:tcW w:w="14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60" w:type="dxa"/>
            <w:vAlign w:val="bottom"/>
            <w:gridSpan w:val="3"/>
            <w:vMerge w:val="restart"/>
          </w:tcPr>
          <w:p>
            <w:pPr>
              <w:jc w:val="center"/>
              <w:ind w:right="5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5"/>
                <w:szCs w:val="5"/>
                <w:color w:val="auto"/>
              </w:rPr>
            </w:pPr>
          </w:p>
        </w:tc>
        <w:tc>
          <w:tcPr>
            <w:tcW w:w="2360" w:type="dxa"/>
            <w:vAlign w:val="bottom"/>
            <w:gridSpan w:val="3"/>
            <w:vMerge w:val="restart"/>
          </w:tcPr>
          <w:p>
            <w:pPr>
              <w:jc w:val="right"/>
              <w:ind w:right="390"/>
              <w:spacing w:after="0"/>
              <w:rPr>
                <w:sz w:val="20"/>
                <w:szCs w:val="20"/>
                <w:color w:val="auto"/>
              </w:rPr>
            </w:pPr>
            <w:r>
              <w:rPr>
                <w:rFonts w:ascii="Arial" w:cs="Arial" w:eastAsia="Arial" w:hAnsi="Arial"/>
                <w:sz w:val="18"/>
                <w:szCs w:val="18"/>
                <w:color w:val="auto"/>
              </w:rPr>
              <w:t>Defined Benefit Plans</w:t>
            </w:r>
          </w:p>
        </w:tc>
        <w:tc>
          <w:tcPr>
            <w:tcW w:w="23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3"/>
        </w:trPr>
        <w:tc>
          <w:tcPr>
            <w:tcW w:w="14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96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2360" w:type="dxa"/>
            <w:vAlign w:val="bottom"/>
            <w:gridSpan w:val="3"/>
            <w:vMerge w:val="continue"/>
          </w:tcPr>
          <w:p>
            <w:pPr>
              <w:spacing w:after="0"/>
              <w:rPr>
                <w:sz w:val="14"/>
                <w:szCs w:val="14"/>
                <w:color w:val="auto"/>
              </w:rPr>
            </w:pPr>
          </w:p>
        </w:tc>
        <w:tc>
          <w:tcPr>
            <w:tcW w:w="320" w:type="dxa"/>
            <w:vAlign w:val="bottom"/>
          </w:tcPr>
          <w:p>
            <w:pPr>
              <w:spacing w:after="0"/>
              <w:rPr>
                <w:sz w:val="14"/>
                <w:szCs w:val="14"/>
                <w:color w:val="auto"/>
              </w:rPr>
            </w:pPr>
          </w:p>
        </w:tc>
        <w:tc>
          <w:tcPr>
            <w:tcW w:w="1140" w:type="dxa"/>
            <w:vAlign w:val="bottom"/>
            <w:gridSpan w:val="2"/>
          </w:tcPr>
          <w:p>
            <w:pPr>
              <w:jc w:val="center"/>
              <w:ind w:left="552"/>
              <w:spacing w:after="0"/>
              <w:rPr>
                <w:sz w:val="20"/>
                <w:szCs w:val="20"/>
                <w:color w:val="auto"/>
              </w:rPr>
            </w:pPr>
            <w:r>
              <w:rPr>
                <w:rFonts w:ascii="Arial" w:cs="Arial" w:eastAsia="Arial" w:hAnsi="Arial"/>
                <w:sz w:val="13"/>
                <w:szCs w:val="13"/>
                <w:color w:val="auto"/>
                <w:w w:val="87"/>
              </w:rPr>
              <w:t>(a)</w:t>
            </w: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As of December 31 (in thousands),</w:t>
            </w:r>
          </w:p>
        </w:tc>
        <w:tc>
          <w:tcPr>
            <w:tcW w:w="140" w:type="dxa"/>
            <w:vAlign w:val="bottom"/>
          </w:tcPr>
          <w:p>
            <w:pPr>
              <w:spacing w:after="0"/>
              <w:rPr>
                <w:sz w:val="20"/>
                <w:szCs w:val="20"/>
                <w:color w:val="auto"/>
              </w:rPr>
            </w:pPr>
          </w:p>
        </w:tc>
        <w:tc>
          <w:tcPr>
            <w:tcW w:w="88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280" w:type="dxa"/>
            <w:vAlign w:val="bottom"/>
          </w:tcPr>
          <w:p>
            <w:pPr>
              <w:spacing w:after="0"/>
              <w:rPr>
                <w:sz w:val="20"/>
                <w:szCs w:val="20"/>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c>
          <w:tcPr>
            <w:tcW w:w="880" w:type="dxa"/>
            <w:vAlign w:val="bottom"/>
          </w:tcPr>
          <w:p>
            <w:pPr>
              <w:jc w:val="right"/>
              <w:ind w:right="292"/>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360" w:type="dxa"/>
            <w:vAlign w:val="bottom"/>
            <w:gridSpan w:val="3"/>
            <w:vMerge w:val="restart"/>
          </w:tcPr>
          <w:p>
            <w:pPr>
              <w:ind w:left="40"/>
              <w:spacing w:after="0"/>
              <w:rPr>
                <w:sz w:val="20"/>
                <w:szCs w:val="20"/>
                <w:color w:val="auto"/>
              </w:rPr>
            </w:pPr>
            <w:r>
              <w:rPr>
                <w:rFonts w:ascii="Arial" w:cs="Arial" w:eastAsia="Arial" w:hAnsi="Arial"/>
                <w:sz w:val="18"/>
                <w:szCs w:val="18"/>
                <w:color w:val="auto"/>
              </w:rPr>
              <w:t>Change in fair value of plan assets:</w:t>
            </w: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60" w:type="dxa"/>
            <w:vAlign w:val="bottom"/>
            <w:gridSpan w:val="3"/>
            <w:vMerge w:val="continue"/>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Beginning fair value of plan assets</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390,796</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416,343</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2"/>
              <w:spacing w:after="0"/>
              <w:rPr>
                <w:sz w:val="20"/>
                <w:szCs w:val="20"/>
                <w:color w:val="auto"/>
              </w:rPr>
            </w:pPr>
            <w:r>
              <w:rPr>
                <w:rFonts w:ascii="Arial" w:cs="Arial" w:eastAsia="Arial" w:hAnsi="Arial"/>
                <w:sz w:val="18"/>
                <w:szCs w:val="18"/>
                <w:color w:val="auto"/>
              </w:rPr>
              <w:t>8,162</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8,621</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Investment income (loss)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69,934</w:t>
            </w: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(17,939)</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260</w:t>
            </w:r>
          </w:p>
        </w:tc>
        <w:tc>
          <w:tcPr>
            <w:tcW w:w="26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(149)</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Employer contributions</w:t>
            </w:r>
          </w:p>
        </w:tc>
        <w:tc>
          <w:tcPr>
            <w:tcW w:w="14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12,700</w:t>
            </w:r>
          </w:p>
        </w:tc>
        <w:tc>
          <w:tcPr>
            <w:tcW w:w="20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12,700</w:t>
            </w:r>
          </w:p>
        </w:tc>
        <w:tc>
          <w:tcPr>
            <w:tcW w:w="260" w:type="dxa"/>
            <w:vAlign w:val="bottom"/>
            <w:tcBorders>
              <w:bottom w:val="single" w:sz="8" w:color="CEFFE7"/>
            </w:tcBorders>
            <w:shd w:val="clear" w:color="auto" w:fill="CEFFE7"/>
          </w:tcPr>
          <w:p>
            <w:pPr>
              <w:spacing w:after="0"/>
              <w:rPr>
                <w:sz w:val="21"/>
                <w:szCs w:val="21"/>
                <w:color w:val="auto"/>
              </w:rPr>
            </w:pPr>
          </w:p>
        </w:tc>
        <w:tc>
          <w:tcPr>
            <w:tcW w:w="1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2,344</w:t>
            </w:r>
          </w:p>
        </w:tc>
        <w:tc>
          <w:tcPr>
            <w:tcW w:w="280" w:type="dxa"/>
            <w:vAlign w:val="bottom"/>
            <w:tcBorders>
              <w:bottom w:val="single" w:sz="8" w:color="CEFFE7"/>
            </w:tcBorders>
            <w:shd w:val="clear" w:color="auto" w:fill="CEFFE7"/>
          </w:tcPr>
          <w:p>
            <w:pPr>
              <w:spacing w:after="0"/>
              <w:rPr>
                <w:sz w:val="21"/>
                <w:szCs w:val="21"/>
                <w:color w:val="auto"/>
              </w:rPr>
            </w:pPr>
          </w:p>
        </w:tc>
        <w:tc>
          <w:tcPr>
            <w:tcW w:w="102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2,073</w:t>
            </w:r>
          </w:p>
        </w:tc>
        <w:tc>
          <w:tcPr>
            <w:tcW w:w="32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2"/>
              <w:spacing w:after="0"/>
              <w:rPr>
                <w:sz w:val="20"/>
                <w:szCs w:val="20"/>
                <w:color w:val="auto"/>
              </w:rPr>
            </w:pPr>
            <w:r>
              <w:rPr>
                <w:rFonts w:ascii="Arial" w:cs="Arial" w:eastAsia="Arial" w:hAnsi="Arial"/>
                <w:sz w:val="18"/>
                <w:szCs w:val="18"/>
                <w:color w:val="auto"/>
              </w:rPr>
              <w:t>5,461</w:t>
            </w:r>
          </w:p>
        </w:tc>
        <w:tc>
          <w:tcPr>
            <w:tcW w:w="260" w:type="dxa"/>
            <w:vAlign w:val="bottom"/>
            <w:tcBorders>
              <w:bottom w:val="single" w:sz="8" w:color="CEFFE7"/>
            </w:tcBorders>
            <w:shd w:val="clear" w:color="auto" w:fill="CEFFE7"/>
          </w:tcPr>
          <w:p>
            <w:pPr>
              <w:spacing w:after="0"/>
              <w:rPr>
                <w:sz w:val="21"/>
                <w:szCs w:val="21"/>
                <w:color w:val="auto"/>
              </w:rPr>
            </w:pP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3,543</w:t>
            </w:r>
          </w:p>
        </w:tc>
        <w:tc>
          <w:tcPr>
            <w:tcW w:w="0" w:type="dxa"/>
            <w:vAlign w:val="bottom"/>
          </w:tcPr>
          <w:p>
            <w:pPr>
              <w:spacing w:after="0"/>
              <w:rPr>
                <w:sz w:val="1"/>
                <w:szCs w:val="1"/>
                <w:color w:val="auto"/>
              </w:rPr>
            </w:pPr>
          </w:p>
        </w:tc>
      </w:tr>
      <w:tr>
        <w:trPr>
          <w:trHeight w:val="243"/>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Retiree contributions</w:t>
            </w:r>
          </w:p>
        </w:tc>
        <w:tc>
          <w:tcPr>
            <w:tcW w:w="14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8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1,455</w:t>
            </w:r>
          </w:p>
        </w:tc>
        <w:tc>
          <w:tcPr>
            <w:tcW w:w="26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1,445</w:t>
            </w:r>
          </w:p>
        </w:tc>
        <w:tc>
          <w:tcPr>
            <w:tcW w:w="0" w:type="dxa"/>
            <w:vAlign w:val="bottom"/>
          </w:tcPr>
          <w:p>
            <w:pPr>
              <w:spacing w:after="0"/>
              <w:rPr>
                <w:sz w:val="1"/>
                <w:szCs w:val="1"/>
                <w:color w:val="auto"/>
              </w:rPr>
            </w:pPr>
          </w:p>
        </w:tc>
      </w:tr>
      <w:tr>
        <w:trPr>
          <w:trHeight w:val="27"/>
        </w:trPr>
        <w:tc>
          <w:tcPr>
            <w:tcW w:w="14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EFFE7"/>
            </w:tcBorders>
            <w:gridSpan w:val="3"/>
            <w:shd w:val="clear" w:color="auto" w:fill="CEFFE7"/>
          </w:tcPr>
          <w:p>
            <w:pPr>
              <w:ind w:left="40"/>
              <w:spacing w:after="0"/>
              <w:rPr>
                <w:sz w:val="20"/>
                <w:szCs w:val="20"/>
                <w:color w:val="auto"/>
              </w:rPr>
            </w:pPr>
            <w:r>
              <w:rPr>
                <w:rFonts w:ascii="Arial" w:cs="Arial" w:eastAsia="Arial" w:hAnsi="Arial"/>
                <w:sz w:val="18"/>
                <w:szCs w:val="18"/>
                <w:color w:val="auto"/>
              </w:rPr>
              <w:t>Benefits paid</w:t>
            </w:r>
          </w:p>
        </w:tc>
        <w:tc>
          <w:tcPr>
            <w:tcW w:w="14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(39,146)</w:t>
            </w:r>
          </w:p>
        </w:tc>
        <w:tc>
          <w:tcPr>
            <w:tcW w:w="20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(20,308)</w:t>
            </w:r>
          </w:p>
        </w:tc>
        <w:tc>
          <w:tcPr>
            <w:tcW w:w="260" w:type="dxa"/>
            <w:vAlign w:val="bottom"/>
            <w:tcBorders>
              <w:bottom w:val="single" w:sz="8" w:color="CEFFE7"/>
            </w:tcBorders>
            <w:shd w:val="clear" w:color="auto" w:fill="CEFFE7"/>
          </w:tcPr>
          <w:p>
            <w:pPr>
              <w:spacing w:after="0"/>
              <w:rPr>
                <w:sz w:val="23"/>
                <w:szCs w:val="23"/>
                <w:color w:val="auto"/>
              </w:rPr>
            </w:pP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(2,344)</w:t>
            </w:r>
          </w:p>
        </w:tc>
        <w:tc>
          <w:tcPr>
            <w:tcW w:w="280" w:type="dxa"/>
            <w:vAlign w:val="bottom"/>
            <w:tcBorders>
              <w:bottom w:val="single" w:sz="8" w:color="CEFFE7"/>
            </w:tcBorders>
            <w:shd w:val="clear" w:color="auto" w:fill="CEFFE7"/>
          </w:tcPr>
          <w:p>
            <w:pPr>
              <w:spacing w:after="0"/>
              <w:rPr>
                <w:sz w:val="23"/>
                <w:szCs w:val="23"/>
                <w:color w:val="auto"/>
              </w:rPr>
            </w:pP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(2,073)</w:t>
            </w:r>
          </w:p>
        </w:tc>
        <w:tc>
          <w:tcPr>
            <w:tcW w:w="32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(7,033)</w:t>
            </w:r>
          </w:p>
        </w:tc>
        <w:tc>
          <w:tcPr>
            <w:tcW w:w="260" w:type="dxa"/>
            <w:vAlign w:val="bottom"/>
            <w:tcBorders>
              <w:bottom w:val="single" w:sz="8" w:color="CEFFE7"/>
            </w:tcBorders>
            <w:shd w:val="clear" w:color="auto" w:fill="CEFFE7"/>
          </w:tcPr>
          <w:p>
            <w:pPr>
              <w:spacing w:after="0"/>
              <w:rPr>
                <w:sz w:val="23"/>
                <w:szCs w:val="23"/>
                <w:color w:val="auto"/>
              </w:rPr>
            </w:pPr>
          </w:p>
        </w:tc>
        <w:tc>
          <w:tcPr>
            <w:tcW w:w="8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(5,298)</w:t>
            </w:r>
          </w:p>
        </w:tc>
        <w:tc>
          <w:tcPr>
            <w:tcW w:w="0" w:type="dxa"/>
            <w:vAlign w:val="bottom"/>
          </w:tcPr>
          <w:p>
            <w:pPr>
              <w:spacing w:after="0"/>
              <w:rPr>
                <w:sz w:val="1"/>
                <w:szCs w:val="1"/>
                <w:color w:val="auto"/>
              </w:rPr>
            </w:pPr>
          </w:p>
        </w:tc>
      </w:tr>
      <w:tr>
        <w:trPr>
          <w:trHeight w:val="257"/>
        </w:trPr>
        <w:tc>
          <w:tcPr>
            <w:tcW w:w="4360" w:type="dxa"/>
            <w:vAlign w:val="bottom"/>
            <w:gridSpan w:val="3"/>
          </w:tcPr>
          <w:p>
            <w:pPr>
              <w:ind w:left="40"/>
              <w:spacing w:after="0"/>
              <w:rPr>
                <w:sz w:val="20"/>
                <w:szCs w:val="20"/>
                <w:color w:val="auto"/>
              </w:rPr>
            </w:pPr>
            <w:r>
              <w:rPr>
                <w:rFonts w:ascii="Arial" w:cs="Arial" w:eastAsia="Arial" w:hAnsi="Arial"/>
                <w:sz w:val="18"/>
                <w:szCs w:val="18"/>
                <w:color w:val="auto"/>
              </w:rPr>
              <w:t>Ending fair value of plan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434,284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390,796</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8,305</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0"/>
        </w:trPr>
        <w:tc>
          <w:tcPr>
            <w:tcW w:w="2200" w:type="dxa"/>
            <w:vAlign w:val="bottom"/>
            <w:gridSpan w:val="2"/>
            <w:vMerge w:val="restart"/>
          </w:tcPr>
          <w:p>
            <w:pPr>
              <w:spacing w:after="0"/>
              <w:rPr>
                <w:sz w:val="20"/>
                <w:szCs w:val="20"/>
                <w:color w:val="auto"/>
              </w:rPr>
            </w:pPr>
            <w:r>
              <w:rPr>
                <w:rFonts w:ascii="Arial" w:cs="Arial" w:eastAsia="Arial" w:hAnsi="Arial"/>
                <w:sz w:val="18"/>
                <w:szCs w:val="18"/>
                <w:color w:val="auto"/>
              </w:rPr>
              <w:t>____________________</w:t>
            </w:r>
          </w:p>
        </w:tc>
        <w:tc>
          <w:tcPr>
            <w:tcW w:w="216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2200" w:type="dxa"/>
            <w:vAlign w:val="bottom"/>
            <w:gridSpan w:val="2"/>
            <w:vMerge w:val="continue"/>
          </w:tcPr>
          <w:p>
            <w:pPr>
              <w:spacing w:after="0"/>
              <w:rPr>
                <w:sz w:val="16"/>
                <w:szCs w:val="16"/>
                <w:color w:val="auto"/>
              </w:rPr>
            </w:pPr>
          </w:p>
        </w:tc>
        <w:tc>
          <w:tcPr>
            <w:tcW w:w="216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360" w:type="dxa"/>
            <w:vAlign w:val="bottom"/>
            <w:gridSpan w:val="3"/>
          </w:tcPr>
          <w:p>
            <w:pPr>
              <w:spacing w:after="0"/>
              <w:rPr>
                <w:sz w:val="20"/>
                <w:szCs w:val="20"/>
                <w:color w:val="auto"/>
              </w:rPr>
            </w:pPr>
            <w:r>
              <w:rPr>
                <w:rFonts w:ascii="Arial" w:cs="Arial" w:eastAsia="Arial" w:hAnsi="Arial"/>
                <w:sz w:val="16"/>
                <w:szCs w:val="16"/>
                <w:color w:val="auto"/>
              </w:rPr>
              <w:t>(a)  Assets of VEBA trusts.</w:t>
            </w: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641"/>
        </w:trPr>
        <w:tc>
          <w:tcPr>
            <w:tcW w:w="14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jc w:val="right"/>
              <w:ind w:right="530"/>
              <w:spacing w:after="0"/>
              <w:rPr>
                <w:sz w:val="20"/>
                <w:szCs w:val="20"/>
                <w:color w:val="auto"/>
              </w:rPr>
            </w:pPr>
            <w:r>
              <w:rPr>
                <w:rFonts w:ascii="Arial" w:cs="Arial" w:eastAsia="Arial" w:hAnsi="Arial"/>
                <w:sz w:val="18"/>
                <w:szCs w:val="18"/>
                <w:color w:val="auto"/>
                <w:w w:val="79"/>
              </w:rPr>
              <w:t>132</w:t>
            </w: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6" w:right="239" w:bottom="1440" w:gutter="0" w:footer="0" w:header="0"/>
        </w:sectPr>
      </w:pPr>
    </w:p>
    <w:bookmarkStart w:id="133" w:name="page134"/>
    <w:bookmarkEnd w:id="13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The funded status of the plans and the amounts recognized in the Consolidated Balance Sheets at December 31 consist of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3"/>
          </w:tcPr>
          <w:p>
            <w:pPr>
              <w:jc w:val="center"/>
              <w:ind w:right="150"/>
              <w:spacing w:after="0"/>
              <w:rPr>
                <w:sz w:val="20"/>
                <w:szCs w:val="20"/>
                <w:color w:val="auto"/>
              </w:rPr>
            </w:pPr>
            <w:r>
              <w:rPr>
                <w:rFonts w:ascii="Arial" w:cs="Arial" w:eastAsia="Arial" w:hAnsi="Arial"/>
                <w:sz w:val="18"/>
                <w:szCs w:val="18"/>
                <w:color w:val="auto"/>
                <w:w w:val="92"/>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360" w:type="dxa"/>
            <w:vAlign w:val="bottom"/>
            <w:gridSpan w:val="4"/>
          </w:tcPr>
          <w:p>
            <w:pPr>
              <w:ind w:left="180"/>
              <w:spacing w:after="0"/>
              <w:rPr>
                <w:sz w:val="20"/>
                <w:szCs w:val="20"/>
                <w:color w:val="auto"/>
              </w:rPr>
            </w:pPr>
            <w:r>
              <w:rPr>
                <w:rFonts w:ascii="Arial" w:cs="Arial" w:eastAsia="Arial" w:hAnsi="Arial"/>
                <w:sz w:val="18"/>
                <w:szCs w:val="18"/>
                <w:color w:val="auto"/>
                <w:w w:val="93"/>
              </w:rPr>
              <w:t>Non-pension Defined Benefit</w:t>
            </w:r>
          </w:p>
        </w:tc>
      </w:tr>
      <w:tr>
        <w:trPr>
          <w:trHeight w:val="230"/>
        </w:trPr>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center"/>
              <w:ind w:right="15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360" w:type="dxa"/>
            <w:vAlign w:val="bottom"/>
            <w:gridSpan w:val="4"/>
          </w:tcPr>
          <w:p>
            <w:pPr>
              <w:ind w:left="120"/>
              <w:spacing w:after="0"/>
              <w:rPr>
                <w:sz w:val="20"/>
                <w:szCs w:val="20"/>
                <w:color w:val="auto"/>
              </w:rPr>
            </w:pPr>
            <w:r>
              <w:rPr>
                <w:rFonts w:ascii="Arial" w:cs="Arial" w:eastAsia="Arial" w:hAnsi="Arial"/>
                <w:sz w:val="18"/>
                <w:szCs w:val="18"/>
                <w:color w:val="auto"/>
                <w:w w:val="88"/>
              </w:rPr>
              <w:t>Postretirement Healthcare Plan</w:t>
            </w:r>
          </w:p>
        </w:tc>
      </w:tr>
      <w:tr>
        <w:trPr>
          <w:trHeight w:val="27"/>
        </w:trPr>
        <w:tc>
          <w:tcPr>
            <w:tcW w:w="2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2360" w:type="dxa"/>
            <w:vAlign w:val="bottom"/>
            <w:tcBorders>
              <w:bottom w:val="single" w:sz="8" w:color="CEFFE7"/>
            </w:tcBorders>
          </w:tcPr>
          <w:p>
            <w:pPr>
              <w:spacing w:after="0"/>
              <w:rPr>
                <w:sz w:val="2"/>
                <w:szCs w:val="2"/>
                <w:color w:val="auto"/>
              </w:rPr>
            </w:pPr>
          </w:p>
        </w:tc>
        <w:tc>
          <w:tcPr>
            <w:tcW w:w="17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Regulatory assets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88,471</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82,919</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11,670</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6,655</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1,420</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1,463</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4,802</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3,885</w:t>
            </w:r>
          </w:p>
        </w:tc>
      </w:tr>
      <w:tr>
        <w:trPr>
          <w:trHeight w:val="27"/>
        </w:trPr>
        <w:tc>
          <w:tcPr>
            <w:tcW w:w="2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Non-current assets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249</w:t>
            </w:r>
          </w:p>
        </w:tc>
      </w:tr>
      <w:tr>
        <w:trPr>
          <w:trHeight w:val="243"/>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Non-current liabilities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51,093</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54,585</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51,243</w:t>
            </w:r>
          </w:p>
        </w:tc>
        <w:tc>
          <w:tcPr>
            <w:tcW w:w="400" w:type="dxa"/>
            <w:vAlign w:val="bottom"/>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41,547</w:t>
            </w:r>
          </w:p>
        </w:tc>
        <w:tc>
          <w:tcPr>
            <w:tcW w:w="340" w:type="dxa"/>
            <w:vAlign w:val="bottom"/>
          </w:tcPr>
          <w:p>
            <w:pPr>
              <w:ind w:left="12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52,136</w:t>
            </w:r>
          </w:p>
        </w:tc>
        <w:tc>
          <w:tcPr>
            <w:tcW w:w="30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49,015</w:t>
            </w:r>
          </w:p>
        </w:tc>
      </w:tr>
      <w:tr>
        <w:trPr>
          <w:trHeight w:val="27"/>
        </w:trPr>
        <w:tc>
          <w:tcPr>
            <w:tcW w:w="2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20" w:type="dxa"/>
            <w:vAlign w:val="bottom"/>
          </w:tcPr>
          <w:p>
            <w:pPr>
              <w:spacing w:after="0"/>
              <w:rPr>
                <w:sz w:val="2"/>
                <w:szCs w:val="2"/>
                <w:color w:val="auto"/>
              </w:rPr>
            </w:pPr>
          </w:p>
        </w:tc>
        <w:tc>
          <w:tcPr>
            <w:tcW w:w="3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0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Regulatory liabilities</w:t>
            </w:r>
          </w:p>
        </w:tc>
        <w:tc>
          <w:tcPr>
            <w:tcW w:w="2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3,524</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4,620</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EFFE7"/>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4,088</w:t>
            </w:r>
          </w:p>
        </w:tc>
        <w:tc>
          <w:tcPr>
            <w:tcW w:w="30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5,207</w:t>
            </w:r>
          </w:p>
        </w:tc>
      </w:tr>
      <w:tr>
        <w:trPr>
          <w:trHeight w:val="608"/>
        </w:trPr>
        <w:tc>
          <w:tcPr>
            <w:tcW w:w="4120" w:type="dxa"/>
            <w:vAlign w:val="bottom"/>
            <w:gridSpan w:val="2"/>
          </w:tcPr>
          <w:p>
            <w:pPr>
              <w:spacing w:after="0"/>
              <w:rPr>
                <w:sz w:val="20"/>
                <w:szCs w:val="20"/>
                <w:color w:val="auto"/>
              </w:rPr>
            </w:pPr>
            <w:r>
              <w:rPr>
                <w:rFonts w:ascii="Arial" w:cs="Arial" w:eastAsia="Arial" w:hAnsi="Arial"/>
                <w:sz w:val="18"/>
                <w:szCs w:val="18"/>
                <w:color w:val="auto"/>
              </w:rPr>
              <w:t>Accumulated Benefit Obligation</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600"/>
        </w:trPr>
        <w:tc>
          <w:tcPr>
            <w:tcW w:w="2360" w:type="dxa"/>
            <w:vAlign w:val="bottom"/>
            <w:tcBorders>
              <w:top w:val="single" w:sz="8" w:color="auto"/>
            </w:tcBorders>
          </w:tcPr>
          <w:p>
            <w:pPr>
              <w:spacing w:after="0"/>
              <w:rPr>
                <w:sz w:val="24"/>
                <w:szCs w:val="24"/>
                <w:color w:val="auto"/>
              </w:rPr>
            </w:pPr>
          </w:p>
        </w:tc>
        <w:tc>
          <w:tcPr>
            <w:tcW w:w="1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89"/>
              </w:rPr>
              <w:t>Supplemental</w:t>
            </w: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16"/>
        </w:trPr>
        <w:tc>
          <w:tcPr>
            <w:tcW w:w="23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60" w:type="dxa"/>
            <w:vAlign w:val="bottom"/>
            <w:gridSpan w:val="3"/>
          </w:tcPr>
          <w:p>
            <w:pPr>
              <w:jc w:val="center"/>
              <w:ind w:right="150"/>
              <w:spacing w:after="0"/>
              <w:rPr>
                <w:sz w:val="20"/>
                <w:szCs w:val="20"/>
                <w:color w:val="auto"/>
              </w:rPr>
            </w:pPr>
            <w:r>
              <w:rPr>
                <w:rFonts w:ascii="Arial" w:cs="Arial" w:eastAsia="Arial" w:hAnsi="Arial"/>
                <w:sz w:val="18"/>
                <w:szCs w:val="18"/>
                <w:color w:val="auto"/>
                <w:w w:val="92"/>
              </w:rPr>
              <w:t>Defined Benefit</w:t>
            </w:r>
          </w:p>
        </w:tc>
        <w:tc>
          <w:tcPr>
            <w:tcW w:w="260" w:type="dxa"/>
            <w:vAlign w:val="bottom"/>
          </w:tcPr>
          <w:p>
            <w:pPr>
              <w:spacing w:after="0"/>
              <w:rPr>
                <w:sz w:val="18"/>
                <w:szCs w:val="18"/>
                <w:color w:val="auto"/>
              </w:rPr>
            </w:pPr>
          </w:p>
        </w:tc>
        <w:tc>
          <w:tcPr>
            <w:tcW w:w="236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360" w:type="dxa"/>
            <w:vAlign w:val="bottom"/>
            <w:gridSpan w:val="4"/>
          </w:tcPr>
          <w:p>
            <w:pPr>
              <w:ind w:left="180"/>
              <w:spacing w:after="0"/>
              <w:rPr>
                <w:sz w:val="20"/>
                <w:szCs w:val="20"/>
                <w:color w:val="auto"/>
              </w:rPr>
            </w:pPr>
            <w:r>
              <w:rPr>
                <w:rFonts w:ascii="Arial" w:cs="Arial" w:eastAsia="Arial" w:hAnsi="Arial"/>
                <w:sz w:val="18"/>
                <w:szCs w:val="18"/>
                <w:color w:val="auto"/>
                <w:w w:val="93"/>
              </w:rPr>
              <w:t>Non-pension Defined Benefit</w:t>
            </w:r>
          </w:p>
        </w:tc>
      </w:tr>
      <w:tr>
        <w:trPr>
          <w:trHeight w:val="230"/>
        </w:trPr>
        <w:tc>
          <w:tcPr>
            <w:tcW w:w="236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60" w:type="dxa"/>
            <w:vAlign w:val="bottom"/>
            <w:gridSpan w:val="3"/>
          </w:tcPr>
          <w:p>
            <w:pPr>
              <w:jc w:val="center"/>
              <w:ind w:right="150"/>
              <w:spacing w:after="0"/>
              <w:rPr>
                <w:sz w:val="20"/>
                <w:szCs w:val="20"/>
                <w:color w:val="auto"/>
              </w:rPr>
            </w:pPr>
            <w:r>
              <w:rPr>
                <w:rFonts w:ascii="Arial" w:cs="Arial" w:eastAsia="Arial" w:hAnsi="Arial"/>
                <w:sz w:val="18"/>
                <w:szCs w:val="18"/>
                <w:color w:val="auto"/>
                <w:w w:val="88"/>
              </w:rPr>
              <w:t>Pension Plan</w:t>
            </w:r>
          </w:p>
        </w:tc>
        <w:tc>
          <w:tcPr>
            <w:tcW w:w="260" w:type="dxa"/>
            <w:vAlign w:val="bottom"/>
          </w:tcPr>
          <w:p>
            <w:pPr>
              <w:spacing w:after="0"/>
              <w:rPr>
                <w:sz w:val="20"/>
                <w:szCs w:val="20"/>
                <w:color w:val="auto"/>
              </w:rPr>
            </w:pPr>
          </w:p>
        </w:tc>
        <w:tc>
          <w:tcPr>
            <w:tcW w:w="1440" w:type="dxa"/>
            <w:vAlign w:val="bottom"/>
            <w:gridSpan w:val="2"/>
          </w:tcPr>
          <w:p>
            <w:pPr>
              <w:jc w:val="center"/>
              <w:ind w:left="770"/>
              <w:spacing w:after="0"/>
              <w:rPr>
                <w:sz w:val="20"/>
                <w:szCs w:val="20"/>
                <w:color w:val="auto"/>
              </w:rPr>
            </w:pPr>
            <w:r>
              <w:rPr>
                <w:rFonts w:ascii="Arial" w:cs="Arial" w:eastAsia="Arial" w:hAnsi="Arial"/>
                <w:sz w:val="18"/>
                <w:szCs w:val="18"/>
                <w:color w:val="auto"/>
                <w:w w:val="84"/>
              </w:rPr>
              <w:t>Plans</w:t>
            </w:r>
          </w:p>
        </w:tc>
        <w:tc>
          <w:tcPr>
            <w:tcW w:w="920" w:type="dxa"/>
            <w:vAlign w:val="bottom"/>
          </w:tcPr>
          <w:p>
            <w:pPr>
              <w:spacing w:after="0"/>
              <w:rPr>
                <w:sz w:val="20"/>
                <w:szCs w:val="20"/>
                <w:color w:val="auto"/>
              </w:rPr>
            </w:pPr>
          </w:p>
        </w:tc>
        <w:tc>
          <w:tcPr>
            <w:tcW w:w="2360" w:type="dxa"/>
            <w:vAlign w:val="bottom"/>
            <w:gridSpan w:val="4"/>
          </w:tcPr>
          <w:p>
            <w:pPr>
              <w:ind w:left="120"/>
              <w:spacing w:after="0"/>
              <w:rPr>
                <w:sz w:val="20"/>
                <w:szCs w:val="20"/>
                <w:color w:val="auto"/>
              </w:rPr>
            </w:pPr>
            <w:r>
              <w:rPr>
                <w:rFonts w:ascii="Arial" w:cs="Arial" w:eastAsia="Arial" w:hAnsi="Arial"/>
                <w:sz w:val="18"/>
                <w:szCs w:val="18"/>
                <w:color w:val="auto"/>
                <w:w w:val="88"/>
              </w:rPr>
              <w:t>Postretirement Healthcare Plan</w:t>
            </w:r>
          </w:p>
        </w:tc>
      </w:tr>
      <w:tr>
        <w:trPr>
          <w:trHeight w:val="27"/>
        </w:trPr>
        <w:tc>
          <w:tcPr>
            <w:tcW w:w="2360" w:type="dxa"/>
            <w:vAlign w:val="bottom"/>
          </w:tcPr>
          <w:p>
            <w:pPr>
              <w:spacing w:after="0"/>
              <w:rPr>
                <w:sz w:val="2"/>
                <w:szCs w:val="2"/>
                <w:color w:val="auto"/>
              </w:rPr>
            </w:pPr>
          </w:p>
        </w:tc>
        <w:tc>
          <w:tcPr>
            <w:tcW w:w="17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37"/>
        </w:trPr>
        <w:tc>
          <w:tcPr>
            <w:tcW w:w="4120" w:type="dxa"/>
            <w:vAlign w:val="bottom"/>
            <w:gridSpan w:val="2"/>
          </w:tcPr>
          <w:p>
            <w:pPr>
              <w:ind w:left="40"/>
              <w:spacing w:after="0"/>
              <w:rPr>
                <w:sz w:val="20"/>
                <w:szCs w:val="20"/>
                <w:color w:val="auto"/>
              </w:rPr>
            </w:pPr>
            <w:r>
              <w:rPr>
                <w:rFonts w:ascii="Arial" w:cs="Arial" w:eastAsia="Arial" w:hAnsi="Arial"/>
                <w:sz w:val="18"/>
                <w:szCs w:val="18"/>
                <w:color w:val="auto"/>
              </w:rPr>
              <w:t>As of December 31 (in thousands)</w:t>
            </w: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900" w:type="dxa"/>
            <w:vAlign w:val="bottom"/>
          </w:tcPr>
          <w:p>
            <w:pPr>
              <w:jc w:val="right"/>
              <w:ind w:right="31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400" w:type="dxa"/>
            <w:vAlign w:val="bottom"/>
          </w:tcPr>
          <w:p>
            <w:pPr>
              <w:spacing w:after="0"/>
              <w:rPr>
                <w:sz w:val="20"/>
                <w:szCs w:val="20"/>
                <w:color w:val="auto"/>
              </w:rPr>
            </w:pPr>
          </w:p>
        </w:tc>
        <w:tc>
          <w:tcPr>
            <w:tcW w:w="920" w:type="dxa"/>
            <w:vAlign w:val="bottom"/>
          </w:tcPr>
          <w:p>
            <w:pPr>
              <w:jc w:val="right"/>
              <w:ind w:right="370"/>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2018</w:t>
            </w:r>
          </w:p>
        </w:tc>
      </w:tr>
      <w:tr>
        <w:trPr>
          <w:trHeight w:val="27"/>
        </w:trPr>
        <w:tc>
          <w:tcPr>
            <w:tcW w:w="2360" w:type="dxa"/>
            <w:vAlign w:val="bottom"/>
            <w:tcBorders>
              <w:bottom w:val="single" w:sz="8" w:color="CEFFE7"/>
            </w:tcBorders>
          </w:tcPr>
          <w:p>
            <w:pPr>
              <w:spacing w:after="0"/>
              <w:rPr>
                <w:sz w:val="2"/>
                <w:szCs w:val="2"/>
                <w:color w:val="auto"/>
              </w:rPr>
            </w:pPr>
          </w:p>
        </w:tc>
        <w:tc>
          <w:tcPr>
            <w:tcW w:w="1760" w:type="dxa"/>
            <w:vAlign w:val="bottom"/>
            <w:tcBorders>
              <w:bottom w:val="single" w:sz="8" w:color="CEFFE7"/>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120" w:type="dxa"/>
            <w:vAlign w:val="bottom"/>
            <w:tcBorders>
              <w:bottom w:val="single" w:sz="8" w:color="CEFFE7"/>
            </w:tcBorders>
            <w:gridSpan w:val="2"/>
            <w:shd w:val="clear" w:color="auto" w:fill="CEFFE7"/>
          </w:tcPr>
          <w:p>
            <w:pPr>
              <w:ind w:left="40"/>
              <w:spacing w:after="0"/>
              <w:rPr>
                <w:sz w:val="20"/>
                <w:szCs w:val="20"/>
                <w:color w:val="auto"/>
              </w:rPr>
            </w:pPr>
            <w:r>
              <w:rPr>
                <w:rFonts w:ascii="Arial" w:cs="Arial" w:eastAsia="Arial" w:hAnsi="Arial"/>
                <w:sz w:val="18"/>
                <w:szCs w:val="18"/>
                <w:color w:val="auto"/>
              </w:rPr>
              <w:t>Accumulated Benefit Obligation</w:t>
            </w:r>
          </w:p>
        </w:tc>
        <w:tc>
          <w:tcPr>
            <w:tcW w:w="26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470,615</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90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428,851</w:t>
            </w:r>
          </w:p>
        </w:tc>
        <w:tc>
          <w:tcPr>
            <w:tcW w:w="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49,241</w:t>
            </w:r>
          </w:p>
        </w:tc>
        <w:tc>
          <w:tcPr>
            <w:tcW w:w="400" w:type="dxa"/>
            <w:vAlign w:val="bottom"/>
            <w:tcBorders>
              <w:bottom w:val="single" w:sz="8" w:color="auto"/>
            </w:tcBorders>
            <w:shd w:val="clear" w:color="auto" w:fill="CEFFE7"/>
          </w:tcPr>
          <w:p>
            <w:pPr>
              <w:jc w:val="center"/>
              <w:ind w:right="7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40,530</w:t>
            </w:r>
          </w:p>
        </w:tc>
        <w:tc>
          <w:tcPr>
            <w:tcW w:w="340" w:type="dxa"/>
            <w:vAlign w:val="bottom"/>
            <w:tcBorders>
              <w:bottom w:val="single" w:sz="8" w:color="auto"/>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65,277</w:t>
            </w:r>
          </w:p>
        </w:tc>
        <w:tc>
          <w:tcPr>
            <w:tcW w:w="300" w:type="dxa"/>
            <w:vAlign w:val="bottom"/>
            <w:tcBorders>
              <w:bottom w:val="single" w:sz="8" w:color="auto"/>
            </w:tcBorders>
            <w:shd w:val="clear" w:color="auto" w:fill="CEFFE7"/>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rPr>
              <w:t>60,817</w:t>
            </w:r>
          </w:p>
        </w:tc>
      </w:tr>
      <w:tr>
        <w:trPr>
          <w:trHeight w:val="20"/>
        </w:trPr>
        <w:tc>
          <w:tcPr>
            <w:tcW w:w="23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9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Components of Net Periodic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periodic expense consisted of the following for the year ended December 31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60" w:type="dxa"/>
            <w:vAlign w:val="bottom"/>
            <w:gridSpan w:val="4"/>
          </w:tcPr>
          <w:p>
            <w:pPr>
              <w:jc w:val="center"/>
              <w:ind w:left="470"/>
              <w:spacing w:after="0"/>
              <w:rPr>
                <w:sz w:val="20"/>
                <w:szCs w:val="20"/>
                <w:color w:val="auto"/>
              </w:rPr>
            </w:pPr>
            <w:r>
              <w:rPr>
                <w:rFonts w:ascii="Arial" w:cs="Arial" w:eastAsia="Arial" w:hAnsi="Arial"/>
                <w:sz w:val="18"/>
                <w:szCs w:val="18"/>
                <w:color w:val="auto"/>
                <w:w w:val="92"/>
              </w:rPr>
              <w:t>Defined Benefit</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60" w:type="dxa"/>
            <w:vAlign w:val="bottom"/>
            <w:gridSpan w:val="3"/>
          </w:tcPr>
          <w:p>
            <w:pPr>
              <w:jc w:val="right"/>
              <w:ind w:right="50"/>
              <w:spacing w:after="0"/>
              <w:rPr>
                <w:sz w:val="20"/>
                <w:szCs w:val="20"/>
                <w:color w:val="auto"/>
              </w:rPr>
            </w:pPr>
            <w:r>
              <w:rPr>
                <w:rFonts w:ascii="Arial" w:cs="Arial" w:eastAsia="Arial" w:hAnsi="Arial"/>
                <w:sz w:val="18"/>
                <w:szCs w:val="18"/>
                <w:color w:val="auto"/>
                <w:w w:val="90"/>
              </w:rPr>
              <w:t>Supplemental</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92"/>
              </w:rPr>
              <w:t>Non-pension Defined Benefit</w:t>
            </w:r>
          </w:p>
        </w:tc>
      </w:tr>
      <w:tr>
        <w:trPr>
          <w:trHeight w:val="230"/>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980" w:type="dxa"/>
            <w:vAlign w:val="bottom"/>
            <w:gridSpan w:val="2"/>
          </w:tcPr>
          <w:p>
            <w:pPr>
              <w:jc w:val="center"/>
              <w:spacing w:after="0"/>
              <w:rPr>
                <w:sz w:val="20"/>
                <w:szCs w:val="20"/>
                <w:color w:val="auto"/>
              </w:rPr>
            </w:pPr>
            <w:r>
              <w:rPr>
                <w:rFonts w:ascii="Arial" w:cs="Arial" w:eastAsia="Arial" w:hAnsi="Arial"/>
                <w:sz w:val="18"/>
                <w:szCs w:val="18"/>
                <w:color w:val="auto"/>
                <w:w w:val="88"/>
              </w:rPr>
              <w:t>Pension Plan</w:t>
            </w:r>
          </w:p>
        </w:tc>
        <w:tc>
          <w:tcPr>
            <w:tcW w:w="1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40" w:type="dxa"/>
            <w:vAlign w:val="bottom"/>
            <w:gridSpan w:val="6"/>
          </w:tcPr>
          <w:p>
            <w:pPr>
              <w:ind w:left="120"/>
              <w:spacing w:after="0"/>
              <w:rPr>
                <w:sz w:val="20"/>
                <w:szCs w:val="20"/>
                <w:color w:val="auto"/>
              </w:rPr>
            </w:pPr>
            <w:r>
              <w:rPr>
                <w:rFonts w:ascii="Arial" w:cs="Arial" w:eastAsia="Arial" w:hAnsi="Arial"/>
                <w:sz w:val="18"/>
                <w:szCs w:val="18"/>
                <w:color w:val="auto"/>
                <w:w w:val="95"/>
              </w:rPr>
              <w:t>Non-qualified Defined Benefit Plans</w:t>
            </w:r>
          </w:p>
        </w:tc>
        <w:tc>
          <w:tcPr>
            <w:tcW w:w="220" w:type="dxa"/>
            <w:vAlign w:val="bottom"/>
          </w:tcPr>
          <w:p>
            <w:pPr>
              <w:spacing w:after="0"/>
              <w:rPr>
                <w:sz w:val="20"/>
                <w:szCs w:val="20"/>
                <w:color w:val="auto"/>
              </w:rPr>
            </w:pPr>
          </w:p>
        </w:tc>
        <w:tc>
          <w:tcPr>
            <w:tcW w:w="2540" w:type="dxa"/>
            <w:vAlign w:val="bottom"/>
            <w:gridSpan w:val="5"/>
          </w:tcPr>
          <w:p>
            <w:pPr>
              <w:jc w:val="center"/>
              <w:ind w:right="50"/>
              <w:spacing w:after="0"/>
              <w:rPr>
                <w:sz w:val="20"/>
                <w:szCs w:val="20"/>
                <w:color w:val="auto"/>
              </w:rPr>
            </w:pPr>
            <w:r>
              <w:rPr>
                <w:rFonts w:ascii="Arial" w:cs="Arial" w:eastAsia="Arial" w:hAnsi="Arial"/>
                <w:sz w:val="18"/>
                <w:szCs w:val="18"/>
                <w:color w:val="auto"/>
                <w:w w:val="89"/>
              </w:rPr>
              <w:t>Postretirement Healthcare Plan</w:t>
            </w:r>
          </w:p>
        </w:tc>
      </w:tr>
      <w:tr>
        <w:trPr>
          <w:trHeight w:val="27"/>
        </w:trPr>
        <w:tc>
          <w:tcPr>
            <w:tcW w:w="298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2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220" w:type="dxa"/>
            <w:vAlign w:val="bottom"/>
          </w:tcPr>
          <w:p>
            <w:pPr>
              <w:spacing w:after="0"/>
              <w:rPr>
                <w:sz w:val="20"/>
                <w:szCs w:val="20"/>
                <w:color w:val="auto"/>
              </w:rPr>
            </w:pPr>
          </w:p>
        </w:tc>
        <w:tc>
          <w:tcPr>
            <w:tcW w:w="760" w:type="dxa"/>
            <w:vAlign w:val="bottom"/>
          </w:tcPr>
          <w:p>
            <w:pPr>
              <w:jc w:val="center"/>
              <w:ind w:right="110"/>
              <w:spacing w:after="0"/>
              <w:rPr>
                <w:sz w:val="20"/>
                <w:szCs w:val="20"/>
                <w:color w:val="auto"/>
              </w:rPr>
            </w:pPr>
            <w:r>
              <w:rPr>
                <w:rFonts w:ascii="Arial" w:cs="Arial" w:eastAsia="Arial" w:hAnsi="Arial"/>
                <w:sz w:val="18"/>
                <w:szCs w:val="18"/>
                <w:color w:val="auto"/>
                <w:w w:val="89"/>
              </w:rPr>
              <w:t>2018</w:t>
            </w:r>
          </w:p>
        </w:tc>
        <w:tc>
          <w:tcPr>
            <w:tcW w:w="160" w:type="dxa"/>
            <w:vAlign w:val="bottom"/>
          </w:tcPr>
          <w:p>
            <w:pPr>
              <w:spacing w:after="0"/>
              <w:rPr>
                <w:sz w:val="20"/>
                <w:szCs w:val="20"/>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2017</w:t>
            </w:r>
          </w:p>
        </w:tc>
        <w:tc>
          <w:tcPr>
            <w:tcW w:w="260" w:type="dxa"/>
            <w:vAlign w:val="bottom"/>
          </w:tcPr>
          <w:p>
            <w:pPr>
              <w:spacing w:after="0"/>
              <w:rPr>
                <w:sz w:val="20"/>
                <w:szCs w:val="20"/>
                <w:color w:val="auto"/>
              </w:rPr>
            </w:pPr>
          </w:p>
        </w:tc>
        <w:tc>
          <w:tcPr>
            <w:tcW w:w="640" w:type="dxa"/>
            <w:vAlign w:val="bottom"/>
          </w:tcPr>
          <w:p>
            <w:pPr>
              <w:jc w:val="right"/>
              <w:ind w:right="110"/>
              <w:spacing w:after="0"/>
              <w:rPr>
                <w:sz w:val="20"/>
                <w:szCs w:val="20"/>
                <w:color w:val="auto"/>
              </w:rPr>
            </w:pPr>
            <w:r>
              <w:rPr>
                <w:rFonts w:ascii="Arial" w:cs="Arial" w:eastAsia="Arial" w:hAnsi="Arial"/>
                <w:sz w:val="18"/>
                <w:szCs w:val="18"/>
                <w:color w:val="auto"/>
              </w:rPr>
              <w:t>2019</w:t>
            </w:r>
          </w:p>
        </w:tc>
        <w:tc>
          <w:tcPr>
            <w:tcW w:w="260" w:type="dxa"/>
            <w:vAlign w:val="bottom"/>
          </w:tcPr>
          <w:p>
            <w:pPr>
              <w:spacing w:after="0"/>
              <w:rPr>
                <w:sz w:val="20"/>
                <w:szCs w:val="20"/>
                <w:color w:val="auto"/>
              </w:rPr>
            </w:pPr>
          </w:p>
        </w:tc>
        <w:tc>
          <w:tcPr>
            <w:tcW w:w="680" w:type="dxa"/>
            <w:vAlign w:val="bottom"/>
          </w:tcPr>
          <w:p>
            <w:pPr>
              <w:jc w:val="right"/>
              <w:ind w:right="150"/>
              <w:spacing w:after="0"/>
              <w:rPr>
                <w:sz w:val="20"/>
                <w:szCs w:val="20"/>
                <w:color w:val="auto"/>
              </w:rPr>
            </w:pPr>
            <w:r>
              <w:rPr>
                <w:rFonts w:ascii="Arial" w:cs="Arial" w:eastAsia="Arial" w:hAnsi="Arial"/>
                <w:sz w:val="18"/>
                <w:szCs w:val="18"/>
                <w:color w:val="auto"/>
              </w:rPr>
              <w:t>2018</w:t>
            </w:r>
          </w:p>
        </w:tc>
        <w:tc>
          <w:tcPr>
            <w:tcW w:w="220" w:type="dxa"/>
            <w:vAlign w:val="bottom"/>
          </w:tcPr>
          <w:p>
            <w:pPr>
              <w:spacing w:after="0"/>
              <w:rPr>
                <w:sz w:val="20"/>
                <w:szCs w:val="20"/>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2017</w:t>
            </w:r>
          </w:p>
        </w:tc>
        <w:tc>
          <w:tcPr>
            <w:tcW w:w="220" w:type="dxa"/>
            <w:vAlign w:val="bottom"/>
          </w:tcPr>
          <w:p>
            <w:pPr>
              <w:spacing w:after="0"/>
              <w:rPr>
                <w:sz w:val="20"/>
                <w:szCs w:val="20"/>
                <w:color w:val="auto"/>
              </w:rPr>
            </w:pPr>
          </w:p>
        </w:tc>
        <w:tc>
          <w:tcPr>
            <w:tcW w:w="72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700" w:type="dxa"/>
            <w:vAlign w:val="bottom"/>
          </w:tcPr>
          <w:p>
            <w:pPr>
              <w:jc w:val="center"/>
              <w:ind w:right="90"/>
              <w:spacing w:after="0"/>
              <w:rPr>
                <w:sz w:val="20"/>
                <w:szCs w:val="20"/>
                <w:color w:val="auto"/>
              </w:rPr>
            </w:pPr>
            <w:r>
              <w:rPr>
                <w:rFonts w:ascii="Arial" w:cs="Arial" w:eastAsia="Arial" w:hAnsi="Arial"/>
                <w:sz w:val="18"/>
                <w:szCs w:val="18"/>
                <w:color w:val="auto"/>
                <w:w w:val="89"/>
              </w:rPr>
              <w:t>2018</w:t>
            </w:r>
          </w:p>
        </w:tc>
        <w:tc>
          <w:tcPr>
            <w:tcW w:w="200" w:type="dxa"/>
            <w:vAlign w:val="bottom"/>
          </w:tcPr>
          <w:p>
            <w:pPr>
              <w:spacing w:after="0"/>
              <w:rPr>
                <w:sz w:val="20"/>
                <w:szCs w:val="20"/>
                <w:color w:val="auto"/>
              </w:rPr>
            </w:pPr>
          </w:p>
        </w:tc>
        <w:tc>
          <w:tcPr>
            <w:tcW w:w="720" w:type="dxa"/>
            <w:vAlign w:val="bottom"/>
          </w:tcPr>
          <w:p>
            <w:pPr>
              <w:jc w:val="right"/>
              <w:ind w:right="190"/>
              <w:spacing w:after="0"/>
              <w:rPr>
                <w:sz w:val="20"/>
                <w:szCs w:val="20"/>
                <w:color w:val="auto"/>
              </w:rPr>
            </w:pPr>
            <w:r>
              <w:rPr>
                <w:rFonts w:ascii="Arial" w:cs="Arial" w:eastAsia="Arial" w:hAnsi="Arial"/>
                <w:sz w:val="18"/>
                <w:szCs w:val="18"/>
                <w:color w:val="auto"/>
              </w:rPr>
              <w:t>2017</w:t>
            </w:r>
          </w:p>
        </w:tc>
      </w:tr>
      <w:tr>
        <w:trPr>
          <w:trHeight w:val="27"/>
        </w:trPr>
        <w:tc>
          <w:tcPr>
            <w:tcW w:w="2980" w:type="dxa"/>
            <w:vAlign w:val="bottom"/>
            <w:tcBorders>
              <w:bottom w:val="single" w:sz="8" w:color="CEFFE7"/>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44"/>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Service cost</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5,383</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6,834</w:t>
            </w:r>
          </w:p>
        </w:tc>
        <w:tc>
          <w:tcPr>
            <w:tcW w:w="1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7,034</w:t>
            </w:r>
          </w:p>
        </w:tc>
        <w:tc>
          <w:tcPr>
            <w:tcW w:w="260" w:type="dxa"/>
            <w:vAlign w:val="bottom"/>
            <w:tcBorders>
              <w:bottom w:val="single" w:sz="8" w:color="CEFFE7"/>
            </w:tcBorders>
            <w:shd w:val="clear" w:color="auto" w:fill="CEFFE7"/>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4,995</w:t>
            </w:r>
          </w:p>
        </w:tc>
        <w:tc>
          <w:tcPr>
            <w:tcW w:w="2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1,764</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1,546</w:t>
            </w:r>
          </w:p>
        </w:tc>
        <w:tc>
          <w:tcPr>
            <w:tcW w:w="2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1,815</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2,291</w:t>
            </w:r>
          </w:p>
        </w:tc>
        <w:tc>
          <w:tcPr>
            <w:tcW w:w="2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2,300</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17,374</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15,470</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15,520</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1,295</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1,170</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1,276</w:t>
            </w:r>
          </w:p>
        </w:tc>
        <w:tc>
          <w:tcPr>
            <w:tcW w:w="22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2,247</w:t>
            </w: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2,085</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2,141</w:t>
            </w: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Expected return on assets</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(24,401)</w:t>
            </w:r>
          </w:p>
        </w:tc>
        <w:tc>
          <w:tcPr>
            <w:tcW w:w="220" w:type="dxa"/>
            <w:vAlign w:val="bottom"/>
            <w:tcBorders>
              <w:bottom w:val="single" w:sz="8" w:color="CEFFE7"/>
            </w:tcBorders>
            <w:shd w:val="clear" w:color="auto" w:fill="CEFFE7"/>
          </w:tcPr>
          <w:p>
            <w:pPr>
              <w:spacing w:after="0"/>
              <w:rPr>
                <w:sz w:val="21"/>
                <w:szCs w:val="21"/>
                <w:color w:val="auto"/>
              </w:rPr>
            </w:pPr>
          </w:p>
        </w:tc>
        <w:tc>
          <w:tcPr>
            <w:tcW w:w="7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8"/>
              </w:rPr>
              <w:t>(24,741)</w:t>
            </w:r>
          </w:p>
        </w:tc>
        <w:tc>
          <w:tcPr>
            <w:tcW w:w="16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8"/>
              </w:rPr>
              <w:t>(24,517)</w:t>
            </w:r>
          </w:p>
        </w:tc>
        <w:tc>
          <w:tcPr>
            <w:tcW w:w="2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(230)</w:t>
            </w:r>
          </w:p>
        </w:tc>
        <w:tc>
          <w:tcPr>
            <w:tcW w:w="200" w:type="dxa"/>
            <w:vAlign w:val="bottom"/>
            <w:tcBorders>
              <w:bottom w:val="single" w:sz="8" w:color="CEFFE7"/>
            </w:tcBorders>
            <w:shd w:val="clear" w:color="auto" w:fill="CEFFE7"/>
          </w:tcPr>
          <w:p>
            <w:pPr>
              <w:spacing w:after="0"/>
              <w:rPr>
                <w:sz w:val="21"/>
                <w:szCs w:val="21"/>
                <w:color w:val="auto"/>
              </w:rPr>
            </w:pPr>
          </w:p>
        </w:tc>
        <w:tc>
          <w:tcPr>
            <w:tcW w:w="7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EFFE7"/>
            </w:tcBorders>
            <w:shd w:val="clear" w:color="auto" w:fill="CEFFE7"/>
          </w:tcPr>
          <w:p>
            <w:pPr>
              <w:spacing w:after="0"/>
              <w:rPr>
                <w:sz w:val="21"/>
                <w:szCs w:val="21"/>
                <w:color w:val="auto"/>
              </w:rPr>
            </w:pPr>
          </w:p>
        </w:tc>
        <w:tc>
          <w:tcPr>
            <w:tcW w:w="7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(315)</w:t>
            </w:r>
          </w:p>
        </w:tc>
      </w:tr>
      <w:tr>
        <w:trPr>
          <w:trHeight w:val="243"/>
        </w:trPr>
        <w:tc>
          <w:tcPr>
            <w:tcW w:w="2980" w:type="dxa"/>
            <w:vAlign w:val="bottom"/>
          </w:tcPr>
          <w:p>
            <w:pPr>
              <w:ind w:left="40"/>
              <w:spacing w:after="0"/>
              <w:rPr>
                <w:sz w:val="20"/>
                <w:szCs w:val="20"/>
                <w:color w:val="auto"/>
              </w:rPr>
            </w:pPr>
            <w:r>
              <w:rPr>
                <w:rFonts w:ascii="Arial" w:cs="Arial" w:eastAsia="Arial" w:hAnsi="Arial"/>
                <w:sz w:val="18"/>
                <w:szCs w:val="18"/>
                <w:color w:val="auto"/>
                <w:w w:val="99"/>
              </w:rPr>
              <w:t>Net amortization of prior service cost</w:t>
            </w:r>
          </w:p>
        </w:tc>
        <w:tc>
          <w:tcPr>
            <w:tcW w:w="200" w:type="dxa"/>
            <w:vAlign w:val="bottom"/>
          </w:tcPr>
          <w:p>
            <w:pPr>
              <w:spacing w:after="0"/>
              <w:rPr>
                <w:sz w:val="21"/>
                <w:szCs w:val="21"/>
                <w:color w:val="auto"/>
              </w:rPr>
            </w:pPr>
          </w:p>
        </w:tc>
        <w:tc>
          <w:tcPr>
            <w:tcW w:w="720" w:type="dxa"/>
            <w:vAlign w:val="bottom"/>
          </w:tcPr>
          <w:p>
            <w:pPr>
              <w:jc w:val="right"/>
              <w:ind w:right="10"/>
              <w:spacing w:after="0"/>
              <w:rPr>
                <w:sz w:val="20"/>
                <w:szCs w:val="20"/>
                <w:color w:val="auto"/>
              </w:rPr>
            </w:pPr>
            <w:r>
              <w:rPr>
                <w:rFonts w:ascii="Arial" w:cs="Arial" w:eastAsia="Arial" w:hAnsi="Arial"/>
                <w:sz w:val="18"/>
                <w:szCs w:val="18"/>
                <w:color w:val="auto"/>
              </w:rPr>
              <w:t>26</w:t>
            </w:r>
          </w:p>
        </w:tc>
        <w:tc>
          <w:tcPr>
            <w:tcW w:w="220" w:type="dxa"/>
            <w:vAlign w:val="bottom"/>
          </w:tcPr>
          <w:p>
            <w:pPr>
              <w:spacing w:after="0"/>
              <w:rPr>
                <w:sz w:val="21"/>
                <w:szCs w:val="21"/>
                <w:color w:val="auto"/>
              </w:rPr>
            </w:pPr>
          </w:p>
        </w:tc>
        <w:tc>
          <w:tcPr>
            <w:tcW w:w="760" w:type="dxa"/>
            <w:vAlign w:val="bottom"/>
          </w:tcPr>
          <w:p>
            <w:pPr>
              <w:jc w:val="right"/>
              <w:ind w:right="50"/>
              <w:spacing w:after="0"/>
              <w:rPr>
                <w:sz w:val="20"/>
                <w:szCs w:val="20"/>
                <w:color w:val="auto"/>
              </w:rPr>
            </w:pPr>
            <w:r>
              <w:rPr>
                <w:rFonts w:ascii="Arial" w:cs="Arial" w:eastAsia="Arial" w:hAnsi="Arial"/>
                <w:sz w:val="18"/>
                <w:szCs w:val="18"/>
                <w:color w:val="auto"/>
              </w:rPr>
              <w:t>58</w:t>
            </w:r>
          </w:p>
        </w:tc>
        <w:tc>
          <w:tcPr>
            <w:tcW w:w="160" w:type="dxa"/>
            <w:vAlign w:val="bottom"/>
          </w:tcPr>
          <w:p>
            <w:pPr>
              <w:spacing w:after="0"/>
              <w:rPr>
                <w:sz w:val="21"/>
                <w:szCs w:val="21"/>
                <w:color w:val="auto"/>
              </w:rPr>
            </w:pPr>
          </w:p>
        </w:tc>
        <w:tc>
          <w:tcPr>
            <w:tcW w:w="780" w:type="dxa"/>
            <w:vAlign w:val="bottom"/>
          </w:tcPr>
          <w:p>
            <w:pPr>
              <w:jc w:val="right"/>
              <w:ind w:right="70"/>
              <w:spacing w:after="0"/>
              <w:rPr>
                <w:sz w:val="20"/>
                <w:szCs w:val="20"/>
                <w:color w:val="auto"/>
              </w:rPr>
            </w:pPr>
            <w:r>
              <w:rPr>
                <w:rFonts w:ascii="Arial" w:cs="Arial" w:eastAsia="Arial" w:hAnsi="Arial"/>
                <w:sz w:val="18"/>
                <w:szCs w:val="18"/>
                <w:color w:val="auto"/>
              </w:rPr>
              <w:t>58</w:t>
            </w: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w:t>
            </w:r>
          </w:p>
        </w:tc>
        <w:tc>
          <w:tcPr>
            <w:tcW w:w="26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80" w:type="dxa"/>
            <w:vAlign w:val="bottom"/>
          </w:tcPr>
          <w:p>
            <w:pPr>
              <w:jc w:val="right"/>
              <w:ind w:right="9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(398)</w:t>
            </w:r>
          </w:p>
        </w:tc>
        <w:tc>
          <w:tcPr>
            <w:tcW w:w="2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7"/>
        </w:trPr>
        <w:tc>
          <w:tcPr>
            <w:tcW w:w="2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2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Recognized net actuarial loss (gain)</w:t>
            </w:r>
          </w:p>
        </w:tc>
        <w:tc>
          <w:tcPr>
            <w:tcW w:w="20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3,763</w:t>
            </w:r>
          </w:p>
        </w:tc>
        <w:tc>
          <w:tcPr>
            <w:tcW w:w="220" w:type="dxa"/>
            <w:vAlign w:val="bottom"/>
            <w:tcBorders>
              <w:bottom w:val="single" w:sz="8" w:color="CEFFE7"/>
            </w:tcBorders>
            <w:shd w:val="clear" w:color="auto" w:fill="CEFFE7"/>
          </w:tcPr>
          <w:p>
            <w:pPr>
              <w:spacing w:after="0"/>
              <w:rPr>
                <w:sz w:val="23"/>
                <w:szCs w:val="23"/>
                <w:color w:val="auto"/>
              </w:rPr>
            </w:pPr>
          </w:p>
        </w:tc>
        <w:tc>
          <w:tcPr>
            <w:tcW w:w="76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8,632</w:t>
            </w:r>
          </w:p>
        </w:tc>
        <w:tc>
          <w:tcPr>
            <w:tcW w:w="16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4,007</w:t>
            </w:r>
          </w:p>
        </w:tc>
        <w:tc>
          <w:tcPr>
            <w:tcW w:w="260" w:type="dxa"/>
            <w:vAlign w:val="bottom"/>
            <w:tcBorders>
              <w:bottom w:val="single" w:sz="8" w:color="CEFFE7"/>
            </w:tcBorders>
            <w:shd w:val="clear" w:color="auto" w:fill="CEFFE7"/>
          </w:tcPr>
          <w:p>
            <w:pPr>
              <w:spacing w:after="0"/>
              <w:rPr>
                <w:sz w:val="23"/>
                <w:szCs w:val="23"/>
                <w:color w:val="auto"/>
              </w:rPr>
            </w:pPr>
          </w:p>
        </w:tc>
        <w:tc>
          <w:tcPr>
            <w:tcW w:w="6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535</w:t>
            </w:r>
          </w:p>
        </w:tc>
        <w:tc>
          <w:tcPr>
            <w:tcW w:w="260" w:type="dxa"/>
            <w:vAlign w:val="bottom"/>
            <w:tcBorders>
              <w:bottom w:val="single" w:sz="8" w:color="CEFFE7"/>
            </w:tcBorders>
            <w:shd w:val="clear" w:color="auto" w:fill="CEFFE7"/>
          </w:tcPr>
          <w:p>
            <w:pPr>
              <w:spacing w:after="0"/>
              <w:rPr>
                <w:sz w:val="23"/>
                <w:szCs w:val="23"/>
                <w:color w:val="auto"/>
              </w:rPr>
            </w:pPr>
          </w:p>
        </w:tc>
        <w:tc>
          <w:tcPr>
            <w:tcW w:w="6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Borders>
              <w:bottom w:val="single" w:sz="8" w:color="CEFFE7"/>
            </w:tcBorders>
            <w:shd w:val="clear" w:color="auto" w:fill="CEFFE7"/>
          </w:tcPr>
          <w:p>
            <w:pPr>
              <w:spacing w:after="0"/>
              <w:rPr>
                <w:sz w:val="23"/>
                <w:szCs w:val="23"/>
                <w:color w:val="auto"/>
              </w:rPr>
            </w:pPr>
          </w:p>
        </w:tc>
        <w:tc>
          <w:tcPr>
            <w:tcW w:w="7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1,001</w:t>
            </w:r>
          </w:p>
        </w:tc>
        <w:tc>
          <w:tcPr>
            <w:tcW w:w="22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EFFE7"/>
            </w:tcBorders>
            <w:shd w:val="clear" w:color="auto" w:fill="CEFFE7"/>
          </w:tcPr>
          <w:p>
            <w:pPr>
              <w:spacing w:after="0"/>
              <w:rPr>
                <w:sz w:val="23"/>
                <w:szCs w:val="23"/>
                <w:color w:val="auto"/>
              </w:rPr>
            </w:pPr>
          </w:p>
        </w:tc>
        <w:tc>
          <w:tcPr>
            <w:tcW w:w="7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216</w:t>
            </w:r>
          </w:p>
        </w:tc>
        <w:tc>
          <w:tcPr>
            <w:tcW w:w="200" w:type="dxa"/>
            <w:vAlign w:val="bottom"/>
            <w:tcBorders>
              <w:bottom w:val="single" w:sz="8" w:color="CEFFE7"/>
            </w:tcBorders>
            <w:shd w:val="clear" w:color="auto" w:fill="CEFFE7"/>
          </w:tcPr>
          <w:p>
            <w:pPr>
              <w:spacing w:after="0"/>
              <w:rPr>
                <w:sz w:val="23"/>
                <w:szCs w:val="23"/>
                <w:color w:val="auto"/>
              </w:rPr>
            </w:pPr>
          </w:p>
        </w:tc>
        <w:tc>
          <w:tcPr>
            <w:tcW w:w="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499</w:t>
            </w:r>
          </w:p>
        </w:tc>
      </w:tr>
      <w:tr>
        <w:trPr>
          <w:trHeight w:val="257"/>
        </w:trPr>
        <w:tc>
          <w:tcPr>
            <w:tcW w:w="2980" w:type="dxa"/>
            <w:vAlign w:val="bottom"/>
          </w:tcPr>
          <w:p>
            <w:pPr>
              <w:ind w:left="40"/>
              <w:spacing w:after="0"/>
              <w:rPr>
                <w:sz w:val="20"/>
                <w:szCs w:val="20"/>
                <w:color w:val="auto"/>
              </w:rPr>
            </w:pPr>
            <w:r>
              <w:rPr>
                <w:rFonts w:ascii="Arial" w:cs="Arial" w:eastAsia="Arial" w:hAnsi="Arial"/>
                <w:sz w:val="18"/>
                <w:szCs w:val="18"/>
                <w:color w:val="auto"/>
              </w:rPr>
              <w:t>Net periodic expense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2,145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6,253</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2,102</w:t>
            </w:r>
          </w:p>
        </w:tc>
        <w:tc>
          <w:tcPr>
            <w:tcW w:w="26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6,827</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3,936</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3,825</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3,434</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3,879</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4,214</w:t>
            </w:r>
          </w:p>
        </w:tc>
      </w:tr>
      <w:tr>
        <w:trPr>
          <w:trHeight w:val="20"/>
        </w:trPr>
        <w:tc>
          <w:tcPr>
            <w:tcW w:w="29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80"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For the years ended December 31, 2019 and 2018, service costs were recorded in Operations and maintenance expense while non-service costs were recorded in Other expense on the Consolidated Statements of Income. For the year ended December 31, 2017, service costs and non-service costs were recorded in Operations and maintenance expense. Because non-service costs were not considered material for the year ended December 31, 2017, they were not reclassified on the Consolidated Statements of Income.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420"/>
          </w:cols>
          <w:pgMar w:left="240" w:top="126" w:right="239" w:bottom="1440" w:gutter="0" w:footer="0" w:header="0"/>
        </w:sectPr>
      </w:pPr>
    </w:p>
    <w:bookmarkStart w:id="134" w:name="page135"/>
    <w:bookmarkEnd w:id="13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AOCI</w:t>
      </w:r>
    </w:p>
    <w:p>
      <w:pPr>
        <w:spacing w:after="0" w:line="22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For defined benefit plans, amounts included in AOCI, after-tax, that have not yet been recognized as components of net periodic benefit cost at December 31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780" w:type="dxa"/>
            <w:vAlign w:val="bottom"/>
            <w:gridSpan w:val="2"/>
          </w:tcPr>
          <w:p>
            <w:pPr>
              <w:jc w:val="center"/>
              <w:ind w:left="430"/>
              <w:spacing w:after="0"/>
              <w:rPr>
                <w:sz w:val="20"/>
                <w:szCs w:val="20"/>
                <w:color w:val="auto"/>
              </w:rPr>
            </w:pPr>
            <w:r>
              <w:rPr>
                <w:rFonts w:ascii="Arial" w:cs="Arial" w:eastAsia="Arial" w:hAnsi="Arial"/>
                <w:sz w:val="18"/>
                <w:szCs w:val="18"/>
                <w:color w:val="auto"/>
                <w:w w:val="89"/>
              </w:rPr>
              <w:t>Supplemental</w:t>
            </w: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40" w:type="dxa"/>
            <w:vAlign w:val="bottom"/>
            <w:gridSpan w:val="4"/>
          </w:tcPr>
          <w:p>
            <w:pPr>
              <w:jc w:val="right"/>
              <w:ind w:right="610"/>
              <w:spacing w:after="0"/>
              <w:rPr>
                <w:sz w:val="20"/>
                <w:szCs w:val="20"/>
                <w:color w:val="auto"/>
              </w:rPr>
            </w:pPr>
            <w:r>
              <w:rPr>
                <w:rFonts w:ascii="Arial" w:cs="Arial" w:eastAsia="Arial" w:hAnsi="Arial"/>
                <w:sz w:val="18"/>
                <w:szCs w:val="18"/>
                <w:color w:val="auto"/>
              </w:rPr>
              <w:t>Defined Benefit</w:t>
            </w:r>
          </w:p>
        </w:tc>
        <w:tc>
          <w:tcPr>
            <w:tcW w:w="140" w:type="dxa"/>
            <w:vAlign w:val="bottom"/>
          </w:tcPr>
          <w:p>
            <w:pPr>
              <w:spacing w:after="0"/>
              <w:rPr>
                <w:sz w:val="18"/>
                <w:szCs w:val="18"/>
                <w:color w:val="auto"/>
              </w:rPr>
            </w:pPr>
          </w:p>
        </w:tc>
        <w:tc>
          <w:tcPr>
            <w:tcW w:w="2320" w:type="dxa"/>
            <w:vAlign w:val="bottom"/>
            <w:gridSpan w:val="3"/>
          </w:tcPr>
          <w:p>
            <w:pPr>
              <w:jc w:val="center"/>
              <w:spacing w:after="0"/>
              <w:rPr>
                <w:sz w:val="20"/>
                <w:szCs w:val="20"/>
                <w:color w:val="auto"/>
              </w:rPr>
            </w:pPr>
            <w:r>
              <w:rPr>
                <w:rFonts w:ascii="Arial" w:cs="Arial" w:eastAsia="Arial" w:hAnsi="Arial"/>
                <w:sz w:val="18"/>
                <w:szCs w:val="18"/>
                <w:color w:val="auto"/>
                <w:w w:val="94"/>
              </w:rPr>
              <w:t>Non-qualified Defined Benefit</w:t>
            </w:r>
          </w:p>
        </w:tc>
        <w:tc>
          <w:tcPr>
            <w:tcW w:w="2400" w:type="dxa"/>
            <w:vAlign w:val="bottom"/>
            <w:gridSpan w:val="4"/>
          </w:tcPr>
          <w:p>
            <w:pPr>
              <w:jc w:val="right"/>
              <w:spacing w:after="0"/>
              <w:rPr>
                <w:sz w:val="20"/>
                <w:szCs w:val="20"/>
                <w:color w:val="auto"/>
              </w:rPr>
            </w:pPr>
            <w:r>
              <w:rPr>
                <w:rFonts w:ascii="Arial" w:cs="Arial" w:eastAsia="Arial" w:hAnsi="Arial"/>
                <w:sz w:val="18"/>
                <w:szCs w:val="18"/>
                <w:color w:val="auto"/>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800" w:type="dxa"/>
            <w:vAlign w:val="bottom"/>
            <w:gridSpan w:val="3"/>
          </w:tcPr>
          <w:p>
            <w:pPr>
              <w:jc w:val="right"/>
              <w:ind w:right="710"/>
              <w:spacing w:after="0"/>
              <w:rPr>
                <w:sz w:val="20"/>
                <w:szCs w:val="20"/>
                <w:color w:val="auto"/>
              </w:rPr>
            </w:pPr>
            <w:r>
              <w:rPr>
                <w:rFonts w:ascii="Arial" w:cs="Arial" w:eastAsia="Arial" w:hAnsi="Arial"/>
                <w:sz w:val="18"/>
                <w:szCs w:val="18"/>
                <w:color w:val="auto"/>
                <w:w w:val="92"/>
              </w:rPr>
              <w:t>Pension Plan</w:t>
            </w:r>
          </w:p>
        </w:tc>
        <w:tc>
          <w:tcPr>
            <w:tcW w:w="140" w:type="dxa"/>
            <w:vAlign w:val="bottom"/>
          </w:tcPr>
          <w:p>
            <w:pPr>
              <w:spacing w:after="0"/>
              <w:rPr>
                <w:sz w:val="20"/>
                <w:szCs w:val="20"/>
                <w:color w:val="auto"/>
              </w:rPr>
            </w:pPr>
          </w:p>
        </w:tc>
        <w:tc>
          <w:tcPr>
            <w:tcW w:w="1780" w:type="dxa"/>
            <w:vAlign w:val="bottom"/>
            <w:gridSpan w:val="2"/>
          </w:tcPr>
          <w:p>
            <w:pPr>
              <w:jc w:val="center"/>
              <w:ind w:left="430"/>
              <w:spacing w:after="0"/>
              <w:rPr>
                <w:sz w:val="20"/>
                <w:szCs w:val="20"/>
                <w:color w:val="auto"/>
              </w:rPr>
            </w:pPr>
            <w:r>
              <w:rPr>
                <w:rFonts w:ascii="Arial" w:cs="Arial" w:eastAsia="Arial" w:hAnsi="Arial"/>
                <w:sz w:val="18"/>
                <w:szCs w:val="18"/>
                <w:color w:val="auto"/>
                <w:w w:val="84"/>
              </w:rPr>
              <w:t>Plans</w:t>
            </w:r>
          </w:p>
        </w:tc>
        <w:tc>
          <w:tcPr>
            <w:tcW w:w="540" w:type="dxa"/>
            <w:vAlign w:val="bottom"/>
          </w:tcPr>
          <w:p>
            <w:pPr>
              <w:spacing w:after="0"/>
              <w:rPr>
                <w:sz w:val="20"/>
                <w:szCs w:val="20"/>
                <w:color w:val="auto"/>
              </w:rPr>
            </w:pPr>
          </w:p>
        </w:tc>
        <w:tc>
          <w:tcPr>
            <w:tcW w:w="2400" w:type="dxa"/>
            <w:vAlign w:val="bottom"/>
            <w:gridSpan w:val="4"/>
          </w:tcPr>
          <w:p>
            <w:pPr>
              <w:ind w:left="160"/>
              <w:spacing w:after="0"/>
              <w:rPr>
                <w:sz w:val="20"/>
                <w:szCs w:val="20"/>
                <w:color w:val="auto"/>
              </w:rPr>
            </w:pPr>
            <w:r>
              <w:rPr>
                <w:rFonts w:ascii="Arial" w:cs="Arial" w:eastAsia="Arial" w:hAnsi="Arial"/>
                <w:sz w:val="18"/>
                <w:szCs w:val="18"/>
                <w:color w:val="auto"/>
                <w:w w:val="88"/>
              </w:rPr>
              <w:t>Postretirement Healthcare Plan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Pr>
          <w:p>
            <w:pPr>
              <w:spacing w:after="0"/>
              <w:rPr>
                <w:sz w:val="2"/>
                <w:szCs w:val="2"/>
                <w:color w:val="auto"/>
              </w:rPr>
            </w:pPr>
          </w:p>
        </w:tc>
        <w:tc>
          <w:tcPr>
            <w:tcW w:w="9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620" w:type="dxa"/>
            <w:vAlign w:val="bottom"/>
            <w:gridSpan w:val="3"/>
          </w:tcPr>
          <w:p>
            <w:pPr>
              <w:jc w:val="right"/>
              <w:ind w:right="310"/>
              <w:spacing w:after="0"/>
              <w:rPr>
                <w:sz w:val="20"/>
                <w:szCs w:val="20"/>
                <w:color w:val="auto"/>
              </w:rPr>
            </w:pPr>
            <w:r>
              <w:rPr>
                <w:rFonts w:ascii="Arial" w:cs="Arial" w:eastAsia="Arial" w:hAnsi="Arial"/>
                <w:sz w:val="18"/>
                <w:szCs w:val="18"/>
                <w:color w:val="auto"/>
              </w:rPr>
              <w:t>2019</w:t>
            </w:r>
          </w:p>
        </w:tc>
        <w:tc>
          <w:tcPr>
            <w:tcW w:w="300" w:type="dxa"/>
            <w:vAlign w:val="bottom"/>
          </w:tcPr>
          <w:p>
            <w:pPr>
              <w:spacing w:after="0"/>
              <w:rPr>
                <w:sz w:val="20"/>
                <w:szCs w:val="20"/>
                <w:color w:val="auto"/>
              </w:rPr>
            </w:pPr>
          </w:p>
        </w:tc>
        <w:tc>
          <w:tcPr>
            <w:tcW w:w="980" w:type="dxa"/>
            <w:vAlign w:val="bottom"/>
          </w:tcPr>
          <w:p>
            <w:pPr>
              <w:jc w:val="right"/>
              <w:ind w:right="430"/>
              <w:spacing w:after="0"/>
              <w:rPr>
                <w:sz w:val="20"/>
                <w:szCs w:val="20"/>
                <w:color w:val="auto"/>
              </w:rPr>
            </w:pPr>
            <w:r>
              <w:rPr>
                <w:rFonts w:ascii="Arial" w:cs="Arial" w:eastAsia="Arial" w:hAnsi="Arial"/>
                <w:sz w:val="18"/>
                <w:szCs w:val="18"/>
                <w:color w:val="auto"/>
              </w:rPr>
              <w:t>2018</w:t>
            </w:r>
          </w:p>
        </w:tc>
        <w:tc>
          <w:tcPr>
            <w:tcW w:w="140" w:type="dxa"/>
            <w:vAlign w:val="bottom"/>
          </w:tcPr>
          <w:p>
            <w:pPr>
              <w:spacing w:after="0"/>
              <w:rPr>
                <w:sz w:val="20"/>
                <w:szCs w:val="20"/>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2019</w:t>
            </w:r>
          </w:p>
        </w:tc>
        <w:tc>
          <w:tcPr>
            <w:tcW w:w="1280" w:type="dxa"/>
            <w:vAlign w:val="bottom"/>
            <w:gridSpan w:val="2"/>
          </w:tcPr>
          <w:p>
            <w:pPr>
              <w:jc w:val="right"/>
              <w:ind w:right="330"/>
              <w:spacing w:after="0"/>
              <w:rPr>
                <w:sz w:val="20"/>
                <w:szCs w:val="20"/>
                <w:color w:val="auto"/>
              </w:rPr>
            </w:pPr>
            <w:r>
              <w:rPr>
                <w:rFonts w:ascii="Arial" w:cs="Arial" w:eastAsia="Arial" w:hAnsi="Arial"/>
                <w:sz w:val="18"/>
                <w:szCs w:val="18"/>
                <w:color w:val="auto"/>
              </w:rPr>
              <w:t>2018</w:t>
            </w:r>
          </w:p>
        </w:tc>
        <w:tc>
          <w:tcPr>
            <w:tcW w:w="500" w:type="dxa"/>
            <w:vAlign w:val="bottom"/>
          </w:tcPr>
          <w:p>
            <w:pPr>
              <w:spacing w:after="0"/>
              <w:rPr>
                <w:sz w:val="20"/>
                <w:szCs w:val="20"/>
                <w:color w:val="auto"/>
              </w:rPr>
            </w:pPr>
          </w:p>
        </w:tc>
        <w:tc>
          <w:tcPr>
            <w:tcW w:w="780" w:type="dxa"/>
            <w:vAlign w:val="bottom"/>
          </w:tcPr>
          <w:p>
            <w:pPr>
              <w:jc w:val="right"/>
              <w:ind w:right="310"/>
              <w:spacing w:after="0"/>
              <w:rPr>
                <w:sz w:val="20"/>
                <w:szCs w:val="20"/>
                <w:color w:val="auto"/>
              </w:rPr>
            </w:pPr>
            <w:r>
              <w:rPr>
                <w:rFonts w:ascii="Arial" w:cs="Arial" w:eastAsia="Arial" w:hAnsi="Arial"/>
                <w:sz w:val="18"/>
                <w:szCs w:val="18"/>
                <w:color w:val="auto"/>
                <w:w w:val="89"/>
              </w:rPr>
              <w:t>2019</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460" w:type="dxa"/>
            <w:vAlign w:val="bottom"/>
            <w:tcBorders>
              <w:bottom w:val="single" w:sz="8" w:color="CEFFE7"/>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Net (gain) loss</w:t>
            </w:r>
          </w:p>
        </w:tc>
        <w:tc>
          <w:tcPr>
            <w:tcW w:w="920" w:type="dxa"/>
            <w:vAlign w:val="bottom"/>
            <w:tcBorders>
              <w:bottom w:val="single" w:sz="8" w:color="CEFFE7"/>
            </w:tcBorders>
            <w:shd w:val="clear" w:color="auto" w:fill="CEFFE7"/>
          </w:tcPr>
          <w:p>
            <w:pPr>
              <w:spacing w:after="0"/>
              <w:rPr>
                <w:sz w:val="21"/>
                <w:szCs w:val="21"/>
                <w:color w:val="auto"/>
              </w:rPr>
            </w:pPr>
          </w:p>
        </w:tc>
        <w:tc>
          <w:tcPr>
            <w:tcW w:w="1100" w:type="dxa"/>
            <w:vAlign w:val="bottom"/>
            <w:tcBorders>
              <w:bottom w:val="single" w:sz="8" w:color="CEFFE7"/>
            </w:tcBorders>
            <w:gridSpan w:val="2"/>
            <w:shd w:val="clear" w:color="auto" w:fill="CEFFE7"/>
          </w:tcPr>
          <w:p>
            <w:pPr>
              <w:jc w:val="right"/>
              <w:ind w:right="43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5,322</w:t>
            </w:r>
          </w:p>
        </w:tc>
        <w:tc>
          <w:tcPr>
            <w:tcW w:w="30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11,967</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9,893</w:t>
            </w:r>
          </w:p>
        </w:tc>
        <w:tc>
          <w:tcPr>
            <w:tcW w:w="740" w:type="dxa"/>
            <w:vAlign w:val="bottom"/>
            <w:tcBorders>
              <w:bottom w:val="single" w:sz="8" w:color="CEFFE7"/>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7"/>
              </w:rPr>
              <w:t>4,668</w:t>
            </w:r>
          </w:p>
        </w:tc>
        <w:tc>
          <w:tcPr>
            <w:tcW w:w="500" w:type="dxa"/>
            <w:vAlign w:val="bottom"/>
            <w:tcBorders>
              <w:bottom w:val="single" w:sz="8" w:color="CEFFE7"/>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90</w:t>
            </w:r>
          </w:p>
        </w:tc>
        <w:tc>
          <w:tcPr>
            <w:tcW w:w="2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860</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Prior service cost (gain)</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150"/>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w:t>
            </w:r>
          </w:p>
        </w:tc>
        <w:tc>
          <w:tcPr>
            <w:tcW w:w="7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(230)</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640" w:type="dxa"/>
            <w:vAlign w:val="bottom"/>
            <w:gridSpan w:val="2"/>
          </w:tcPr>
          <w:p>
            <w:pPr>
              <w:spacing w:after="0"/>
              <w:rPr>
                <w:sz w:val="2"/>
                <w:szCs w:val="2"/>
                <w:color w:val="auto"/>
              </w:rPr>
            </w:pPr>
          </w:p>
        </w:tc>
        <w:tc>
          <w:tcPr>
            <w:tcW w:w="4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5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3640" w:type="dxa"/>
            <w:vAlign w:val="bottom"/>
            <w:tcBorders>
              <w:bottom w:val="single" w:sz="8" w:color="CEFFE7"/>
            </w:tcBorders>
            <w:gridSpan w:val="2"/>
            <w:shd w:val="clear" w:color="auto" w:fill="CEFFE7"/>
          </w:tcPr>
          <w:p>
            <w:pPr>
              <w:ind w:left="20"/>
              <w:spacing w:after="0"/>
              <w:rPr>
                <w:sz w:val="20"/>
                <w:szCs w:val="20"/>
                <w:color w:val="auto"/>
              </w:rPr>
            </w:pPr>
            <w:r>
              <w:rPr>
                <w:rFonts w:ascii="Arial" w:cs="Arial" w:eastAsia="Arial" w:hAnsi="Arial"/>
                <w:sz w:val="18"/>
                <w:szCs w:val="18"/>
                <w:color w:val="auto"/>
                <w:w w:val="94"/>
              </w:rPr>
              <w:t>Reclassification of certain tax effects from AOCI</w:t>
            </w:r>
          </w:p>
        </w:tc>
        <w:tc>
          <w:tcPr>
            <w:tcW w:w="460" w:type="dxa"/>
            <w:vAlign w:val="bottom"/>
            <w:tcBorders>
              <w:bottom w:val="single" w:sz="8" w:color="CEFFE7"/>
            </w:tcBorders>
            <w:shd w:val="clear" w:color="auto" w:fill="CEFFE7"/>
          </w:tcPr>
          <w:p>
            <w:pPr>
              <w:spacing w:after="0"/>
              <w:rPr>
                <w:sz w:val="21"/>
                <w:szCs w:val="21"/>
                <w:color w:val="auto"/>
              </w:rPr>
            </w:pPr>
          </w:p>
        </w:tc>
        <w:tc>
          <w:tcPr>
            <w:tcW w:w="640" w:type="dxa"/>
            <w:vAlign w:val="bottom"/>
            <w:tcBorders>
              <w:bottom w:val="single" w:sz="8" w:color="CEFFE7"/>
            </w:tcBorders>
            <w:shd w:val="clear" w:color="auto" w:fill="CEFFE7"/>
          </w:tcPr>
          <w:p>
            <w:pPr>
              <w:spacing w:after="0"/>
              <w:rPr>
                <w:sz w:val="21"/>
                <w:szCs w:val="21"/>
                <w:color w:val="auto"/>
              </w:rPr>
            </w:pPr>
          </w:p>
        </w:tc>
        <w:tc>
          <w:tcPr>
            <w:tcW w:w="5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EFFE7"/>
            </w:tcBorders>
            <w:shd w:val="clear" w:color="auto" w:fill="CEFFE7"/>
          </w:tcPr>
          <w:p>
            <w:pPr>
              <w:spacing w:after="0"/>
              <w:rPr>
                <w:sz w:val="21"/>
                <w:szCs w:val="21"/>
                <w:color w:val="auto"/>
              </w:rPr>
            </w:pPr>
          </w:p>
        </w:tc>
        <w:tc>
          <w:tcPr>
            <w:tcW w:w="98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(594)</w:t>
            </w: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EFFE7"/>
            </w:tcBorders>
            <w:shd w:val="clear" w:color="auto" w:fill="CEFFE7"/>
          </w:tcPr>
          <w:p>
            <w:pPr>
              <w:spacing w:after="0"/>
              <w:rPr>
                <w:sz w:val="21"/>
                <w:szCs w:val="21"/>
                <w:color w:val="auto"/>
              </w:rPr>
            </w:pPr>
          </w:p>
        </w:tc>
        <w:tc>
          <w:tcPr>
            <w:tcW w:w="5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(87)</w:t>
            </w:r>
          </w:p>
        </w:tc>
        <w:tc>
          <w:tcPr>
            <w:tcW w:w="500" w:type="dxa"/>
            <w:vAlign w:val="bottom"/>
            <w:tcBorders>
              <w:bottom w:val="single" w:sz="8" w:color="CEFFE7"/>
            </w:tcBorders>
            <w:shd w:val="clear" w:color="auto" w:fill="CEFFE7"/>
          </w:tcPr>
          <w:p>
            <w:pPr>
              <w:spacing w:after="0"/>
              <w:rPr>
                <w:sz w:val="21"/>
                <w:szCs w:val="21"/>
                <w:color w:val="auto"/>
              </w:rPr>
            </w:pPr>
          </w:p>
        </w:tc>
        <w:tc>
          <w:tcPr>
            <w:tcW w:w="78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EFFE7"/>
            </w:tcBorders>
            <w:shd w:val="clear" w:color="auto" w:fill="CEFFE7"/>
          </w:tcPr>
          <w:p>
            <w:pPr>
              <w:spacing w:after="0"/>
              <w:rPr>
                <w:sz w:val="21"/>
                <w:szCs w:val="21"/>
                <w:color w:val="auto"/>
              </w:rPr>
            </w:pPr>
          </w:p>
        </w:tc>
        <w:tc>
          <w:tcPr>
            <w:tcW w:w="8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6"/>
              </w:rPr>
              <w:t>Reclassification to regulatory asset</w:t>
            </w:r>
          </w:p>
        </w:tc>
        <w:tc>
          <w:tcPr>
            <w:tcW w:w="9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980" w:type="dxa"/>
            <w:vAlign w:val="bottom"/>
          </w:tcPr>
          <w:p>
            <w:pPr>
              <w:jc w:val="right"/>
              <w:ind w:right="90"/>
              <w:spacing w:after="0"/>
              <w:rPr>
                <w:sz w:val="20"/>
                <w:szCs w:val="20"/>
                <w:color w:val="auto"/>
              </w:rPr>
            </w:pPr>
            <w:r>
              <w:rPr>
                <w:rFonts w:ascii="Arial" w:cs="Arial" w:eastAsia="Arial" w:hAnsi="Arial"/>
                <w:sz w:val="18"/>
                <w:szCs w:val="18"/>
                <w:color w:val="auto"/>
              </w:rPr>
              <w:t>(5,600)</w:t>
            </w:r>
          </w:p>
        </w:tc>
        <w:tc>
          <w:tcPr>
            <w:tcW w:w="1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7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1"/>
                <w:szCs w:val="21"/>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CEFFE7"/>
            </w:tcBorders>
          </w:tcPr>
          <w:p>
            <w:pPr>
              <w:spacing w:after="0"/>
              <w:rPr>
                <w:sz w:val="2"/>
                <w:szCs w:val="2"/>
                <w:color w:val="auto"/>
              </w:rPr>
            </w:pPr>
          </w:p>
        </w:tc>
        <w:tc>
          <w:tcPr>
            <w:tcW w:w="920" w:type="dxa"/>
            <w:vAlign w:val="bottom"/>
            <w:tcBorders>
              <w:bottom w:val="single" w:sz="8" w:color="CEFFE7"/>
            </w:tcBorders>
          </w:tcPr>
          <w:p>
            <w:pPr>
              <w:spacing w:after="0"/>
              <w:rPr>
                <w:sz w:val="2"/>
                <w:szCs w:val="2"/>
                <w:color w:val="auto"/>
              </w:rPr>
            </w:pPr>
          </w:p>
        </w:tc>
        <w:tc>
          <w:tcPr>
            <w:tcW w:w="460" w:type="dxa"/>
            <w:vAlign w:val="bottom"/>
            <w:tcBorders>
              <w:bottom w:val="single" w:sz="8" w:color="CEFFE7"/>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Total AOCI</w:t>
            </w:r>
          </w:p>
        </w:tc>
        <w:tc>
          <w:tcPr>
            <w:tcW w:w="920" w:type="dxa"/>
            <w:vAlign w:val="bottom"/>
            <w:tcBorders>
              <w:bottom w:val="single" w:sz="8" w:color="CEFFE7"/>
            </w:tcBorders>
            <w:shd w:val="clear" w:color="auto" w:fill="CEFFE7"/>
          </w:tcPr>
          <w:p>
            <w:pPr>
              <w:spacing w:after="0"/>
              <w:rPr>
                <w:sz w:val="22"/>
                <w:szCs w:val="22"/>
                <w:color w:val="auto"/>
              </w:rPr>
            </w:pPr>
          </w:p>
        </w:tc>
        <w:tc>
          <w:tcPr>
            <w:tcW w:w="460" w:type="dxa"/>
            <w:vAlign w:val="bottom"/>
            <w:tcBorders>
              <w:bottom w:val="single" w:sz="8" w:color="CEFFE7"/>
            </w:tcBorders>
            <w:shd w:val="clear" w:color="auto" w:fill="CEFFE7"/>
          </w:tcPr>
          <w:p>
            <w:pPr>
              <w:spacing w:after="0"/>
              <w:rPr>
                <w:sz w:val="22"/>
                <w:szCs w:val="22"/>
                <w:color w:val="auto"/>
              </w:rPr>
            </w:pPr>
          </w:p>
        </w:tc>
        <w:tc>
          <w:tcPr>
            <w:tcW w:w="640" w:type="dxa"/>
            <w:vAlign w:val="bottom"/>
            <w:tcBorders>
              <w:bottom w:val="single" w:sz="8" w:color="auto"/>
            </w:tcBorders>
            <w:shd w:val="clear" w:color="auto" w:fill="CEFFE7"/>
          </w:tcPr>
          <w:p>
            <w:pPr>
              <w:jc w:val="right"/>
              <w:ind w:right="430"/>
              <w:spacing w:after="0"/>
              <w:rPr>
                <w:sz w:val="20"/>
                <w:szCs w:val="20"/>
                <w:color w:val="auto"/>
              </w:rPr>
            </w:pPr>
            <w:r>
              <w:rPr>
                <w:rFonts w:ascii="Arial" w:cs="Arial" w:eastAsia="Arial" w:hAnsi="Arial"/>
                <w:sz w:val="18"/>
                <w:szCs w:val="18"/>
                <w:color w:val="auto"/>
                <w:w w:val="99"/>
              </w:rPr>
              <w:t>$</w:t>
            </w:r>
          </w:p>
        </w:tc>
        <w:tc>
          <w:tcPr>
            <w:tcW w:w="5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88"/>
              </w:rPr>
              <w:t>5,322</w:t>
            </w:r>
          </w:p>
        </w:tc>
        <w:tc>
          <w:tcPr>
            <w:tcW w:w="300" w:type="dxa"/>
            <w:vAlign w:val="bottom"/>
            <w:tcBorders>
              <w:bottom w:val="single" w:sz="8" w:color="auto"/>
            </w:tcBorders>
            <w:shd w:val="clear" w:color="auto" w:fill="CEFFE7"/>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EFFE7"/>
          </w:tcPr>
          <w:p>
            <w:pPr>
              <w:jc w:val="right"/>
              <w:ind w:right="150"/>
              <w:spacing w:after="0"/>
              <w:rPr>
                <w:sz w:val="20"/>
                <w:szCs w:val="20"/>
                <w:color w:val="auto"/>
              </w:rPr>
            </w:pPr>
            <w:r>
              <w:rPr>
                <w:rFonts w:ascii="Arial" w:cs="Arial" w:eastAsia="Arial" w:hAnsi="Arial"/>
                <w:sz w:val="18"/>
                <w:szCs w:val="18"/>
                <w:color w:val="auto"/>
              </w:rPr>
              <w:t>5,774</w:t>
            </w:r>
          </w:p>
        </w:tc>
        <w:tc>
          <w:tcPr>
            <w:tcW w:w="1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9,895</w:t>
            </w:r>
          </w:p>
        </w:tc>
        <w:tc>
          <w:tcPr>
            <w:tcW w:w="740" w:type="dxa"/>
            <w:vAlign w:val="bottom"/>
            <w:tcBorders>
              <w:bottom w:val="single" w:sz="8" w:color="auto"/>
            </w:tcBorders>
            <w:shd w:val="clear" w:color="auto" w:fill="CEFFE7"/>
          </w:tcPr>
          <w:p>
            <w:pPr>
              <w:jc w:val="center"/>
              <w:ind w:right="410"/>
              <w:spacing w:after="0"/>
              <w:rPr>
                <w:sz w:val="20"/>
                <w:szCs w:val="20"/>
                <w:color w:val="auto"/>
              </w:rPr>
            </w:pPr>
            <w:r>
              <w:rPr>
                <w:rFonts w:ascii="Arial" w:cs="Arial" w:eastAsia="Arial" w:hAnsi="Arial"/>
                <w:sz w:val="18"/>
                <w:szCs w:val="18"/>
                <w:color w:val="auto"/>
                <w:w w:val="79"/>
              </w:rPr>
              <w:t>$</w:t>
            </w:r>
          </w:p>
        </w:tc>
        <w:tc>
          <w:tcPr>
            <w:tcW w:w="5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w w:val="97"/>
              </w:rPr>
              <w:t>4,584</w:t>
            </w:r>
          </w:p>
        </w:tc>
        <w:tc>
          <w:tcPr>
            <w:tcW w:w="500" w:type="dxa"/>
            <w:vAlign w:val="bottom"/>
            <w:tcBorders>
              <w:bottom w:val="single" w:sz="8" w:color="auto"/>
            </w:tcBorders>
            <w:shd w:val="clear" w:color="auto" w:fill="CEFFE7"/>
          </w:tcPr>
          <w:p>
            <w:pPr>
              <w:ind w:left="16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(140)</w:t>
            </w:r>
          </w:p>
        </w:tc>
        <w:tc>
          <w:tcPr>
            <w:tcW w:w="260" w:type="dxa"/>
            <w:vAlign w:val="bottom"/>
            <w:tcBorders>
              <w:bottom w:val="single" w:sz="8" w:color="auto"/>
            </w:tcBorders>
            <w:shd w:val="clear" w:color="auto" w:fill="CEFFE7"/>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(421)</w:t>
            </w:r>
          </w:p>
        </w:tc>
        <w:tc>
          <w:tcPr>
            <w:tcW w:w="0" w:type="dxa"/>
            <w:vAlign w:val="bottom"/>
          </w:tcPr>
          <w:p>
            <w:pPr>
              <w:spacing w:after="0"/>
              <w:rPr>
                <w:sz w:val="1"/>
                <w:szCs w:val="1"/>
                <w:color w:val="auto"/>
              </w:rPr>
            </w:pPr>
          </w:p>
        </w:tc>
      </w:tr>
      <w:tr>
        <w:trPr>
          <w:trHeight w:val="20"/>
        </w:trPr>
        <w:tc>
          <w:tcPr>
            <w:tcW w:w="27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Assumptions</w:t>
            </w:r>
          </w:p>
        </w:tc>
        <w:tc>
          <w:tcPr>
            <w:tcW w:w="9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2740" w:type="dxa"/>
            <w:vAlign w:val="bottom"/>
            <w:gridSpan w:val="2"/>
            <w:vMerge w:val="continue"/>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Defined Benefit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Supplemental</w:t>
            </w:r>
          </w:p>
        </w:tc>
        <w:tc>
          <w:tcPr>
            <w:tcW w:w="740" w:type="dxa"/>
            <w:vAlign w:val="bottom"/>
          </w:tcPr>
          <w:p>
            <w:pPr>
              <w:spacing w:after="0"/>
              <w:rPr>
                <w:sz w:val="24"/>
                <w:szCs w:val="24"/>
                <w:color w:val="auto"/>
              </w:rPr>
            </w:pPr>
          </w:p>
        </w:tc>
        <w:tc>
          <w:tcPr>
            <w:tcW w:w="2940" w:type="dxa"/>
            <w:vAlign w:val="bottom"/>
            <w:gridSpan w:val="5"/>
          </w:tcPr>
          <w:p>
            <w:pPr>
              <w:jc w:val="right"/>
              <w:ind w:right="250"/>
              <w:spacing w:after="0"/>
              <w:rPr>
                <w:sz w:val="20"/>
                <w:szCs w:val="20"/>
                <w:color w:val="auto"/>
              </w:rPr>
            </w:pPr>
            <w:r>
              <w:rPr>
                <w:rFonts w:ascii="Arial" w:cs="Arial" w:eastAsia="Arial" w:hAnsi="Arial"/>
                <w:sz w:val="18"/>
                <w:szCs w:val="18"/>
                <w:color w:val="auto"/>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Pension Plan</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93"/>
              </w:rPr>
              <w:t>Non-qualified Defined Benefit Plans</w:t>
            </w:r>
          </w:p>
        </w:tc>
        <w:tc>
          <w:tcPr>
            <w:tcW w:w="2940" w:type="dxa"/>
            <w:vAlign w:val="bottom"/>
            <w:gridSpan w:val="5"/>
          </w:tcPr>
          <w:p>
            <w:pPr>
              <w:ind w:left="420"/>
              <w:spacing w:after="0"/>
              <w:rPr>
                <w:sz w:val="20"/>
                <w:szCs w:val="20"/>
                <w:color w:val="auto"/>
              </w:rPr>
            </w:pPr>
            <w:r>
              <w:rPr>
                <w:rFonts w:ascii="Arial" w:cs="Arial" w:eastAsia="Arial" w:hAnsi="Arial"/>
                <w:sz w:val="18"/>
                <w:szCs w:val="18"/>
                <w:color w:val="auto"/>
                <w:w w:val="99"/>
              </w:rPr>
              <w:t>Postretirement Healthcare Plan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benefit obligations:</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2018</w:t>
            </w: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2018</w:t>
            </w:r>
          </w:p>
        </w:tc>
        <w:tc>
          <w:tcPr>
            <w:tcW w:w="740" w:type="dxa"/>
            <w:vAlign w:val="bottom"/>
          </w:tcPr>
          <w:p>
            <w:pPr>
              <w:ind w:left="80"/>
              <w:spacing w:after="0"/>
              <w:rPr>
                <w:sz w:val="20"/>
                <w:szCs w:val="20"/>
                <w:color w:val="auto"/>
              </w:rPr>
            </w:pPr>
            <w:r>
              <w:rPr>
                <w:rFonts w:ascii="Arial" w:cs="Arial" w:eastAsia="Arial" w:hAnsi="Arial"/>
                <w:sz w:val="18"/>
                <w:szCs w:val="18"/>
                <w:color w:val="auto"/>
              </w:rPr>
              <w:t>2017</w:t>
            </w: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2019</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Discount rate</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3.27%</w:t>
            </w:r>
          </w:p>
        </w:tc>
        <w:tc>
          <w:tcPr>
            <w:tcW w:w="1100" w:type="dxa"/>
            <w:vAlign w:val="bottom"/>
            <w:tcBorders>
              <w:bottom w:val="single" w:sz="8" w:color="CEFFE7"/>
            </w:tcBorders>
            <w:gridSpan w:val="2"/>
            <w:shd w:val="clear" w:color="auto" w:fill="CEFFE7"/>
          </w:tcPr>
          <w:p>
            <w:pPr>
              <w:jc w:val="right"/>
              <w:ind w:right="110"/>
              <w:spacing w:after="0"/>
              <w:rPr>
                <w:sz w:val="20"/>
                <w:szCs w:val="20"/>
                <w:color w:val="auto"/>
              </w:rPr>
            </w:pPr>
            <w:r>
              <w:rPr>
                <w:rFonts w:ascii="Arial" w:cs="Arial" w:eastAsia="Arial" w:hAnsi="Arial"/>
                <w:sz w:val="18"/>
                <w:szCs w:val="18"/>
                <w:color w:val="auto"/>
              </w:rPr>
              <w:t>4.40%</w:t>
            </w:r>
          </w:p>
        </w:tc>
        <w:tc>
          <w:tcPr>
            <w:tcW w:w="8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3.71%</w:t>
            </w:r>
          </w:p>
        </w:tc>
        <w:tc>
          <w:tcPr>
            <w:tcW w:w="98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w w:val="90"/>
              </w:rPr>
              <w:t>3.14%</w:t>
            </w:r>
          </w:p>
        </w:tc>
        <w:tc>
          <w:tcPr>
            <w:tcW w:w="140" w:type="dxa"/>
            <w:vAlign w:val="bottom"/>
            <w:tcBorders>
              <w:bottom w:val="single" w:sz="8" w:color="CEFFE7"/>
            </w:tcBorders>
            <w:shd w:val="clear" w:color="auto" w:fill="CEFFE7"/>
          </w:tcPr>
          <w:p>
            <w:pPr>
              <w:spacing w:after="0"/>
              <w:rPr>
                <w:sz w:val="21"/>
                <w:szCs w:val="21"/>
                <w:color w:val="auto"/>
              </w:rPr>
            </w:pPr>
          </w:p>
        </w:tc>
        <w:tc>
          <w:tcPr>
            <w:tcW w:w="10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4.34%</w:t>
            </w:r>
          </w:p>
        </w:tc>
        <w:tc>
          <w:tcPr>
            <w:tcW w:w="7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w w:val="93"/>
              </w:rPr>
              <w:t>3.56%</w:t>
            </w:r>
          </w:p>
        </w:tc>
        <w:tc>
          <w:tcPr>
            <w:tcW w:w="540" w:type="dxa"/>
            <w:vAlign w:val="bottom"/>
            <w:tcBorders>
              <w:bottom w:val="single" w:sz="8" w:color="CEFFE7"/>
            </w:tcBorders>
            <w:shd w:val="clear" w:color="auto" w:fill="CEFFE7"/>
          </w:tcPr>
          <w:p>
            <w:pPr>
              <w:spacing w:after="0"/>
              <w:rPr>
                <w:sz w:val="21"/>
                <w:szCs w:val="21"/>
                <w:color w:val="auto"/>
              </w:rPr>
            </w:pPr>
          </w:p>
        </w:tc>
        <w:tc>
          <w:tcPr>
            <w:tcW w:w="500" w:type="dxa"/>
            <w:vAlign w:val="bottom"/>
            <w:tcBorders>
              <w:bottom w:val="single" w:sz="8" w:color="CEFFE7"/>
            </w:tcBorders>
            <w:shd w:val="clear" w:color="auto" w:fill="CEFFE7"/>
          </w:tcPr>
          <w:p>
            <w:pPr>
              <w:spacing w:after="0"/>
              <w:rPr>
                <w:sz w:val="20"/>
                <w:szCs w:val="20"/>
                <w:color w:val="auto"/>
              </w:rPr>
            </w:pPr>
            <w:r>
              <w:rPr>
                <w:rFonts w:ascii="Arial" w:cs="Arial" w:eastAsia="Arial" w:hAnsi="Arial"/>
                <w:sz w:val="18"/>
                <w:szCs w:val="18"/>
                <w:color w:val="auto"/>
                <w:w w:val="93"/>
              </w:rPr>
              <w:t>3.15%</w:t>
            </w:r>
          </w:p>
        </w:tc>
        <w:tc>
          <w:tcPr>
            <w:tcW w:w="1040" w:type="dxa"/>
            <w:vAlign w:val="bottom"/>
            <w:tcBorders>
              <w:bottom w:val="single" w:sz="8" w:color="CEFFE7"/>
            </w:tcBorders>
            <w:gridSpan w:val="2"/>
            <w:shd w:val="clear" w:color="auto" w:fill="CEFFE7"/>
          </w:tcPr>
          <w:p>
            <w:pPr>
              <w:ind w:left="460"/>
              <w:spacing w:after="0"/>
              <w:rPr>
                <w:sz w:val="20"/>
                <w:szCs w:val="20"/>
                <w:color w:val="auto"/>
              </w:rPr>
            </w:pPr>
            <w:r>
              <w:rPr>
                <w:rFonts w:ascii="Arial" w:cs="Arial" w:eastAsia="Arial" w:hAnsi="Arial"/>
                <w:sz w:val="18"/>
                <w:szCs w:val="18"/>
                <w:color w:val="auto"/>
              </w:rPr>
              <w:t>4.28%</w:t>
            </w:r>
          </w:p>
        </w:tc>
        <w:tc>
          <w:tcPr>
            <w:tcW w:w="8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w w:val="93"/>
              </w:rPr>
              <w:t>3.60%</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Pr>
          <w:p>
            <w:pPr>
              <w:jc w:val="right"/>
              <w:spacing w:after="0"/>
              <w:rPr>
                <w:sz w:val="20"/>
                <w:szCs w:val="20"/>
                <w:color w:val="auto"/>
              </w:rPr>
            </w:pPr>
            <w:r>
              <w:rPr>
                <w:rFonts w:ascii="Arial" w:cs="Arial" w:eastAsia="Arial" w:hAnsi="Arial"/>
                <w:sz w:val="18"/>
                <w:szCs w:val="18"/>
                <w:color w:val="auto"/>
              </w:rPr>
              <w:t>3.49%</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3.52%</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980" w:type="dxa"/>
            <w:vAlign w:val="bottom"/>
          </w:tcPr>
          <w:p>
            <w:pPr>
              <w:ind w:left="500"/>
              <w:spacing w:after="0"/>
              <w:rPr>
                <w:sz w:val="20"/>
                <w:szCs w:val="20"/>
                <w:color w:val="auto"/>
              </w:rPr>
            </w:pPr>
            <w:r>
              <w:rPr>
                <w:rFonts w:ascii="Arial" w:cs="Arial" w:eastAsia="Arial" w:hAnsi="Arial"/>
                <w:sz w:val="18"/>
                <w:szCs w:val="18"/>
                <w:color w:val="auto"/>
                <w:w w:val="90"/>
              </w:rPr>
              <w:t>5.00%</w:t>
            </w:r>
          </w:p>
        </w:tc>
        <w:tc>
          <w:tcPr>
            <w:tcW w:w="140" w:type="dxa"/>
            <w:vAlign w:val="bottom"/>
          </w:tcPr>
          <w:p>
            <w:pPr>
              <w:spacing w:after="0"/>
              <w:rPr>
                <w:sz w:val="20"/>
                <w:szCs w:val="20"/>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5.00%</w:t>
            </w:r>
          </w:p>
        </w:tc>
        <w:tc>
          <w:tcPr>
            <w:tcW w:w="740" w:type="dxa"/>
            <w:vAlign w:val="bottom"/>
          </w:tcPr>
          <w:p>
            <w:pPr>
              <w:ind w:left="240"/>
              <w:spacing w:after="0"/>
              <w:rPr>
                <w:sz w:val="20"/>
                <w:szCs w:val="20"/>
                <w:color w:val="auto"/>
              </w:rPr>
            </w:pPr>
            <w:r>
              <w:rPr>
                <w:rFonts w:ascii="Arial" w:cs="Arial" w:eastAsia="Arial" w:hAnsi="Arial"/>
                <w:sz w:val="18"/>
                <w:szCs w:val="18"/>
                <w:color w:val="auto"/>
                <w:w w:val="93"/>
              </w:rPr>
              <w:t>5.00%</w:t>
            </w:r>
          </w:p>
        </w:tc>
        <w:tc>
          <w:tcPr>
            <w:tcW w:w="54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Arial" w:cs="Arial" w:eastAsia="Arial" w:hAnsi="Arial"/>
                <w:sz w:val="18"/>
                <w:szCs w:val="18"/>
                <w:color w:val="auto"/>
              </w:rPr>
              <w:t>N/A</w:t>
            </w:r>
          </w:p>
        </w:tc>
        <w:tc>
          <w:tcPr>
            <w:tcW w:w="780" w:type="dxa"/>
            <w:vAlign w:val="bottom"/>
          </w:tcPr>
          <w:p>
            <w:pPr>
              <w:ind w:left="460"/>
              <w:spacing w:after="0"/>
              <w:rPr>
                <w:sz w:val="20"/>
                <w:szCs w:val="20"/>
                <w:color w:val="auto"/>
              </w:rPr>
            </w:pPr>
            <w:r>
              <w:rPr>
                <w:rFonts w:ascii="Arial" w:cs="Arial" w:eastAsia="Arial" w:hAnsi="Arial"/>
                <w:sz w:val="18"/>
                <w:szCs w:val="18"/>
                <w:color w:val="auto"/>
                <w:w w:val="99"/>
              </w:rPr>
              <w:t>N/A</w:t>
            </w:r>
          </w:p>
        </w:tc>
        <w:tc>
          <w:tcPr>
            <w:tcW w:w="260" w:type="dxa"/>
            <w:vAlign w:val="bottom"/>
          </w:tcPr>
          <w:p>
            <w:pPr>
              <w:spacing w:after="0"/>
              <w:rPr>
                <w:sz w:val="20"/>
                <w:szCs w:val="20"/>
                <w:color w:val="auto"/>
              </w:rPr>
            </w:pPr>
          </w:p>
        </w:tc>
        <w:tc>
          <w:tcPr>
            <w:tcW w:w="860" w:type="dxa"/>
            <w:vAlign w:val="bottom"/>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07"/>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2020" w:type="dxa"/>
            <w:vAlign w:val="bottom"/>
            <w:gridSpan w:val="3"/>
          </w:tcPr>
          <w:p>
            <w:pPr>
              <w:jc w:val="center"/>
              <w:ind w:left="710"/>
              <w:spacing w:after="0"/>
              <w:rPr>
                <w:sz w:val="20"/>
                <w:szCs w:val="20"/>
                <w:color w:val="auto"/>
              </w:rPr>
            </w:pPr>
            <w:r>
              <w:rPr>
                <w:rFonts w:ascii="Arial" w:cs="Arial" w:eastAsia="Arial" w:hAnsi="Arial"/>
                <w:sz w:val="18"/>
                <w:szCs w:val="18"/>
                <w:color w:val="auto"/>
                <w:w w:val="92"/>
              </w:rPr>
              <w:t>Defined Benefit</w:t>
            </w: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180" w:type="dxa"/>
            <w:vAlign w:val="bottom"/>
            <w:gridSpan w:val="2"/>
          </w:tcPr>
          <w:p>
            <w:pPr>
              <w:jc w:val="center"/>
              <w:ind w:right="70"/>
              <w:spacing w:after="0"/>
              <w:rPr>
                <w:sz w:val="20"/>
                <w:szCs w:val="20"/>
                <w:color w:val="auto"/>
              </w:rPr>
            </w:pPr>
            <w:r>
              <w:rPr>
                <w:rFonts w:ascii="Arial" w:cs="Arial" w:eastAsia="Arial" w:hAnsi="Arial"/>
                <w:sz w:val="18"/>
                <w:szCs w:val="18"/>
                <w:color w:val="auto"/>
                <w:w w:val="89"/>
              </w:rPr>
              <w:t>Supplemental</w:t>
            </w:r>
          </w:p>
        </w:tc>
        <w:tc>
          <w:tcPr>
            <w:tcW w:w="740" w:type="dxa"/>
            <w:vAlign w:val="bottom"/>
          </w:tcPr>
          <w:p>
            <w:pPr>
              <w:spacing w:after="0"/>
              <w:rPr>
                <w:sz w:val="24"/>
                <w:szCs w:val="24"/>
                <w:color w:val="auto"/>
              </w:rPr>
            </w:pPr>
          </w:p>
        </w:tc>
        <w:tc>
          <w:tcPr>
            <w:tcW w:w="2940" w:type="dxa"/>
            <w:vAlign w:val="bottom"/>
            <w:gridSpan w:val="5"/>
          </w:tcPr>
          <w:p>
            <w:pPr>
              <w:jc w:val="right"/>
              <w:ind w:right="250"/>
              <w:spacing w:after="0"/>
              <w:rPr>
                <w:sz w:val="20"/>
                <w:szCs w:val="20"/>
                <w:color w:val="auto"/>
              </w:rPr>
            </w:pPr>
            <w:r>
              <w:rPr>
                <w:rFonts w:ascii="Arial" w:cs="Arial" w:eastAsia="Arial" w:hAnsi="Arial"/>
                <w:sz w:val="18"/>
                <w:szCs w:val="18"/>
                <w:color w:val="auto"/>
              </w:rPr>
              <w:t>Non-pension Defined Benefit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100" w:type="dxa"/>
            <w:vAlign w:val="bottom"/>
            <w:gridSpan w:val="2"/>
          </w:tcPr>
          <w:p>
            <w:pPr>
              <w:jc w:val="center"/>
              <w:ind w:right="30"/>
              <w:spacing w:after="0"/>
              <w:rPr>
                <w:sz w:val="20"/>
                <w:szCs w:val="20"/>
                <w:color w:val="auto"/>
              </w:rPr>
            </w:pPr>
            <w:r>
              <w:rPr>
                <w:rFonts w:ascii="Arial" w:cs="Arial" w:eastAsia="Arial" w:hAnsi="Arial"/>
                <w:sz w:val="18"/>
                <w:szCs w:val="18"/>
                <w:color w:val="auto"/>
                <w:w w:val="88"/>
              </w:rPr>
              <w:t>Pension Plan</w:t>
            </w: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900" w:type="dxa"/>
            <w:vAlign w:val="bottom"/>
            <w:gridSpan w:val="4"/>
          </w:tcPr>
          <w:p>
            <w:pPr>
              <w:jc w:val="center"/>
              <w:spacing w:after="0"/>
              <w:rPr>
                <w:sz w:val="20"/>
                <w:szCs w:val="20"/>
                <w:color w:val="auto"/>
              </w:rPr>
            </w:pPr>
            <w:r>
              <w:rPr>
                <w:rFonts w:ascii="Arial" w:cs="Arial" w:eastAsia="Arial" w:hAnsi="Arial"/>
                <w:sz w:val="18"/>
                <w:szCs w:val="18"/>
                <w:color w:val="auto"/>
                <w:w w:val="93"/>
              </w:rPr>
              <w:t>Non-qualified Defined Benefit Plans</w:t>
            </w:r>
          </w:p>
        </w:tc>
        <w:tc>
          <w:tcPr>
            <w:tcW w:w="2940" w:type="dxa"/>
            <w:vAlign w:val="bottom"/>
            <w:gridSpan w:val="5"/>
          </w:tcPr>
          <w:p>
            <w:pPr>
              <w:ind w:left="420"/>
              <w:spacing w:after="0"/>
              <w:rPr>
                <w:sz w:val="20"/>
                <w:szCs w:val="20"/>
                <w:color w:val="auto"/>
              </w:rPr>
            </w:pPr>
            <w:r>
              <w:rPr>
                <w:rFonts w:ascii="Arial" w:cs="Arial" w:eastAsia="Arial" w:hAnsi="Arial"/>
                <w:sz w:val="18"/>
                <w:szCs w:val="18"/>
                <w:color w:val="auto"/>
                <w:w w:val="99"/>
              </w:rPr>
              <w:t>Postretirement Healthcare Plan</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w w:val="90"/>
              </w:rPr>
              <w:t>Weighted-average assumptions used</w:t>
            </w:r>
          </w:p>
        </w:tc>
        <w:tc>
          <w:tcPr>
            <w:tcW w:w="9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2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to determine net periodic benefit</w:t>
            </w:r>
          </w:p>
        </w:tc>
        <w:tc>
          <w:tcPr>
            <w:tcW w:w="9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rPr>
              <w:t>cost for plan year:</w:t>
            </w:r>
          </w:p>
        </w:tc>
        <w:tc>
          <w:tcPr>
            <w:tcW w:w="920" w:type="dxa"/>
            <w:vAlign w:val="bottom"/>
          </w:tcPr>
          <w:p>
            <w:pPr>
              <w:jc w:val="right"/>
              <w:ind w:right="190"/>
              <w:spacing w:after="0"/>
              <w:rPr>
                <w:sz w:val="20"/>
                <w:szCs w:val="20"/>
                <w:color w:val="auto"/>
              </w:rPr>
            </w:pPr>
            <w:r>
              <w:rPr>
                <w:rFonts w:ascii="Arial" w:cs="Arial" w:eastAsia="Arial" w:hAnsi="Arial"/>
                <w:sz w:val="18"/>
                <w:szCs w:val="18"/>
                <w:color w:val="auto"/>
              </w:rPr>
              <w:t>2019</w:t>
            </w:r>
          </w:p>
        </w:tc>
        <w:tc>
          <w:tcPr>
            <w:tcW w:w="1100" w:type="dxa"/>
            <w:vAlign w:val="bottom"/>
            <w:gridSpan w:val="2"/>
          </w:tcPr>
          <w:p>
            <w:pPr>
              <w:jc w:val="center"/>
              <w:ind w:right="50"/>
              <w:spacing w:after="0"/>
              <w:rPr>
                <w:sz w:val="20"/>
                <w:szCs w:val="20"/>
                <w:color w:val="auto"/>
              </w:rPr>
            </w:pPr>
            <w:r>
              <w:rPr>
                <w:rFonts w:ascii="Arial" w:cs="Arial" w:eastAsia="Arial" w:hAnsi="Arial"/>
                <w:sz w:val="18"/>
                <w:szCs w:val="18"/>
                <w:color w:val="auto"/>
                <w:w w:val="89"/>
              </w:rPr>
              <w:t>2018</w:t>
            </w:r>
          </w:p>
        </w:tc>
        <w:tc>
          <w:tcPr>
            <w:tcW w:w="520" w:type="dxa"/>
            <w:vAlign w:val="bottom"/>
          </w:tcPr>
          <w:p>
            <w:pPr>
              <w:jc w:val="right"/>
              <w:spacing w:after="0"/>
              <w:rPr>
                <w:sz w:val="20"/>
                <w:szCs w:val="20"/>
                <w:color w:val="auto"/>
              </w:rPr>
            </w:pPr>
            <w:r>
              <w:rPr>
                <w:rFonts w:ascii="Arial" w:cs="Arial" w:eastAsia="Arial" w:hAnsi="Arial"/>
                <w:sz w:val="18"/>
                <w:szCs w:val="18"/>
                <w:color w:val="auto"/>
              </w:rPr>
              <w:t>2017</w:t>
            </w:r>
          </w:p>
        </w:tc>
        <w:tc>
          <w:tcPr>
            <w:tcW w:w="300" w:type="dxa"/>
            <w:vAlign w:val="bottom"/>
          </w:tcPr>
          <w:p>
            <w:pPr>
              <w:spacing w:after="0"/>
              <w:rPr>
                <w:sz w:val="20"/>
                <w:szCs w:val="20"/>
                <w:color w:val="auto"/>
              </w:rPr>
            </w:pPr>
          </w:p>
        </w:tc>
        <w:tc>
          <w:tcPr>
            <w:tcW w:w="980" w:type="dxa"/>
            <w:vAlign w:val="bottom"/>
          </w:tcPr>
          <w:p>
            <w:pPr>
              <w:jc w:val="right"/>
              <w:ind w:right="170"/>
              <w:spacing w:after="0"/>
              <w:rPr>
                <w:sz w:val="20"/>
                <w:szCs w:val="20"/>
                <w:color w:val="auto"/>
              </w:rPr>
            </w:pPr>
            <w:r>
              <w:rPr>
                <w:rFonts w:ascii="Arial" w:cs="Arial" w:eastAsia="Arial" w:hAnsi="Arial"/>
                <w:sz w:val="18"/>
                <w:szCs w:val="18"/>
                <w:color w:val="auto"/>
              </w:rPr>
              <w:t>2019</w:t>
            </w:r>
          </w:p>
        </w:tc>
        <w:tc>
          <w:tcPr>
            <w:tcW w:w="140" w:type="dxa"/>
            <w:vAlign w:val="bottom"/>
          </w:tcPr>
          <w:p>
            <w:pPr>
              <w:spacing w:after="0"/>
              <w:rPr>
                <w:sz w:val="20"/>
                <w:szCs w:val="20"/>
                <w:color w:val="auto"/>
              </w:rPr>
            </w:pPr>
          </w:p>
        </w:tc>
        <w:tc>
          <w:tcPr>
            <w:tcW w:w="1040" w:type="dxa"/>
            <w:vAlign w:val="bottom"/>
          </w:tcPr>
          <w:p>
            <w:pPr>
              <w:jc w:val="center"/>
              <w:ind w:right="230"/>
              <w:spacing w:after="0"/>
              <w:rPr>
                <w:sz w:val="20"/>
                <w:szCs w:val="20"/>
                <w:color w:val="auto"/>
              </w:rPr>
            </w:pPr>
            <w:r>
              <w:rPr>
                <w:rFonts w:ascii="Arial" w:cs="Arial" w:eastAsia="Arial" w:hAnsi="Arial"/>
                <w:sz w:val="18"/>
                <w:szCs w:val="18"/>
                <w:color w:val="auto"/>
                <w:w w:val="89"/>
              </w:rPr>
              <w:t>2018</w:t>
            </w:r>
          </w:p>
        </w:tc>
        <w:tc>
          <w:tcPr>
            <w:tcW w:w="740" w:type="dxa"/>
            <w:vAlign w:val="bottom"/>
          </w:tcPr>
          <w:p>
            <w:pPr>
              <w:ind w:left="80"/>
              <w:spacing w:after="0"/>
              <w:rPr>
                <w:sz w:val="20"/>
                <w:szCs w:val="20"/>
                <w:color w:val="auto"/>
              </w:rPr>
            </w:pPr>
            <w:r>
              <w:rPr>
                <w:rFonts w:ascii="Arial" w:cs="Arial" w:eastAsia="Arial" w:hAnsi="Arial"/>
                <w:sz w:val="18"/>
                <w:szCs w:val="18"/>
                <w:color w:val="auto"/>
              </w:rPr>
              <w:t>2017</w:t>
            </w:r>
          </w:p>
        </w:tc>
        <w:tc>
          <w:tcPr>
            <w:tcW w:w="1040" w:type="dxa"/>
            <w:vAlign w:val="bottom"/>
            <w:gridSpan w:val="2"/>
          </w:tcPr>
          <w:p>
            <w:pPr>
              <w:ind w:left="400"/>
              <w:spacing w:after="0"/>
              <w:rPr>
                <w:sz w:val="20"/>
                <w:szCs w:val="20"/>
                <w:color w:val="auto"/>
              </w:rPr>
            </w:pPr>
            <w:r>
              <w:rPr>
                <w:rFonts w:ascii="Arial" w:cs="Arial" w:eastAsia="Arial" w:hAnsi="Arial"/>
                <w:sz w:val="18"/>
                <w:szCs w:val="18"/>
                <w:color w:val="auto"/>
              </w:rPr>
              <w:t>2019</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2018</w:t>
            </w:r>
          </w:p>
        </w:tc>
        <w:tc>
          <w:tcPr>
            <w:tcW w:w="260" w:type="dxa"/>
            <w:vAlign w:val="bottom"/>
          </w:tcPr>
          <w:p>
            <w:pPr>
              <w:spacing w:after="0"/>
              <w:rPr>
                <w:sz w:val="20"/>
                <w:szCs w:val="20"/>
                <w:color w:val="auto"/>
              </w:rPr>
            </w:pPr>
          </w:p>
        </w:tc>
        <w:tc>
          <w:tcPr>
            <w:tcW w:w="860" w:type="dxa"/>
            <w:vAlign w:val="bottom"/>
          </w:tcPr>
          <w:p>
            <w:pPr>
              <w:jc w:val="right"/>
              <w:ind w:right="210"/>
              <w:spacing w:after="0"/>
              <w:rPr>
                <w:sz w:val="20"/>
                <w:szCs w:val="20"/>
                <w:color w:val="auto"/>
              </w:rPr>
            </w:pPr>
            <w:r>
              <w:rPr>
                <w:rFonts w:ascii="Arial" w:cs="Arial" w:eastAsia="Arial" w:hAnsi="Arial"/>
                <w:sz w:val="18"/>
                <w:szCs w:val="18"/>
                <w:color w:val="auto"/>
              </w:rPr>
              <w:t>2017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7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2720" w:type="dxa"/>
            <w:vAlign w:val="bottom"/>
            <w:shd w:val="clear" w:color="auto" w:fill="CEFFE7"/>
          </w:tcPr>
          <w:p>
            <w:pPr>
              <w:ind w:left="20"/>
              <w:spacing w:after="0" w:line="270" w:lineRule="exact"/>
              <w:rPr>
                <w:sz w:val="20"/>
                <w:szCs w:val="20"/>
                <w:color w:val="auto"/>
              </w:rPr>
            </w:pPr>
            <w:r>
              <w:rPr>
                <w:rFonts w:ascii="Arial" w:cs="Arial" w:eastAsia="Arial" w:hAnsi="Arial"/>
                <w:sz w:val="18"/>
                <w:szCs w:val="18"/>
                <w:color w:val="auto"/>
              </w:rPr>
              <w:t xml:space="preserve">Discount rate </w:t>
            </w:r>
            <w:r>
              <w:rPr>
                <w:rFonts w:ascii="Arial" w:cs="Arial" w:eastAsia="Arial" w:hAnsi="Arial"/>
                <w:sz w:val="25"/>
                <w:szCs w:val="25"/>
                <w:color w:val="auto"/>
                <w:vertAlign w:val="superscript"/>
              </w:rPr>
              <w:t>(a)</w:t>
            </w:r>
          </w:p>
        </w:tc>
        <w:tc>
          <w:tcPr>
            <w:tcW w:w="920" w:type="dxa"/>
            <w:vAlign w:val="bottom"/>
            <w:shd w:val="clear" w:color="auto" w:fill="CEFFE7"/>
          </w:tcPr>
          <w:p>
            <w:pPr>
              <w:jc w:val="right"/>
              <w:spacing w:after="0"/>
              <w:rPr>
                <w:sz w:val="20"/>
                <w:szCs w:val="20"/>
                <w:color w:val="auto"/>
              </w:rPr>
            </w:pPr>
            <w:r>
              <w:rPr>
                <w:rFonts w:ascii="Arial" w:cs="Arial" w:eastAsia="Arial" w:hAnsi="Arial"/>
                <w:sz w:val="18"/>
                <w:szCs w:val="18"/>
                <w:color w:val="auto"/>
              </w:rPr>
              <w:t>4.40%</w:t>
            </w:r>
          </w:p>
        </w:tc>
        <w:tc>
          <w:tcPr>
            <w:tcW w:w="1100" w:type="dxa"/>
            <w:vAlign w:val="bottom"/>
            <w:gridSpan w:val="2"/>
            <w:shd w:val="clear" w:color="auto" w:fill="CEFFE7"/>
          </w:tcPr>
          <w:p>
            <w:pPr>
              <w:jc w:val="right"/>
              <w:ind w:right="110"/>
              <w:spacing w:after="0"/>
              <w:rPr>
                <w:sz w:val="20"/>
                <w:szCs w:val="20"/>
                <w:color w:val="auto"/>
              </w:rPr>
            </w:pPr>
            <w:r>
              <w:rPr>
                <w:rFonts w:ascii="Arial" w:cs="Arial" w:eastAsia="Arial" w:hAnsi="Arial"/>
                <w:sz w:val="18"/>
                <w:szCs w:val="18"/>
                <w:color w:val="auto"/>
              </w:rPr>
              <w:t>3.71%</w:t>
            </w:r>
          </w:p>
        </w:tc>
        <w:tc>
          <w:tcPr>
            <w:tcW w:w="820" w:type="dxa"/>
            <w:vAlign w:val="bottom"/>
            <w:gridSpan w:val="2"/>
            <w:shd w:val="clear" w:color="auto" w:fill="CEFFE7"/>
          </w:tcPr>
          <w:p>
            <w:pPr>
              <w:jc w:val="right"/>
              <w:spacing w:after="0"/>
              <w:rPr>
                <w:sz w:val="20"/>
                <w:szCs w:val="20"/>
                <w:color w:val="auto"/>
              </w:rPr>
            </w:pPr>
            <w:r>
              <w:rPr>
                <w:rFonts w:ascii="Arial" w:cs="Arial" w:eastAsia="Arial" w:hAnsi="Arial"/>
                <w:sz w:val="18"/>
                <w:szCs w:val="18"/>
                <w:color w:val="auto"/>
              </w:rPr>
              <w:t>4.27%</w:t>
            </w:r>
          </w:p>
        </w:tc>
        <w:tc>
          <w:tcPr>
            <w:tcW w:w="980" w:type="dxa"/>
            <w:vAlign w:val="bottom"/>
            <w:shd w:val="clear" w:color="auto" w:fill="CEFFE7"/>
          </w:tcPr>
          <w:p>
            <w:pPr>
              <w:ind w:left="500"/>
              <w:spacing w:after="0"/>
              <w:rPr>
                <w:sz w:val="20"/>
                <w:szCs w:val="20"/>
                <w:color w:val="auto"/>
              </w:rPr>
            </w:pPr>
            <w:r>
              <w:rPr>
                <w:rFonts w:ascii="Arial" w:cs="Arial" w:eastAsia="Arial" w:hAnsi="Arial"/>
                <w:sz w:val="18"/>
                <w:szCs w:val="18"/>
                <w:color w:val="auto"/>
                <w:w w:val="90"/>
              </w:rPr>
              <w:t>4.34%</w:t>
            </w:r>
          </w:p>
        </w:tc>
        <w:tc>
          <w:tcPr>
            <w:tcW w:w="140" w:type="dxa"/>
            <w:vAlign w:val="bottom"/>
            <w:shd w:val="clear" w:color="auto" w:fill="CEFFE7"/>
          </w:tcPr>
          <w:p>
            <w:pPr>
              <w:spacing w:after="0"/>
              <w:rPr>
                <w:sz w:val="23"/>
                <w:szCs w:val="23"/>
                <w:color w:val="auto"/>
              </w:rPr>
            </w:pPr>
          </w:p>
        </w:tc>
        <w:tc>
          <w:tcPr>
            <w:tcW w:w="1040" w:type="dxa"/>
            <w:vAlign w:val="bottom"/>
            <w:shd w:val="clear" w:color="auto" w:fill="CEFFE7"/>
          </w:tcPr>
          <w:p>
            <w:pPr>
              <w:jc w:val="right"/>
              <w:ind w:right="150"/>
              <w:spacing w:after="0"/>
              <w:rPr>
                <w:sz w:val="20"/>
                <w:szCs w:val="20"/>
                <w:color w:val="auto"/>
              </w:rPr>
            </w:pPr>
            <w:r>
              <w:rPr>
                <w:rFonts w:ascii="Arial" w:cs="Arial" w:eastAsia="Arial" w:hAnsi="Arial"/>
                <w:sz w:val="18"/>
                <w:szCs w:val="18"/>
                <w:color w:val="auto"/>
              </w:rPr>
              <w:t>3.67%</w:t>
            </w:r>
          </w:p>
        </w:tc>
        <w:tc>
          <w:tcPr>
            <w:tcW w:w="740" w:type="dxa"/>
            <w:vAlign w:val="bottom"/>
            <w:shd w:val="clear" w:color="auto" w:fill="CEFFE7"/>
          </w:tcPr>
          <w:p>
            <w:pPr>
              <w:ind w:left="240"/>
              <w:spacing w:after="0"/>
              <w:rPr>
                <w:sz w:val="20"/>
                <w:szCs w:val="20"/>
                <w:color w:val="auto"/>
              </w:rPr>
            </w:pPr>
            <w:r>
              <w:rPr>
                <w:rFonts w:ascii="Arial" w:cs="Arial" w:eastAsia="Arial" w:hAnsi="Arial"/>
                <w:sz w:val="18"/>
                <w:szCs w:val="18"/>
                <w:color w:val="auto"/>
                <w:w w:val="93"/>
              </w:rPr>
              <w:t>4.02%</w:t>
            </w:r>
          </w:p>
        </w:tc>
        <w:tc>
          <w:tcPr>
            <w:tcW w:w="540" w:type="dxa"/>
            <w:vAlign w:val="bottom"/>
            <w:shd w:val="clear" w:color="auto" w:fill="CEFFE7"/>
          </w:tcPr>
          <w:p>
            <w:pPr>
              <w:spacing w:after="0"/>
              <w:rPr>
                <w:sz w:val="23"/>
                <w:szCs w:val="23"/>
                <w:color w:val="auto"/>
              </w:rPr>
            </w:pPr>
          </w:p>
        </w:tc>
        <w:tc>
          <w:tcPr>
            <w:tcW w:w="500" w:type="dxa"/>
            <w:vAlign w:val="bottom"/>
            <w:shd w:val="clear" w:color="auto" w:fill="CEFFE7"/>
          </w:tcPr>
          <w:p>
            <w:pPr>
              <w:spacing w:after="0"/>
              <w:rPr>
                <w:sz w:val="20"/>
                <w:szCs w:val="20"/>
                <w:color w:val="auto"/>
              </w:rPr>
            </w:pPr>
            <w:r>
              <w:rPr>
                <w:rFonts w:ascii="Arial" w:cs="Arial" w:eastAsia="Arial" w:hAnsi="Arial"/>
                <w:sz w:val="18"/>
                <w:szCs w:val="18"/>
                <w:color w:val="auto"/>
                <w:w w:val="93"/>
              </w:rPr>
              <w:t>4.28%</w:t>
            </w:r>
          </w:p>
        </w:tc>
        <w:tc>
          <w:tcPr>
            <w:tcW w:w="1040" w:type="dxa"/>
            <w:vAlign w:val="bottom"/>
            <w:gridSpan w:val="2"/>
            <w:shd w:val="clear" w:color="auto" w:fill="CEFFE7"/>
          </w:tcPr>
          <w:p>
            <w:pPr>
              <w:ind w:left="460"/>
              <w:spacing w:after="0"/>
              <w:rPr>
                <w:sz w:val="20"/>
                <w:szCs w:val="20"/>
                <w:color w:val="auto"/>
              </w:rPr>
            </w:pPr>
            <w:r>
              <w:rPr>
                <w:rFonts w:ascii="Arial" w:cs="Arial" w:eastAsia="Arial" w:hAnsi="Arial"/>
                <w:sz w:val="18"/>
                <w:szCs w:val="18"/>
                <w:color w:val="auto"/>
              </w:rPr>
              <w:t>3.60%</w:t>
            </w:r>
          </w:p>
        </w:tc>
        <w:tc>
          <w:tcPr>
            <w:tcW w:w="860" w:type="dxa"/>
            <w:vAlign w:val="bottom"/>
            <w:shd w:val="clear" w:color="auto" w:fill="CEFFE7"/>
          </w:tcPr>
          <w:p>
            <w:pPr>
              <w:ind w:left="360"/>
              <w:spacing w:after="0"/>
              <w:rPr>
                <w:sz w:val="20"/>
                <w:szCs w:val="20"/>
                <w:color w:val="auto"/>
              </w:rPr>
            </w:pPr>
            <w:r>
              <w:rPr>
                <w:rFonts w:ascii="Arial" w:cs="Arial" w:eastAsia="Arial" w:hAnsi="Arial"/>
                <w:sz w:val="18"/>
                <w:szCs w:val="18"/>
                <w:color w:val="auto"/>
                <w:w w:val="93"/>
              </w:rPr>
              <w:t>4.05%</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tcPr>
          <w:p>
            <w:pPr>
              <w:ind w:left="20"/>
              <w:spacing w:after="0"/>
              <w:rPr>
                <w:sz w:val="20"/>
                <w:szCs w:val="20"/>
                <w:color w:val="auto"/>
              </w:rPr>
            </w:pPr>
            <w:r>
              <w:rPr>
                <w:rFonts w:ascii="Arial" w:cs="Arial" w:eastAsia="Arial" w:hAnsi="Arial"/>
                <w:sz w:val="18"/>
                <w:szCs w:val="18"/>
                <w:color w:val="auto"/>
                <w:w w:val="92"/>
              </w:rPr>
              <w:t>Expected long-term rate of return on</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720" w:type="dxa"/>
            <w:vAlign w:val="bottom"/>
          </w:tcPr>
          <w:p>
            <w:pPr>
              <w:ind w:left="20"/>
              <w:spacing w:after="0" w:line="257" w:lineRule="exact"/>
              <w:rPr>
                <w:sz w:val="20"/>
                <w:szCs w:val="20"/>
                <w:color w:val="auto"/>
              </w:rPr>
            </w:pPr>
            <w:r>
              <w:rPr>
                <w:rFonts w:ascii="Arial" w:cs="Arial" w:eastAsia="Arial" w:hAnsi="Arial"/>
                <w:sz w:val="18"/>
                <w:szCs w:val="18"/>
                <w:color w:val="auto"/>
              </w:rPr>
              <w:t xml:space="preserve">assets </w:t>
            </w:r>
            <w:r>
              <w:rPr>
                <w:rFonts w:ascii="Arial" w:cs="Arial" w:eastAsia="Arial" w:hAnsi="Arial"/>
                <w:sz w:val="25"/>
                <w:szCs w:val="25"/>
                <w:color w:val="auto"/>
                <w:vertAlign w:val="superscript"/>
              </w:rPr>
              <w:t>(b)</w:t>
            </w:r>
          </w:p>
        </w:tc>
        <w:tc>
          <w:tcPr>
            <w:tcW w:w="920" w:type="dxa"/>
            <w:vAlign w:val="bottom"/>
          </w:tcPr>
          <w:p>
            <w:pPr>
              <w:jc w:val="right"/>
              <w:spacing w:after="0"/>
              <w:rPr>
                <w:sz w:val="20"/>
                <w:szCs w:val="20"/>
                <w:color w:val="auto"/>
              </w:rPr>
            </w:pPr>
            <w:r>
              <w:rPr>
                <w:rFonts w:ascii="Arial" w:cs="Arial" w:eastAsia="Arial" w:hAnsi="Arial"/>
                <w:sz w:val="18"/>
                <w:szCs w:val="18"/>
                <w:color w:val="auto"/>
              </w:rPr>
              <w:t>6.00%</w:t>
            </w:r>
          </w:p>
        </w:tc>
        <w:tc>
          <w:tcPr>
            <w:tcW w:w="1100" w:type="dxa"/>
            <w:vAlign w:val="bottom"/>
            <w:gridSpan w:val="2"/>
          </w:tcPr>
          <w:p>
            <w:pPr>
              <w:jc w:val="right"/>
              <w:ind w:right="110"/>
              <w:spacing w:after="0"/>
              <w:rPr>
                <w:sz w:val="20"/>
                <w:szCs w:val="20"/>
                <w:color w:val="auto"/>
              </w:rPr>
            </w:pPr>
            <w:r>
              <w:rPr>
                <w:rFonts w:ascii="Arial" w:cs="Arial" w:eastAsia="Arial" w:hAnsi="Arial"/>
                <w:sz w:val="18"/>
                <w:szCs w:val="18"/>
                <w:color w:val="auto"/>
              </w:rPr>
              <w:t>6.25%</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6.75%</w:t>
            </w:r>
          </w:p>
        </w:tc>
        <w:tc>
          <w:tcPr>
            <w:tcW w:w="980" w:type="dxa"/>
            <w:vAlign w:val="bottom"/>
          </w:tcPr>
          <w:p>
            <w:pPr>
              <w:ind w:left="500"/>
              <w:spacing w:after="0"/>
              <w:rPr>
                <w:sz w:val="20"/>
                <w:szCs w:val="20"/>
                <w:color w:val="auto"/>
              </w:rPr>
            </w:pPr>
            <w:r>
              <w:rPr>
                <w:rFonts w:ascii="Arial" w:cs="Arial" w:eastAsia="Arial" w:hAnsi="Arial"/>
                <w:sz w:val="18"/>
                <w:szCs w:val="18"/>
                <w:color w:val="auto"/>
              </w:rPr>
              <w:t>N/A</w:t>
            </w:r>
          </w:p>
        </w:tc>
        <w:tc>
          <w:tcPr>
            <w:tcW w:w="140" w:type="dxa"/>
            <w:vAlign w:val="bottom"/>
          </w:tcPr>
          <w:p>
            <w:pPr>
              <w:spacing w:after="0"/>
              <w:rPr>
                <w:sz w:val="22"/>
                <w:szCs w:val="22"/>
                <w:color w:val="auto"/>
              </w:rPr>
            </w:pPr>
          </w:p>
        </w:tc>
        <w:tc>
          <w:tcPr>
            <w:tcW w:w="1040" w:type="dxa"/>
            <w:vAlign w:val="bottom"/>
          </w:tcPr>
          <w:p>
            <w:pPr>
              <w:jc w:val="right"/>
              <w:ind w:right="310"/>
              <w:spacing w:after="0"/>
              <w:rPr>
                <w:sz w:val="20"/>
                <w:szCs w:val="20"/>
                <w:color w:val="auto"/>
              </w:rPr>
            </w:pPr>
            <w:r>
              <w:rPr>
                <w:rFonts w:ascii="Arial" w:cs="Arial" w:eastAsia="Arial" w:hAnsi="Arial"/>
                <w:sz w:val="18"/>
                <w:szCs w:val="18"/>
                <w:color w:val="auto"/>
              </w:rPr>
              <w:t>N/A</w:t>
            </w:r>
          </w:p>
        </w:tc>
        <w:tc>
          <w:tcPr>
            <w:tcW w:w="740" w:type="dxa"/>
            <w:vAlign w:val="bottom"/>
          </w:tcPr>
          <w:p>
            <w:pPr>
              <w:ind w:left="240"/>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22"/>
                <w:szCs w:val="22"/>
                <w:color w:val="auto"/>
              </w:rPr>
            </w:pPr>
          </w:p>
        </w:tc>
        <w:tc>
          <w:tcPr>
            <w:tcW w:w="500" w:type="dxa"/>
            <w:vAlign w:val="bottom"/>
          </w:tcPr>
          <w:p>
            <w:pPr>
              <w:spacing w:after="0"/>
              <w:rPr>
                <w:sz w:val="20"/>
                <w:szCs w:val="20"/>
                <w:color w:val="auto"/>
              </w:rPr>
            </w:pPr>
            <w:r>
              <w:rPr>
                <w:rFonts w:ascii="Arial" w:cs="Arial" w:eastAsia="Arial" w:hAnsi="Arial"/>
                <w:sz w:val="18"/>
                <w:szCs w:val="18"/>
                <w:color w:val="auto"/>
                <w:w w:val="93"/>
              </w:rPr>
              <w:t>3.00%</w:t>
            </w:r>
          </w:p>
        </w:tc>
        <w:tc>
          <w:tcPr>
            <w:tcW w:w="1040" w:type="dxa"/>
            <w:vAlign w:val="bottom"/>
            <w:gridSpan w:val="2"/>
          </w:tcPr>
          <w:p>
            <w:pPr>
              <w:ind w:left="460"/>
              <w:spacing w:after="0"/>
              <w:rPr>
                <w:sz w:val="20"/>
                <w:szCs w:val="20"/>
                <w:color w:val="auto"/>
              </w:rPr>
            </w:pPr>
            <w:r>
              <w:rPr>
                <w:rFonts w:ascii="Arial" w:cs="Arial" w:eastAsia="Arial" w:hAnsi="Arial"/>
                <w:sz w:val="18"/>
                <w:szCs w:val="18"/>
                <w:color w:val="auto"/>
              </w:rPr>
              <w:t>3.93%</w:t>
            </w:r>
          </w:p>
        </w:tc>
        <w:tc>
          <w:tcPr>
            <w:tcW w:w="860" w:type="dxa"/>
            <w:vAlign w:val="bottom"/>
          </w:tcPr>
          <w:p>
            <w:pPr>
              <w:ind w:left="360"/>
              <w:spacing w:after="0"/>
              <w:rPr>
                <w:sz w:val="20"/>
                <w:szCs w:val="20"/>
                <w:color w:val="auto"/>
              </w:rPr>
            </w:pPr>
            <w:r>
              <w:rPr>
                <w:rFonts w:ascii="Arial" w:cs="Arial" w:eastAsia="Arial" w:hAnsi="Arial"/>
                <w:sz w:val="18"/>
                <w:szCs w:val="18"/>
                <w:color w:val="auto"/>
                <w:w w:val="93"/>
              </w:rPr>
              <w:t>3.88%</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2720" w:type="dxa"/>
            <w:vAlign w:val="bottom"/>
            <w:shd w:val="clear" w:color="auto" w:fill="CEFFE7"/>
          </w:tcPr>
          <w:p>
            <w:pPr>
              <w:ind w:left="20"/>
              <w:spacing w:after="0"/>
              <w:rPr>
                <w:sz w:val="20"/>
                <w:szCs w:val="20"/>
                <w:color w:val="auto"/>
              </w:rPr>
            </w:pPr>
            <w:r>
              <w:rPr>
                <w:rFonts w:ascii="Arial" w:cs="Arial" w:eastAsia="Arial" w:hAnsi="Arial"/>
                <w:sz w:val="18"/>
                <w:szCs w:val="18"/>
                <w:color w:val="auto"/>
              </w:rPr>
              <w:t>Rate of increase in compensation</w:t>
            </w:r>
          </w:p>
        </w:tc>
        <w:tc>
          <w:tcPr>
            <w:tcW w:w="920" w:type="dxa"/>
            <w:vAlign w:val="bottom"/>
            <w:shd w:val="clear" w:color="auto" w:fill="CEFFE7"/>
          </w:tcPr>
          <w:p>
            <w:pPr>
              <w:spacing w:after="0"/>
              <w:rPr>
                <w:sz w:val="19"/>
                <w:szCs w:val="19"/>
                <w:color w:val="auto"/>
              </w:rPr>
            </w:pPr>
          </w:p>
        </w:tc>
        <w:tc>
          <w:tcPr>
            <w:tcW w:w="460" w:type="dxa"/>
            <w:vAlign w:val="bottom"/>
            <w:shd w:val="clear" w:color="auto" w:fill="CEFFE7"/>
          </w:tcPr>
          <w:p>
            <w:pPr>
              <w:spacing w:after="0"/>
              <w:rPr>
                <w:sz w:val="19"/>
                <w:szCs w:val="19"/>
                <w:color w:val="auto"/>
              </w:rPr>
            </w:pPr>
          </w:p>
        </w:tc>
        <w:tc>
          <w:tcPr>
            <w:tcW w:w="640" w:type="dxa"/>
            <w:vAlign w:val="bottom"/>
            <w:shd w:val="clear" w:color="auto" w:fill="CEFFE7"/>
          </w:tcPr>
          <w:p>
            <w:pPr>
              <w:spacing w:after="0"/>
              <w:rPr>
                <w:sz w:val="19"/>
                <w:szCs w:val="19"/>
                <w:color w:val="auto"/>
              </w:rPr>
            </w:pPr>
          </w:p>
        </w:tc>
        <w:tc>
          <w:tcPr>
            <w:tcW w:w="520" w:type="dxa"/>
            <w:vAlign w:val="bottom"/>
            <w:shd w:val="clear" w:color="auto" w:fill="CEFFE7"/>
          </w:tcPr>
          <w:p>
            <w:pPr>
              <w:spacing w:after="0"/>
              <w:rPr>
                <w:sz w:val="19"/>
                <w:szCs w:val="19"/>
                <w:color w:val="auto"/>
              </w:rPr>
            </w:pPr>
          </w:p>
        </w:tc>
        <w:tc>
          <w:tcPr>
            <w:tcW w:w="300" w:type="dxa"/>
            <w:vAlign w:val="bottom"/>
            <w:shd w:val="clear" w:color="auto" w:fill="CEFFE7"/>
          </w:tcPr>
          <w:p>
            <w:pPr>
              <w:spacing w:after="0"/>
              <w:rPr>
                <w:sz w:val="19"/>
                <w:szCs w:val="19"/>
                <w:color w:val="auto"/>
              </w:rPr>
            </w:pPr>
          </w:p>
        </w:tc>
        <w:tc>
          <w:tcPr>
            <w:tcW w:w="980" w:type="dxa"/>
            <w:vAlign w:val="bottom"/>
            <w:shd w:val="clear" w:color="auto" w:fill="CEFFE7"/>
          </w:tcPr>
          <w:p>
            <w:pPr>
              <w:spacing w:after="0"/>
              <w:rPr>
                <w:sz w:val="19"/>
                <w:szCs w:val="19"/>
                <w:color w:val="auto"/>
              </w:rPr>
            </w:pPr>
          </w:p>
        </w:tc>
        <w:tc>
          <w:tcPr>
            <w:tcW w:w="140" w:type="dxa"/>
            <w:vAlign w:val="bottom"/>
            <w:shd w:val="clear" w:color="auto" w:fill="CEFFE7"/>
          </w:tcPr>
          <w:p>
            <w:pPr>
              <w:spacing w:after="0"/>
              <w:rPr>
                <w:sz w:val="19"/>
                <w:szCs w:val="19"/>
                <w:color w:val="auto"/>
              </w:rPr>
            </w:pPr>
          </w:p>
        </w:tc>
        <w:tc>
          <w:tcPr>
            <w:tcW w:w="1040" w:type="dxa"/>
            <w:vAlign w:val="bottom"/>
            <w:shd w:val="clear" w:color="auto" w:fill="CEFFE7"/>
          </w:tcPr>
          <w:p>
            <w:pPr>
              <w:spacing w:after="0"/>
              <w:rPr>
                <w:sz w:val="19"/>
                <w:szCs w:val="19"/>
                <w:color w:val="auto"/>
              </w:rPr>
            </w:pPr>
          </w:p>
        </w:tc>
        <w:tc>
          <w:tcPr>
            <w:tcW w:w="740" w:type="dxa"/>
            <w:vAlign w:val="bottom"/>
            <w:shd w:val="clear" w:color="auto" w:fill="CEFFE7"/>
          </w:tcPr>
          <w:p>
            <w:pPr>
              <w:spacing w:after="0"/>
              <w:rPr>
                <w:sz w:val="19"/>
                <w:szCs w:val="19"/>
                <w:color w:val="auto"/>
              </w:rPr>
            </w:pPr>
          </w:p>
        </w:tc>
        <w:tc>
          <w:tcPr>
            <w:tcW w:w="540" w:type="dxa"/>
            <w:vAlign w:val="bottom"/>
            <w:shd w:val="clear" w:color="auto" w:fill="CEFFE7"/>
          </w:tcPr>
          <w:p>
            <w:pPr>
              <w:spacing w:after="0"/>
              <w:rPr>
                <w:sz w:val="19"/>
                <w:szCs w:val="19"/>
                <w:color w:val="auto"/>
              </w:rPr>
            </w:pPr>
          </w:p>
        </w:tc>
        <w:tc>
          <w:tcPr>
            <w:tcW w:w="500" w:type="dxa"/>
            <w:vAlign w:val="bottom"/>
            <w:shd w:val="clear" w:color="auto" w:fill="CEFFE7"/>
          </w:tcPr>
          <w:p>
            <w:pPr>
              <w:spacing w:after="0"/>
              <w:rPr>
                <w:sz w:val="19"/>
                <w:szCs w:val="19"/>
                <w:color w:val="auto"/>
              </w:rPr>
            </w:pPr>
          </w:p>
        </w:tc>
        <w:tc>
          <w:tcPr>
            <w:tcW w:w="780" w:type="dxa"/>
            <w:vAlign w:val="bottom"/>
            <w:shd w:val="clear" w:color="auto" w:fill="CEFFE7"/>
          </w:tcPr>
          <w:p>
            <w:pPr>
              <w:spacing w:after="0"/>
              <w:rPr>
                <w:sz w:val="19"/>
                <w:szCs w:val="19"/>
                <w:color w:val="auto"/>
              </w:rPr>
            </w:pPr>
          </w:p>
        </w:tc>
        <w:tc>
          <w:tcPr>
            <w:tcW w:w="260" w:type="dxa"/>
            <w:vAlign w:val="bottom"/>
            <w:shd w:val="clear" w:color="auto" w:fill="CEFFE7"/>
          </w:tcPr>
          <w:p>
            <w:pPr>
              <w:spacing w:after="0"/>
              <w:rPr>
                <w:sz w:val="19"/>
                <w:szCs w:val="19"/>
                <w:color w:val="auto"/>
              </w:rPr>
            </w:pPr>
          </w:p>
        </w:tc>
        <w:tc>
          <w:tcPr>
            <w:tcW w:w="86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72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levels</w:t>
            </w:r>
          </w:p>
        </w:tc>
        <w:tc>
          <w:tcPr>
            <w:tcW w:w="9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3.52%</w:t>
            </w:r>
          </w:p>
        </w:tc>
        <w:tc>
          <w:tcPr>
            <w:tcW w:w="1100" w:type="dxa"/>
            <w:vAlign w:val="bottom"/>
            <w:tcBorders>
              <w:bottom w:val="single" w:sz="8" w:color="CEFFE7"/>
            </w:tcBorders>
            <w:gridSpan w:val="2"/>
            <w:shd w:val="clear" w:color="auto" w:fill="CEFFE7"/>
          </w:tcPr>
          <w:p>
            <w:pPr>
              <w:jc w:val="right"/>
              <w:ind w:right="110"/>
              <w:spacing w:after="0"/>
              <w:rPr>
                <w:sz w:val="20"/>
                <w:szCs w:val="20"/>
                <w:color w:val="auto"/>
              </w:rPr>
            </w:pPr>
            <w:r>
              <w:rPr>
                <w:rFonts w:ascii="Arial" w:cs="Arial" w:eastAsia="Arial" w:hAnsi="Arial"/>
                <w:sz w:val="18"/>
                <w:szCs w:val="18"/>
                <w:color w:val="auto"/>
              </w:rPr>
              <w:t>3.43%</w:t>
            </w:r>
          </w:p>
        </w:tc>
        <w:tc>
          <w:tcPr>
            <w:tcW w:w="820" w:type="dxa"/>
            <w:vAlign w:val="bottom"/>
            <w:tcBorders>
              <w:bottom w:val="single" w:sz="8" w:color="CEFFE7"/>
            </w:tcBorders>
            <w:gridSpan w:val="2"/>
            <w:shd w:val="clear" w:color="auto" w:fill="CEFFE7"/>
          </w:tcPr>
          <w:p>
            <w:pPr>
              <w:jc w:val="right"/>
              <w:spacing w:after="0"/>
              <w:rPr>
                <w:sz w:val="20"/>
                <w:szCs w:val="20"/>
                <w:color w:val="auto"/>
              </w:rPr>
            </w:pPr>
            <w:r>
              <w:rPr>
                <w:rFonts w:ascii="Arial" w:cs="Arial" w:eastAsia="Arial" w:hAnsi="Arial"/>
                <w:sz w:val="18"/>
                <w:szCs w:val="18"/>
                <w:color w:val="auto"/>
              </w:rPr>
              <w:t>3.47%</w:t>
            </w:r>
          </w:p>
        </w:tc>
        <w:tc>
          <w:tcPr>
            <w:tcW w:w="980" w:type="dxa"/>
            <w:vAlign w:val="bottom"/>
            <w:tcBorders>
              <w:bottom w:val="single" w:sz="8" w:color="CEFFE7"/>
            </w:tcBorders>
            <w:shd w:val="clear" w:color="auto" w:fill="CEFFE7"/>
          </w:tcPr>
          <w:p>
            <w:pPr>
              <w:ind w:left="500"/>
              <w:spacing w:after="0"/>
              <w:rPr>
                <w:sz w:val="20"/>
                <w:szCs w:val="20"/>
                <w:color w:val="auto"/>
              </w:rPr>
            </w:pPr>
            <w:r>
              <w:rPr>
                <w:rFonts w:ascii="Arial" w:cs="Arial" w:eastAsia="Arial" w:hAnsi="Arial"/>
                <w:sz w:val="18"/>
                <w:szCs w:val="18"/>
                <w:color w:val="auto"/>
                <w:w w:val="90"/>
              </w:rPr>
              <w:t>5.00%</w:t>
            </w:r>
          </w:p>
        </w:tc>
        <w:tc>
          <w:tcPr>
            <w:tcW w:w="140" w:type="dxa"/>
            <w:vAlign w:val="bottom"/>
            <w:tcBorders>
              <w:bottom w:val="single" w:sz="8" w:color="CEFFE7"/>
            </w:tcBorders>
            <w:shd w:val="clear" w:color="auto" w:fill="CEFFE7"/>
          </w:tcPr>
          <w:p>
            <w:pPr>
              <w:spacing w:after="0"/>
              <w:rPr>
                <w:sz w:val="20"/>
                <w:szCs w:val="20"/>
                <w:color w:val="auto"/>
              </w:rPr>
            </w:pPr>
          </w:p>
        </w:tc>
        <w:tc>
          <w:tcPr>
            <w:tcW w:w="1040" w:type="dxa"/>
            <w:vAlign w:val="bottom"/>
            <w:tcBorders>
              <w:bottom w:val="single" w:sz="8" w:color="CEFFE7"/>
            </w:tcBorders>
            <w:shd w:val="clear" w:color="auto" w:fill="CEFFE7"/>
          </w:tcPr>
          <w:p>
            <w:pPr>
              <w:jc w:val="right"/>
              <w:ind w:right="150"/>
              <w:spacing w:after="0"/>
              <w:rPr>
                <w:sz w:val="20"/>
                <w:szCs w:val="20"/>
                <w:color w:val="auto"/>
              </w:rPr>
            </w:pPr>
            <w:r>
              <w:rPr>
                <w:rFonts w:ascii="Arial" w:cs="Arial" w:eastAsia="Arial" w:hAnsi="Arial"/>
                <w:sz w:val="18"/>
                <w:szCs w:val="18"/>
                <w:color w:val="auto"/>
              </w:rPr>
              <w:t>5.00%</w:t>
            </w:r>
          </w:p>
        </w:tc>
        <w:tc>
          <w:tcPr>
            <w:tcW w:w="740" w:type="dxa"/>
            <w:vAlign w:val="bottom"/>
            <w:tcBorders>
              <w:bottom w:val="single" w:sz="8" w:color="CEFFE7"/>
            </w:tcBorders>
            <w:shd w:val="clear" w:color="auto" w:fill="CEFFE7"/>
          </w:tcPr>
          <w:p>
            <w:pPr>
              <w:ind w:left="240"/>
              <w:spacing w:after="0"/>
              <w:rPr>
                <w:sz w:val="20"/>
                <w:szCs w:val="20"/>
                <w:color w:val="auto"/>
              </w:rPr>
            </w:pPr>
            <w:r>
              <w:rPr>
                <w:rFonts w:ascii="Arial" w:cs="Arial" w:eastAsia="Arial" w:hAnsi="Arial"/>
                <w:sz w:val="18"/>
                <w:szCs w:val="18"/>
                <w:color w:val="auto"/>
                <w:w w:val="93"/>
              </w:rPr>
              <w:t>5.00%</w:t>
            </w:r>
          </w:p>
        </w:tc>
        <w:tc>
          <w:tcPr>
            <w:tcW w:w="540" w:type="dxa"/>
            <w:vAlign w:val="bottom"/>
            <w:tcBorders>
              <w:bottom w:val="single" w:sz="8" w:color="CEFFE7"/>
            </w:tcBorders>
            <w:shd w:val="clear" w:color="auto" w:fill="CEFFE7"/>
          </w:tcPr>
          <w:p>
            <w:pPr>
              <w:spacing w:after="0"/>
              <w:rPr>
                <w:sz w:val="20"/>
                <w:szCs w:val="20"/>
                <w:color w:val="auto"/>
              </w:rPr>
            </w:pPr>
          </w:p>
        </w:tc>
        <w:tc>
          <w:tcPr>
            <w:tcW w:w="500" w:type="dxa"/>
            <w:vAlign w:val="bottom"/>
            <w:tcBorders>
              <w:bottom w:val="single" w:sz="8" w:color="CEFFE7"/>
            </w:tcBorders>
            <w:shd w:val="clear" w:color="auto" w:fill="CEFFE7"/>
          </w:tcPr>
          <w:p>
            <w:pPr>
              <w:ind w:left="20"/>
              <w:spacing w:after="0"/>
              <w:rPr>
                <w:sz w:val="20"/>
                <w:szCs w:val="20"/>
                <w:color w:val="auto"/>
              </w:rPr>
            </w:pPr>
            <w:r>
              <w:rPr>
                <w:rFonts w:ascii="Arial" w:cs="Arial" w:eastAsia="Arial" w:hAnsi="Arial"/>
                <w:sz w:val="18"/>
                <w:szCs w:val="18"/>
                <w:color w:val="auto"/>
              </w:rPr>
              <w:t>N/A</w:t>
            </w:r>
          </w:p>
        </w:tc>
        <w:tc>
          <w:tcPr>
            <w:tcW w:w="780" w:type="dxa"/>
            <w:vAlign w:val="bottom"/>
            <w:tcBorders>
              <w:bottom w:val="single" w:sz="8" w:color="CEFFE7"/>
            </w:tcBorders>
            <w:shd w:val="clear" w:color="auto" w:fill="CEFFE7"/>
          </w:tcPr>
          <w:p>
            <w:pPr>
              <w:ind w:left="460"/>
              <w:spacing w:after="0"/>
              <w:rPr>
                <w:sz w:val="20"/>
                <w:szCs w:val="20"/>
                <w:color w:val="auto"/>
              </w:rPr>
            </w:pPr>
            <w:r>
              <w:rPr>
                <w:rFonts w:ascii="Arial" w:cs="Arial" w:eastAsia="Arial" w:hAnsi="Arial"/>
                <w:sz w:val="18"/>
                <w:szCs w:val="18"/>
                <w:color w:val="auto"/>
                <w:w w:val="99"/>
              </w:rPr>
              <w:t>N/A</w:t>
            </w:r>
          </w:p>
        </w:tc>
        <w:tc>
          <w:tcPr>
            <w:tcW w:w="260" w:type="dxa"/>
            <w:vAlign w:val="bottom"/>
            <w:tcBorders>
              <w:bottom w:val="single" w:sz="8" w:color="CEFFE7"/>
            </w:tcBorders>
            <w:shd w:val="clear" w:color="auto" w:fill="CEFFE7"/>
          </w:tcPr>
          <w:p>
            <w:pPr>
              <w:spacing w:after="0"/>
              <w:rPr>
                <w:sz w:val="20"/>
                <w:szCs w:val="20"/>
                <w:color w:val="auto"/>
              </w:rPr>
            </w:pPr>
          </w:p>
        </w:tc>
        <w:tc>
          <w:tcPr>
            <w:tcW w:w="860" w:type="dxa"/>
            <w:vAlign w:val="bottom"/>
            <w:tcBorders>
              <w:bottom w:val="single" w:sz="8" w:color="CEFFE7"/>
            </w:tcBorders>
            <w:shd w:val="clear" w:color="auto" w:fill="CEFFE7"/>
          </w:tcPr>
          <w:p>
            <w:pPr>
              <w:ind w:left="3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720" w:type="dxa"/>
            <w:vAlign w:val="bottom"/>
          </w:tcPr>
          <w:p>
            <w:pPr>
              <w:spacing w:after="0"/>
              <w:rPr>
                <w:sz w:val="20"/>
                <w:szCs w:val="20"/>
                <w:color w:val="auto"/>
              </w:rPr>
            </w:pPr>
            <w:r>
              <w:rPr>
                <w:rFonts w:ascii="Arial" w:cs="Arial" w:eastAsia="Arial" w:hAnsi="Arial"/>
                <w:sz w:val="18"/>
                <w:szCs w:val="18"/>
                <w:color w:val="auto"/>
                <w:w w:val="93"/>
              </w:rPr>
              <w:t>_____________________________</w:t>
            </w:r>
          </w:p>
        </w:tc>
        <w:tc>
          <w:tcPr>
            <w:tcW w:w="9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The estimated discount rate for the Defined Benefit Pension Plan is 3.27% for the calculation of the 2020 net periodic pension costs.</w:t>
      </w:r>
    </w:p>
    <w:p>
      <w:pPr>
        <w:spacing w:after="0" w:line="8" w:lineRule="exact"/>
        <w:rPr>
          <w:rFonts w:ascii="Arial" w:cs="Arial" w:eastAsia="Arial" w:hAnsi="Arial"/>
          <w:sz w:val="16"/>
          <w:szCs w:val="16"/>
          <w:color w:val="auto"/>
        </w:rPr>
      </w:pPr>
    </w:p>
    <w:p>
      <w:pPr>
        <w:ind w:left="340" w:hanging="332"/>
        <w:spacing w:after="0"/>
        <w:tabs>
          <w:tab w:leader="none" w:pos="340" w:val="left"/>
        </w:tabs>
        <w:numPr>
          <w:ilvl w:val="0"/>
          <w:numId w:val="86"/>
        </w:numPr>
        <w:rPr>
          <w:rFonts w:ascii="Arial" w:cs="Arial" w:eastAsia="Arial" w:hAnsi="Arial"/>
          <w:sz w:val="16"/>
          <w:szCs w:val="16"/>
          <w:color w:val="auto"/>
        </w:rPr>
      </w:pPr>
      <w:r>
        <w:rPr>
          <w:rFonts w:ascii="Arial" w:cs="Arial" w:eastAsia="Arial" w:hAnsi="Arial"/>
          <w:sz w:val="16"/>
          <w:szCs w:val="16"/>
          <w:color w:val="auto"/>
        </w:rPr>
        <w:t xml:space="preserve">The expected rate of return on plan assets is 5.25% for the calculation of the </w:t>
      </w:r>
      <w:r>
        <w:rPr>
          <w:rFonts w:ascii="Arial" w:cs="Arial" w:eastAsia="Arial" w:hAnsi="Arial"/>
          <w:sz w:val="18"/>
          <w:szCs w:val="18"/>
          <w:color w:val="auto"/>
        </w:rPr>
        <w:t>2020</w:t>
      </w:r>
      <w:r>
        <w:rPr>
          <w:rFonts w:ascii="Arial" w:cs="Arial" w:eastAsia="Arial" w:hAnsi="Arial"/>
          <w:sz w:val="16"/>
          <w:szCs w:val="16"/>
          <w:color w:val="auto"/>
        </w:rPr>
        <w:t xml:space="preserve"> net periodic pension cost.</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420"/>
          </w:cols>
          <w:pgMar w:left="240" w:top="126" w:right="239" w:bottom="1440" w:gutter="0" w:footer="0" w:header="0"/>
        </w:sectPr>
      </w:pPr>
    </w:p>
    <w:bookmarkStart w:id="135" w:name="page136"/>
    <w:bookmarkEnd w:id="135"/>
    <w:tbl>
      <w:tblPr>
        <w:tblLayout w:type="fixed"/>
        <w:tblInd w:w="0" w:type="dxa"/>
        <w:tblCellMar>
          <w:top w:w="0" w:type="dxa"/>
          <w:left w:w="0" w:type="dxa"/>
          <w:bottom w:w="0" w:type="dxa"/>
          <w:right w:w="0" w:type="dxa"/>
        </w:tblCellMar>
      </w:tblPr>
      <w:tr>
        <w:trPr>
          <w:trHeight w:val="184"/>
        </w:trPr>
        <w:tc>
          <w:tcPr>
            <w:tcW w:w="7100" w:type="dxa"/>
            <w:vAlign w:val="bottom"/>
            <w:gridSpan w:val="2"/>
          </w:tcPr>
          <w:p>
            <w:pPr>
              <w:spacing w:after="0"/>
              <w:rPr>
                <w:rFonts w:ascii="Arial" w:cs="Arial" w:eastAsia="Arial" w:hAnsi="Arial"/>
                <w:sz w:val="16"/>
                <w:szCs w:val="16"/>
                <w:b w:val="1"/>
                <w:bCs w:val="1"/>
                <w:color w:val="0000EE"/>
              </w:rPr>
            </w:pPr>
            <w:hyperlink w:anchor="page2">
              <w:r>
                <w:rPr>
                  <w:rFonts w:ascii="Arial" w:cs="Arial" w:eastAsia="Arial" w:hAnsi="Arial"/>
                  <w:sz w:val="16"/>
                  <w:szCs w:val="16"/>
                  <w:b w:val="1"/>
                  <w:bCs w:val="1"/>
                  <w:color w:val="0000EE"/>
                </w:rPr>
                <w:t>Table of Contents</w:t>
              </w:r>
            </w:hyperlink>
          </w:p>
        </w:tc>
        <w:tc>
          <w:tcPr>
            <w:tcW w:w="1920" w:type="dxa"/>
            <w:vAlign w:val="bottom"/>
          </w:tcPr>
          <w:p>
            <w:pPr>
              <w:spacing w:after="0"/>
              <w:rPr>
                <w:sz w:val="16"/>
                <w:szCs w:val="16"/>
                <w:color w:val="auto"/>
              </w:rPr>
            </w:pPr>
          </w:p>
        </w:tc>
        <w:tc>
          <w:tcPr>
            <w:tcW w:w="2400" w:type="dxa"/>
            <w:vAlign w:val="bottom"/>
          </w:tcPr>
          <w:p>
            <w:pPr>
              <w:spacing w:after="0"/>
              <w:rPr>
                <w:sz w:val="16"/>
                <w:szCs w:val="16"/>
                <w:color w:val="auto"/>
              </w:rPr>
            </w:pPr>
          </w:p>
        </w:tc>
      </w:tr>
      <w:tr>
        <w:trPr>
          <w:trHeight w:val="20"/>
        </w:trPr>
        <w:tc>
          <w:tcPr>
            <w:tcW w:w="1220" w:type="dxa"/>
            <w:vAlign w:val="bottom"/>
            <w:shd w:val="clear" w:color="auto" w:fill="0000EE"/>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r>
      <w:tr>
        <w:trPr>
          <w:trHeight w:val="439"/>
        </w:trPr>
        <w:tc>
          <w:tcPr>
            <w:tcW w:w="7100" w:type="dxa"/>
            <w:vAlign w:val="bottom"/>
            <w:gridSpan w:val="2"/>
          </w:tcPr>
          <w:p>
            <w:pPr>
              <w:spacing w:after="0"/>
              <w:rPr>
                <w:sz w:val="20"/>
                <w:szCs w:val="20"/>
                <w:color w:val="auto"/>
              </w:rPr>
            </w:pPr>
            <w:r>
              <w:rPr>
                <w:rFonts w:ascii="Arial" w:cs="Arial" w:eastAsia="Arial" w:hAnsi="Arial"/>
                <w:sz w:val="18"/>
                <w:szCs w:val="18"/>
                <w:color w:val="auto"/>
              </w:rPr>
              <w:t>The healthcare benefit obligation was determined at December 31 as follows:</w:t>
            </w:r>
          </w:p>
        </w:tc>
        <w:tc>
          <w:tcPr>
            <w:tcW w:w="19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378"/>
        </w:trPr>
        <w:tc>
          <w:tcPr>
            <w:tcW w:w="1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920" w:type="dxa"/>
            <w:vAlign w:val="bottom"/>
          </w:tcPr>
          <w:p>
            <w:pPr>
              <w:jc w:val="center"/>
              <w:ind w:right="350"/>
              <w:spacing w:after="0"/>
              <w:rPr>
                <w:sz w:val="20"/>
                <w:szCs w:val="20"/>
                <w:color w:val="auto"/>
              </w:rPr>
            </w:pPr>
            <w:r>
              <w:rPr>
                <w:rFonts w:ascii="Arial" w:cs="Arial" w:eastAsia="Arial" w:hAnsi="Arial"/>
                <w:sz w:val="18"/>
                <w:szCs w:val="18"/>
                <w:color w:val="auto"/>
                <w:w w:val="89"/>
              </w:rPr>
              <w:t>2019</w:t>
            </w:r>
          </w:p>
        </w:tc>
        <w:tc>
          <w:tcPr>
            <w:tcW w:w="2400" w:type="dxa"/>
            <w:vAlign w:val="bottom"/>
          </w:tcPr>
          <w:p>
            <w:pPr>
              <w:jc w:val="center"/>
              <w:spacing w:after="0"/>
              <w:rPr>
                <w:sz w:val="20"/>
                <w:szCs w:val="20"/>
                <w:color w:val="auto"/>
              </w:rPr>
            </w:pPr>
            <w:r>
              <w:rPr>
                <w:rFonts w:ascii="Arial" w:cs="Arial" w:eastAsia="Arial" w:hAnsi="Arial"/>
                <w:sz w:val="18"/>
                <w:szCs w:val="18"/>
                <w:color w:val="auto"/>
                <w:w w:val="89"/>
              </w:rPr>
              <w:t>2018</w:t>
            </w:r>
          </w:p>
        </w:tc>
      </w:tr>
      <w:tr>
        <w:trPr>
          <w:trHeight w:val="27"/>
        </w:trPr>
        <w:tc>
          <w:tcPr>
            <w:tcW w:w="1220" w:type="dxa"/>
            <w:vAlign w:val="bottom"/>
            <w:tcBorders>
              <w:bottom w:val="single" w:sz="8" w:color="auto"/>
            </w:tcBorders>
          </w:tcPr>
          <w:p>
            <w:pPr>
              <w:spacing w:after="0"/>
              <w:rPr>
                <w:sz w:val="2"/>
                <w:szCs w:val="2"/>
                <w:color w:val="auto"/>
              </w:rPr>
            </w:pPr>
          </w:p>
        </w:tc>
        <w:tc>
          <w:tcPr>
            <w:tcW w:w="58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r>
      <w:tr>
        <w:trPr>
          <w:trHeight w:val="237"/>
        </w:trPr>
        <w:tc>
          <w:tcPr>
            <w:tcW w:w="1220" w:type="dxa"/>
            <w:vAlign w:val="bottom"/>
          </w:tcPr>
          <w:p>
            <w:pPr>
              <w:spacing w:after="0"/>
              <w:rPr>
                <w:sz w:val="20"/>
                <w:szCs w:val="20"/>
                <w:color w:val="auto"/>
              </w:rPr>
            </w:pPr>
          </w:p>
        </w:tc>
        <w:tc>
          <w:tcPr>
            <w:tcW w:w="5880" w:type="dxa"/>
            <w:vAlign w:val="bottom"/>
          </w:tcPr>
          <w:p>
            <w:pPr>
              <w:ind w:left="3760"/>
              <w:spacing w:after="0"/>
              <w:rPr>
                <w:sz w:val="20"/>
                <w:szCs w:val="20"/>
                <w:color w:val="auto"/>
              </w:rPr>
            </w:pPr>
            <w:r>
              <w:rPr>
                <w:rFonts w:ascii="Arial" w:cs="Arial" w:eastAsia="Arial" w:hAnsi="Arial"/>
                <w:sz w:val="18"/>
                <w:szCs w:val="18"/>
                <w:b w:val="1"/>
                <w:bCs w:val="1"/>
                <w:color w:val="auto"/>
              </w:rPr>
              <w:t>Trend Rate - Medical</w:t>
            </w:r>
          </w:p>
        </w:tc>
        <w:tc>
          <w:tcPr>
            <w:tcW w:w="1920" w:type="dxa"/>
            <w:vAlign w:val="bottom"/>
          </w:tcPr>
          <w:p>
            <w:pPr>
              <w:spacing w:after="0"/>
              <w:rPr>
                <w:sz w:val="20"/>
                <w:szCs w:val="20"/>
                <w:color w:val="auto"/>
              </w:rPr>
            </w:pPr>
          </w:p>
        </w:tc>
        <w:tc>
          <w:tcPr>
            <w:tcW w:w="2400" w:type="dxa"/>
            <w:vAlign w:val="bottom"/>
          </w:tcPr>
          <w:p>
            <w:pPr>
              <w:spacing w:after="0"/>
              <w:rPr>
                <w:sz w:val="20"/>
                <w:szCs w:val="20"/>
                <w:color w:val="auto"/>
              </w:rPr>
            </w:pPr>
          </w:p>
        </w:tc>
      </w:tr>
      <w:tr>
        <w:trPr>
          <w:trHeight w:val="27"/>
        </w:trPr>
        <w:tc>
          <w:tcPr>
            <w:tcW w:w="12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1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Pre-65 for next year - All Plans</w:t>
            </w:r>
          </w:p>
        </w:tc>
        <w:tc>
          <w:tcPr>
            <w:tcW w:w="192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6.40%</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6.70%</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Pre-65 Ultimate trend rate - Black Hills Corp</w:t>
            </w:r>
          </w:p>
        </w:tc>
        <w:tc>
          <w:tcPr>
            <w:tcW w:w="1920" w:type="dxa"/>
            <w:vAlign w:val="bottom"/>
          </w:tcPr>
          <w:p>
            <w:pPr>
              <w:jc w:val="center"/>
              <w:ind w:right="3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12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50"/>
        </w:trPr>
        <w:tc>
          <w:tcPr>
            <w:tcW w:w="71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1920" w:type="dxa"/>
            <w:vAlign w:val="bottom"/>
            <w:tcBorders>
              <w:bottom w:val="single" w:sz="8" w:color="CEFFE7"/>
            </w:tcBorders>
            <w:shd w:val="clear" w:color="auto" w:fill="CEFFE7"/>
          </w:tcPr>
          <w:p>
            <w:pPr>
              <w:jc w:val="center"/>
              <w:ind w:right="350"/>
              <w:spacing w:after="0"/>
              <w:rPr>
                <w:sz w:val="20"/>
                <w:szCs w:val="20"/>
                <w:color w:val="auto"/>
              </w:rPr>
            </w:pPr>
            <w:r>
              <w:rPr>
                <w:rFonts w:ascii="Arial" w:cs="Arial" w:eastAsia="Arial" w:hAnsi="Arial"/>
                <w:sz w:val="18"/>
                <w:szCs w:val="18"/>
                <w:color w:val="auto"/>
                <w:w w:val="89"/>
              </w:rPr>
              <w:t>2027</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89"/>
              </w:rPr>
              <w:t>2027</w:t>
            </w:r>
          </w:p>
        </w:tc>
      </w:tr>
      <w:tr>
        <w:trPr>
          <w:trHeight w:val="324"/>
        </w:trPr>
        <w:tc>
          <w:tcPr>
            <w:tcW w:w="122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400" w:type="dxa"/>
            <w:vAlign w:val="bottom"/>
          </w:tcPr>
          <w:p>
            <w:pPr>
              <w:spacing w:after="0"/>
              <w:rPr>
                <w:sz w:val="24"/>
                <w:szCs w:val="24"/>
                <w:color w:val="auto"/>
              </w:rPr>
            </w:pPr>
          </w:p>
        </w:tc>
      </w:tr>
      <w:tr>
        <w:trPr>
          <w:trHeight w:val="250"/>
        </w:trPr>
        <w:tc>
          <w:tcPr>
            <w:tcW w:w="7100" w:type="dxa"/>
            <w:vAlign w:val="bottom"/>
            <w:tcBorders>
              <w:bottom w:val="single" w:sz="8" w:color="CEFFE7"/>
            </w:tcBorders>
            <w:gridSpan w:val="2"/>
            <w:shd w:val="clear" w:color="auto" w:fill="CEFFE7"/>
          </w:tcPr>
          <w:p>
            <w:pPr>
              <w:ind w:left="280"/>
              <w:spacing w:after="0"/>
              <w:rPr>
                <w:sz w:val="20"/>
                <w:szCs w:val="20"/>
                <w:color w:val="auto"/>
              </w:rPr>
            </w:pPr>
            <w:r>
              <w:rPr>
                <w:rFonts w:ascii="Arial" w:cs="Arial" w:eastAsia="Arial" w:hAnsi="Arial"/>
                <w:sz w:val="18"/>
                <w:szCs w:val="18"/>
                <w:color w:val="auto"/>
              </w:rPr>
              <w:t>Post-65 for next year - All Plans</w:t>
            </w:r>
          </w:p>
        </w:tc>
        <w:tc>
          <w:tcPr>
            <w:tcW w:w="1920" w:type="dxa"/>
            <w:vAlign w:val="bottom"/>
            <w:tcBorders>
              <w:bottom w:val="single" w:sz="8" w:color="CEFFE7"/>
            </w:tcBorders>
            <w:shd w:val="clear" w:color="auto" w:fill="CEFFE7"/>
          </w:tcPr>
          <w:p>
            <w:pPr>
              <w:jc w:val="center"/>
              <w:ind w:right="370"/>
              <w:spacing w:after="0"/>
              <w:rPr>
                <w:sz w:val="20"/>
                <w:szCs w:val="20"/>
                <w:color w:val="auto"/>
              </w:rPr>
            </w:pPr>
            <w:r>
              <w:rPr>
                <w:rFonts w:ascii="Arial" w:cs="Arial" w:eastAsia="Arial" w:hAnsi="Arial"/>
                <w:sz w:val="18"/>
                <w:szCs w:val="18"/>
                <w:color w:val="auto"/>
                <w:w w:val="90"/>
              </w:rPr>
              <w:t>4.92%</w:t>
            </w:r>
          </w:p>
        </w:tc>
        <w:tc>
          <w:tcPr>
            <w:tcW w:w="2400" w:type="dxa"/>
            <w:vAlign w:val="bottom"/>
            <w:tcBorders>
              <w:bottom w:val="single" w:sz="8" w:color="CEFFE7"/>
            </w:tcBorders>
            <w:shd w:val="clear" w:color="auto" w:fill="CEFFE7"/>
          </w:tcPr>
          <w:p>
            <w:pPr>
              <w:jc w:val="center"/>
              <w:spacing w:after="0"/>
              <w:rPr>
                <w:sz w:val="20"/>
                <w:szCs w:val="20"/>
                <w:color w:val="auto"/>
              </w:rPr>
            </w:pPr>
            <w:r>
              <w:rPr>
                <w:rFonts w:ascii="Arial" w:cs="Arial" w:eastAsia="Arial" w:hAnsi="Arial"/>
                <w:sz w:val="18"/>
                <w:szCs w:val="18"/>
                <w:color w:val="auto"/>
                <w:w w:val="90"/>
              </w:rPr>
              <w:t>4.94%</w:t>
            </w:r>
          </w:p>
        </w:tc>
      </w:tr>
      <w:tr>
        <w:trPr>
          <w:trHeight w:val="243"/>
        </w:trPr>
        <w:tc>
          <w:tcPr>
            <w:tcW w:w="7100" w:type="dxa"/>
            <w:vAlign w:val="bottom"/>
            <w:gridSpan w:val="2"/>
          </w:tcPr>
          <w:p>
            <w:pPr>
              <w:ind w:left="280"/>
              <w:spacing w:after="0"/>
              <w:rPr>
                <w:sz w:val="20"/>
                <w:szCs w:val="20"/>
                <w:color w:val="auto"/>
              </w:rPr>
            </w:pPr>
            <w:r>
              <w:rPr>
                <w:rFonts w:ascii="Arial" w:cs="Arial" w:eastAsia="Arial" w:hAnsi="Arial"/>
                <w:sz w:val="18"/>
                <w:szCs w:val="18"/>
                <w:color w:val="auto"/>
              </w:rPr>
              <w:t>Post-65 Ultimate trend rate - Black Hills Corp</w:t>
            </w:r>
          </w:p>
        </w:tc>
        <w:tc>
          <w:tcPr>
            <w:tcW w:w="1920" w:type="dxa"/>
            <w:vAlign w:val="bottom"/>
          </w:tcPr>
          <w:p>
            <w:pPr>
              <w:jc w:val="center"/>
              <w:ind w:right="370"/>
              <w:spacing w:after="0"/>
              <w:rPr>
                <w:sz w:val="20"/>
                <w:szCs w:val="20"/>
                <w:color w:val="auto"/>
              </w:rPr>
            </w:pPr>
            <w:r>
              <w:rPr>
                <w:rFonts w:ascii="Arial" w:cs="Arial" w:eastAsia="Arial" w:hAnsi="Arial"/>
                <w:sz w:val="18"/>
                <w:szCs w:val="18"/>
                <w:color w:val="auto"/>
                <w:w w:val="90"/>
              </w:rPr>
              <w:t>4.50%</w:t>
            </w:r>
          </w:p>
        </w:tc>
        <w:tc>
          <w:tcPr>
            <w:tcW w:w="2400" w:type="dxa"/>
            <w:vAlign w:val="bottom"/>
          </w:tcPr>
          <w:p>
            <w:pPr>
              <w:jc w:val="center"/>
              <w:spacing w:after="0"/>
              <w:rPr>
                <w:sz w:val="20"/>
                <w:szCs w:val="20"/>
                <w:color w:val="auto"/>
              </w:rPr>
            </w:pPr>
            <w:r>
              <w:rPr>
                <w:rFonts w:ascii="Arial" w:cs="Arial" w:eastAsia="Arial" w:hAnsi="Arial"/>
                <w:sz w:val="18"/>
                <w:szCs w:val="18"/>
                <w:color w:val="auto"/>
                <w:w w:val="90"/>
              </w:rPr>
              <w:t>4.50%</w:t>
            </w:r>
          </w:p>
        </w:tc>
      </w:tr>
      <w:tr>
        <w:trPr>
          <w:trHeight w:val="27"/>
        </w:trPr>
        <w:tc>
          <w:tcPr>
            <w:tcW w:w="1220" w:type="dxa"/>
            <w:vAlign w:val="bottom"/>
          </w:tcPr>
          <w:p>
            <w:pPr>
              <w:spacing w:after="0"/>
              <w:rPr>
                <w:sz w:val="2"/>
                <w:szCs w:val="2"/>
                <w:color w:val="auto"/>
              </w:rPr>
            </w:pPr>
          </w:p>
        </w:tc>
        <w:tc>
          <w:tcPr>
            <w:tcW w:w="58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400" w:type="dxa"/>
            <w:vAlign w:val="bottom"/>
          </w:tcPr>
          <w:p>
            <w:pPr>
              <w:spacing w:after="0"/>
              <w:rPr>
                <w:sz w:val="2"/>
                <w:szCs w:val="2"/>
                <w:color w:val="auto"/>
              </w:rPr>
            </w:pPr>
          </w:p>
        </w:tc>
      </w:tr>
      <w:tr>
        <w:trPr>
          <w:trHeight w:val="243"/>
        </w:trPr>
        <w:tc>
          <w:tcPr>
            <w:tcW w:w="7100" w:type="dxa"/>
            <w:vAlign w:val="bottom"/>
            <w:gridSpan w:val="2"/>
            <w:shd w:val="clear" w:color="auto" w:fill="CEFFE7"/>
          </w:tcPr>
          <w:p>
            <w:pPr>
              <w:ind w:left="280"/>
              <w:spacing w:after="0"/>
              <w:rPr>
                <w:sz w:val="20"/>
                <w:szCs w:val="20"/>
                <w:color w:val="auto"/>
              </w:rPr>
            </w:pPr>
            <w:r>
              <w:rPr>
                <w:rFonts w:ascii="Arial" w:cs="Arial" w:eastAsia="Arial" w:hAnsi="Arial"/>
                <w:sz w:val="18"/>
                <w:szCs w:val="18"/>
                <w:color w:val="auto"/>
              </w:rPr>
              <w:t>Trend Year</w:t>
            </w:r>
          </w:p>
        </w:tc>
        <w:tc>
          <w:tcPr>
            <w:tcW w:w="1920" w:type="dxa"/>
            <w:vAlign w:val="bottom"/>
            <w:shd w:val="clear" w:color="auto" w:fill="CEFFE7"/>
          </w:tcPr>
          <w:p>
            <w:pPr>
              <w:jc w:val="center"/>
              <w:ind w:right="350"/>
              <w:spacing w:after="0"/>
              <w:rPr>
                <w:sz w:val="20"/>
                <w:szCs w:val="20"/>
                <w:color w:val="auto"/>
              </w:rPr>
            </w:pPr>
            <w:r>
              <w:rPr>
                <w:rFonts w:ascii="Arial" w:cs="Arial" w:eastAsia="Arial" w:hAnsi="Arial"/>
                <w:sz w:val="18"/>
                <w:szCs w:val="18"/>
                <w:color w:val="auto"/>
                <w:w w:val="89"/>
              </w:rPr>
              <w:t>2028</w:t>
            </w:r>
          </w:p>
        </w:tc>
        <w:tc>
          <w:tcPr>
            <w:tcW w:w="24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89"/>
              </w:rPr>
              <w:t>2026</w:t>
            </w:r>
          </w:p>
        </w:tc>
      </w:tr>
      <w:tr>
        <w:trPr>
          <w:trHeight w:val="27"/>
        </w:trPr>
        <w:tc>
          <w:tcPr>
            <w:tcW w:w="1220" w:type="dxa"/>
            <w:vAlign w:val="bottom"/>
            <w:shd w:val="clear" w:color="auto" w:fill="CEFFE7"/>
          </w:tcPr>
          <w:p>
            <w:pPr>
              <w:spacing w:after="0"/>
              <w:rPr>
                <w:sz w:val="2"/>
                <w:szCs w:val="2"/>
                <w:color w:val="auto"/>
              </w:rPr>
            </w:pPr>
          </w:p>
        </w:tc>
        <w:tc>
          <w:tcPr>
            <w:tcW w:w="5880" w:type="dxa"/>
            <w:vAlign w:val="bottom"/>
            <w:shd w:val="clear" w:color="auto" w:fill="CEFFE7"/>
          </w:tcPr>
          <w:p>
            <w:pPr>
              <w:spacing w:after="0"/>
              <w:rPr>
                <w:sz w:val="2"/>
                <w:szCs w:val="2"/>
                <w:color w:val="auto"/>
              </w:rPr>
            </w:pPr>
          </w:p>
        </w:tc>
        <w:tc>
          <w:tcPr>
            <w:tcW w:w="1920" w:type="dxa"/>
            <w:vAlign w:val="bottom"/>
            <w:shd w:val="clear" w:color="auto" w:fill="CEFFE7"/>
          </w:tcPr>
          <w:p>
            <w:pPr>
              <w:spacing w:after="0"/>
              <w:rPr>
                <w:sz w:val="2"/>
                <w:szCs w:val="2"/>
                <w:color w:val="auto"/>
              </w:rPr>
            </w:pPr>
          </w:p>
        </w:tc>
        <w:tc>
          <w:tcPr>
            <w:tcW w:w="2400" w:type="dxa"/>
            <w:vAlign w:val="bottom"/>
            <w:shd w:val="clear" w:color="auto" w:fill="CEFFE7"/>
          </w:tcPr>
          <w:p>
            <w:pPr>
              <w:spacing w:after="0"/>
              <w:rPr>
                <w:sz w:val="2"/>
                <w:szCs w:val="2"/>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benefit payments to employees, which reflect future service, are expected to be paid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7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40" w:type="dxa"/>
            <w:vAlign w:val="bottom"/>
          </w:tcPr>
          <w:p>
            <w:pPr>
              <w:jc w:val="right"/>
              <w:ind w:right="150"/>
              <w:spacing w:after="0"/>
              <w:rPr>
                <w:sz w:val="20"/>
                <w:szCs w:val="20"/>
                <w:color w:val="auto"/>
              </w:rPr>
            </w:pPr>
            <w:r>
              <w:rPr>
                <w:rFonts w:ascii="Arial" w:cs="Arial" w:eastAsia="Arial" w:hAnsi="Arial"/>
                <w:sz w:val="18"/>
                <w:szCs w:val="18"/>
                <w:color w:val="auto"/>
                <w:w w:val="92"/>
              </w:rPr>
              <w:t>Defined Benefit Pension</w:t>
            </w:r>
          </w:p>
        </w:tc>
        <w:tc>
          <w:tcPr>
            <w:tcW w:w="3440" w:type="dxa"/>
            <w:vAlign w:val="bottom"/>
            <w:gridSpan w:val="2"/>
          </w:tcPr>
          <w:p>
            <w:pPr>
              <w:ind w:left="120"/>
              <w:spacing w:after="0"/>
              <w:rPr>
                <w:sz w:val="20"/>
                <w:szCs w:val="20"/>
                <w:color w:val="auto"/>
              </w:rPr>
            </w:pPr>
            <w:r>
              <w:rPr>
                <w:rFonts w:ascii="Arial" w:cs="Arial" w:eastAsia="Arial" w:hAnsi="Arial"/>
                <w:sz w:val="18"/>
                <w:szCs w:val="18"/>
                <w:color w:val="auto"/>
                <w:w w:val="94"/>
              </w:rPr>
              <w:t>Supplemental Non-qualified Defined Benefit</w:t>
            </w:r>
          </w:p>
        </w:tc>
        <w:tc>
          <w:tcPr>
            <w:tcW w:w="300" w:type="dxa"/>
            <w:vAlign w:val="bottom"/>
          </w:tcPr>
          <w:p>
            <w:pPr>
              <w:spacing w:after="0"/>
              <w:rPr>
                <w:sz w:val="18"/>
                <w:szCs w:val="18"/>
                <w:color w:val="auto"/>
              </w:rPr>
            </w:pPr>
          </w:p>
        </w:tc>
        <w:tc>
          <w:tcPr>
            <w:tcW w:w="2720" w:type="dxa"/>
            <w:vAlign w:val="bottom"/>
          </w:tcPr>
          <w:p>
            <w:pPr>
              <w:jc w:val="right"/>
              <w:ind w:right="330"/>
              <w:spacing w:after="0"/>
              <w:rPr>
                <w:sz w:val="20"/>
                <w:szCs w:val="20"/>
                <w:color w:val="auto"/>
              </w:rPr>
            </w:pPr>
            <w:r>
              <w:rPr>
                <w:rFonts w:ascii="Arial" w:cs="Arial" w:eastAsia="Arial" w:hAnsi="Arial"/>
                <w:sz w:val="18"/>
                <w:szCs w:val="18"/>
                <w:color w:val="auto"/>
                <w:w w:val="99"/>
              </w:rPr>
              <w:t>Non-pension Defined Benefit</w:t>
            </w:r>
          </w:p>
        </w:tc>
      </w:tr>
      <w:tr>
        <w:trPr>
          <w:trHeight w:val="230"/>
        </w:trPr>
        <w:tc>
          <w:tcPr>
            <w:tcW w:w="2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40" w:type="dxa"/>
            <w:vAlign w:val="bottom"/>
          </w:tcPr>
          <w:p>
            <w:pPr>
              <w:jc w:val="right"/>
              <w:ind w:right="870"/>
              <w:spacing w:after="0"/>
              <w:rPr>
                <w:sz w:val="20"/>
                <w:szCs w:val="20"/>
                <w:color w:val="auto"/>
              </w:rPr>
            </w:pPr>
            <w:r>
              <w:rPr>
                <w:rFonts w:ascii="Arial" w:cs="Arial" w:eastAsia="Arial" w:hAnsi="Arial"/>
                <w:sz w:val="18"/>
                <w:szCs w:val="18"/>
                <w:color w:val="auto"/>
              </w:rPr>
              <w:t>Plan</w:t>
            </w:r>
          </w:p>
        </w:tc>
        <w:tc>
          <w:tcPr>
            <w:tcW w:w="880" w:type="dxa"/>
            <w:vAlign w:val="bottom"/>
          </w:tcPr>
          <w:p>
            <w:pPr>
              <w:spacing w:after="0"/>
              <w:rPr>
                <w:sz w:val="20"/>
                <w:szCs w:val="20"/>
                <w:color w:val="auto"/>
              </w:rPr>
            </w:pPr>
          </w:p>
        </w:tc>
        <w:tc>
          <w:tcPr>
            <w:tcW w:w="2560" w:type="dxa"/>
            <w:vAlign w:val="bottom"/>
          </w:tcPr>
          <w:p>
            <w:pPr>
              <w:jc w:val="right"/>
              <w:ind w:right="1410"/>
              <w:spacing w:after="0"/>
              <w:rPr>
                <w:sz w:val="20"/>
                <w:szCs w:val="20"/>
                <w:color w:val="auto"/>
              </w:rPr>
            </w:pPr>
            <w:r>
              <w:rPr>
                <w:rFonts w:ascii="Arial" w:cs="Arial" w:eastAsia="Arial" w:hAnsi="Arial"/>
                <w:sz w:val="18"/>
                <w:szCs w:val="18"/>
                <w:color w:val="auto"/>
              </w:rPr>
              <w:t>Plans</w:t>
            </w:r>
          </w:p>
        </w:tc>
        <w:tc>
          <w:tcPr>
            <w:tcW w:w="300" w:type="dxa"/>
            <w:vAlign w:val="bottom"/>
          </w:tcPr>
          <w:p>
            <w:pPr>
              <w:spacing w:after="0"/>
              <w:rPr>
                <w:sz w:val="20"/>
                <w:szCs w:val="20"/>
                <w:color w:val="auto"/>
              </w:rPr>
            </w:pPr>
          </w:p>
        </w:tc>
        <w:tc>
          <w:tcPr>
            <w:tcW w:w="2720" w:type="dxa"/>
            <w:vAlign w:val="bottom"/>
          </w:tcPr>
          <w:p>
            <w:pPr>
              <w:jc w:val="right"/>
              <w:ind w:right="270"/>
              <w:spacing w:after="0"/>
              <w:rPr>
                <w:sz w:val="20"/>
                <w:szCs w:val="20"/>
                <w:color w:val="auto"/>
              </w:rPr>
            </w:pPr>
            <w:r>
              <w:rPr>
                <w:rFonts w:ascii="Arial" w:cs="Arial" w:eastAsia="Arial" w:hAnsi="Arial"/>
                <w:sz w:val="18"/>
                <w:szCs w:val="18"/>
                <w:color w:val="auto"/>
                <w:w w:val="93"/>
              </w:rPr>
              <w:t>Postretirement Healthcare Plan</w:t>
            </w:r>
          </w:p>
        </w:tc>
      </w:tr>
      <w:tr>
        <w:trPr>
          <w:trHeight w:val="27"/>
        </w:trPr>
        <w:tc>
          <w:tcPr>
            <w:tcW w:w="2740" w:type="dxa"/>
            <w:vAlign w:val="bottom"/>
            <w:tcBorders>
              <w:bottom w:val="single" w:sz="8" w:color="CEFFE7"/>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5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720" w:type="dxa"/>
            <w:vAlign w:val="bottom"/>
            <w:tcBorders>
              <w:bottom w:val="single" w:sz="8" w:color="auto"/>
            </w:tcBorders>
          </w:tcPr>
          <w:p>
            <w:pPr>
              <w:spacing w:after="0"/>
              <w:rPr>
                <w:sz w:val="2"/>
                <w:szCs w:val="2"/>
                <w:color w:val="auto"/>
              </w:rPr>
            </w:pPr>
          </w:p>
        </w:tc>
      </w:tr>
      <w:tr>
        <w:trPr>
          <w:trHeight w:val="244"/>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2020</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24,586</w:t>
            </w:r>
          </w:p>
        </w:tc>
        <w:tc>
          <w:tcPr>
            <w:tcW w:w="8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1,420</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5,919</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25,774</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70"/>
              <w:spacing w:after="0"/>
              <w:rPr>
                <w:sz w:val="20"/>
                <w:szCs w:val="20"/>
                <w:color w:val="auto"/>
              </w:rPr>
            </w:pPr>
            <w:r>
              <w:rPr>
                <w:rFonts w:ascii="Arial" w:cs="Arial" w:eastAsia="Arial" w:hAnsi="Arial"/>
                <w:sz w:val="18"/>
                <w:szCs w:val="18"/>
                <w:color w:val="auto"/>
              </w:rPr>
              <w:t>1,786</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5,974</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2022</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26,728</w:t>
            </w:r>
          </w:p>
        </w:tc>
        <w:tc>
          <w:tcPr>
            <w:tcW w:w="8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2,167</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5,790</w:t>
            </w:r>
          </w:p>
        </w:tc>
      </w:tr>
      <w:tr>
        <w:trPr>
          <w:trHeight w:val="243"/>
        </w:trPr>
        <w:tc>
          <w:tcPr>
            <w:tcW w:w="2740" w:type="dxa"/>
            <w:vAlign w:val="bottom"/>
          </w:tcPr>
          <w:p>
            <w:pPr>
              <w:jc w:val="right"/>
              <w:ind w:right="2250"/>
              <w:spacing w:after="0"/>
              <w:rPr>
                <w:sz w:val="20"/>
                <w:szCs w:val="20"/>
                <w:color w:val="auto"/>
              </w:rPr>
            </w:pPr>
            <w:r>
              <w:rPr>
                <w:rFonts w:ascii="Arial" w:cs="Arial" w:eastAsia="Arial" w:hAnsi="Arial"/>
                <w:sz w:val="18"/>
                <w:szCs w:val="18"/>
                <w:color w:val="auto"/>
                <w:w w:val="94"/>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27,795</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70"/>
              <w:spacing w:after="0"/>
              <w:rPr>
                <w:sz w:val="20"/>
                <w:szCs w:val="20"/>
                <w:color w:val="auto"/>
              </w:rPr>
            </w:pPr>
            <w:r>
              <w:rPr>
                <w:rFonts w:ascii="Arial" w:cs="Arial" w:eastAsia="Arial" w:hAnsi="Arial"/>
                <w:sz w:val="18"/>
                <w:szCs w:val="18"/>
                <w:color w:val="auto"/>
              </w:rPr>
              <w:t>2,223</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5,521</w:t>
            </w:r>
          </w:p>
        </w:tc>
      </w:tr>
      <w:tr>
        <w:trPr>
          <w:trHeight w:val="27"/>
        </w:trPr>
        <w:tc>
          <w:tcPr>
            <w:tcW w:w="274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720" w:type="dxa"/>
            <w:vAlign w:val="bottom"/>
          </w:tcPr>
          <w:p>
            <w:pPr>
              <w:spacing w:after="0"/>
              <w:rPr>
                <w:sz w:val="2"/>
                <w:szCs w:val="2"/>
                <w:color w:val="auto"/>
              </w:rPr>
            </w:pPr>
          </w:p>
        </w:tc>
      </w:tr>
      <w:tr>
        <w:trPr>
          <w:trHeight w:val="250"/>
        </w:trPr>
        <w:tc>
          <w:tcPr>
            <w:tcW w:w="2740" w:type="dxa"/>
            <w:vAlign w:val="bottom"/>
            <w:tcBorders>
              <w:bottom w:val="single" w:sz="8" w:color="CEFFE7"/>
            </w:tcBorders>
            <w:shd w:val="clear" w:color="auto" w:fill="CEFFE7"/>
          </w:tcPr>
          <w:p>
            <w:pPr>
              <w:jc w:val="right"/>
              <w:ind w:right="2250"/>
              <w:spacing w:after="0"/>
              <w:rPr>
                <w:sz w:val="20"/>
                <w:szCs w:val="20"/>
                <w:color w:val="auto"/>
              </w:rPr>
            </w:pPr>
            <w:r>
              <w:rPr>
                <w:rFonts w:ascii="Arial" w:cs="Arial" w:eastAsia="Arial" w:hAnsi="Arial"/>
                <w:sz w:val="18"/>
                <w:szCs w:val="18"/>
                <w:color w:val="auto"/>
                <w:w w:val="94"/>
              </w:rPr>
              <w:t>2024</w:t>
            </w:r>
          </w:p>
        </w:tc>
        <w:tc>
          <w:tcPr>
            <w:tcW w:w="1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Borders>
              <w:bottom w:val="single" w:sz="8" w:color="CEFFE7"/>
            </w:tcBorders>
            <w:shd w:val="clear" w:color="auto" w:fill="CEFFE7"/>
          </w:tcPr>
          <w:p>
            <w:pPr>
              <w:jc w:val="right"/>
              <w:ind w:right="50"/>
              <w:spacing w:after="0"/>
              <w:rPr>
                <w:sz w:val="20"/>
                <w:szCs w:val="20"/>
                <w:color w:val="auto"/>
              </w:rPr>
            </w:pPr>
            <w:r>
              <w:rPr>
                <w:rFonts w:ascii="Arial" w:cs="Arial" w:eastAsia="Arial" w:hAnsi="Arial"/>
                <w:sz w:val="18"/>
                <w:szCs w:val="18"/>
                <w:color w:val="auto"/>
              </w:rPr>
              <w:t>28,547</w:t>
            </w:r>
          </w:p>
        </w:tc>
        <w:tc>
          <w:tcPr>
            <w:tcW w:w="880" w:type="dxa"/>
            <w:vAlign w:val="bottom"/>
            <w:tcBorders>
              <w:bottom w:val="single" w:sz="8" w:color="CEFFE7"/>
            </w:tcBorders>
            <w:shd w:val="clear" w:color="auto" w:fill="CEFFE7"/>
          </w:tcPr>
          <w:p>
            <w:pPr>
              <w:ind w:left="120"/>
              <w:spacing w:after="0"/>
              <w:rPr>
                <w:sz w:val="20"/>
                <w:szCs w:val="20"/>
                <w:color w:val="auto"/>
              </w:rPr>
            </w:pPr>
            <w:r>
              <w:rPr>
                <w:rFonts w:ascii="Arial" w:cs="Arial" w:eastAsia="Arial" w:hAnsi="Arial"/>
                <w:sz w:val="18"/>
                <w:szCs w:val="18"/>
                <w:color w:val="auto"/>
              </w:rPr>
              <w:t>$</w:t>
            </w:r>
          </w:p>
        </w:tc>
        <w:tc>
          <w:tcPr>
            <w:tcW w:w="2560" w:type="dxa"/>
            <w:vAlign w:val="bottom"/>
            <w:tcBorders>
              <w:bottom w:val="single" w:sz="8" w:color="CEFFE7"/>
            </w:tcBorders>
            <w:shd w:val="clear" w:color="auto" w:fill="CEFFE7"/>
          </w:tcPr>
          <w:p>
            <w:pPr>
              <w:jc w:val="right"/>
              <w:ind w:right="70"/>
              <w:spacing w:after="0"/>
              <w:rPr>
                <w:sz w:val="20"/>
                <w:szCs w:val="20"/>
                <w:color w:val="auto"/>
              </w:rPr>
            </w:pPr>
            <w:r>
              <w:rPr>
                <w:rFonts w:ascii="Arial" w:cs="Arial" w:eastAsia="Arial" w:hAnsi="Arial"/>
                <w:sz w:val="18"/>
                <w:szCs w:val="18"/>
                <w:color w:val="auto"/>
              </w:rPr>
              <w:t>2,412</w:t>
            </w:r>
          </w:p>
        </w:tc>
        <w:tc>
          <w:tcPr>
            <w:tcW w:w="30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5,329</w:t>
            </w:r>
          </w:p>
        </w:tc>
      </w:tr>
      <w:tr>
        <w:trPr>
          <w:trHeight w:val="243"/>
        </w:trPr>
        <w:tc>
          <w:tcPr>
            <w:tcW w:w="2740" w:type="dxa"/>
            <w:vAlign w:val="bottom"/>
          </w:tcPr>
          <w:p>
            <w:pPr>
              <w:jc w:val="right"/>
              <w:spacing w:after="0"/>
              <w:rPr>
                <w:sz w:val="20"/>
                <w:szCs w:val="20"/>
                <w:color w:val="auto"/>
              </w:rPr>
            </w:pPr>
            <w:r>
              <w:rPr>
                <w:rFonts w:ascii="Arial" w:cs="Arial" w:eastAsia="Arial" w:hAnsi="Arial"/>
                <w:sz w:val="18"/>
                <w:szCs w:val="18"/>
                <w:color w:val="auto"/>
              </w:rPr>
              <w:t>2025-2029</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40" w:type="dxa"/>
            <w:vAlign w:val="bottom"/>
          </w:tcPr>
          <w:p>
            <w:pPr>
              <w:jc w:val="right"/>
              <w:ind w:right="50"/>
              <w:spacing w:after="0"/>
              <w:rPr>
                <w:sz w:val="20"/>
                <w:szCs w:val="20"/>
                <w:color w:val="auto"/>
              </w:rPr>
            </w:pPr>
            <w:r>
              <w:rPr>
                <w:rFonts w:ascii="Arial" w:cs="Arial" w:eastAsia="Arial" w:hAnsi="Arial"/>
                <w:sz w:val="18"/>
                <w:szCs w:val="18"/>
                <w:color w:val="auto"/>
              </w:rPr>
              <w:t>145,426</w:t>
            </w:r>
          </w:p>
        </w:tc>
        <w:tc>
          <w:tcPr>
            <w:tcW w:w="880" w:type="dxa"/>
            <w:vAlign w:val="bottom"/>
          </w:tcPr>
          <w:p>
            <w:pPr>
              <w:ind w:left="120"/>
              <w:spacing w:after="0"/>
              <w:rPr>
                <w:sz w:val="20"/>
                <w:szCs w:val="20"/>
                <w:color w:val="auto"/>
              </w:rPr>
            </w:pPr>
            <w:r>
              <w:rPr>
                <w:rFonts w:ascii="Arial" w:cs="Arial" w:eastAsia="Arial" w:hAnsi="Arial"/>
                <w:sz w:val="18"/>
                <w:szCs w:val="18"/>
                <w:color w:val="auto"/>
              </w:rPr>
              <w:t>$</w:t>
            </w:r>
          </w:p>
        </w:tc>
        <w:tc>
          <w:tcPr>
            <w:tcW w:w="2560" w:type="dxa"/>
            <w:vAlign w:val="bottom"/>
          </w:tcPr>
          <w:p>
            <w:pPr>
              <w:jc w:val="right"/>
              <w:ind w:right="70"/>
              <w:spacing w:after="0"/>
              <w:rPr>
                <w:sz w:val="20"/>
                <w:szCs w:val="20"/>
                <w:color w:val="auto"/>
              </w:rPr>
            </w:pPr>
            <w:r>
              <w:rPr>
                <w:rFonts w:ascii="Arial" w:cs="Arial" w:eastAsia="Arial" w:hAnsi="Arial"/>
                <w:sz w:val="18"/>
                <w:szCs w:val="18"/>
                <w:color w:val="auto"/>
              </w:rPr>
              <w:t>14,689</w:t>
            </w:r>
          </w:p>
        </w:tc>
        <w:tc>
          <w:tcPr>
            <w:tcW w:w="3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720" w:type="dxa"/>
            <w:vAlign w:val="bottom"/>
          </w:tcPr>
          <w:p>
            <w:pPr>
              <w:jc w:val="right"/>
              <w:ind w:right="10"/>
              <w:spacing w:after="0"/>
              <w:rPr>
                <w:sz w:val="20"/>
                <w:szCs w:val="20"/>
                <w:color w:val="auto"/>
              </w:rPr>
            </w:pPr>
            <w:r>
              <w:rPr>
                <w:rFonts w:ascii="Arial" w:cs="Arial" w:eastAsia="Arial" w:hAnsi="Arial"/>
                <w:sz w:val="18"/>
                <w:szCs w:val="18"/>
                <w:color w:val="auto"/>
              </w:rPr>
              <w:t>23,030</w:t>
            </w:r>
          </w:p>
        </w:tc>
      </w:tr>
    </w:tbl>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right="7120" w:firstLine="8"/>
        <w:spacing w:after="0" w:line="533" w:lineRule="auto"/>
        <w:tabs>
          <w:tab w:leader="none" w:pos="480" w:val="left"/>
        </w:tabs>
        <w:numPr>
          <w:ilvl w:val="0"/>
          <w:numId w:val="87"/>
        </w:numPr>
        <w:rPr>
          <w:rFonts w:ascii="Arial" w:cs="Arial" w:eastAsia="Arial" w:hAnsi="Arial"/>
          <w:sz w:val="17"/>
          <w:szCs w:val="17"/>
          <w:b w:val="1"/>
          <w:bCs w:val="1"/>
          <w:color w:val="auto"/>
        </w:rPr>
      </w:pPr>
      <w:r>
        <w:rPr>
          <w:rFonts w:ascii="Arial" w:cs="Arial" w:eastAsia="Arial" w:hAnsi="Arial"/>
          <w:sz w:val="17"/>
          <w:szCs w:val="17"/>
          <w:b w:val="1"/>
          <w:bCs w:val="1"/>
          <w:color w:val="auto"/>
        </w:rPr>
        <w:t>COMMITMENTS AND CONTINGENCIES Power Purchase and Transmission Services Agreements</w:t>
      </w:r>
    </w:p>
    <w:p>
      <w:pPr>
        <w:spacing w:after="0"/>
        <w:rPr>
          <w:sz w:val="20"/>
          <w:szCs w:val="20"/>
          <w:color w:val="auto"/>
        </w:rPr>
      </w:pPr>
      <w:r>
        <w:rPr>
          <w:rFonts w:ascii="Arial" w:cs="Arial" w:eastAsia="Arial" w:hAnsi="Arial"/>
          <w:sz w:val="18"/>
          <w:szCs w:val="18"/>
          <w:color w:val="auto"/>
        </w:rPr>
        <w:t>Through our subsidiaries, we have the following significant long-term power purchase contracts with non-affiliated third-parties:</w:t>
      </w:r>
    </w:p>
    <w:p>
      <w:pPr>
        <w:spacing w:after="0" w:line="225" w:lineRule="exact"/>
        <w:rPr>
          <w:sz w:val="20"/>
          <w:szCs w:val="20"/>
          <w:color w:val="auto"/>
        </w:rPr>
      </w:pPr>
    </w:p>
    <w:p>
      <w:pPr>
        <w:ind w:left="660" w:right="2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Colorado Electric’s PPA with PRPA to purchase up to 60 MW of wind energy upon construction of a new wind project, which is expected in mid-2020. This agreement will expire May 31, 2030.</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Colorado Electric’s PPA with PRPA to purchase 25 MW of unit contingent energy. This agreement will expire June 30, 2024.</w:t>
      </w:r>
    </w:p>
    <w:p>
      <w:pPr>
        <w:spacing w:after="0" w:line="225"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South Dakota Electric’s PPA with PacifiCorp, expiring December 31, 2023, for the purchase of 50 MW of electric capacity and energy from PacifiCorp’s system. The price paid for the capacity and energy is based on the operating costs of one of PacifiCorp’s coal-fired electric generating plants.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South Dakota Electric’s firm point-to-point transmission service agreement with PacifiCorp expiring December 31, 2023. The agreement provides 50 MW of capacity and energy to be transmitted annually by PacifiCorp.</w:t>
      </w:r>
    </w:p>
    <w:p>
      <w:pPr>
        <w:spacing w:after="0" w:line="170" w:lineRule="exact"/>
        <w:rPr>
          <w:rFonts w:ascii="Arial" w:cs="Arial" w:eastAsia="Arial" w:hAnsi="Arial"/>
          <w:sz w:val="18"/>
          <w:szCs w:val="18"/>
          <w:color w:val="auto"/>
        </w:rPr>
      </w:pPr>
    </w:p>
    <w:p>
      <w:pPr>
        <w:ind w:left="660" w:right="10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South Dakota Electric’s PPA with PRPA to purchase up to 12 MW of wind energy through PRPA’s agreement with Silver Sage. This agreement will expire September 30, 2029.</w:t>
      </w:r>
    </w:p>
    <w:p>
      <w:pPr>
        <w:spacing w:after="0" w:line="170" w:lineRule="exact"/>
        <w:rPr>
          <w:rFonts w:ascii="Arial" w:cs="Arial" w:eastAsia="Arial" w:hAnsi="Arial"/>
          <w:sz w:val="18"/>
          <w:szCs w:val="18"/>
          <w:color w:val="auto"/>
        </w:rPr>
      </w:pPr>
    </w:p>
    <w:p>
      <w:pPr>
        <w:ind w:left="660" w:right="46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Wyoming Electric’s PPA with Happy Jack, expiring September 3, 2028, provides up to 30 MW of wind energy. Under a separate intercompany agreement, Wyoming Electric sells 50% of the facility output to South Dakota Electric.</w:t>
      </w:r>
    </w:p>
    <w:p>
      <w:pPr>
        <w:spacing w:after="0" w:line="170" w:lineRule="exact"/>
        <w:rPr>
          <w:rFonts w:ascii="Arial" w:cs="Arial" w:eastAsia="Arial" w:hAnsi="Arial"/>
          <w:sz w:val="18"/>
          <w:szCs w:val="18"/>
          <w:color w:val="auto"/>
        </w:rPr>
      </w:pPr>
    </w:p>
    <w:p>
      <w:pPr>
        <w:ind w:left="660" w:right="380" w:hanging="328"/>
        <w:spacing w:after="0" w:line="277"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Wyoming Electric’s PPA with Silver Sage, expiring September 30, 2029, provides up to 30 MW of wind energy. Under a separate intercompany agreement, Wyoming Electric sells 20 MW of energy from Silver Sage to South Dakota Electric.</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420"/>
          </w:cols>
          <w:pgMar w:left="240" w:top="118" w:right="239" w:bottom="1440" w:gutter="0" w:footer="0" w:header="0"/>
        </w:sectPr>
      </w:pPr>
    </w:p>
    <w:bookmarkStart w:id="136" w:name="page137"/>
    <w:bookmarkEnd w:id="136"/>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left="660" w:right="20" w:hanging="328"/>
        <w:spacing w:after="0" w:line="302" w:lineRule="auto"/>
        <w:tabs>
          <w:tab w:leader="none" w:pos="660" w:val="left"/>
        </w:tabs>
        <w:numPr>
          <w:ilvl w:val="0"/>
          <w:numId w:val="89"/>
        </w:numPr>
        <w:rPr>
          <w:rFonts w:ascii="Arial" w:cs="Arial" w:eastAsia="Arial" w:hAnsi="Arial"/>
          <w:sz w:val="16"/>
          <w:szCs w:val="16"/>
          <w:color w:val="auto"/>
        </w:rPr>
      </w:pPr>
      <w:r>
        <w:rPr>
          <w:rFonts w:ascii="Arial" w:cs="Arial" w:eastAsia="Arial" w:hAnsi="Arial"/>
          <w:sz w:val="16"/>
          <w:szCs w:val="16"/>
          <w:color w:val="auto"/>
        </w:rPr>
        <w:t>Black Hills Wyoming sold its CTII 40 MW natural gas-fired generating unit to the City of Gillette, Wyoming on September 3, 2014. Under the terms of the sale, Black Hills Wyoming entered into ancillary agreements to operate CTII, provide use of shared facilities including a ground lease and dispatch generation services. In addition, the agreement includes a 20-year economy energy PPA that contains a sharing arrangement in which the parties share the savings of wholesale power purchases made when market power prices are less than the cost of operating the generating unit.</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Costs under these power purchase contracts for the years ended December 31 were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98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2019</w:t>
            </w:r>
          </w:p>
        </w:tc>
        <w:tc>
          <w:tcPr>
            <w:tcW w:w="5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ind w:right="410"/>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2017</w:t>
            </w:r>
          </w:p>
        </w:tc>
      </w:tr>
      <w:tr>
        <w:trPr>
          <w:trHeight w:val="27"/>
        </w:trPr>
        <w:tc>
          <w:tcPr>
            <w:tcW w:w="6980" w:type="dxa"/>
            <w:vAlign w:val="bottom"/>
            <w:tcBorders>
              <w:bottom w:val="single" w:sz="8" w:color="CEFFE7"/>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44"/>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Colorado Electric PPA with PRPA - Unit Contingent Energy</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8"/>
              </w:rPr>
              <w:t>1,802</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69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Colorado Electric PPA Busch Ranch I </w:t>
            </w:r>
            <w:r>
              <w:rPr>
                <w:rFonts w:ascii="Arial" w:cs="Arial" w:eastAsia="Arial" w:hAnsi="Arial"/>
                <w:sz w:val="25"/>
                <w:szCs w:val="25"/>
                <w:color w:val="auto"/>
                <w:vertAlign w:val="superscript"/>
              </w:rPr>
              <w:t>(a)</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1,966</w:t>
            </w: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 PPA with PacifiCorp</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88"/>
              </w:rPr>
              <w:t>7,477</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13,681</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13,218</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South Dakota Electric Transmission services agreement with PacifiCorp</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1,741</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1,742</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1,671</w:t>
            </w:r>
          </w:p>
        </w:tc>
      </w:tr>
      <w:tr>
        <w:trPr>
          <w:trHeight w:val="27"/>
        </w:trPr>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698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South Dakota Electric PPA with PRPA</w:t>
            </w:r>
          </w:p>
        </w:tc>
        <w:tc>
          <w:tcPr>
            <w:tcW w:w="960" w:type="dxa"/>
            <w:vAlign w:val="bottom"/>
            <w:tcBorders>
              <w:bottom w:val="single" w:sz="8" w:color="CEFFE7"/>
            </w:tcBorders>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688</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223</w:t>
            </w:r>
          </w:p>
        </w:tc>
        <w:tc>
          <w:tcPr>
            <w:tcW w:w="380" w:type="dxa"/>
            <w:vAlign w:val="bottom"/>
            <w:tcBorders>
              <w:bottom w:val="single" w:sz="8" w:color="CEFFE7"/>
            </w:tcBorders>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Wyoming Electric PPA with Happy Jack</w:t>
            </w:r>
          </w:p>
        </w:tc>
        <w:tc>
          <w:tcPr>
            <w:tcW w:w="960" w:type="dxa"/>
            <w:vAlign w:val="bottom"/>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3,936</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3,884</w:t>
            </w:r>
          </w:p>
        </w:tc>
        <w:tc>
          <w:tcPr>
            <w:tcW w:w="38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3,846</w:t>
            </w:r>
          </w:p>
        </w:tc>
      </w:tr>
      <w:tr>
        <w:trPr>
          <w:trHeight w:val="27"/>
        </w:trPr>
        <w:tc>
          <w:tcPr>
            <w:tcW w:w="698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6980" w:type="dxa"/>
            <w:vAlign w:val="bottom"/>
            <w:shd w:val="clear" w:color="auto" w:fill="CEFFE7"/>
          </w:tcPr>
          <w:p>
            <w:pPr>
              <w:ind w:left="40"/>
              <w:spacing w:after="0"/>
              <w:rPr>
                <w:sz w:val="20"/>
                <w:szCs w:val="20"/>
                <w:color w:val="auto"/>
              </w:rPr>
            </w:pPr>
            <w:r>
              <w:rPr>
                <w:rFonts w:ascii="Arial" w:cs="Arial" w:eastAsia="Arial" w:hAnsi="Arial"/>
                <w:sz w:val="18"/>
                <w:szCs w:val="18"/>
                <w:color w:val="auto"/>
              </w:rPr>
              <w:t>Wyoming Electric PPA with Silver Sage</w:t>
            </w:r>
          </w:p>
        </w:tc>
        <w:tc>
          <w:tcPr>
            <w:tcW w:w="960" w:type="dxa"/>
            <w:vAlign w:val="bottom"/>
            <w:shd w:val="clear" w:color="auto" w:fill="CEFFE7"/>
          </w:tcPr>
          <w:p>
            <w:pPr>
              <w:jc w:val="right"/>
              <w:ind w:right="75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EFFE7"/>
          </w:tcPr>
          <w:p>
            <w:pPr>
              <w:jc w:val="right"/>
              <w:spacing w:after="0"/>
              <w:rPr>
                <w:sz w:val="20"/>
                <w:szCs w:val="20"/>
                <w:color w:val="auto"/>
              </w:rPr>
            </w:pPr>
            <w:r>
              <w:rPr>
                <w:rFonts w:ascii="Arial" w:cs="Arial" w:eastAsia="Arial" w:hAnsi="Arial"/>
                <w:sz w:val="18"/>
                <w:szCs w:val="18"/>
                <w:color w:val="auto"/>
                <w:w w:val="88"/>
              </w:rPr>
              <w:t>5,366</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EFFE7"/>
          </w:tcPr>
          <w:p>
            <w:pPr>
              <w:jc w:val="right"/>
              <w:spacing w:after="0"/>
              <w:rPr>
                <w:sz w:val="20"/>
                <w:szCs w:val="20"/>
                <w:color w:val="auto"/>
              </w:rPr>
            </w:pPr>
            <w:r>
              <w:rPr>
                <w:rFonts w:ascii="Arial" w:cs="Arial" w:eastAsia="Arial" w:hAnsi="Arial"/>
                <w:sz w:val="18"/>
                <w:szCs w:val="18"/>
                <w:color w:val="auto"/>
              </w:rPr>
              <w:t>5,376</w:t>
            </w:r>
          </w:p>
        </w:tc>
        <w:tc>
          <w:tcPr>
            <w:tcW w:w="380" w:type="dxa"/>
            <w:vAlign w:val="bottom"/>
            <w:shd w:val="clear" w:color="auto" w:fill="CEFFE7"/>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4,934</w:t>
            </w:r>
          </w:p>
        </w:tc>
      </w:tr>
      <w:tr>
        <w:trPr>
          <w:trHeight w:val="27"/>
        </w:trPr>
        <w:tc>
          <w:tcPr>
            <w:tcW w:w="6980" w:type="dxa"/>
            <w:vAlign w:val="bottom"/>
            <w:shd w:val="clear" w:color="auto" w:fill="CEFFE7"/>
          </w:tcPr>
          <w:p>
            <w:pPr>
              <w:spacing w:after="0"/>
              <w:rPr>
                <w:sz w:val="2"/>
                <w:szCs w:val="2"/>
                <w:color w:val="auto"/>
              </w:rPr>
            </w:pPr>
          </w:p>
        </w:tc>
        <w:tc>
          <w:tcPr>
            <w:tcW w:w="960" w:type="dxa"/>
            <w:vAlign w:val="bottom"/>
            <w:shd w:val="clear" w:color="auto" w:fill="CEFFE7"/>
          </w:tcPr>
          <w:p>
            <w:pPr>
              <w:spacing w:after="0"/>
              <w:rPr>
                <w:sz w:val="2"/>
                <w:szCs w:val="2"/>
                <w:color w:val="auto"/>
              </w:rPr>
            </w:pPr>
          </w:p>
        </w:tc>
        <w:tc>
          <w:tcPr>
            <w:tcW w:w="500" w:type="dxa"/>
            <w:vAlign w:val="bottom"/>
            <w:shd w:val="clear" w:color="auto" w:fill="CEFFE7"/>
          </w:tcPr>
          <w:p>
            <w:pPr>
              <w:spacing w:after="0"/>
              <w:rPr>
                <w:sz w:val="2"/>
                <w:szCs w:val="2"/>
                <w:color w:val="auto"/>
              </w:rPr>
            </w:pPr>
          </w:p>
        </w:tc>
        <w:tc>
          <w:tcPr>
            <w:tcW w:w="380" w:type="dxa"/>
            <w:vAlign w:val="bottom"/>
            <w:shd w:val="clear" w:color="auto" w:fill="CEFFE7"/>
          </w:tcPr>
          <w:p>
            <w:pPr>
              <w:spacing w:after="0"/>
              <w:rPr>
                <w:sz w:val="2"/>
                <w:szCs w:val="2"/>
                <w:color w:val="auto"/>
              </w:rPr>
            </w:pPr>
          </w:p>
        </w:tc>
        <w:tc>
          <w:tcPr>
            <w:tcW w:w="1080" w:type="dxa"/>
            <w:vAlign w:val="bottom"/>
            <w:shd w:val="clear" w:color="auto" w:fill="CEFFE7"/>
          </w:tcPr>
          <w:p>
            <w:pPr>
              <w:spacing w:after="0"/>
              <w:rPr>
                <w:sz w:val="2"/>
                <w:szCs w:val="2"/>
                <w:color w:val="auto"/>
              </w:rPr>
            </w:pPr>
          </w:p>
        </w:tc>
        <w:tc>
          <w:tcPr>
            <w:tcW w:w="380" w:type="dxa"/>
            <w:vAlign w:val="bottom"/>
            <w:shd w:val="clear" w:color="auto" w:fill="CEFFE7"/>
          </w:tcPr>
          <w:p>
            <w:pPr>
              <w:spacing w:after="0"/>
              <w:rPr>
                <w:sz w:val="2"/>
                <w:szCs w:val="2"/>
                <w:color w:val="auto"/>
              </w:rPr>
            </w:pPr>
          </w:p>
        </w:tc>
        <w:tc>
          <w:tcPr>
            <w:tcW w:w="1140" w:type="dxa"/>
            <w:vAlign w:val="bottom"/>
            <w:shd w:val="clear" w:color="auto" w:fill="CEFFE7"/>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________________</w:t>
      </w:r>
    </w:p>
    <w:p>
      <w:pPr>
        <w:spacing w:after="0" w:line="27" w:lineRule="exact"/>
        <w:rPr>
          <w:sz w:val="20"/>
          <w:szCs w:val="20"/>
          <w:color w:val="auto"/>
        </w:rPr>
      </w:pPr>
    </w:p>
    <w:p>
      <w:pPr>
        <w:ind w:left="340" w:right="100" w:hanging="332"/>
        <w:spacing w:after="0" w:line="263" w:lineRule="auto"/>
        <w:tabs>
          <w:tab w:leader="none" w:pos="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On December 11, 2018, Black Hills Electric Generation purchased a 50% ownership interest of the Busch Ranch I. Black Hills Electric Generation and Colorado Electric now collectively own 100% of the wind farm.</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Purchase Agreements - Related Party</w:t>
      </w:r>
    </w:p>
    <w:p>
      <w:pPr>
        <w:spacing w:after="0" w:line="229" w:lineRule="exact"/>
        <w:rPr>
          <w:sz w:val="20"/>
          <w:szCs w:val="20"/>
          <w:color w:val="auto"/>
        </w:rPr>
      </w:pPr>
    </w:p>
    <w:p>
      <w:pPr>
        <w:jc w:val="both"/>
        <w:ind w:right="160"/>
        <w:spacing w:after="0" w:line="277" w:lineRule="auto"/>
        <w:rPr>
          <w:sz w:val="20"/>
          <w:szCs w:val="20"/>
          <w:color w:val="auto"/>
        </w:rPr>
      </w:pPr>
      <w:r>
        <w:rPr>
          <w:rFonts w:ascii="Arial" w:cs="Arial" w:eastAsia="Arial" w:hAnsi="Arial"/>
          <w:sz w:val="18"/>
          <w:szCs w:val="18"/>
          <w:color w:val="auto"/>
        </w:rPr>
        <w:t>On November 26, 2019, Black Hills Electric Generation completed and placed in service Busch Ranch II. Black Hills Electric Generation provides the wind energy generated from Busch Ranch II to Colorado Electric under a new PPA, which expires in November 2044.</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On December 11, 2018, Black Hills Electric Generation purchased a 50% ownership interest in Busch Ranch I. Black Hills Electric Generation provides its 14.5 MW share of energy from the wind farm to Colorado Electric through a PPA, which expires in October 2037.</w:t>
      </w:r>
    </w:p>
    <w:p>
      <w:pPr>
        <w:spacing w:after="0" w:line="170" w:lineRule="exact"/>
        <w:rPr>
          <w:sz w:val="20"/>
          <w:szCs w:val="20"/>
          <w:color w:val="auto"/>
        </w:rPr>
      </w:pPr>
    </w:p>
    <w:p>
      <w:pPr>
        <w:jc w:val="both"/>
        <w:ind w:right="1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Colorado Electric’s PPA with Black Hills Colorado IPP expiring on December 31, 2031, provides 200 MW of power to Colorado Electric from Black Hills Colorado IPP’s combined-cycle turbines. Effective January 1, 2019, we changed how we account for this PPA at the segment level and now recognize on an accrual basis, rather than a finance lease. See </w:t>
      </w:r>
      <w:hyperlink w:anchor="page98">
        <w:r>
          <w:rPr>
            <w:rFonts w:ascii="Arial" w:cs="Arial" w:eastAsia="Arial" w:hAnsi="Arial"/>
            <w:sz w:val="18"/>
            <w:szCs w:val="18"/>
            <w:u w:val="single" w:color="auto"/>
            <w:color w:val="0000EE"/>
          </w:rPr>
          <w:t>Note 5</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Gas Supply Agreements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Our Utilities also purchase natural gas, including transportation and storage capacity to meet customers’ needs, under short-term and long-term purchase contracts. These contracts extend to 2044.</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Commitments</w:t>
      </w:r>
    </w:p>
    <w:p>
      <w:pPr>
        <w:spacing w:after="0" w:line="229" w:lineRule="exact"/>
        <w:rPr>
          <w:sz w:val="20"/>
          <w:szCs w:val="20"/>
          <w:color w:val="auto"/>
        </w:rPr>
      </w:pPr>
    </w:p>
    <w:p>
      <w:pPr>
        <w:ind w:right="360"/>
        <w:spacing w:after="0" w:line="312" w:lineRule="auto"/>
        <w:rPr>
          <w:sz w:val="20"/>
          <w:szCs w:val="20"/>
          <w:color w:val="auto"/>
        </w:rPr>
      </w:pPr>
      <w:r>
        <w:rPr>
          <w:rFonts w:ascii="Arial" w:cs="Arial" w:eastAsia="Arial" w:hAnsi="Arial"/>
          <w:sz w:val="16"/>
          <w:szCs w:val="16"/>
          <w:color w:val="auto"/>
        </w:rPr>
        <w:t>We maintain natural gas supply contracts with several vendors that generally cover a period of up to one year. Commitments for estimated baseload gas volumes are established prior to the beginning of the month under these contracts on a monthly basis at contractually negotiated prices. Commitments for incremental daily purchases are made as necessary during the month based on requirements in accordance with the terms of the individual contract.</w:t>
      </w: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420"/>
          </w:cols>
          <w:pgMar w:left="240" w:top="126" w:right="239" w:bottom="1440" w:gutter="0" w:footer="0" w:header="0"/>
        </w:sectPr>
      </w:pPr>
    </w:p>
    <w:bookmarkStart w:id="137" w:name="page138"/>
    <w:bookmarkEnd w:id="137"/>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Our Gas Utilities segment has commitments to purchase physical quantities of natural gas under contracts indexed to various forward natural gas price curves. A portion of our gas purchases are purchased under evergreen contracts and are therefore, for purposes of this disclosure, carried out for 60 days. At December 31, 2019, the long-term commitments to purchase quantities of natural gas under contracts indexed to the following forward indices were as follows (in MMBtus):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60" w:type="dxa"/>
            <w:vAlign w:val="bottom"/>
          </w:tcPr>
          <w:p>
            <w:pPr>
              <w:spacing w:after="0"/>
              <w:rPr>
                <w:sz w:val="20"/>
                <w:szCs w:val="20"/>
                <w:color w:val="auto"/>
              </w:rPr>
            </w:pPr>
          </w:p>
        </w:tc>
        <w:tc>
          <w:tcPr>
            <w:tcW w:w="1660" w:type="dxa"/>
            <w:vAlign w:val="bottom"/>
          </w:tcPr>
          <w:p>
            <w:pPr>
              <w:jc w:val="right"/>
              <w:ind w:right="370"/>
              <w:spacing w:after="0"/>
              <w:rPr>
                <w:sz w:val="20"/>
                <w:szCs w:val="20"/>
                <w:color w:val="auto"/>
              </w:rPr>
            </w:pPr>
            <w:r>
              <w:rPr>
                <w:rFonts w:ascii="Arial" w:cs="Arial" w:eastAsia="Arial" w:hAnsi="Arial"/>
                <w:sz w:val="18"/>
                <w:szCs w:val="18"/>
                <w:color w:val="auto"/>
              </w:rPr>
              <w:t>NNG-Ventura</w:t>
            </w:r>
          </w:p>
        </w:tc>
        <w:tc>
          <w:tcPr>
            <w:tcW w:w="1600" w:type="dxa"/>
            <w:vAlign w:val="bottom"/>
          </w:tcPr>
          <w:p>
            <w:pPr>
              <w:jc w:val="right"/>
              <w:ind w:right="130"/>
              <w:spacing w:after="0"/>
              <w:rPr>
                <w:sz w:val="20"/>
                <w:szCs w:val="20"/>
                <w:color w:val="auto"/>
              </w:rPr>
            </w:pPr>
            <w:r>
              <w:rPr>
                <w:rFonts w:ascii="Arial" w:cs="Arial" w:eastAsia="Arial" w:hAnsi="Arial"/>
                <w:sz w:val="18"/>
                <w:szCs w:val="18"/>
                <w:color w:val="auto"/>
              </w:rPr>
              <w:t>NWPL-Wyoming</w:t>
            </w:r>
          </w:p>
        </w:tc>
      </w:tr>
      <w:tr>
        <w:trPr>
          <w:trHeight w:val="27"/>
        </w:trPr>
        <w:tc>
          <w:tcPr>
            <w:tcW w:w="81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44"/>
        </w:trPr>
        <w:tc>
          <w:tcPr>
            <w:tcW w:w="81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2020</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3,660,000</w:t>
            </w: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1,520,000</w:t>
            </w:r>
          </w:p>
        </w:tc>
      </w:tr>
      <w:tr>
        <w:trPr>
          <w:trHeight w:val="243"/>
        </w:trPr>
        <w:tc>
          <w:tcPr>
            <w:tcW w:w="8160" w:type="dxa"/>
            <w:vAlign w:val="bottom"/>
          </w:tcPr>
          <w:p>
            <w:pPr>
              <w:jc w:val="right"/>
              <w:ind w:right="90"/>
              <w:spacing w:after="0"/>
              <w:rPr>
                <w:sz w:val="20"/>
                <w:szCs w:val="20"/>
                <w:color w:val="auto"/>
              </w:rPr>
            </w:pPr>
            <w:r>
              <w:rPr>
                <w:rFonts w:ascii="Arial" w:cs="Arial" w:eastAsia="Arial" w:hAnsi="Arial"/>
                <w:sz w:val="18"/>
                <w:szCs w:val="18"/>
                <w:color w:val="auto"/>
              </w:rPr>
              <w:t>2021</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3,650,000</w:t>
            </w:r>
          </w:p>
        </w:tc>
        <w:tc>
          <w:tcPr>
            <w:tcW w:w="1600" w:type="dxa"/>
            <w:vAlign w:val="bottom"/>
          </w:tcPr>
          <w:p>
            <w:pPr>
              <w:jc w:val="right"/>
              <w:spacing w:after="0"/>
              <w:rPr>
                <w:sz w:val="20"/>
                <w:szCs w:val="20"/>
                <w:color w:val="auto"/>
              </w:rPr>
            </w:pPr>
            <w:r>
              <w:rPr>
                <w:rFonts w:ascii="Arial" w:cs="Arial" w:eastAsia="Arial" w:hAnsi="Arial"/>
                <w:sz w:val="18"/>
                <w:szCs w:val="18"/>
                <w:color w:val="auto"/>
              </w:rPr>
              <w:t>1,510,000</w:t>
            </w:r>
          </w:p>
        </w:tc>
      </w:tr>
      <w:tr>
        <w:trPr>
          <w:trHeight w:val="27"/>
        </w:trPr>
        <w:tc>
          <w:tcPr>
            <w:tcW w:w="8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2022</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1,810,000</w:t>
            </w: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1,510,000</w:t>
            </w:r>
          </w:p>
        </w:tc>
      </w:tr>
      <w:tr>
        <w:trPr>
          <w:trHeight w:val="243"/>
        </w:trPr>
        <w:tc>
          <w:tcPr>
            <w:tcW w:w="8160" w:type="dxa"/>
            <w:vAlign w:val="bottom"/>
          </w:tcPr>
          <w:p>
            <w:pPr>
              <w:jc w:val="right"/>
              <w:ind w:right="90"/>
              <w:spacing w:after="0"/>
              <w:rPr>
                <w:sz w:val="20"/>
                <w:szCs w:val="20"/>
                <w:color w:val="auto"/>
              </w:rPr>
            </w:pPr>
            <w:r>
              <w:rPr>
                <w:rFonts w:ascii="Arial" w:cs="Arial" w:eastAsia="Arial" w:hAnsi="Arial"/>
                <w:sz w:val="18"/>
                <w:szCs w:val="18"/>
                <w:color w:val="auto"/>
              </w:rPr>
              <w:t>2023</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1,510,000</w:t>
            </w:r>
          </w:p>
        </w:tc>
      </w:tr>
      <w:tr>
        <w:trPr>
          <w:trHeight w:val="27"/>
        </w:trPr>
        <w:tc>
          <w:tcPr>
            <w:tcW w:w="81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8160" w:type="dxa"/>
            <w:vAlign w:val="bottom"/>
            <w:tcBorders>
              <w:bottom w:val="single" w:sz="8" w:color="CEFFE7"/>
            </w:tcBorders>
            <w:shd w:val="clear" w:color="auto" w:fill="CEFFE7"/>
          </w:tcPr>
          <w:p>
            <w:pPr>
              <w:jc w:val="right"/>
              <w:ind w:right="90"/>
              <w:spacing w:after="0"/>
              <w:rPr>
                <w:sz w:val="20"/>
                <w:szCs w:val="20"/>
                <w:color w:val="auto"/>
              </w:rPr>
            </w:pPr>
            <w:r>
              <w:rPr>
                <w:rFonts w:ascii="Arial" w:cs="Arial" w:eastAsia="Arial" w:hAnsi="Arial"/>
                <w:sz w:val="18"/>
                <w:szCs w:val="18"/>
                <w:color w:val="auto"/>
              </w:rPr>
              <w:t>2024</w:t>
            </w:r>
          </w:p>
        </w:tc>
        <w:tc>
          <w:tcPr>
            <w:tcW w:w="1660" w:type="dxa"/>
            <w:vAlign w:val="bottom"/>
            <w:tcBorders>
              <w:bottom w:val="single" w:sz="8" w:color="CEFFE7"/>
            </w:tcBorders>
            <w:shd w:val="clear" w:color="auto" w:fill="CEFFE7"/>
          </w:tcPr>
          <w:p>
            <w:pPr>
              <w:jc w:val="right"/>
              <w:ind w:right="30"/>
              <w:spacing w:after="0"/>
              <w:rPr>
                <w:sz w:val="20"/>
                <w:szCs w:val="20"/>
                <w:color w:val="auto"/>
              </w:rPr>
            </w:pPr>
            <w:r>
              <w:rPr>
                <w:rFonts w:ascii="Arial" w:cs="Arial" w:eastAsia="Arial" w:hAnsi="Arial"/>
                <w:sz w:val="18"/>
                <w:szCs w:val="18"/>
                <w:color w:val="auto"/>
              </w:rPr>
              <w:t>0</w:t>
            </w:r>
          </w:p>
        </w:tc>
        <w:tc>
          <w:tcPr>
            <w:tcW w:w="16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910,000</w:t>
            </w:r>
          </w:p>
        </w:tc>
      </w:tr>
      <w:tr>
        <w:trPr>
          <w:trHeight w:val="243"/>
        </w:trPr>
        <w:tc>
          <w:tcPr>
            <w:tcW w:w="8160" w:type="dxa"/>
            <w:vAlign w:val="bottom"/>
          </w:tcPr>
          <w:p>
            <w:pPr>
              <w:jc w:val="right"/>
              <w:ind w:right="90"/>
              <w:spacing w:after="0"/>
              <w:rPr>
                <w:sz w:val="20"/>
                <w:szCs w:val="20"/>
                <w:color w:val="auto"/>
              </w:rPr>
            </w:pPr>
            <w:r>
              <w:rPr>
                <w:rFonts w:ascii="Arial" w:cs="Arial" w:eastAsia="Arial" w:hAnsi="Arial"/>
                <w:sz w:val="18"/>
                <w:szCs w:val="18"/>
                <w:color w:val="auto"/>
              </w:rPr>
              <w:t>Thereafter</w:t>
            </w:r>
          </w:p>
        </w:tc>
        <w:tc>
          <w:tcPr>
            <w:tcW w:w="1660" w:type="dxa"/>
            <w:vAlign w:val="bottom"/>
          </w:tcPr>
          <w:p>
            <w:pPr>
              <w:jc w:val="right"/>
              <w:ind w:right="30"/>
              <w:spacing w:after="0"/>
              <w:rPr>
                <w:sz w:val="20"/>
                <w:szCs w:val="20"/>
                <w:color w:val="auto"/>
              </w:rPr>
            </w:pPr>
            <w:r>
              <w:rPr>
                <w:rFonts w:ascii="Arial" w:cs="Arial" w:eastAsia="Arial" w:hAnsi="Arial"/>
                <w:sz w:val="18"/>
                <w:szCs w:val="18"/>
                <w:color w:val="auto"/>
              </w:rPr>
              <w:t>0</w:t>
            </w:r>
          </w:p>
        </w:tc>
        <w:tc>
          <w:tcPr>
            <w:tcW w:w="1600" w:type="dxa"/>
            <w:vAlign w:val="bottom"/>
          </w:tcPr>
          <w:p>
            <w:pPr>
              <w:jc w:val="right"/>
              <w:spacing w:after="0"/>
              <w:rPr>
                <w:sz w:val="20"/>
                <w:szCs w:val="20"/>
                <w:color w:val="auto"/>
              </w:rPr>
            </w:pPr>
            <w:r>
              <w:rPr>
                <w:rFonts w:ascii="Arial" w:cs="Arial" w:eastAsia="Arial" w:hAnsi="Arial"/>
                <w:sz w:val="18"/>
                <w:szCs w:val="18"/>
                <w:color w:val="auto"/>
              </w:rPr>
              <w:t>0</w:t>
            </w:r>
          </w:p>
        </w:tc>
      </w:tr>
    </w:tbl>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Arial" w:cs="Arial" w:eastAsia="Arial" w:hAnsi="Arial"/>
          <w:sz w:val="18"/>
          <w:szCs w:val="18"/>
          <w:color w:val="auto"/>
        </w:rPr>
        <w:t>Purchases under these contracts totaled $6.7 million, $27 million and $65 million for 2019, 2018 and 2017, respectively.</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is a schedule of unconditional purchase obligations required under the power purchase, transmission services and natural gas transportation and storage agreements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40" w:type="dxa"/>
            <w:vAlign w:val="bottom"/>
          </w:tcPr>
          <w:p>
            <w:pPr>
              <w:jc w:val="right"/>
              <w:ind w:right="10"/>
              <w:spacing w:after="0"/>
              <w:rPr>
                <w:sz w:val="20"/>
                <w:szCs w:val="20"/>
                <w:color w:val="auto"/>
              </w:rPr>
            </w:pPr>
            <w:r>
              <w:rPr>
                <w:rFonts w:ascii="Arial" w:cs="Arial" w:eastAsia="Arial" w:hAnsi="Arial"/>
                <w:sz w:val="18"/>
                <w:szCs w:val="18"/>
                <w:color w:val="auto"/>
                <w:w w:val="88"/>
              </w:rPr>
              <w:t>Power purchase and transmission services</w:t>
            </w:r>
          </w:p>
        </w:tc>
        <w:tc>
          <w:tcPr>
            <w:tcW w:w="240" w:type="dxa"/>
            <w:vAlign w:val="bottom"/>
          </w:tcPr>
          <w:p>
            <w:pPr>
              <w:spacing w:after="0"/>
              <w:rPr>
                <w:sz w:val="18"/>
                <w:szCs w:val="18"/>
                <w:color w:val="auto"/>
              </w:rPr>
            </w:pPr>
          </w:p>
        </w:tc>
        <w:tc>
          <w:tcPr>
            <w:tcW w:w="3100" w:type="dxa"/>
            <w:vAlign w:val="bottom"/>
          </w:tcPr>
          <w:p>
            <w:pPr>
              <w:jc w:val="right"/>
              <w:ind w:right="190"/>
              <w:spacing w:after="0"/>
              <w:rPr>
                <w:sz w:val="20"/>
                <w:szCs w:val="20"/>
                <w:color w:val="auto"/>
              </w:rPr>
            </w:pPr>
            <w:r>
              <w:rPr>
                <w:rFonts w:ascii="Arial" w:cs="Arial" w:eastAsia="Arial" w:hAnsi="Arial"/>
                <w:sz w:val="18"/>
                <w:szCs w:val="18"/>
                <w:color w:val="auto"/>
                <w:w w:val="91"/>
              </w:rPr>
              <w:t>Natural gas transportation and storage</w:t>
            </w:r>
          </w:p>
        </w:tc>
      </w:tr>
      <w:tr>
        <w:trPr>
          <w:trHeight w:val="230"/>
        </w:trPr>
        <w:tc>
          <w:tcPr>
            <w:tcW w:w="4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tcPr>
          <w:p>
            <w:pPr>
              <w:jc w:val="right"/>
              <w:ind w:right="1130"/>
              <w:spacing w:after="0"/>
              <w:rPr>
                <w:sz w:val="20"/>
                <w:szCs w:val="20"/>
                <w:color w:val="auto"/>
              </w:rPr>
            </w:pPr>
            <w:r>
              <w:rPr>
                <w:rFonts w:ascii="Arial" w:cs="Arial" w:eastAsia="Arial" w:hAnsi="Arial"/>
                <w:sz w:val="18"/>
                <w:szCs w:val="18"/>
                <w:color w:val="auto"/>
              </w:rPr>
              <w:t>agreements</w:t>
            </w:r>
          </w:p>
        </w:tc>
        <w:tc>
          <w:tcPr>
            <w:tcW w:w="240" w:type="dxa"/>
            <w:vAlign w:val="bottom"/>
          </w:tcPr>
          <w:p>
            <w:pPr>
              <w:spacing w:after="0"/>
              <w:rPr>
                <w:sz w:val="20"/>
                <w:szCs w:val="20"/>
                <w:color w:val="auto"/>
              </w:rPr>
            </w:pPr>
          </w:p>
        </w:tc>
        <w:tc>
          <w:tcPr>
            <w:tcW w:w="3100" w:type="dxa"/>
            <w:vAlign w:val="bottom"/>
          </w:tcPr>
          <w:p>
            <w:pPr>
              <w:jc w:val="right"/>
              <w:ind w:right="1150"/>
              <w:spacing w:after="0"/>
              <w:rPr>
                <w:sz w:val="20"/>
                <w:szCs w:val="20"/>
                <w:color w:val="auto"/>
              </w:rPr>
            </w:pPr>
            <w:r>
              <w:rPr>
                <w:rFonts w:ascii="Arial" w:cs="Arial" w:eastAsia="Arial" w:hAnsi="Arial"/>
                <w:sz w:val="18"/>
                <w:szCs w:val="18"/>
                <w:color w:val="auto"/>
              </w:rPr>
              <w:t>agreements</w:t>
            </w:r>
          </w:p>
        </w:tc>
      </w:tr>
      <w:tr>
        <w:trPr>
          <w:trHeight w:val="27"/>
        </w:trPr>
        <w:tc>
          <w:tcPr>
            <w:tcW w:w="4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10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2020</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3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25,476</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156,297</w:t>
            </w:r>
          </w:p>
        </w:tc>
      </w:tr>
      <w:tr>
        <w:trPr>
          <w:trHeight w:val="243"/>
        </w:trPr>
        <w:tc>
          <w:tcPr>
            <w:tcW w:w="4800" w:type="dxa"/>
            <w:vAlign w:val="bottom"/>
          </w:tcPr>
          <w:p>
            <w:pPr>
              <w:jc w:val="right"/>
              <w:spacing w:after="0"/>
              <w:rPr>
                <w:sz w:val="20"/>
                <w:szCs w:val="20"/>
                <w:color w:val="auto"/>
              </w:rPr>
            </w:pPr>
            <w:r>
              <w:rPr>
                <w:rFonts w:ascii="Arial" w:cs="Arial" w:eastAsia="Arial" w:hAnsi="Arial"/>
                <w:sz w:val="18"/>
                <w:szCs w:val="18"/>
                <w:color w:val="auto"/>
              </w:rPr>
              <w:t>2021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148,149</w:t>
            </w:r>
          </w:p>
        </w:tc>
      </w:tr>
      <w:tr>
        <w:trPr>
          <w:trHeight w:val="27"/>
        </w:trPr>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4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3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122,340</w:t>
            </w:r>
          </w:p>
        </w:tc>
      </w:tr>
      <w:tr>
        <w:trPr>
          <w:trHeight w:val="243"/>
        </w:trPr>
        <w:tc>
          <w:tcPr>
            <w:tcW w:w="4800" w:type="dxa"/>
            <w:vAlign w:val="bottom"/>
          </w:tcPr>
          <w:p>
            <w:pPr>
              <w:jc w:val="right"/>
              <w:spacing w:after="0"/>
              <w:rPr>
                <w:sz w:val="20"/>
                <w:szCs w:val="20"/>
                <w:color w:val="auto"/>
              </w:rPr>
            </w:pPr>
            <w:r>
              <w:rPr>
                <w:rFonts w:ascii="Arial" w:cs="Arial" w:eastAsia="Arial" w:hAnsi="Arial"/>
                <w:sz w:val="18"/>
                <w:szCs w:val="18"/>
                <w:color w:val="auto"/>
              </w:rPr>
              <w:t>2023</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3140" w:type="dxa"/>
            <w:vAlign w:val="bottom"/>
          </w:tcPr>
          <w:p>
            <w:pPr>
              <w:jc w:val="right"/>
              <w:spacing w:after="0"/>
              <w:rPr>
                <w:sz w:val="20"/>
                <w:szCs w:val="20"/>
                <w:color w:val="auto"/>
              </w:rPr>
            </w:pPr>
            <w:r>
              <w:rPr>
                <w:rFonts w:ascii="Arial" w:cs="Arial" w:eastAsia="Arial" w:hAnsi="Arial"/>
                <w:sz w:val="18"/>
                <w:szCs w:val="18"/>
                <w:color w:val="auto"/>
              </w:rPr>
              <w:t>11,678</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93,905</w:t>
            </w:r>
          </w:p>
        </w:tc>
      </w:tr>
      <w:tr>
        <w:trPr>
          <w:trHeight w:val="27"/>
        </w:trPr>
        <w:tc>
          <w:tcPr>
            <w:tcW w:w="4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3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100" w:type="dxa"/>
            <w:vAlign w:val="bottom"/>
          </w:tcPr>
          <w:p>
            <w:pPr>
              <w:spacing w:after="0"/>
              <w:rPr>
                <w:sz w:val="2"/>
                <w:szCs w:val="2"/>
                <w:color w:val="auto"/>
              </w:rPr>
            </w:pPr>
          </w:p>
        </w:tc>
      </w:tr>
      <w:tr>
        <w:trPr>
          <w:trHeight w:val="250"/>
        </w:trPr>
        <w:tc>
          <w:tcPr>
            <w:tcW w:w="480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2024</w:t>
            </w:r>
          </w:p>
        </w:tc>
        <w:tc>
          <w:tcPr>
            <w:tcW w:w="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w w:val="99"/>
              </w:rPr>
              <w:t>$</w:t>
            </w:r>
          </w:p>
        </w:tc>
        <w:tc>
          <w:tcPr>
            <w:tcW w:w="31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2,738</w:t>
            </w:r>
          </w:p>
        </w:tc>
        <w:tc>
          <w:tcPr>
            <w:tcW w:w="2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51,360</w:t>
            </w:r>
          </w:p>
        </w:tc>
      </w:tr>
      <w:tr>
        <w:trPr>
          <w:trHeight w:val="243"/>
        </w:trPr>
        <w:tc>
          <w:tcPr>
            <w:tcW w:w="4940" w:type="dxa"/>
            <w:vAlign w:val="bottom"/>
            <w:gridSpan w:val="2"/>
          </w:tcPr>
          <w:p>
            <w:pPr>
              <w:jc w:val="right"/>
              <w:spacing w:after="0"/>
              <w:rPr>
                <w:sz w:val="20"/>
                <w:szCs w:val="20"/>
                <w:color w:val="auto"/>
              </w:rPr>
            </w:pPr>
            <w:r>
              <w:rPr>
                <w:rFonts w:ascii="Arial" w:cs="Arial" w:eastAsia="Arial" w:hAnsi="Arial"/>
                <w:sz w:val="18"/>
                <w:szCs w:val="18"/>
                <w:color w:val="auto"/>
              </w:rPr>
              <w:t>Thereafter $</w:t>
            </w:r>
          </w:p>
        </w:tc>
        <w:tc>
          <w:tcPr>
            <w:tcW w:w="31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100" w:type="dxa"/>
            <w:vAlign w:val="bottom"/>
          </w:tcPr>
          <w:p>
            <w:pPr>
              <w:jc w:val="right"/>
              <w:ind w:right="10"/>
              <w:spacing w:after="0"/>
              <w:rPr>
                <w:sz w:val="20"/>
                <w:szCs w:val="20"/>
                <w:color w:val="auto"/>
              </w:rPr>
            </w:pPr>
            <w:r>
              <w:rPr>
                <w:rFonts w:ascii="Arial" w:cs="Arial" w:eastAsia="Arial" w:hAnsi="Arial"/>
                <w:sz w:val="18"/>
                <w:szCs w:val="18"/>
                <w:color w:val="auto"/>
              </w:rPr>
              <w:t>126,147</w:t>
            </w:r>
          </w:p>
        </w:tc>
      </w:tr>
    </w:tbl>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Future Purchase Agreement - Related Party</w:t>
      </w:r>
    </w:p>
    <w:p>
      <w:pPr>
        <w:spacing w:after="0" w:line="22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Wyoming Electric has a PPA with Black Hills Wyoming expiring on December 31, 2022, which provides 60 MW of unit-contingent capacity and energy from Black Hills Wyoming’s Wygen I facility. On August 2, 2019, Black Hills Wyoming and Wyoming Electric jointly filed a request with FERC for approval of a new 60 MW PPA. The agreement would fulfill the capacity need for Wyoming Electric at the expiration of the current agreement on December 31, 2022. If approved, Black Hills Wyoming will continue to deliver 60 MW of energy to Wyoming Electric from its Wygen I power plant starting January 1, 2023, and continuing for an additional 20 years to December 31, 2042. On December 23, 2019, the Company filed a response to questions from the FERC and awaits a decision from FERC.</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Sales Agreements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Through our subsidiaries, we have the following significant long-term power sales contracts with non-affiliated third-parties:</w:t>
      </w:r>
    </w:p>
    <w:p>
      <w:pPr>
        <w:spacing w:after="0" w:line="225" w:lineRule="exact"/>
        <w:rPr>
          <w:sz w:val="20"/>
          <w:szCs w:val="20"/>
          <w:color w:val="auto"/>
        </w:rPr>
      </w:pPr>
    </w:p>
    <w:p>
      <w:pPr>
        <w:ind w:left="660" w:right="60" w:hanging="328"/>
        <w:spacing w:after="0" w:line="264"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MDU owns a portion of the capacity, or during periods when Wygen III is off-line, South Dakota Electric will provide MDU with 25 MW from our other generation facilities or from system purchases with reimbursement of costs by MDU. This agreement expires January 31, 2023.</w:t>
      </w:r>
    </w:p>
    <w:p>
      <w:pPr>
        <w:spacing w:after="0" w:line="181" w:lineRule="exact"/>
        <w:rPr>
          <w:rFonts w:ascii="Arial" w:cs="Arial" w:eastAsia="Arial" w:hAnsi="Arial"/>
          <w:sz w:val="18"/>
          <w:szCs w:val="18"/>
          <w:color w:val="auto"/>
        </w:rPr>
      </w:pPr>
    </w:p>
    <w:p>
      <w:pPr>
        <w:ind w:left="660" w:right="180" w:hanging="328"/>
        <w:spacing w:after="0" w:line="277"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South Dakota Electric has an agreement to provide MDU capacity and energy up to a maximum of 50 MW in excess of Wygen III ownership. This agreement expires December 31, 2023.</w:t>
      </w:r>
    </w:p>
    <w:p>
      <w:pPr>
        <w:spacing w:after="0" w:line="170" w:lineRule="exact"/>
        <w:rPr>
          <w:rFonts w:ascii="Arial" w:cs="Arial" w:eastAsia="Arial" w:hAnsi="Arial"/>
          <w:sz w:val="18"/>
          <w:szCs w:val="18"/>
          <w:color w:val="auto"/>
        </w:rPr>
      </w:pPr>
    </w:p>
    <w:p>
      <w:pPr>
        <w:ind w:left="660" w:right="100" w:hanging="328"/>
        <w:spacing w:after="0" w:line="259" w:lineRule="auto"/>
        <w:tabs>
          <w:tab w:leader="none" w:pos="6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During periods of reduced production at Wygen III in which the City of Gillette owns a portion of the capacity, or during periods when Wygen III is off-line, South Dakota Electric will provide the City of Gillette with its first 23 MW from our other generating facilities or from system purchases with reimbursement of costs by the City of Gillette. Under this agreement which is renewed annually on September 3, South Dakota Electric will also provide the City of Gillette their operating component of spinning reserves.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420"/>
          </w:cols>
          <w:pgMar w:left="240" w:top="126" w:right="239" w:bottom="1440" w:gutter="0" w:footer="0" w:header="0"/>
        </w:sectPr>
      </w:pPr>
    </w:p>
    <w:bookmarkStart w:id="138" w:name="page139"/>
    <w:bookmarkEnd w:id="13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left="660" w:right="20" w:hanging="328"/>
        <w:spacing w:after="0" w:line="259"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South Dakota Electric has an amended agreement, effective January 1, 2019, to supply up to 20 MW of energy and capacity to MEAN under a contract that expires May 31, 2028. The contract terms are from June 1 through May 31 for each interval listed below. This contract is unit-contingent based on the availability of our Neil Simpson II and Wygen III plants, with decreasing capacity purchased over the term of the agreement. The unit-contingent capacity amounts from Wygen III and Neil Simpson II are as follows:</w:t>
      </w:r>
    </w:p>
    <w:p>
      <w:pPr>
        <w:spacing w:after="0" w:line="133" w:lineRule="exact"/>
        <w:rPr>
          <w:sz w:val="20"/>
          <w:szCs w:val="20"/>
          <w:color w:val="auto"/>
        </w:rPr>
      </w:pPr>
    </w:p>
    <w:tbl>
      <w:tblPr>
        <w:tblLayout w:type="fixed"/>
        <w:tblInd w:w="1040" w:type="dxa"/>
        <w:tblCellMar>
          <w:top w:w="0" w:type="dxa"/>
          <w:left w:w="0" w:type="dxa"/>
          <w:bottom w:w="0" w:type="dxa"/>
          <w:right w:w="0" w:type="dxa"/>
        </w:tblCellMar>
      </w:tblPr>
      <w:tr>
        <w:trPr>
          <w:trHeight w:val="216"/>
        </w:trPr>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140" w:type="dxa"/>
            <w:vAlign w:val="bottom"/>
            <w:gridSpan w:val="2"/>
          </w:tcPr>
          <w:p>
            <w:pPr>
              <w:jc w:val="center"/>
              <w:ind w:left="90"/>
              <w:spacing w:after="0"/>
              <w:rPr>
                <w:sz w:val="20"/>
                <w:szCs w:val="20"/>
                <w:color w:val="auto"/>
              </w:rPr>
            </w:pPr>
            <w:r>
              <w:rPr>
                <w:rFonts w:ascii="Arial" w:cs="Arial" w:eastAsia="Arial" w:hAnsi="Arial"/>
                <w:sz w:val="18"/>
                <w:szCs w:val="18"/>
                <w:color w:val="auto"/>
                <w:w w:val="91"/>
              </w:rPr>
              <w:t>Contingent Capacity</w:t>
            </w:r>
          </w:p>
        </w:tc>
      </w:tr>
      <w:tr>
        <w:trPr>
          <w:trHeight w:val="216"/>
        </w:trPr>
        <w:tc>
          <w:tcPr>
            <w:tcW w:w="3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1"/>
              </w:rPr>
              <w:t>Contingent Capacity</w:t>
            </w:r>
          </w:p>
        </w:tc>
        <w:tc>
          <w:tcPr>
            <w:tcW w:w="2140" w:type="dxa"/>
            <w:vAlign w:val="bottom"/>
            <w:gridSpan w:val="2"/>
          </w:tcPr>
          <w:p>
            <w:pPr>
              <w:jc w:val="center"/>
              <w:ind w:left="90"/>
              <w:spacing w:after="0"/>
              <w:rPr>
                <w:sz w:val="20"/>
                <w:szCs w:val="20"/>
                <w:color w:val="auto"/>
              </w:rPr>
            </w:pPr>
            <w:r>
              <w:rPr>
                <w:rFonts w:ascii="Arial" w:cs="Arial" w:eastAsia="Arial" w:hAnsi="Arial"/>
                <w:sz w:val="18"/>
                <w:szCs w:val="18"/>
                <w:color w:val="auto"/>
                <w:w w:val="92"/>
              </w:rPr>
              <w:t>Amounts on Neil Simpson</w:t>
            </w:r>
          </w:p>
        </w:tc>
      </w:tr>
      <w:tr>
        <w:trPr>
          <w:trHeight w:val="230"/>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88"/>
              </w:rPr>
              <w:t>Contract Years</w:t>
            </w:r>
          </w:p>
        </w:tc>
        <w:tc>
          <w:tcPr>
            <w:tcW w:w="2700" w:type="dxa"/>
            <w:vAlign w:val="bottom"/>
            <w:gridSpan w:val="2"/>
          </w:tcPr>
          <w:p>
            <w:pPr>
              <w:ind w:left="720"/>
              <w:spacing w:after="0"/>
              <w:rPr>
                <w:sz w:val="20"/>
                <w:szCs w:val="20"/>
                <w:color w:val="auto"/>
              </w:rPr>
            </w:pPr>
            <w:r>
              <w:rPr>
                <w:rFonts w:ascii="Arial" w:cs="Arial" w:eastAsia="Arial" w:hAnsi="Arial"/>
                <w:sz w:val="18"/>
                <w:szCs w:val="18"/>
                <w:color w:val="auto"/>
              </w:rPr>
              <w:t>Total Contract Capacity</w:t>
            </w:r>
          </w:p>
        </w:tc>
        <w:tc>
          <w:tcPr>
            <w:tcW w:w="2100" w:type="dxa"/>
            <w:vAlign w:val="bottom"/>
            <w:gridSpan w:val="2"/>
          </w:tcPr>
          <w:p>
            <w:pPr>
              <w:jc w:val="center"/>
              <w:spacing w:after="0"/>
              <w:rPr>
                <w:sz w:val="20"/>
                <w:szCs w:val="20"/>
                <w:color w:val="auto"/>
              </w:rPr>
            </w:pPr>
            <w:r>
              <w:rPr>
                <w:rFonts w:ascii="Arial" w:cs="Arial" w:eastAsia="Arial" w:hAnsi="Arial"/>
                <w:sz w:val="18"/>
                <w:szCs w:val="18"/>
                <w:color w:val="auto"/>
                <w:w w:val="94"/>
              </w:rPr>
              <w:t>Amounts on Wygen III</w:t>
            </w:r>
          </w:p>
        </w:tc>
        <w:tc>
          <w:tcPr>
            <w:tcW w:w="1060" w:type="dxa"/>
            <w:vAlign w:val="bottom"/>
          </w:tcPr>
          <w:p>
            <w:pPr>
              <w:spacing w:after="0"/>
              <w:rPr>
                <w:sz w:val="20"/>
                <w:szCs w:val="20"/>
                <w:color w:val="auto"/>
              </w:rPr>
            </w:pPr>
          </w:p>
        </w:tc>
        <w:tc>
          <w:tcPr>
            <w:tcW w:w="1080" w:type="dxa"/>
            <w:vAlign w:val="bottom"/>
          </w:tcPr>
          <w:p>
            <w:pPr>
              <w:jc w:val="center"/>
              <w:ind w:right="790"/>
              <w:spacing w:after="0"/>
              <w:rPr>
                <w:sz w:val="20"/>
                <w:szCs w:val="20"/>
                <w:color w:val="auto"/>
              </w:rPr>
            </w:pPr>
            <w:r>
              <w:rPr>
                <w:rFonts w:ascii="Arial" w:cs="Arial" w:eastAsia="Arial" w:hAnsi="Arial"/>
                <w:sz w:val="18"/>
                <w:szCs w:val="18"/>
                <w:color w:val="auto"/>
              </w:rPr>
              <w:t>II</w:t>
            </w:r>
          </w:p>
        </w:tc>
      </w:tr>
      <w:tr>
        <w:trPr>
          <w:trHeight w:val="27"/>
        </w:trPr>
        <w:tc>
          <w:tcPr>
            <w:tcW w:w="30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EFFE7"/>
            </w:tcBorders>
            <w:shd w:val="clear" w:color="auto" w:fill="CEFFE7"/>
          </w:tcPr>
          <w:p>
            <w:pPr>
              <w:jc w:val="center"/>
              <w:ind w:left="470"/>
              <w:spacing w:after="0"/>
              <w:rPr>
                <w:sz w:val="20"/>
                <w:szCs w:val="20"/>
                <w:color w:val="auto"/>
              </w:rPr>
            </w:pPr>
            <w:r>
              <w:rPr>
                <w:rFonts w:ascii="Arial" w:cs="Arial" w:eastAsia="Arial" w:hAnsi="Arial"/>
                <w:sz w:val="18"/>
                <w:szCs w:val="18"/>
                <w:color w:val="auto"/>
                <w:w w:val="90"/>
              </w:rPr>
              <w:t>2019-2020</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MW</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10</w:t>
            </w:r>
          </w:p>
        </w:tc>
        <w:tc>
          <w:tcPr>
            <w:tcW w:w="10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MW</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5</w:t>
            </w:r>
          </w:p>
        </w:tc>
        <w:tc>
          <w:tcPr>
            <w:tcW w:w="10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MW</w:t>
            </w:r>
          </w:p>
        </w:tc>
      </w:tr>
      <w:tr>
        <w:trPr>
          <w:trHeight w:val="243"/>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0"/>
              </w:rPr>
              <w:t>2020-2022</w:t>
            </w:r>
          </w:p>
        </w:tc>
        <w:tc>
          <w:tcPr>
            <w:tcW w:w="1520" w:type="dxa"/>
            <w:vAlign w:val="bottom"/>
          </w:tcPr>
          <w:p>
            <w:pPr>
              <w:jc w:val="right"/>
              <w:spacing w:after="0"/>
              <w:rPr>
                <w:sz w:val="20"/>
                <w:szCs w:val="20"/>
                <w:color w:val="auto"/>
              </w:rPr>
            </w:pPr>
            <w:r>
              <w:rPr>
                <w:rFonts w:ascii="Arial" w:cs="Arial" w:eastAsia="Arial" w:hAnsi="Arial"/>
                <w:sz w:val="18"/>
                <w:szCs w:val="18"/>
                <w:color w:val="auto"/>
              </w:rPr>
              <w:t>15</w:t>
            </w:r>
          </w:p>
        </w:tc>
        <w:tc>
          <w:tcPr>
            <w:tcW w:w="1180" w:type="dxa"/>
            <w:vAlign w:val="bottom"/>
          </w:tcPr>
          <w:p>
            <w:pPr>
              <w:ind w:left="60"/>
              <w:spacing w:after="0"/>
              <w:rPr>
                <w:sz w:val="20"/>
                <w:szCs w:val="20"/>
                <w:color w:val="auto"/>
              </w:rPr>
            </w:pPr>
            <w:r>
              <w:rPr>
                <w:rFonts w:ascii="Arial" w:cs="Arial" w:eastAsia="Arial" w:hAnsi="Arial"/>
                <w:sz w:val="18"/>
                <w:szCs w:val="18"/>
                <w:color w:val="auto"/>
              </w:rPr>
              <w:t>MW</w:t>
            </w: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80" w:type="dxa"/>
            <w:vAlign w:val="bottom"/>
          </w:tcPr>
          <w:p>
            <w:pPr>
              <w:ind w:left="60"/>
              <w:spacing w:after="0"/>
              <w:rPr>
                <w:sz w:val="20"/>
                <w:szCs w:val="20"/>
                <w:color w:val="auto"/>
              </w:rPr>
            </w:pPr>
            <w:r>
              <w:rPr>
                <w:rFonts w:ascii="Arial" w:cs="Arial" w:eastAsia="Arial" w:hAnsi="Arial"/>
                <w:sz w:val="18"/>
                <w:szCs w:val="18"/>
                <w:color w:val="auto"/>
              </w:rPr>
              <w:t>MW</w:t>
            </w:r>
          </w:p>
        </w:tc>
        <w:tc>
          <w:tcPr>
            <w:tcW w:w="1060" w:type="dxa"/>
            <w:vAlign w:val="bottom"/>
          </w:tcPr>
          <w:p>
            <w:pPr>
              <w:jc w:val="right"/>
              <w:spacing w:after="0"/>
              <w:rPr>
                <w:sz w:val="20"/>
                <w:szCs w:val="20"/>
                <w:color w:val="auto"/>
              </w:rPr>
            </w:pPr>
            <w:r>
              <w:rPr>
                <w:rFonts w:ascii="Arial" w:cs="Arial" w:eastAsia="Arial" w:hAnsi="Arial"/>
                <w:sz w:val="18"/>
                <w:szCs w:val="18"/>
                <w:color w:val="auto"/>
              </w:rPr>
              <w:t>8</w:t>
            </w:r>
          </w:p>
        </w:tc>
        <w:tc>
          <w:tcPr>
            <w:tcW w:w="1080" w:type="dxa"/>
            <w:vAlign w:val="bottom"/>
          </w:tcPr>
          <w:p>
            <w:pPr>
              <w:ind w:left="100"/>
              <w:spacing w:after="0"/>
              <w:rPr>
                <w:sz w:val="20"/>
                <w:szCs w:val="20"/>
                <w:color w:val="auto"/>
              </w:rPr>
            </w:pPr>
            <w:r>
              <w:rPr>
                <w:rFonts w:ascii="Arial" w:cs="Arial" w:eastAsia="Arial" w:hAnsi="Arial"/>
                <w:sz w:val="18"/>
                <w:szCs w:val="18"/>
                <w:color w:val="auto"/>
              </w:rPr>
              <w:t>MW</w:t>
            </w:r>
          </w:p>
        </w:tc>
      </w:tr>
      <w:tr>
        <w:trPr>
          <w:trHeight w:val="27"/>
        </w:trPr>
        <w:tc>
          <w:tcPr>
            <w:tcW w:w="306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3060" w:type="dxa"/>
            <w:vAlign w:val="bottom"/>
            <w:tcBorders>
              <w:bottom w:val="single" w:sz="8" w:color="CEFFE7"/>
            </w:tcBorders>
            <w:shd w:val="clear" w:color="auto" w:fill="CEFFE7"/>
          </w:tcPr>
          <w:p>
            <w:pPr>
              <w:jc w:val="center"/>
              <w:ind w:left="470"/>
              <w:spacing w:after="0"/>
              <w:rPr>
                <w:sz w:val="20"/>
                <w:szCs w:val="20"/>
                <w:color w:val="auto"/>
              </w:rPr>
            </w:pPr>
            <w:r>
              <w:rPr>
                <w:rFonts w:ascii="Arial" w:cs="Arial" w:eastAsia="Arial" w:hAnsi="Arial"/>
                <w:sz w:val="18"/>
                <w:szCs w:val="18"/>
                <w:color w:val="auto"/>
                <w:w w:val="90"/>
              </w:rPr>
              <w:t>2022-2023</w:t>
            </w:r>
          </w:p>
        </w:tc>
        <w:tc>
          <w:tcPr>
            <w:tcW w:w="15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15</w:t>
            </w:r>
          </w:p>
        </w:tc>
        <w:tc>
          <w:tcPr>
            <w:tcW w:w="11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MW</w:t>
            </w:r>
          </w:p>
        </w:tc>
        <w:tc>
          <w:tcPr>
            <w:tcW w:w="10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8</w:t>
            </w:r>
          </w:p>
        </w:tc>
        <w:tc>
          <w:tcPr>
            <w:tcW w:w="1080" w:type="dxa"/>
            <w:vAlign w:val="bottom"/>
            <w:tcBorders>
              <w:bottom w:val="single" w:sz="8" w:color="CEFFE7"/>
            </w:tcBorders>
            <w:shd w:val="clear" w:color="auto" w:fill="CEFFE7"/>
          </w:tcPr>
          <w:p>
            <w:pPr>
              <w:ind w:left="60"/>
              <w:spacing w:after="0"/>
              <w:rPr>
                <w:sz w:val="20"/>
                <w:szCs w:val="20"/>
                <w:color w:val="auto"/>
              </w:rPr>
            </w:pPr>
            <w:r>
              <w:rPr>
                <w:rFonts w:ascii="Arial" w:cs="Arial" w:eastAsia="Arial" w:hAnsi="Arial"/>
                <w:sz w:val="18"/>
                <w:szCs w:val="18"/>
                <w:color w:val="auto"/>
              </w:rPr>
              <w:t>MW</w:t>
            </w:r>
          </w:p>
        </w:tc>
        <w:tc>
          <w:tcPr>
            <w:tcW w:w="106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7</w:t>
            </w:r>
          </w:p>
        </w:tc>
        <w:tc>
          <w:tcPr>
            <w:tcW w:w="1080" w:type="dxa"/>
            <w:vAlign w:val="bottom"/>
            <w:tcBorders>
              <w:bottom w:val="single" w:sz="8" w:color="CEFFE7"/>
            </w:tcBorders>
            <w:shd w:val="clear" w:color="auto" w:fill="CEFFE7"/>
          </w:tcPr>
          <w:p>
            <w:pPr>
              <w:ind w:left="100"/>
              <w:spacing w:after="0"/>
              <w:rPr>
                <w:sz w:val="20"/>
                <w:szCs w:val="20"/>
                <w:color w:val="auto"/>
              </w:rPr>
            </w:pPr>
            <w:r>
              <w:rPr>
                <w:rFonts w:ascii="Arial" w:cs="Arial" w:eastAsia="Arial" w:hAnsi="Arial"/>
                <w:sz w:val="18"/>
                <w:szCs w:val="18"/>
                <w:color w:val="auto"/>
              </w:rPr>
              <w:t>MW</w:t>
            </w:r>
          </w:p>
        </w:tc>
      </w:tr>
      <w:tr>
        <w:trPr>
          <w:trHeight w:val="243"/>
        </w:trPr>
        <w:tc>
          <w:tcPr>
            <w:tcW w:w="3060" w:type="dxa"/>
            <w:vAlign w:val="bottom"/>
          </w:tcPr>
          <w:p>
            <w:pPr>
              <w:jc w:val="center"/>
              <w:ind w:left="470"/>
              <w:spacing w:after="0"/>
              <w:rPr>
                <w:sz w:val="20"/>
                <w:szCs w:val="20"/>
                <w:color w:val="auto"/>
              </w:rPr>
            </w:pPr>
            <w:r>
              <w:rPr>
                <w:rFonts w:ascii="Arial" w:cs="Arial" w:eastAsia="Arial" w:hAnsi="Arial"/>
                <w:sz w:val="18"/>
                <w:szCs w:val="18"/>
                <w:color w:val="auto"/>
                <w:w w:val="90"/>
              </w:rPr>
              <w:t>2023-2028</w:t>
            </w:r>
          </w:p>
        </w:tc>
        <w:tc>
          <w:tcPr>
            <w:tcW w:w="1520" w:type="dxa"/>
            <w:vAlign w:val="bottom"/>
          </w:tcPr>
          <w:p>
            <w:pPr>
              <w:jc w:val="right"/>
              <w:spacing w:after="0"/>
              <w:rPr>
                <w:sz w:val="20"/>
                <w:szCs w:val="20"/>
                <w:color w:val="auto"/>
              </w:rPr>
            </w:pPr>
            <w:r>
              <w:rPr>
                <w:rFonts w:ascii="Arial" w:cs="Arial" w:eastAsia="Arial" w:hAnsi="Arial"/>
                <w:sz w:val="18"/>
                <w:szCs w:val="18"/>
                <w:color w:val="auto"/>
              </w:rPr>
              <w:t>10</w:t>
            </w:r>
          </w:p>
        </w:tc>
        <w:tc>
          <w:tcPr>
            <w:tcW w:w="1180" w:type="dxa"/>
            <w:vAlign w:val="bottom"/>
          </w:tcPr>
          <w:p>
            <w:pPr>
              <w:ind w:left="60"/>
              <w:spacing w:after="0"/>
              <w:rPr>
                <w:sz w:val="20"/>
                <w:szCs w:val="20"/>
                <w:color w:val="auto"/>
              </w:rPr>
            </w:pPr>
            <w:r>
              <w:rPr>
                <w:rFonts w:ascii="Arial" w:cs="Arial" w:eastAsia="Arial" w:hAnsi="Arial"/>
                <w:sz w:val="18"/>
                <w:szCs w:val="18"/>
                <w:color w:val="auto"/>
              </w:rPr>
              <w:t>MW</w:t>
            </w:r>
          </w:p>
        </w:tc>
        <w:tc>
          <w:tcPr>
            <w:tcW w:w="102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ind w:left="60"/>
              <w:spacing w:after="0"/>
              <w:rPr>
                <w:sz w:val="20"/>
                <w:szCs w:val="20"/>
                <w:color w:val="auto"/>
              </w:rPr>
            </w:pPr>
            <w:r>
              <w:rPr>
                <w:rFonts w:ascii="Arial" w:cs="Arial" w:eastAsia="Arial" w:hAnsi="Arial"/>
                <w:sz w:val="18"/>
                <w:szCs w:val="18"/>
                <w:color w:val="auto"/>
              </w:rPr>
              <w:t>MW</w:t>
            </w:r>
          </w:p>
        </w:tc>
        <w:tc>
          <w:tcPr>
            <w:tcW w:w="1060" w:type="dxa"/>
            <w:vAlign w:val="bottom"/>
          </w:tcPr>
          <w:p>
            <w:pPr>
              <w:jc w:val="right"/>
              <w:spacing w:after="0"/>
              <w:rPr>
                <w:sz w:val="20"/>
                <w:szCs w:val="20"/>
                <w:color w:val="auto"/>
              </w:rPr>
            </w:pPr>
            <w:r>
              <w:rPr>
                <w:rFonts w:ascii="Arial" w:cs="Arial" w:eastAsia="Arial" w:hAnsi="Arial"/>
                <w:sz w:val="18"/>
                <w:szCs w:val="18"/>
                <w:color w:val="auto"/>
              </w:rPr>
              <w:t>5</w:t>
            </w:r>
          </w:p>
        </w:tc>
        <w:tc>
          <w:tcPr>
            <w:tcW w:w="1080" w:type="dxa"/>
            <w:vAlign w:val="bottom"/>
          </w:tcPr>
          <w:p>
            <w:pPr>
              <w:ind w:left="100"/>
              <w:spacing w:after="0"/>
              <w:rPr>
                <w:sz w:val="20"/>
                <w:szCs w:val="20"/>
                <w:color w:val="auto"/>
              </w:rPr>
            </w:pPr>
            <w:r>
              <w:rPr>
                <w:rFonts w:ascii="Arial" w:cs="Arial" w:eastAsia="Arial" w:hAnsi="Arial"/>
                <w:sz w:val="18"/>
                <w:szCs w:val="18"/>
                <w:color w:val="auto"/>
              </w:rPr>
              <w:t>MW</w:t>
            </w:r>
          </w:p>
        </w:tc>
      </w:tr>
    </w:tbl>
    <w:p>
      <w:pPr>
        <w:spacing w:after="0" w:line="200" w:lineRule="exact"/>
        <w:rPr>
          <w:sz w:val="20"/>
          <w:szCs w:val="20"/>
          <w:color w:val="auto"/>
        </w:rPr>
      </w:pPr>
    </w:p>
    <w:p>
      <w:pPr>
        <w:spacing w:after="0" w:line="245" w:lineRule="exact"/>
        <w:rPr>
          <w:sz w:val="20"/>
          <w:szCs w:val="20"/>
          <w:color w:val="auto"/>
        </w:rPr>
      </w:pPr>
    </w:p>
    <w:p>
      <w:pPr>
        <w:ind w:left="660" w:right="16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South Dakota Electric has an agreement that expires December 31, 2021 to provide 50 MW of energy to Macquarie Energy, LLC during heavy and light load timing intervals.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Reimbursement Agreement</w:t>
      </w:r>
    </w:p>
    <w:p>
      <w:pPr>
        <w:spacing w:after="0" w:line="229" w:lineRule="exact"/>
        <w:rPr>
          <w:sz w:val="20"/>
          <w:szCs w:val="20"/>
          <w:color w:val="auto"/>
        </w:rPr>
      </w:pPr>
    </w:p>
    <w:p>
      <w:pPr>
        <w:ind w:right="420"/>
        <w:spacing w:after="0" w:line="264" w:lineRule="auto"/>
        <w:rPr>
          <w:sz w:val="20"/>
          <w:szCs w:val="20"/>
          <w:color w:val="auto"/>
        </w:rPr>
      </w:pPr>
      <w:r>
        <w:rPr>
          <w:rFonts w:ascii="Arial" w:cs="Arial" w:eastAsia="Arial" w:hAnsi="Arial"/>
          <w:sz w:val="18"/>
          <w:szCs w:val="18"/>
          <w:color w:val="auto"/>
        </w:rPr>
        <w:t>We have a reimbursement agreement in place with Wells Fargo on behalf of Wyoming Electric for the 2009A bonds of $10 million due in 2027 and the 2009B bonds of $7.0 million due in 2021. In the case of default, we hold the assumption of liability for drawings on Wyoming Electric’s Letter of Credit attached to these bonds.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22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We are subject to costs resulting from a number of federal, state and local laws and regulations which affect future planning and existing operations. Laws and regulations can result in increased capital expenditures, operating and other costs as a result of compliance, remediation and monitoring obligations. Due to the environmental issues discussed below, we may be required to modify, curtail, replace or cease operating certain facilities or operations to comply with statutes, regulations and other requirements of regulatory bodies.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Reclamation Liability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For our Pueblo Airport Generation site, we posted a bond of $4.1 million with the State of Colorado to cover the costs of remediation for a waste water containment pond permitted to provide wastewater storage and processing for this zero discharge facility. The reclamation liability is recorded at the present value of the estimated future cost to reclaim the land.</w:t>
      </w:r>
    </w:p>
    <w:p>
      <w:pPr>
        <w:spacing w:after="0" w:line="18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Under our land leases for our wind generation facilities, we are required to reclaim all land where we have placed wind turbines. The reclamation liabilities are recorded at the present value of the estimated future cost to reclaim the land.</w:t>
      </w:r>
    </w:p>
    <w:p>
      <w:pPr>
        <w:spacing w:after="0" w:line="170"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Under its mining permit, WRDC is required to reclaim all land where it has mined reserves. The reclamation liability is recorded at the present value of the estimated future cost to reclaim the land.</w:t>
      </w:r>
    </w:p>
    <w:p>
      <w:pPr>
        <w:spacing w:after="0" w:line="170"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See </w:t>
      </w:r>
      <w:hyperlink w:anchor="page106">
        <w:r>
          <w:rPr>
            <w:rFonts w:ascii="Arial" w:cs="Arial" w:eastAsia="Arial" w:hAnsi="Arial"/>
            <w:sz w:val="18"/>
            <w:szCs w:val="18"/>
            <w:u w:val="single" w:color="auto"/>
            <w:color w:val="0000EE"/>
          </w:rPr>
          <w:t>Note 8</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additional information.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Manufactured Gas Processing</w:t>
      </w:r>
    </w:p>
    <w:p>
      <w:pPr>
        <w:spacing w:after="0" w:line="229" w:lineRule="exact"/>
        <w:rPr>
          <w:sz w:val="20"/>
          <w:szCs w:val="20"/>
          <w:color w:val="auto"/>
        </w:rPr>
      </w:pPr>
    </w:p>
    <w:p>
      <w:pPr>
        <w:ind w:right="100"/>
        <w:spacing w:after="0" w:line="259" w:lineRule="auto"/>
        <w:rPr>
          <w:rFonts w:ascii="Arial" w:cs="Arial" w:eastAsia="Arial" w:hAnsi="Arial"/>
          <w:sz w:val="18"/>
          <w:szCs w:val="18"/>
          <w:color w:val="0000EE"/>
        </w:rPr>
      </w:pPr>
      <w:r>
        <w:rPr>
          <w:rFonts w:ascii="Arial" w:cs="Arial" w:eastAsia="Arial" w:hAnsi="Arial"/>
          <w:sz w:val="18"/>
          <w:szCs w:val="18"/>
          <w:color w:val="auto"/>
        </w:rPr>
        <w:t xml:space="preserve">In 2008, we acquired whole and partial liabilities for former manufactured gas processing sites in Nebraska and Iowa which were previously used to convert coal to natural gas. The acquisition provided for an insurance recovery, now valued at $1.1 million recorded in Other assets, non-current on our Consolidated Balance Sheets, which will be used to help offset remediation costs. We also have a $1.5 million regulatory asset for manufactured gas processing sites; see </w:t>
      </w:r>
      <w:hyperlink w:anchor="page117">
        <w:r>
          <w:rPr>
            <w:rFonts w:ascii="Arial" w:cs="Arial" w:eastAsia="Arial" w:hAnsi="Arial"/>
            <w:sz w:val="18"/>
            <w:szCs w:val="18"/>
            <w:u w:val="single" w:color="auto"/>
            <w:color w:val="0000EE"/>
          </w:rPr>
          <w:t>Note 13</w:t>
        </w:r>
        <w:r>
          <w:rPr>
            <w:rFonts w:ascii="Arial" w:cs="Arial" w:eastAsia="Arial" w:hAnsi="Arial"/>
            <w:sz w:val="18"/>
            <w:szCs w:val="18"/>
            <w:color w:val="0000EE"/>
          </w:rPr>
          <w:t xml:space="preserve"> </w:t>
        </w:r>
      </w:hyperlink>
      <w:r>
        <w:rPr>
          <w:rFonts w:ascii="Arial" w:cs="Arial" w:eastAsia="Arial" w:hAnsi="Arial"/>
          <w:sz w:val="18"/>
          <w:szCs w:val="18"/>
          <w:color w:val="000000"/>
        </w:rPr>
        <w:t>for</w:t>
      </w:r>
      <w:r>
        <w:rPr>
          <w:rFonts w:ascii="Arial" w:cs="Arial" w:eastAsia="Arial" w:hAnsi="Arial"/>
          <w:sz w:val="18"/>
          <w:szCs w:val="18"/>
          <w:color w:val="0000EE"/>
        </w:rPr>
        <w:t xml:space="preserve"> </w:t>
      </w:r>
      <w:r>
        <w:rPr>
          <w:rFonts w:ascii="Arial" w:cs="Arial" w:eastAsia="Arial" w:hAnsi="Arial"/>
          <w:sz w:val="18"/>
          <w:szCs w:val="18"/>
          <w:color w:val="000000"/>
        </w:rPr>
        <w:t>additional information.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420"/>
          </w:cols>
          <w:pgMar w:left="240" w:top="126" w:right="239" w:bottom="1440" w:gutter="0" w:footer="0" w:header="0"/>
        </w:sectPr>
      </w:pPr>
    </w:p>
    <w:bookmarkStart w:id="139" w:name="page140"/>
    <w:bookmarkEnd w:id="13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2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As of December 31, 2019, our estimated liabilities for Iowa’s manufactured gas processing site currently range from approximately $2.6 million to $10 million for which we had $2.6 million accrued for remediation of the site as of December 31, 2019 included in Other deferred credits and other liabilities on our Consolidated Balance Sheets. The remediation cost estimate could change materially due to results of further investigations, actions of environmental agencies or the financial viability of other responsible parties.</w:t>
      </w:r>
    </w:p>
    <w:p>
      <w:pPr>
        <w:spacing w:after="0" w:line="187" w:lineRule="exact"/>
        <w:rPr>
          <w:sz w:val="20"/>
          <w:szCs w:val="20"/>
          <w:color w:val="auto"/>
        </w:rPr>
      </w:pPr>
    </w:p>
    <w:p>
      <w:pPr>
        <w:spacing w:after="0"/>
        <w:rPr>
          <w:rFonts w:ascii="Arial" w:cs="Arial" w:eastAsia="Arial" w:hAnsi="Arial"/>
          <w:sz w:val="18"/>
          <w:szCs w:val="18"/>
          <w:color w:val="222222"/>
        </w:rPr>
      </w:pPr>
      <w:r>
        <w:rPr>
          <w:rFonts w:ascii="Arial" w:cs="Arial" w:eastAsia="Arial" w:hAnsi="Arial"/>
          <w:sz w:val="18"/>
          <w:szCs w:val="18"/>
          <w:color w:val="222222"/>
        </w:rPr>
        <w:t xml:space="preserve">For additional information, see </w:t>
      </w:r>
      <w:hyperlink w:anchor="page27">
        <w:r>
          <w:rPr>
            <w:rFonts w:ascii="Arial" w:cs="Arial" w:eastAsia="Arial" w:hAnsi="Arial"/>
            <w:sz w:val="18"/>
            <w:szCs w:val="18"/>
            <w:u w:val="single" w:color="auto"/>
            <w:color w:val="0000EE"/>
          </w:rPr>
          <w:t>Environmental Matters</w:t>
        </w:r>
        <w:r>
          <w:rPr>
            <w:rFonts w:ascii="Arial" w:cs="Arial" w:eastAsia="Arial" w:hAnsi="Arial"/>
            <w:sz w:val="18"/>
            <w:szCs w:val="18"/>
            <w:u w:val="single" w:color="auto"/>
            <w:color w:val="222222"/>
          </w:rPr>
          <w:t xml:space="preserve"> </w:t>
        </w:r>
      </w:hyperlink>
      <w:r>
        <w:rPr>
          <w:rFonts w:ascii="Arial" w:cs="Arial" w:eastAsia="Arial" w:hAnsi="Arial"/>
          <w:sz w:val="18"/>
          <w:szCs w:val="18"/>
          <w:color w:val="222222"/>
        </w:rPr>
        <w:t xml:space="preserve">in </w:t>
      </w:r>
      <w:hyperlink w:anchor="page9">
        <w:r>
          <w:rPr>
            <w:rFonts w:ascii="Arial" w:cs="Arial" w:eastAsia="Arial" w:hAnsi="Arial"/>
            <w:sz w:val="18"/>
            <w:szCs w:val="18"/>
            <w:u w:val="single" w:color="auto"/>
            <w:color w:val="0000EE"/>
          </w:rPr>
          <w:t>Item 1</w:t>
        </w:r>
        <w:r>
          <w:rPr>
            <w:rFonts w:ascii="Arial" w:cs="Arial" w:eastAsia="Arial" w:hAnsi="Arial"/>
            <w:sz w:val="18"/>
            <w:szCs w:val="18"/>
            <w:u w:val="single" w:color="auto"/>
            <w:color w:val="222222"/>
          </w:rPr>
          <w:t xml:space="preserve"> </w:t>
        </w:r>
      </w:hyperlink>
      <w:r>
        <w:rPr>
          <w:rFonts w:ascii="Arial" w:cs="Arial" w:eastAsia="Arial" w:hAnsi="Arial"/>
          <w:sz w:val="18"/>
          <w:szCs w:val="18"/>
          <w:color w:val="222222"/>
        </w:rPr>
        <w:t>of this Annual Report on Form 10-K.</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ind w:right="220"/>
        <w:spacing w:after="0" w:line="302" w:lineRule="auto"/>
        <w:rPr>
          <w:sz w:val="20"/>
          <w:szCs w:val="20"/>
          <w:color w:val="auto"/>
        </w:rPr>
      </w:pPr>
      <w:r>
        <w:rPr>
          <w:rFonts w:ascii="Arial" w:cs="Arial" w:eastAsia="Arial" w:hAnsi="Arial"/>
          <w:sz w:val="16"/>
          <w:szCs w:val="16"/>
          <w:color w:val="auto"/>
        </w:rPr>
        <w:t>In the normal course of business, we are subject to various lawsuits, actions, proceedings, claims and other matters asserted under laws and regulations. We believe the amounts provided in the consolidated financial statements to satisfy alleged liabilities are adequate in light of the probable and estimable contingencies. However, there can be no assurance that the actual amounts required to satisfy alleged liabilities from various legal proceedings, claims and other matters discussed, and to comply with applicable laws and regulations will not exceed the amounts reflected in the consolidated financial statements.</w:t>
      </w:r>
    </w:p>
    <w:p>
      <w:pPr>
        <w:spacing w:after="0" w:line="154" w:lineRule="exact"/>
        <w:rPr>
          <w:sz w:val="20"/>
          <w:szCs w:val="20"/>
          <w:color w:val="auto"/>
        </w:rPr>
      </w:pPr>
    </w:p>
    <w:p>
      <w:pPr>
        <w:ind w:right="120"/>
        <w:spacing w:after="0" w:line="276" w:lineRule="auto"/>
        <w:rPr>
          <w:sz w:val="20"/>
          <w:szCs w:val="20"/>
          <w:color w:val="auto"/>
        </w:rPr>
      </w:pPr>
      <w:r>
        <w:rPr>
          <w:rFonts w:ascii="Arial" w:cs="Arial" w:eastAsia="Arial" w:hAnsi="Arial"/>
          <w:sz w:val="17"/>
          <w:szCs w:val="17"/>
          <w:color w:val="auto"/>
        </w:rPr>
        <w:t>In the normal course of business, we enter into agreements that include indemnification in favor of third parties, such as information technology agreements, purchase and sale agreements and lease contracts. We have also agreed to indemnify our directors, officers and employees in accordance with our articles of incorporation, as amended. Certain agreements do not contain any limits on our liability and therefore, it is not possible to estimate our potential liability under these indemnifications. In certain cases, we have recourse against third parties with respect to these indemnities. Further, we maintain insurance policies that may provide coverage against certain claims under these indemnities.</w:t>
      </w:r>
    </w:p>
    <w:p>
      <w:pPr>
        <w:spacing w:after="0" w:line="385"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(20)</w:t>
        <w:tab/>
        <w:t>GUARANTEES</w:t>
      </w:r>
    </w:p>
    <w:p>
      <w:pPr>
        <w:spacing w:after="0" w:line="229" w:lineRule="exact"/>
        <w:rPr>
          <w:sz w:val="20"/>
          <w:szCs w:val="20"/>
          <w:color w:val="auto"/>
        </w:rPr>
      </w:pPr>
    </w:p>
    <w:p>
      <w:pPr>
        <w:ind w:right="860"/>
        <w:spacing w:after="0" w:line="277" w:lineRule="auto"/>
        <w:rPr>
          <w:sz w:val="20"/>
          <w:szCs w:val="20"/>
          <w:color w:val="auto"/>
        </w:rPr>
      </w:pPr>
      <w:r>
        <w:rPr>
          <w:rFonts w:ascii="Arial" w:cs="Arial" w:eastAsia="Arial" w:hAnsi="Arial"/>
          <w:sz w:val="18"/>
          <w:szCs w:val="18"/>
          <w:color w:val="auto"/>
        </w:rPr>
        <w:t>We have entered into various agreements providing financial or performance assurance to third parties on behalf of certain of our subsidiaries. The agreements include indemnification for reclamation and surety bonds and a contract performance guarantee.</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tcPr>
          <w:p>
            <w:pPr>
              <w:spacing w:after="0"/>
              <w:rPr>
                <w:sz w:val="20"/>
                <w:szCs w:val="20"/>
                <w:color w:val="auto"/>
              </w:rPr>
            </w:pPr>
            <w:r>
              <w:rPr>
                <w:rFonts w:ascii="Arial" w:cs="Arial" w:eastAsia="Arial" w:hAnsi="Arial"/>
                <w:sz w:val="18"/>
                <w:szCs w:val="18"/>
                <w:color w:val="auto"/>
              </w:rPr>
              <w:t>We had the following guarantees in place as of (in thousands):</w:t>
            </w:r>
          </w:p>
        </w:tc>
        <w:tc>
          <w:tcPr>
            <w:tcW w:w="22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8"/>
        </w:trPr>
        <w:tc>
          <w:tcPr>
            <w:tcW w:w="74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60" w:type="dxa"/>
            <w:vAlign w:val="bottom"/>
          </w:tcPr>
          <w:p>
            <w:pPr>
              <w:jc w:val="right"/>
              <w:ind w:right="230"/>
              <w:spacing w:after="0"/>
              <w:rPr>
                <w:sz w:val="20"/>
                <w:szCs w:val="20"/>
                <w:color w:val="auto"/>
              </w:rPr>
            </w:pPr>
            <w:r>
              <w:rPr>
                <w:rFonts w:ascii="Arial" w:cs="Arial" w:eastAsia="Arial" w:hAnsi="Arial"/>
                <w:sz w:val="18"/>
                <w:szCs w:val="18"/>
                <w:color w:val="auto"/>
                <w:w w:val="96"/>
              </w:rPr>
              <w:t>Maximum Exposure at</w:t>
            </w:r>
          </w:p>
        </w:tc>
        <w:tc>
          <w:tcPr>
            <w:tcW w:w="1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440" w:type="dxa"/>
            <w:vAlign w:val="bottom"/>
          </w:tcPr>
          <w:p>
            <w:pPr>
              <w:ind w:left="40"/>
              <w:spacing w:after="0"/>
              <w:rPr>
                <w:sz w:val="20"/>
                <w:szCs w:val="20"/>
                <w:color w:val="auto"/>
              </w:rPr>
            </w:pPr>
            <w:r>
              <w:rPr>
                <w:rFonts w:ascii="Arial" w:cs="Arial" w:eastAsia="Arial" w:hAnsi="Arial"/>
                <w:sz w:val="18"/>
                <w:szCs w:val="18"/>
                <w:color w:val="auto"/>
              </w:rPr>
              <w:t>Nature of Guarantee</w:t>
            </w:r>
          </w:p>
        </w:tc>
        <w:tc>
          <w:tcPr>
            <w:tcW w:w="220" w:type="dxa"/>
            <w:vAlign w:val="bottom"/>
          </w:tcPr>
          <w:p>
            <w:pPr>
              <w:spacing w:after="0"/>
              <w:rPr>
                <w:sz w:val="23"/>
                <w:szCs w:val="23"/>
                <w:color w:val="auto"/>
              </w:rPr>
            </w:pPr>
          </w:p>
        </w:tc>
        <w:tc>
          <w:tcPr>
            <w:tcW w:w="2060" w:type="dxa"/>
            <w:vAlign w:val="bottom"/>
          </w:tcPr>
          <w:p>
            <w:pPr>
              <w:jc w:val="right"/>
              <w:ind w:right="350"/>
              <w:spacing w:after="0"/>
              <w:rPr>
                <w:sz w:val="20"/>
                <w:szCs w:val="20"/>
                <w:color w:val="auto"/>
              </w:rPr>
            </w:pPr>
            <w:r>
              <w:rPr>
                <w:rFonts w:ascii="Arial" w:cs="Arial" w:eastAsia="Arial" w:hAnsi="Arial"/>
                <w:sz w:val="18"/>
                <w:szCs w:val="18"/>
                <w:color w:val="auto"/>
              </w:rPr>
              <w:t>December 31, 2019</w:t>
            </w:r>
          </w:p>
        </w:tc>
        <w:tc>
          <w:tcPr>
            <w:tcW w:w="1700" w:type="dxa"/>
            <w:vAlign w:val="bottom"/>
          </w:tcPr>
          <w:p>
            <w:pPr>
              <w:jc w:val="center"/>
              <w:spacing w:after="0"/>
              <w:rPr>
                <w:sz w:val="20"/>
                <w:szCs w:val="20"/>
                <w:color w:val="auto"/>
              </w:rPr>
            </w:pPr>
            <w:r>
              <w:rPr>
                <w:rFonts w:ascii="Arial" w:cs="Arial" w:eastAsia="Arial" w:hAnsi="Arial"/>
                <w:sz w:val="18"/>
                <w:szCs w:val="18"/>
                <w:color w:val="auto"/>
                <w:w w:val="94"/>
              </w:rPr>
              <w:t>Expiration</w:t>
            </w:r>
          </w:p>
        </w:tc>
        <w:tc>
          <w:tcPr>
            <w:tcW w:w="0" w:type="dxa"/>
            <w:vAlign w:val="bottom"/>
          </w:tcPr>
          <w:p>
            <w:pPr>
              <w:spacing w:after="0"/>
              <w:rPr>
                <w:sz w:val="1"/>
                <w:szCs w:val="1"/>
                <w:color w:val="auto"/>
              </w:rPr>
            </w:pPr>
          </w:p>
        </w:tc>
      </w:tr>
      <w:tr>
        <w:trPr>
          <w:trHeight w:val="27"/>
        </w:trPr>
        <w:tc>
          <w:tcPr>
            <w:tcW w:w="74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440" w:type="dxa"/>
            <w:vAlign w:val="bottom"/>
            <w:shd w:val="clear" w:color="auto" w:fill="CEFFE7"/>
          </w:tcPr>
          <w:p>
            <w:pPr>
              <w:ind w:left="40"/>
              <w:spacing w:after="0" w:line="264" w:lineRule="exact"/>
              <w:rPr>
                <w:sz w:val="20"/>
                <w:szCs w:val="20"/>
                <w:color w:val="auto"/>
              </w:rPr>
            </w:pPr>
            <w:r>
              <w:rPr>
                <w:rFonts w:ascii="Arial" w:cs="Arial" w:eastAsia="Arial" w:hAnsi="Arial"/>
                <w:sz w:val="18"/>
                <w:szCs w:val="18"/>
                <w:color w:val="auto"/>
              </w:rPr>
              <w:t xml:space="preserve">Indemnification for subsidiary reclamation/surety bonds </w:t>
            </w:r>
            <w:r>
              <w:rPr>
                <w:rFonts w:ascii="Arial" w:cs="Arial" w:eastAsia="Arial" w:hAnsi="Arial"/>
                <w:sz w:val="25"/>
                <w:szCs w:val="25"/>
                <w:color w:val="auto"/>
                <w:vertAlign w:val="superscript"/>
              </w:rPr>
              <w:t>(a)</w:t>
            </w:r>
          </w:p>
        </w:tc>
        <w:tc>
          <w:tcPr>
            <w:tcW w:w="22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shd w:val="clear" w:color="auto" w:fill="CEFFE7"/>
          </w:tcPr>
          <w:p>
            <w:pPr>
              <w:jc w:val="right"/>
              <w:ind w:right="10"/>
              <w:spacing w:after="0"/>
              <w:rPr>
                <w:sz w:val="20"/>
                <w:szCs w:val="20"/>
                <w:color w:val="auto"/>
              </w:rPr>
            </w:pPr>
            <w:r>
              <w:rPr>
                <w:rFonts w:ascii="Arial" w:cs="Arial" w:eastAsia="Arial" w:hAnsi="Arial"/>
                <w:sz w:val="18"/>
                <w:szCs w:val="18"/>
                <w:color w:val="auto"/>
              </w:rPr>
              <w:t>55,527</w:t>
            </w:r>
          </w:p>
        </w:tc>
        <w:tc>
          <w:tcPr>
            <w:tcW w:w="1700" w:type="dxa"/>
            <w:vAlign w:val="bottom"/>
            <w:shd w:val="clear" w:color="auto" w:fill="CEFFE7"/>
          </w:tcPr>
          <w:p>
            <w:pPr>
              <w:jc w:val="center"/>
              <w:spacing w:after="0"/>
              <w:rPr>
                <w:sz w:val="20"/>
                <w:szCs w:val="20"/>
                <w:color w:val="auto"/>
              </w:rPr>
            </w:pPr>
            <w:r>
              <w:rPr>
                <w:rFonts w:ascii="Arial" w:cs="Arial" w:eastAsia="Arial" w:hAnsi="Arial"/>
                <w:sz w:val="18"/>
                <w:szCs w:val="18"/>
                <w:color w:val="auto"/>
                <w:w w:val="91"/>
              </w:rPr>
              <w:t>Ongoing</w:t>
            </w:r>
          </w:p>
        </w:tc>
        <w:tc>
          <w:tcPr>
            <w:tcW w:w="0" w:type="dxa"/>
            <w:vAlign w:val="bottom"/>
          </w:tcPr>
          <w:p>
            <w:pPr>
              <w:spacing w:after="0"/>
              <w:rPr>
                <w:sz w:val="1"/>
                <w:szCs w:val="1"/>
                <w:color w:val="auto"/>
              </w:rPr>
            </w:pPr>
          </w:p>
        </w:tc>
      </w:tr>
      <w:tr>
        <w:trPr>
          <w:trHeight w:val="270"/>
        </w:trPr>
        <w:tc>
          <w:tcPr>
            <w:tcW w:w="7440" w:type="dxa"/>
            <w:vAlign w:val="bottom"/>
            <w:tcBorders>
              <w:bottom w:val="single" w:sz="8" w:color="CEFFE7"/>
            </w:tcBorders>
          </w:tcPr>
          <w:p>
            <w:pPr>
              <w:ind w:left="40"/>
              <w:spacing w:after="0" w:line="270" w:lineRule="exact"/>
              <w:rPr>
                <w:sz w:val="20"/>
                <w:szCs w:val="20"/>
                <w:color w:val="auto"/>
              </w:rPr>
            </w:pPr>
            <w:r>
              <w:rPr>
                <w:rFonts w:ascii="Arial" w:cs="Arial" w:eastAsia="Arial" w:hAnsi="Arial"/>
                <w:sz w:val="18"/>
                <w:szCs w:val="18"/>
                <w:color w:val="auto"/>
              </w:rPr>
              <w:t xml:space="preserve">Contract performance guarantee </w:t>
            </w:r>
            <w:r>
              <w:rPr>
                <w:rFonts w:ascii="Arial" w:cs="Arial" w:eastAsia="Arial" w:hAnsi="Arial"/>
                <w:sz w:val="25"/>
                <w:szCs w:val="25"/>
                <w:color w:val="auto"/>
                <w:vertAlign w:val="superscript"/>
              </w:rPr>
              <w:t>(b)</w:t>
            </w:r>
          </w:p>
        </w:tc>
        <w:tc>
          <w:tcPr>
            <w:tcW w:w="220" w:type="dxa"/>
            <w:vAlign w:val="bottom"/>
            <w:tcBorders>
              <w:bottom w:val="single" w:sz="8" w:color="auto"/>
            </w:tcBorders>
          </w:tcPr>
          <w:p>
            <w:pPr>
              <w:spacing w:after="0"/>
              <w:rPr>
                <w:sz w:val="23"/>
                <w:szCs w:val="23"/>
                <w:color w:val="auto"/>
              </w:rPr>
            </w:pPr>
          </w:p>
        </w:tc>
        <w:tc>
          <w:tcPr>
            <w:tcW w:w="2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46,831</w:t>
            </w:r>
          </w:p>
        </w:tc>
        <w:tc>
          <w:tcPr>
            <w:tcW w:w="1700" w:type="dxa"/>
            <w:vAlign w:val="bottom"/>
            <w:tcBorders>
              <w:bottom w:val="single" w:sz="8" w:color="CEFFE7"/>
            </w:tcBorders>
          </w:tcPr>
          <w:p>
            <w:pPr>
              <w:jc w:val="center"/>
              <w:spacing w:after="0"/>
              <w:rPr>
                <w:sz w:val="20"/>
                <w:szCs w:val="20"/>
                <w:color w:val="auto"/>
              </w:rPr>
            </w:pPr>
            <w:r>
              <w:rPr>
                <w:rFonts w:ascii="Arial" w:cs="Arial" w:eastAsia="Arial" w:hAnsi="Arial"/>
                <w:sz w:val="18"/>
                <w:szCs w:val="18"/>
                <w:color w:val="auto"/>
                <w:w w:val="93"/>
              </w:rPr>
              <w:t>May 2020</w:t>
            </w:r>
          </w:p>
        </w:tc>
        <w:tc>
          <w:tcPr>
            <w:tcW w:w="0" w:type="dxa"/>
            <w:vAlign w:val="bottom"/>
          </w:tcPr>
          <w:p>
            <w:pPr>
              <w:spacing w:after="0"/>
              <w:rPr>
                <w:sz w:val="1"/>
                <w:szCs w:val="1"/>
                <w:color w:val="auto"/>
              </w:rPr>
            </w:pPr>
          </w:p>
        </w:tc>
      </w:tr>
      <w:tr>
        <w:trPr>
          <w:trHeight w:val="269"/>
        </w:trPr>
        <w:tc>
          <w:tcPr>
            <w:tcW w:w="7440" w:type="dxa"/>
            <w:vAlign w:val="bottom"/>
            <w:tcBorders>
              <w:bottom w:val="single" w:sz="8" w:color="CEFFE7"/>
            </w:tcBorders>
            <w:shd w:val="clear" w:color="auto" w:fill="CEFFE7"/>
          </w:tcPr>
          <w:p>
            <w:pPr>
              <w:spacing w:after="0"/>
              <w:rPr>
                <w:sz w:val="22"/>
                <w:szCs w:val="22"/>
                <w:color w:val="auto"/>
              </w:rPr>
            </w:pP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206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102,358</w:t>
            </w:r>
          </w:p>
        </w:tc>
        <w:tc>
          <w:tcPr>
            <w:tcW w:w="1700" w:type="dxa"/>
            <w:vAlign w:val="bottom"/>
            <w:tcBorders>
              <w:bottom w:val="single" w:sz="8" w:color="CEFFE7"/>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440" w:type="dxa"/>
            <w:vAlign w:val="bottom"/>
            <w:tcBorders>
              <w:top w:val="single" w:sz="8" w:color="CEFFE7"/>
              <w:bottom w:val="single" w:sz="8" w:color="CEFFE7"/>
            </w:tcBorders>
            <w:vMerge w:val="restart"/>
          </w:tcPr>
          <w:p>
            <w:pPr>
              <w:spacing w:after="0"/>
              <w:rPr>
                <w:sz w:val="20"/>
                <w:szCs w:val="20"/>
                <w:color w:val="auto"/>
              </w:rPr>
            </w:pPr>
            <w:r>
              <w:rPr>
                <w:rFonts w:ascii="Arial" w:cs="Arial" w:eastAsia="Arial" w:hAnsi="Arial"/>
                <w:sz w:val="18"/>
                <w:szCs w:val="18"/>
                <w:color w:val="auto"/>
              </w:rPr>
              <w:t>_______________________</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6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CEFFE7"/>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44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500" w:hanging="332"/>
        <w:spacing w:after="0" w:line="265" w:lineRule="auto"/>
        <w:tabs>
          <w:tab w:leader="none" w:pos="340" w:val="left"/>
        </w:tabs>
        <w:numPr>
          <w:ilvl w:val="0"/>
          <w:numId w:val="94"/>
        </w:numPr>
        <w:rPr>
          <w:rFonts w:ascii="Arial" w:cs="Arial" w:eastAsia="Arial" w:hAnsi="Arial"/>
          <w:sz w:val="15"/>
          <w:szCs w:val="15"/>
          <w:color w:val="auto"/>
        </w:rPr>
      </w:pPr>
      <w:r>
        <w:rPr>
          <w:rFonts w:ascii="Arial" w:cs="Arial" w:eastAsia="Arial" w:hAnsi="Arial"/>
          <w:sz w:val="15"/>
          <w:szCs w:val="15"/>
          <w:color w:val="auto"/>
        </w:rPr>
        <w:t>We have guarantees in place for reclamation and surety bonds for our subsidiaries. The guarantees were entered into in the normal course of business. To the extent liabilities are incurred as a result of activities covered by the surety bonds, such liabilities are included in our Consolidated Balance Sheets.</w:t>
      </w:r>
    </w:p>
    <w:p>
      <w:pPr>
        <w:spacing w:after="0" w:line="1" w:lineRule="exact"/>
        <w:rPr>
          <w:rFonts w:ascii="Arial" w:cs="Arial" w:eastAsia="Arial" w:hAnsi="Arial"/>
          <w:sz w:val="15"/>
          <w:szCs w:val="15"/>
          <w:color w:val="auto"/>
        </w:rPr>
      </w:pPr>
    </w:p>
    <w:p>
      <w:pPr>
        <w:ind w:left="340" w:right="400" w:hanging="332"/>
        <w:spacing w:after="0" w:line="257" w:lineRule="auto"/>
        <w:tabs>
          <w:tab w:leader="none" w:pos="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BHC has guaranteed the full and complete payment and performance on behalf of Black Hills Electric Generation for construction of Busch Ranch II. The guarantee terminates when BHC or Black Hills Electric Generation has paid for and performed all guaranteed obligations.</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420"/>
          </w:cols>
          <w:pgMar w:left="240" w:top="126" w:right="239" w:bottom="1440" w:gutter="0" w:footer="0" w:header="0"/>
        </w:sectPr>
      </w:pPr>
    </w:p>
    <w:bookmarkStart w:id="140" w:name="page141"/>
    <w:bookmarkEnd w:id="140"/>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(21</w:t>
      </w:r>
      <w:r>
        <w:rPr>
          <w:rFonts w:ascii="Arial" w:cs="Arial" w:eastAsia="Arial" w:hAnsi="Arial"/>
          <w:sz w:val="18"/>
          <w:szCs w:val="18"/>
          <w:color w:val="auto"/>
        </w:rPr>
        <w:t>)</w:t>
      </w:r>
      <w:r>
        <w:rPr>
          <w:rFonts w:ascii="Arial" w:cs="Arial" w:eastAsia="Arial" w:hAnsi="Arial"/>
          <w:sz w:val="18"/>
          <w:szCs w:val="18"/>
          <w:b w:val="1"/>
          <w:bCs w:val="1"/>
          <w:color w:val="auto"/>
        </w:rPr>
        <w:tab/>
        <w:t>DISCONTINUED OPERATIONS</w:t>
      </w:r>
    </w:p>
    <w:p>
      <w:pPr>
        <w:spacing w:after="0" w:line="229"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Results of operations for discontinued operations were classified as Net (loss) from discontinued operations in the accompanying Consolidated Statements of Income. Prior periods relating to our discontinued operations were reclassified to reflect consistency within our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Oil and Gas Segment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On November 1, 2017, the BHC Board of Directors approved a complete divestiture of our Oil and Gas segment. We completed the divestiture in 2018.</w:t>
      </w:r>
    </w:p>
    <w:p>
      <w:pPr>
        <w:spacing w:after="0" w:line="237"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In 2017, we performed a fair value assessment of the assets and liabilities classified as held for sale. We evaluated our disposal groups classified as held for sale based on the lower of carrying value or fair value less cost to sell. The market approach was based on our fourth quarter 2017 sale of our Powder River Basin assets and pending sale transactions of our other properties. We believe that the estimates used in calculating the fair value of our assets and liabilities held for sale were reasonable based on the information that was known when the estimates were made. At December 31, 2017, the fair value of our held for sale assets was less than our carrying value, which required a pre-tax write down of $20 million. There were no adjustments made to the fair value of our held for sale liabilities.</w:t>
      </w:r>
    </w:p>
    <w:p>
      <w:pPr>
        <w:spacing w:after="0" w:line="19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For the year ended December 31, 2018, we recorded $3.3 million of expenses comprised of royalty payments and reclamation costs related to final closing on the sale of oil and gas assets.</w:t>
      </w:r>
    </w:p>
    <w:p>
      <w:pPr>
        <w:spacing w:after="0" w:line="170"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Operating results of the Oil and Gas segment included in Discontinued operations on the accompanying Consolidated Statements of Income were as follows (in thousands):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80" w:type="dxa"/>
            <w:vAlign w:val="bottom"/>
            <w:gridSpan w:val="3"/>
          </w:tcPr>
          <w:p>
            <w:pPr>
              <w:jc w:val="right"/>
              <w:ind w:right="1210"/>
              <w:spacing w:after="0"/>
              <w:rPr>
                <w:sz w:val="20"/>
                <w:szCs w:val="20"/>
                <w:color w:val="auto"/>
              </w:rPr>
            </w:pPr>
            <w:r>
              <w:rPr>
                <w:rFonts w:ascii="Arial" w:cs="Arial" w:eastAsia="Arial" w:hAnsi="Arial"/>
                <w:sz w:val="18"/>
                <w:szCs w:val="18"/>
                <w:color w:val="auto"/>
              </w:rPr>
              <w:t>For the Years Ended</w:t>
            </w:r>
          </w:p>
        </w:tc>
      </w:tr>
      <w:tr>
        <w:trPr>
          <w:trHeight w:val="270"/>
        </w:trPr>
        <w:tc>
          <w:tcPr>
            <w:tcW w:w="73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tcPr>
          <w:p>
            <w:pPr>
              <w:jc w:val="right"/>
              <w:ind w:right="230"/>
              <w:spacing w:after="0"/>
              <w:rPr>
                <w:sz w:val="20"/>
                <w:szCs w:val="20"/>
                <w:color w:val="auto"/>
              </w:rPr>
            </w:pPr>
            <w:r>
              <w:rPr>
                <w:rFonts w:ascii="Arial" w:cs="Arial" w:eastAsia="Arial" w:hAnsi="Arial"/>
                <w:sz w:val="18"/>
                <w:szCs w:val="18"/>
                <w:color w:val="auto"/>
                <w:w w:val="93"/>
              </w:rPr>
              <w:t>December 31, 2018</w:t>
            </w:r>
          </w:p>
        </w:tc>
        <w:tc>
          <w:tcPr>
            <w:tcW w:w="220" w:type="dxa"/>
            <w:vAlign w:val="bottom"/>
          </w:tcPr>
          <w:p>
            <w:pPr>
              <w:spacing w:after="0"/>
              <w:rPr>
                <w:sz w:val="23"/>
                <w:szCs w:val="23"/>
                <w:color w:val="auto"/>
              </w:rPr>
            </w:pPr>
          </w:p>
        </w:tc>
        <w:tc>
          <w:tcPr>
            <w:tcW w:w="1840" w:type="dxa"/>
            <w:vAlign w:val="bottom"/>
          </w:tcPr>
          <w:p>
            <w:pPr>
              <w:jc w:val="right"/>
              <w:ind w:right="230"/>
              <w:spacing w:after="0"/>
              <w:rPr>
                <w:sz w:val="20"/>
                <w:szCs w:val="20"/>
                <w:color w:val="auto"/>
              </w:rPr>
            </w:pPr>
            <w:r>
              <w:rPr>
                <w:rFonts w:ascii="Arial" w:cs="Arial" w:eastAsia="Arial" w:hAnsi="Arial"/>
                <w:sz w:val="18"/>
                <w:szCs w:val="18"/>
                <w:color w:val="auto"/>
                <w:w w:val="94"/>
              </w:rPr>
              <w:t>December 31, 2017</w:t>
            </w:r>
          </w:p>
        </w:tc>
      </w:tr>
      <w:tr>
        <w:trPr>
          <w:trHeight w:val="27"/>
        </w:trPr>
        <w:tc>
          <w:tcPr>
            <w:tcW w:w="73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318"/>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7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Revenue</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5,897</w:t>
            </w:r>
          </w:p>
        </w:tc>
        <w:tc>
          <w:tcPr>
            <w:tcW w:w="2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25,382</w:t>
            </w:r>
          </w:p>
        </w:tc>
      </w:tr>
      <w:tr>
        <w:trPr>
          <w:trHeight w:val="318"/>
        </w:trPr>
        <w:tc>
          <w:tcPr>
            <w:tcW w:w="7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Operations and maintenance</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11,014</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22,872</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Loss on sale of assets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3,259</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Depreciation, depletion and amortization</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1,300</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7,521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Impairment of long-lived assets</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840" w:type="dxa"/>
            <w:vAlign w:val="bottom"/>
          </w:tcPr>
          <w:p>
            <w:pPr>
              <w:jc w:val="right"/>
              <w:ind w:right="10"/>
              <w:spacing w:after="0"/>
              <w:rPr>
                <w:sz w:val="20"/>
                <w:szCs w:val="20"/>
                <w:color w:val="auto"/>
              </w:rPr>
            </w:pPr>
            <w:r>
              <w:rPr>
                <w:rFonts w:ascii="Arial" w:cs="Arial" w:eastAsia="Arial" w:hAnsi="Arial"/>
                <w:sz w:val="18"/>
                <w:szCs w:val="18"/>
                <w:color w:val="auto"/>
              </w:rPr>
              <w:t>20,385</w:t>
            </w:r>
          </w:p>
        </w:tc>
      </w:tr>
      <w:tr>
        <w:trPr>
          <w:trHeight w:val="27"/>
        </w:trPr>
        <w:tc>
          <w:tcPr>
            <w:tcW w:w="7320" w:type="dxa"/>
            <w:vAlign w:val="bottom"/>
            <w:tcBorders>
              <w:bottom w:val="single" w:sz="8" w:color="CEFFE7"/>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64"/>
        </w:trPr>
        <w:tc>
          <w:tcPr>
            <w:tcW w:w="7320" w:type="dxa"/>
            <w:vAlign w:val="bottom"/>
            <w:tcBorders>
              <w:bottom w:val="single" w:sz="8" w:color="CEFFE7"/>
            </w:tcBorders>
            <w:shd w:val="clear" w:color="auto" w:fill="CEFFE7"/>
          </w:tcPr>
          <w:p>
            <w:pPr>
              <w:ind w:left="600"/>
              <w:spacing w:after="0"/>
              <w:rPr>
                <w:sz w:val="20"/>
                <w:szCs w:val="20"/>
                <w:color w:val="auto"/>
              </w:rPr>
            </w:pPr>
            <w:r>
              <w:rPr>
                <w:rFonts w:ascii="Arial" w:cs="Arial" w:eastAsia="Arial" w:hAnsi="Arial"/>
                <w:sz w:val="18"/>
                <w:szCs w:val="18"/>
                <w:color w:val="auto"/>
              </w:rPr>
              <w:t>Total operating expenses</w:t>
            </w:r>
          </w:p>
        </w:tc>
        <w:tc>
          <w:tcPr>
            <w:tcW w:w="220" w:type="dxa"/>
            <w:vAlign w:val="bottom"/>
            <w:tcBorders>
              <w:bottom w:val="single" w:sz="8" w:color="CEFFE7"/>
            </w:tcBorders>
            <w:shd w:val="clear" w:color="auto" w:fill="CEFFE7"/>
          </w:tcPr>
          <w:p>
            <w:pPr>
              <w:spacing w:after="0"/>
              <w:rPr>
                <w:sz w:val="22"/>
                <w:szCs w:val="22"/>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15,573</w:t>
            </w:r>
          </w:p>
        </w:tc>
        <w:tc>
          <w:tcPr>
            <w:tcW w:w="220" w:type="dxa"/>
            <w:vAlign w:val="bottom"/>
            <w:tcBorders>
              <w:bottom w:val="single" w:sz="8" w:color="CEFFE7"/>
            </w:tcBorders>
            <w:shd w:val="clear" w:color="auto" w:fill="CEFFE7"/>
          </w:tcPr>
          <w:p>
            <w:pPr>
              <w:spacing w:after="0"/>
              <w:rPr>
                <w:sz w:val="22"/>
                <w:szCs w:val="22"/>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50,778</w:t>
            </w:r>
          </w:p>
        </w:tc>
      </w:tr>
      <w:tr>
        <w:trPr>
          <w:trHeight w:val="318"/>
        </w:trPr>
        <w:tc>
          <w:tcPr>
            <w:tcW w:w="7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Operating (loss)</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(9,676)</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(25,396)</w:t>
            </w:r>
          </w:p>
        </w:tc>
      </w:tr>
      <w:tr>
        <w:trPr>
          <w:trHeight w:val="324"/>
        </w:trPr>
        <w:tc>
          <w:tcPr>
            <w:tcW w:w="7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40" w:type="dxa"/>
            <w:vAlign w:val="bottom"/>
          </w:tcPr>
          <w:p>
            <w:pPr>
              <w:spacing w:after="0"/>
              <w:rPr>
                <w:sz w:val="24"/>
                <w:szCs w:val="24"/>
                <w:color w:val="auto"/>
              </w:rPr>
            </w:pPr>
          </w:p>
        </w:tc>
      </w:tr>
      <w:tr>
        <w:trPr>
          <w:trHeight w:val="25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Interest income (expense), net</w:t>
            </w:r>
          </w:p>
        </w:tc>
        <w:tc>
          <w:tcPr>
            <w:tcW w:w="220" w:type="dxa"/>
            <w:vAlign w:val="bottom"/>
            <w:tcBorders>
              <w:bottom w:val="single" w:sz="8" w:color="CEFFE7"/>
            </w:tcBorders>
            <w:shd w:val="clear" w:color="auto" w:fill="CEFFE7"/>
          </w:tcPr>
          <w:p>
            <w:pPr>
              <w:spacing w:after="0"/>
              <w:rPr>
                <w:sz w:val="21"/>
                <w:szCs w:val="21"/>
                <w:color w:val="auto"/>
              </w:rPr>
            </w:pPr>
          </w:p>
        </w:tc>
        <w:tc>
          <w:tcPr>
            <w:tcW w:w="1820" w:type="dxa"/>
            <w:vAlign w:val="bottom"/>
            <w:tcBorders>
              <w:bottom w:val="single" w:sz="8" w:color="CEFFE7"/>
            </w:tcBorders>
            <w:shd w:val="clear" w:color="auto" w:fill="CEFFE7"/>
          </w:tcPr>
          <w:p>
            <w:pPr>
              <w:jc w:val="right"/>
              <w:spacing w:after="0"/>
              <w:rPr>
                <w:sz w:val="20"/>
                <w:szCs w:val="20"/>
                <w:color w:val="auto"/>
              </w:rPr>
            </w:pPr>
            <w:r>
              <w:rPr>
                <w:rFonts w:ascii="Arial" w:cs="Arial" w:eastAsia="Arial" w:hAnsi="Arial"/>
                <w:sz w:val="18"/>
                <w:szCs w:val="18"/>
                <w:color w:val="auto"/>
              </w:rPr>
              <w:t>(19)</w:t>
            </w:r>
          </w:p>
        </w:tc>
        <w:tc>
          <w:tcPr>
            <w:tcW w:w="220" w:type="dxa"/>
            <w:vAlign w:val="bottom"/>
            <w:tcBorders>
              <w:bottom w:val="single" w:sz="8" w:color="CEFFE7"/>
            </w:tcBorders>
            <w:shd w:val="clear" w:color="auto" w:fill="CEFFE7"/>
          </w:tcPr>
          <w:p>
            <w:pPr>
              <w:spacing w:after="0"/>
              <w:rPr>
                <w:sz w:val="21"/>
                <w:szCs w:val="21"/>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181</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220" w:type="dxa"/>
            <w:vAlign w:val="bottom"/>
          </w:tcPr>
          <w:p>
            <w:pPr>
              <w:spacing w:after="0"/>
              <w:rPr>
                <w:sz w:val="21"/>
                <w:szCs w:val="21"/>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22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(297)</w:t>
            </w:r>
          </w:p>
        </w:tc>
      </w:tr>
      <w:tr>
        <w:trPr>
          <w:trHeight w:val="27"/>
        </w:trPr>
        <w:tc>
          <w:tcPr>
            <w:tcW w:w="73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Income tax benefit</w:t>
            </w:r>
          </w:p>
        </w:tc>
        <w:tc>
          <w:tcPr>
            <w:tcW w:w="220" w:type="dxa"/>
            <w:vAlign w:val="bottom"/>
            <w:tcBorders>
              <w:bottom w:val="single" w:sz="8" w:color="CEFFE7"/>
            </w:tcBorders>
            <w:shd w:val="clear" w:color="auto" w:fill="CEFFE7"/>
          </w:tcPr>
          <w:p>
            <w:pPr>
              <w:spacing w:after="0"/>
              <w:rPr>
                <w:sz w:val="23"/>
                <w:szCs w:val="23"/>
                <w:color w:val="auto"/>
              </w:rPr>
            </w:pPr>
          </w:p>
        </w:tc>
        <w:tc>
          <w:tcPr>
            <w:tcW w:w="182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2,618</w:t>
            </w:r>
          </w:p>
        </w:tc>
        <w:tc>
          <w:tcPr>
            <w:tcW w:w="220" w:type="dxa"/>
            <w:vAlign w:val="bottom"/>
            <w:tcBorders>
              <w:bottom w:val="single" w:sz="8" w:color="CEFFE7"/>
            </w:tcBorders>
            <w:shd w:val="clear" w:color="auto" w:fill="CEFFE7"/>
          </w:tcPr>
          <w:p>
            <w:pPr>
              <w:spacing w:after="0"/>
              <w:rPr>
                <w:sz w:val="23"/>
                <w:szCs w:val="23"/>
                <w:color w:val="auto"/>
              </w:rPr>
            </w:pPr>
          </w:p>
        </w:tc>
        <w:tc>
          <w:tcPr>
            <w:tcW w:w="1840" w:type="dxa"/>
            <w:vAlign w:val="bottom"/>
            <w:tcBorders>
              <w:bottom w:val="single" w:sz="8" w:color="CEFFE7"/>
            </w:tcBorders>
            <w:shd w:val="clear" w:color="auto" w:fill="CEFFE7"/>
          </w:tcPr>
          <w:p>
            <w:pPr>
              <w:jc w:val="right"/>
              <w:ind w:right="10"/>
              <w:spacing w:after="0"/>
              <w:rPr>
                <w:sz w:val="20"/>
                <w:szCs w:val="20"/>
                <w:color w:val="auto"/>
              </w:rPr>
            </w:pPr>
            <w:r>
              <w:rPr>
                <w:rFonts w:ascii="Arial" w:cs="Arial" w:eastAsia="Arial" w:hAnsi="Arial"/>
                <w:sz w:val="18"/>
                <w:szCs w:val="18"/>
                <w:color w:val="auto"/>
              </w:rPr>
              <w:t>8,413</w:t>
            </w:r>
          </w:p>
        </w:tc>
      </w:tr>
      <w:tr>
        <w:trPr>
          <w:trHeight w:val="318"/>
        </w:trPr>
        <w:tc>
          <w:tcPr>
            <w:tcW w:w="73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840" w:type="dxa"/>
            <w:vAlign w:val="bottom"/>
            <w:tcBorders>
              <w:top w:val="single" w:sz="8" w:color="auto"/>
            </w:tcBorders>
          </w:tcPr>
          <w:p>
            <w:pPr>
              <w:spacing w:after="0"/>
              <w:rPr>
                <w:sz w:val="24"/>
                <w:szCs w:val="24"/>
                <w:color w:val="auto"/>
              </w:rPr>
            </w:pPr>
          </w:p>
        </w:tc>
      </w:tr>
      <w:tr>
        <w:trPr>
          <w:trHeight w:val="264"/>
        </w:trPr>
        <w:tc>
          <w:tcPr>
            <w:tcW w:w="7320" w:type="dxa"/>
            <w:vAlign w:val="bottom"/>
            <w:tcBorders>
              <w:bottom w:val="single" w:sz="8" w:color="CEFFE7"/>
            </w:tcBorders>
            <w:shd w:val="clear" w:color="auto" w:fill="CEFFE7"/>
          </w:tcPr>
          <w:p>
            <w:pPr>
              <w:ind w:left="40"/>
              <w:spacing w:after="0"/>
              <w:rPr>
                <w:sz w:val="20"/>
                <w:szCs w:val="20"/>
                <w:color w:val="auto"/>
              </w:rPr>
            </w:pPr>
            <w:r>
              <w:rPr>
                <w:rFonts w:ascii="Arial" w:cs="Arial" w:eastAsia="Arial" w:hAnsi="Arial"/>
                <w:sz w:val="18"/>
                <w:szCs w:val="18"/>
                <w:color w:val="auto"/>
              </w:rPr>
              <w:t>Net (loss) from discontinued operations</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(6,887)</w:t>
            </w:r>
          </w:p>
        </w:tc>
        <w:tc>
          <w:tcPr>
            <w:tcW w:w="220" w:type="dxa"/>
            <w:vAlign w:val="bottom"/>
            <w:tcBorders>
              <w:bottom w:val="single" w:sz="8" w:color="auto"/>
            </w:tcBorders>
            <w:shd w:val="clear" w:color="auto" w:fill="CEFFE7"/>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(17,099)</w:t>
            </w:r>
          </w:p>
        </w:tc>
      </w:tr>
      <w:tr>
        <w:trPr>
          <w:trHeight w:val="20"/>
        </w:trPr>
        <w:tc>
          <w:tcPr>
            <w:tcW w:w="7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420"/>
          </w:cols>
          <w:pgMar w:left="240" w:top="126" w:right="239" w:bottom="1440" w:gutter="0" w:footer="0" w:header="0"/>
        </w:sectPr>
      </w:pPr>
    </w:p>
    <w:bookmarkStart w:id="141" w:name="page142"/>
    <w:bookmarkEnd w:id="141"/>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46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7"/>
          <w:szCs w:val="17"/>
          <w:b w:val="1"/>
          <w:bCs w:val="1"/>
          <w:color w:val="auto"/>
        </w:rPr>
        <w:t xml:space="preserve">QUARTERLY HISTORICAL DATA </w:t>
      </w:r>
      <w:r>
        <w:rPr>
          <w:rFonts w:ascii="Arial" w:cs="Arial" w:eastAsia="Arial" w:hAnsi="Arial"/>
          <w:sz w:val="17"/>
          <w:szCs w:val="17"/>
          <w:color w:val="auto"/>
        </w:rPr>
        <w:t>(Unaudited)</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Company operates on a calendar year basis. The following tables set forth select unaudited historical operating results and market data for each quarter of 2019 and 2018.</w:t>
      </w:r>
    </w:p>
    <w:p>
      <w:pPr>
        <w:sectPr>
          <w:pgSz w:w="11900" w:h="16838" w:orient="portrait"/>
          <w:cols w:equalWidth="0" w:num="1">
            <w:col w:w="11420"/>
          </w:cols>
          <w:pgMar w:left="240" w:top="12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2019</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from continuing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from discontinued operations</w:t>
      </w:r>
    </w:p>
    <w:p>
      <w:pPr>
        <w:spacing w:after="0" w:line="63" w:lineRule="exact"/>
        <w:rPr>
          <w:sz w:val="20"/>
          <w:szCs w:val="20"/>
          <w:color w:val="auto"/>
        </w:rPr>
      </w:pPr>
    </w:p>
    <w:p>
      <w:pPr>
        <w:ind w:left="40" w:right="2080"/>
        <w:spacing w:after="0" w:line="412" w:lineRule="auto"/>
        <w:rPr>
          <w:sz w:val="20"/>
          <w:szCs w:val="20"/>
          <w:color w:val="auto"/>
        </w:rPr>
      </w:pPr>
      <w:r>
        <w:rPr>
          <w:rFonts w:ascii="Arial" w:cs="Arial" w:eastAsia="Arial" w:hAnsi="Arial"/>
          <w:sz w:val="16"/>
          <w:szCs w:val="16"/>
          <w:color w:val="auto"/>
        </w:rPr>
        <w:t>Net income attributable to noncontrolling interest Net income available for common stock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attributable to common shareholders: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from continuing operations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from discontinued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available for common stock</w:t>
      </w:r>
    </w:p>
    <w:p>
      <w:pPr>
        <w:spacing w:after="0" w:line="200" w:lineRule="exact"/>
        <w:rPr>
          <w:sz w:val="20"/>
          <w:szCs w:val="20"/>
          <w:color w:val="auto"/>
        </w:rPr>
      </w:pPr>
    </w:p>
    <w:p>
      <w:pPr>
        <w:spacing w:after="0" w:line="214" w:lineRule="exact"/>
        <w:rPr>
          <w:sz w:val="20"/>
          <w:szCs w:val="20"/>
          <w:color w:val="auto"/>
        </w:rPr>
      </w:pPr>
    </w:p>
    <w:p>
      <w:pPr>
        <w:ind w:left="40" w:right="1920"/>
        <w:spacing w:after="0" w:line="369" w:lineRule="auto"/>
        <w:rPr>
          <w:sz w:val="20"/>
          <w:szCs w:val="20"/>
          <w:color w:val="auto"/>
        </w:rPr>
      </w:pPr>
      <w:r>
        <w:rPr>
          <w:rFonts w:ascii="Arial" w:cs="Arial" w:eastAsia="Arial" w:hAnsi="Arial"/>
          <w:sz w:val="16"/>
          <w:szCs w:val="16"/>
          <w:color w:val="auto"/>
        </w:rPr>
        <w:t>Income per share for continuing operations - Basic (Loss) per share for discontinued operations - Basic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 Basic</w:t>
      </w:r>
    </w:p>
    <w:p>
      <w:pPr>
        <w:spacing w:after="0" w:line="200" w:lineRule="exact"/>
        <w:rPr>
          <w:sz w:val="20"/>
          <w:szCs w:val="20"/>
          <w:color w:val="auto"/>
        </w:rPr>
      </w:pPr>
    </w:p>
    <w:p>
      <w:pPr>
        <w:spacing w:after="0" w:line="214" w:lineRule="exact"/>
        <w:rPr>
          <w:sz w:val="20"/>
          <w:szCs w:val="20"/>
          <w:color w:val="auto"/>
        </w:rPr>
      </w:pPr>
    </w:p>
    <w:p>
      <w:pPr>
        <w:ind w:left="40" w:right="1780"/>
        <w:spacing w:after="0" w:line="369" w:lineRule="auto"/>
        <w:rPr>
          <w:sz w:val="20"/>
          <w:szCs w:val="20"/>
          <w:color w:val="auto"/>
        </w:rPr>
      </w:pPr>
      <w:r>
        <w:rPr>
          <w:rFonts w:ascii="Arial" w:cs="Arial" w:eastAsia="Arial" w:hAnsi="Arial"/>
          <w:sz w:val="16"/>
          <w:szCs w:val="16"/>
          <w:color w:val="auto"/>
        </w:rPr>
        <w:t>Income per share for continuing operations - Diluted (Loss) per share for discontinued operations - Diluted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br w:type="column"/>
      </w:r>
    </w:p>
    <w:p>
      <w:pPr>
        <w:spacing w:after="0" w:line="96" w:lineRule="exact"/>
        <w:rPr>
          <w:sz w:val="20"/>
          <w:szCs w:val="20"/>
          <w:color w:val="auto"/>
        </w:rPr>
      </w:pPr>
    </w:p>
    <w:p>
      <w:pPr>
        <w:ind w:left="2940"/>
        <w:spacing w:after="0"/>
        <w:rPr>
          <w:sz w:val="20"/>
          <w:szCs w:val="20"/>
          <w:color w:val="auto"/>
        </w:rPr>
      </w:pPr>
      <w:r>
        <w:rPr>
          <w:rFonts w:ascii="Arial" w:cs="Arial" w:eastAsia="Arial" w:hAnsi="Arial"/>
          <w:sz w:val="18"/>
          <w:szCs w:val="18"/>
          <w:color w:val="auto"/>
        </w:rPr>
        <w:t>Third</w:t>
      </w:r>
    </w:p>
    <w:p>
      <w:pPr>
        <w:spacing w:after="0" w:line="23" w:lineRule="exact"/>
        <w:rPr>
          <w:sz w:val="20"/>
          <w:szCs w:val="20"/>
          <w:color w:val="auto"/>
        </w:rPr>
      </w:pPr>
    </w:p>
    <w:p>
      <w:pPr>
        <w:ind w:left="160"/>
        <w:spacing w:after="0"/>
        <w:tabs>
          <w:tab w:leader="none" w:pos="1300" w:val="left"/>
          <w:tab w:leader="none" w:pos="2840" w:val="left"/>
          <w:tab w:leader="none" w:pos="3840" w:val="left"/>
        </w:tabs>
        <w:rPr>
          <w:sz w:val="20"/>
          <w:szCs w:val="20"/>
          <w:color w:val="auto"/>
        </w:rPr>
      </w:pPr>
      <w:r>
        <w:rPr>
          <w:rFonts w:ascii="Arial" w:cs="Arial" w:eastAsia="Arial" w:hAnsi="Arial"/>
          <w:sz w:val="18"/>
          <w:szCs w:val="18"/>
          <w:color w:val="auto"/>
        </w:rPr>
        <w:t>First Quarter</w:t>
        <w:tab/>
        <w:t>Second Quarter</w:t>
      </w:r>
      <w:r>
        <w:rPr>
          <w:sz w:val="20"/>
          <w:szCs w:val="20"/>
          <w:color w:val="auto"/>
        </w:rPr>
        <w:tab/>
      </w:r>
      <w:r>
        <w:rPr>
          <w:rFonts w:ascii="Arial" w:cs="Arial" w:eastAsia="Arial" w:hAnsi="Arial"/>
          <w:sz w:val="18"/>
          <w:szCs w:val="18"/>
          <w:color w:val="auto"/>
        </w:rPr>
        <w:t>Quarter</w:t>
      </w:r>
      <w:r>
        <w:rPr>
          <w:sz w:val="20"/>
          <w:szCs w:val="20"/>
          <w:color w:val="auto"/>
        </w:rPr>
        <w:tab/>
      </w:r>
      <w:r>
        <w:rPr>
          <w:rFonts w:ascii="Arial" w:cs="Arial" w:eastAsia="Arial" w:hAnsi="Arial"/>
          <w:sz w:val="16"/>
          <w:szCs w:val="16"/>
          <w:color w:val="auto"/>
        </w:rPr>
        <w:t>Fourth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22860</wp:posOffset>
            </wp:positionV>
            <wp:extent cx="31902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190240" cy="8890"/>
                    </a:xfrm>
                    <a:prstGeom prst="rect">
                      <a:avLst/>
                    </a:prstGeom>
                    <a:noFill/>
                  </pic:spPr>
                </pic:pic>
              </a:graphicData>
            </a:graphic>
          </wp:anchor>
        </w:drawing>
      </w:r>
    </w:p>
    <w:p>
      <w:pPr>
        <w:spacing w:after="0" w:line="4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(in thousands, except per share amounts, dividends and common</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stock prices)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194310</wp:posOffset>
            </wp:positionV>
            <wp:extent cx="7246620" cy="1714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597,810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333,888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325,548</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477,654</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160,131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54,001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70,551</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121,359</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107,362</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17,693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15,395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72,872</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150"/>
              <w:spacing w:after="0"/>
              <w:rPr>
                <w:sz w:val="20"/>
                <w:szCs w:val="20"/>
                <w:color w:val="auto"/>
              </w:rPr>
            </w:pPr>
            <w:r>
              <w:rPr>
                <w:rFonts w:ascii="Arial" w:cs="Arial" w:eastAsia="Arial" w:hAnsi="Arial"/>
                <w:sz w:val="18"/>
                <w:szCs w:val="18"/>
                <w:color w:val="auto"/>
              </w:rPr>
              <w:t>—  $</w:t>
            </w:r>
          </w:p>
        </w:tc>
        <w:tc>
          <w:tcPr>
            <w:tcW w:w="124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1260" w:type="dxa"/>
            <w:vAlign w:val="bottom"/>
            <w:gridSpan w:val="2"/>
          </w:tcPr>
          <w:p>
            <w:pPr>
              <w:jc w:val="right"/>
              <w:ind w:right="130"/>
              <w:spacing w:after="0"/>
              <w:rPr>
                <w:sz w:val="20"/>
                <w:szCs w:val="20"/>
                <w:color w:val="auto"/>
              </w:rPr>
            </w:pPr>
            <w:r>
              <w:rPr>
                <w:rFonts w:ascii="Arial" w:cs="Arial" w:eastAsia="Arial" w:hAnsi="Arial"/>
                <w:sz w:val="18"/>
                <w:szCs w:val="18"/>
                <w:color w:val="auto"/>
              </w:rPr>
              <w:t>—  $</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(3,554)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(3,110)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(3,655)</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(3,693)</w:t>
            </w:r>
          </w:p>
        </w:tc>
      </w:tr>
      <w:tr>
        <w:trPr>
          <w:trHeight w:val="270"/>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103,808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14,583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11,740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69,179</w:t>
            </w:r>
          </w:p>
        </w:tc>
      </w:tr>
      <w:tr>
        <w:trPr>
          <w:trHeight w:val="864"/>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103,808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14,583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11,740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69,179</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103,808</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14,583</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11,740</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69,179</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548"/>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0"/>
        </w:trPr>
        <w:tc>
          <w:tcPr>
            <w:tcW w:w="3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0.24</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0.19</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3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-3121025</wp:posOffset>
            </wp:positionV>
            <wp:extent cx="7246620" cy="1714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-2778125</wp:posOffset>
            </wp:positionV>
            <wp:extent cx="7246620" cy="17145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-2434590</wp:posOffset>
            </wp:positionV>
            <wp:extent cx="7246620" cy="2057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-2057400</wp:posOffset>
            </wp:positionV>
            <wp:extent cx="7246620"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-1714500</wp:posOffset>
            </wp:positionV>
            <wp:extent cx="7246620" cy="18859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-1303020</wp:posOffset>
            </wp:positionV>
            <wp:extent cx="7246620" cy="17145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-960120</wp:posOffset>
            </wp:positionV>
            <wp:extent cx="7246620" cy="1885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-548005</wp:posOffset>
            </wp:positionV>
            <wp:extent cx="7246620" cy="1714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-205105</wp:posOffset>
            </wp:positionV>
            <wp:extent cx="7246620" cy="18859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126" w:right="239" w:bottom="1440" w:gutter="0" w:footer="0" w:header="0"/>
          <w:type w:val="continuous"/>
        </w:sectPr>
      </w:pPr>
    </w:p>
    <w:p>
      <w:pPr>
        <w:spacing w:after="0" w:line="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Included within the Income (loss) from continuing operations in the third quarter of 2019 is $15 million non-cash after-tax impairment of our investment in equity securities of a privately held oil and gas company.</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420"/>
          </w:cols>
          <w:pgMar w:left="240" w:top="126" w:right="239" w:bottom="1440" w:gutter="0" w:footer="0" w:header="0"/>
          <w:type w:val="continuous"/>
        </w:sectPr>
      </w:pPr>
    </w:p>
    <w:bookmarkStart w:id="142" w:name="page143"/>
    <w:bookmarkEnd w:id="142"/>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2018</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Revenue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Operating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from continuing operations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(Loss) from discontinued operations</w:t>
      </w:r>
    </w:p>
    <w:p>
      <w:pPr>
        <w:spacing w:after="0" w:line="63" w:lineRule="exact"/>
        <w:rPr>
          <w:sz w:val="20"/>
          <w:szCs w:val="20"/>
          <w:color w:val="auto"/>
        </w:rPr>
      </w:pPr>
    </w:p>
    <w:p>
      <w:pPr>
        <w:ind w:left="40" w:right="2080"/>
        <w:spacing w:after="0" w:line="412" w:lineRule="auto"/>
        <w:rPr>
          <w:sz w:val="20"/>
          <w:szCs w:val="20"/>
          <w:color w:val="auto"/>
        </w:rPr>
      </w:pPr>
      <w:r>
        <w:rPr>
          <w:rFonts w:ascii="Arial" w:cs="Arial" w:eastAsia="Arial" w:hAnsi="Arial"/>
          <w:sz w:val="16"/>
          <w:szCs w:val="16"/>
          <w:color w:val="auto"/>
        </w:rPr>
        <w:t>Net income attributable to noncontrolling interest Net income available for common stock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color w:val="auto"/>
        </w:rPr>
        <w:t>Amounts attributable to common shareholders: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income from continuing operations</w:t>
      </w:r>
    </w:p>
    <w:p>
      <w:pPr>
        <w:spacing w:after="0" w:line="6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Net (loss) from discontinued operations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 available for common stock</w:t>
      </w:r>
    </w:p>
    <w:p>
      <w:pPr>
        <w:spacing w:after="0" w:line="200" w:lineRule="exact"/>
        <w:rPr>
          <w:sz w:val="20"/>
          <w:szCs w:val="20"/>
          <w:color w:val="auto"/>
        </w:rPr>
      </w:pPr>
    </w:p>
    <w:p>
      <w:pPr>
        <w:spacing w:after="0" w:line="214" w:lineRule="exact"/>
        <w:rPr>
          <w:sz w:val="20"/>
          <w:szCs w:val="20"/>
          <w:color w:val="auto"/>
        </w:rPr>
      </w:pPr>
    </w:p>
    <w:p>
      <w:pPr>
        <w:ind w:left="40" w:right="1920"/>
        <w:spacing w:after="0" w:line="369" w:lineRule="auto"/>
        <w:rPr>
          <w:sz w:val="20"/>
          <w:szCs w:val="20"/>
          <w:color w:val="auto"/>
        </w:rPr>
      </w:pPr>
      <w:r>
        <w:rPr>
          <w:rFonts w:ascii="Arial" w:cs="Arial" w:eastAsia="Arial" w:hAnsi="Arial"/>
          <w:sz w:val="16"/>
          <w:szCs w:val="16"/>
          <w:color w:val="auto"/>
        </w:rPr>
        <w:t>Income per share for continuing operations - Basic (Loss) per share for discontinued operations - Basic</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 Basic</w:t>
      </w:r>
    </w:p>
    <w:p>
      <w:pPr>
        <w:spacing w:after="0" w:line="200" w:lineRule="exact"/>
        <w:rPr>
          <w:sz w:val="20"/>
          <w:szCs w:val="20"/>
          <w:color w:val="auto"/>
        </w:rPr>
      </w:pPr>
    </w:p>
    <w:p>
      <w:pPr>
        <w:spacing w:after="0" w:line="214" w:lineRule="exact"/>
        <w:rPr>
          <w:sz w:val="20"/>
          <w:szCs w:val="20"/>
          <w:color w:val="auto"/>
        </w:rPr>
      </w:pPr>
    </w:p>
    <w:p>
      <w:pPr>
        <w:ind w:left="40" w:right="1780"/>
        <w:spacing w:after="0" w:line="369" w:lineRule="auto"/>
        <w:rPr>
          <w:sz w:val="20"/>
          <w:szCs w:val="20"/>
          <w:color w:val="auto"/>
        </w:rPr>
      </w:pPr>
      <w:r>
        <w:rPr>
          <w:rFonts w:ascii="Arial" w:cs="Arial" w:eastAsia="Arial" w:hAnsi="Arial"/>
          <w:sz w:val="16"/>
          <w:szCs w:val="16"/>
          <w:color w:val="auto"/>
        </w:rPr>
        <w:t>Income per share for continuing operations - Diluted (Loss) per share for discontinued operations - Diluted</w:t>
      </w:r>
    </w:p>
    <w:p>
      <w:pPr>
        <w:spacing w:after="0" w:line="1" w:lineRule="exact"/>
        <w:rPr>
          <w:sz w:val="20"/>
          <w:szCs w:val="20"/>
          <w:color w:val="auto"/>
        </w:rPr>
      </w:pPr>
    </w:p>
    <w:p>
      <w:pPr>
        <w:ind w:left="40"/>
        <w:spacing w:after="0"/>
        <w:rPr>
          <w:sz w:val="20"/>
          <w:szCs w:val="20"/>
          <w:color w:val="auto"/>
        </w:rPr>
      </w:pPr>
      <w:r>
        <w:rPr>
          <w:rFonts w:ascii="Arial" w:cs="Arial" w:eastAsia="Arial" w:hAnsi="Arial"/>
          <w:sz w:val="18"/>
          <w:szCs w:val="18"/>
          <w:color w:val="auto"/>
        </w:rPr>
        <w:t>Earnings per share - 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color w:val="auto"/>
              </w:rPr>
              <w:t>Third</w:t>
            </w:r>
          </w:p>
        </w:tc>
        <w:tc>
          <w:tcPr>
            <w:tcW w:w="240" w:type="dxa"/>
            <w:vAlign w:val="bottom"/>
          </w:tcPr>
          <w:p>
            <w:pPr>
              <w:spacing w:after="0"/>
              <w:rPr>
                <w:sz w:val="18"/>
                <w:szCs w:val="18"/>
                <w:color w:val="auto"/>
              </w:rPr>
            </w:pPr>
          </w:p>
        </w:tc>
        <w:tc>
          <w:tcPr>
            <w:tcW w:w="1020" w:type="dxa"/>
            <w:vAlign w:val="bottom"/>
          </w:tcPr>
          <w:p>
            <w:pPr>
              <w:jc w:val="right"/>
              <w:ind w:right="290"/>
              <w:spacing w:after="0"/>
              <w:rPr>
                <w:sz w:val="20"/>
                <w:szCs w:val="20"/>
                <w:color w:val="auto"/>
              </w:rPr>
            </w:pPr>
            <w:r>
              <w:rPr>
                <w:rFonts w:ascii="Arial" w:cs="Arial" w:eastAsia="Arial" w:hAnsi="Arial"/>
                <w:sz w:val="18"/>
                <w:szCs w:val="18"/>
                <w:color w:val="auto"/>
              </w:rPr>
              <w:t>Fourth</w:t>
            </w:r>
          </w:p>
        </w:tc>
      </w:tr>
      <w:tr>
        <w:trPr>
          <w:trHeight w:val="230"/>
        </w:trPr>
        <w:tc>
          <w:tcPr>
            <w:tcW w:w="140" w:type="dxa"/>
            <w:vAlign w:val="bottom"/>
          </w:tcPr>
          <w:p>
            <w:pPr>
              <w:spacing w:after="0"/>
              <w:rPr>
                <w:sz w:val="20"/>
                <w:szCs w:val="20"/>
                <w:color w:val="auto"/>
              </w:rPr>
            </w:pPr>
          </w:p>
        </w:tc>
        <w:tc>
          <w:tcPr>
            <w:tcW w:w="1100" w:type="dxa"/>
            <w:vAlign w:val="bottom"/>
          </w:tcPr>
          <w:p>
            <w:pPr>
              <w:jc w:val="right"/>
              <w:ind w:right="70"/>
              <w:spacing w:after="0"/>
              <w:rPr>
                <w:sz w:val="20"/>
                <w:szCs w:val="20"/>
                <w:color w:val="auto"/>
              </w:rPr>
            </w:pPr>
            <w:r>
              <w:rPr>
                <w:rFonts w:ascii="Arial" w:cs="Arial" w:eastAsia="Arial" w:hAnsi="Arial"/>
                <w:sz w:val="18"/>
                <w:szCs w:val="18"/>
                <w:color w:val="auto"/>
                <w:w w:val="91"/>
              </w:rPr>
              <w:t>First Quarter</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w w:val="92"/>
              </w:rPr>
              <w:t>Second Quarter</w:t>
            </w:r>
          </w:p>
        </w:tc>
        <w:tc>
          <w:tcPr>
            <w:tcW w:w="240" w:type="dxa"/>
            <w:vAlign w:val="bottom"/>
          </w:tcPr>
          <w:p>
            <w:pPr>
              <w:spacing w:after="0"/>
              <w:rPr>
                <w:sz w:val="20"/>
                <w:szCs w:val="20"/>
                <w:color w:val="auto"/>
              </w:rPr>
            </w:pPr>
          </w:p>
        </w:tc>
        <w:tc>
          <w:tcPr>
            <w:tcW w:w="1020" w:type="dxa"/>
            <w:vAlign w:val="bottom"/>
          </w:tcPr>
          <w:p>
            <w:pPr>
              <w:jc w:val="right"/>
              <w:ind w:right="250"/>
              <w:spacing w:after="0"/>
              <w:rPr>
                <w:sz w:val="20"/>
                <w:szCs w:val="20"/>
                <w:color w:val="auto"/>
              </w:rPr>
            </w:pPr>
            <w:r>
              <w:rPr>
                <w:rFonts w:ascii="Arial" w:cs="Arial" w:eastAsia="Arial" w:hAnsi="Arial"/>
                <w:sz w:val="18"/>
                <w:szCs w:val="18"/>
                <w:color w:val="auto"/>
              </w:rPr>
              <w:t>Quarter</w:t>
            </w:r>
          </w:p>
        </w:tc>
        <w:tc>
          <w:tcPr>
            <w:tcW w:w="240" w:type="dxa"/>
            <w:vAlign w:val="bottom"/>
          </w:tcPr>
          <w:p>
            <w:pPr>
              <w:spacing w:after="0"/>
              <w:rPr>
                <w:sz w:val="20"/>
                <w:szCs w:val="20"/>
                <w:color w:val="auto"/>
              </w:rPr>
            </w:pPr>
          </w:p>
        </w:tc>
        <w:tc>
          <w:tcPr>
            <w:tcW w:w="1020" w:type="dxa"/>
            <w:vAlign w:val="bottom"/>
          </w:tcPr>
          <w:p>
            <w:pPr>
              <w:jc w:val="right"/>
              <w:ind w:right="270"/>
              <w:spacing w:after="0"/>
              <w:rPr>
                <w:sz w:val="20"/>
                <w:szCs w:val="20"/>
                <w:color w:val="auto"/>
              </w:rPr>
            </w:pPr>
            <w:r>
              <w:rPr>
                <w:rFonts w:ascii="Arial" w:cs="Arial" w:eastAsia="Arial" w:hAnsi="Arial"/>
                <w:sz w:val="18"/>
                <w:szCs w:val="18"/>
                <w:color w:val="auto"/>
              </w:rPr>
              <w:t>Quarter</w:t>
            </w:r>
          </w:p>
        </w:tc>
      </w:tr>
      <w:tr>
        <w:trPr>
          <w:trHeight w:val="27"/>
        </w:trPr>
        <w:tc>
          <w:tcPr>
            <w:tcW w:w="140" w:type="dxa"/>
            <w:vAlign w:val="bottom"/>
            <w:tcBorders>
              <w:bottom w:val="single" w:sz="8" w:color="auto"/>
            </w:tcBorders>
          </w:tcPr>
          <w:p>
            <w:pPr>
              <w:spacing w:after="0"/>
              <w:rPr>
                <w:sz w:val="2"/>
                <w:szCs w:val="2"/>
                <w:color w:val="auto"/>
              </w:rPr>
            </w:pPr>
          </w:p>
        </w:tc>
        <w:tc>
          <w:tcPr>
            <w:tcW w:w="4880" w:type="dxa"/>
            <w:vAlign w:val="bottom"/>
            <w:tcBorders>
              <w:bottom w:val="single" w:sz="8" w:color="auto"/>
            </w:tcBorders>
            <w:gridSpan w:val="7"/>
          </w:tcPr>
          <w:p>
            <w:pPr>
              <w:spacing w:after="0"/>
              <w:rPr>
                <w:sz w:val="2"/>
                <w:szCs w:val="2"/>
                <w:color w:val="auto"/>
              </w:rPr>
            </w:pPr>
          </w:p>
        </w:tc>
      </w:tr>
      <w:tr>
        <w:trPr>
          <w:trHeight w:val="222"/>
        </w:trPr>
        <w:tc>
          <w:tcPr>
            <w:tcW w:w="140" w:type="dxa"/>
            <w:vAlign w:val="bottom"/>
          </w:tcPr>
          <w:p>
            <w:pPr>
              <w:spacing w:after="0"/>
              <w:rPr>
                <w:sz w:val="19"/>
                <w:szCs w:val="19"/>
                <w:color w:val="auto"/>
              </w:rPr>
            </w:pPr>
          </w:p>
        </w:tc>
        <w:tc>
          <w:tcPr>
            <w:tcW w:w="4880" w:type="dxa"/>
            <w:vAlign w:val="bottom"/>
            <w:gridSpan w:val="7"/>
          </w:tcPr>
          <w:p>
            <w:pPr>
              <w:jc w:val="right"/>
              <w:ind w:right="90"/>
              <w:spacing w:after="0"/>
              <w:rPr>
                <w:sz w:val="20"/>
                <w:szCs w:val="20"/>
                <w:color w:val="auto"/>
              </w:rPr>
            </w:pPr>
            <w:r>
              <w:rPr>
                <w:rFonts w:ascii="Arial" w:cs="Arial" w:eastAsia="Arial" w:hAnsi="Arial"/>
                <w:sz w:val="18"/>
                <w:szCs w:val="18"/>
                <w:color w:val="auto"/>
                <w:w w:val="89"/>
              </w:rPr>
              <w:t>(in thousands, except per share amounts, dividends and common</w:t>
            </w:r>
          </w:p>
        </w:tc>
      </w:tr>
      <w:tr>
        <w:trPr>
          <w:trHeight w:val="230"/>
        </w:trPr>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60" w:type="dxa"/>
            <w:vAlign w:val="bottom"/>
            <w:gridSpan w:val="3"/>
          </w:tcPr>
          <w:p>
            <w:pPr>
              <w:jc w:val="right"/>
              <w:ind w:right="690"/>
              <w:spacing w:after="0"/>
              <w:rPr>
                <w:sz w:val="20"/>
                <w:szCs w:val="20"/>
                <w:color w:val="auto"/>
              </w:rPr>
            </w:pPr>
            <w:r>
              <w:rPr>
                <w:rFonts w:ascii="Arial" w:cs="Arial" w:eastAsia="Arial" w:hAnsi="Arial"/>
                <w:sz w:val="18"/>
                <w:szCs w:val="18"/>
                <w:color w:val="auto"/>
              </w:rPr>
              <w:t>stock prices)</w:t>
            </w:r>
          </w:p>
        </w:tc>
        <w:tc>
          <w:tcPr>
            <w:tcW w:w="2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54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575,389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355,704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321,979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501,196</w:t>
            </w: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148,274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69,551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65,085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114,127</w:t>
            </w: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138,977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27,167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21,801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91,604</w:t>
            </w: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(3,630)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(2,823)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(3,994)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(3,773)</w:t>
            </w:r>
          </w:p>
        </w:tc>
      </w:tr>
      <w:tr>
        <w:trPr>
          <w:trHeight w:val="270"/>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133,004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86,571</w:t>
            </w:r>
          </w:p>
        </w:tc>
      </w:tr>
      <w:tr>
        <w:trPr>
          <w:trHeight w:val="864"/>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135,347</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24,344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17,807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87,831</w:t>
            </w:r>
          </w:p>
        </w:tc>
      </w:tr>
      <w:tr>
        <w:trPr>
          <w:trHeight w:val="270"/>
        </w:trPr>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(2,343)</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(2,427)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(857)</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(1,260)</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133,004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21,917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16,950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86,571</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2.54</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0.46</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0.33</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1.52</w:t>
            </w:r>
          </w:p>
        </w:tc>
      </w:tr>
      <w:tr>
        <w:trPr>
          <w:trHeight w:val="270"/>
        </w:trPr>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(0.05)</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2.49</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1.50</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548"/>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2.50</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0.32</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1.51</w:t>
            </w:r>
          </w:p>
        </w:tc>
      </w:tr>
      <w:tr>
        <w:trPr>
          <w:trHeight w:val="270"/>
        </w:trPr>
        <w:tc>
          <w:tcPr>
            <w:tcW w:w="140" w:type="dxa"/>
            <w:vAlign w:val="bottom"/>
          </w:tcPr>
          <w:p>
            <w:pPr>
              <w:spacing w:after="0"/>
              <w:rPr>
                <w:sz w:val="23"/>
                <w:szCs w:val="23"/>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(0.04)</w:t>
            </w:r>
          </w:p>
        </w:tc>
        <w:tc>
          <w:tcPr>
            <w:tcW w:w="360" w:type="dxa"/>
            <w:vAlign w:val="bottom"/>
          </w:tcPr>
          <w:p>
            <w:pPr>
              <w:spacing w:after="0"/>
              <w:rPr>
                <w:sz w:val="23"/>
                <w:szCs w:val="23"/>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(0.05)</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24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2.46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0.40</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0.31</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1.49</w:t>
            </w:r>
          </w:p>
        </w:tc>
      </w:tr>
      <w:tr>
        <w:trPr>
          <w:trHeight w:val="27"/>
        </w:trPr>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-4058285</wp:posOffset>
            </wp:positionH>
            <wp:positionV relativeFrom="paragraph">
              <wp:posOffset>-3463925</wp:posOffset>
            </wp:positionV>
            <wp:extent cx="7246620" cy="1714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-3121025</wp:posOffset>
            </wp:positionV>
            <wp:extent cx="7246620" cy="1714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-2778125</wp:posOffset>
            </wp:positionV>
            <wp:extent cx="7246620" cy="1714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-2434590</wp:posOffset>
            </wp:positionV>
            <wp:extent cx="7246620" cy="2057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20574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-2057400</wp:posOffset>
            </wp:positionV>
            <wp:extent cx="7246620" cy="1714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-1714500</wp:posOffset>
            </wp:positionV>
            <wp:extent cx="7246620" cy="1885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-1303020</wp:posOffset>
            </wp:positionV>
            <wp:extent cx="7246620"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-960120</wp:posOffset>
            </wp:positionV>
            <wp:extent cx="7246620" cy="1885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-548005</wp:posOffset>
            </wp:positionV>
            <wp:extent cx="72466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-4058285</wp:posOffset>
            </wp:positionH>
            <wp:positionV relativeFrom="paragraph">
              <wp:posOffset>-205105</wp:posOffset>
            </wp:positionV>
            <wp:extent cx="7246620" cy="1885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80" w:space="720"/>
            <w:col w:w="5020"/>
          </w:cols>
          <w:pgMar w:left="240" w:top="126" w:right="239" w:bottom="1440" w:gutter="0" w:footer="0" w:header="0"/>
        </w:sectPr>
      </w:pPr>
    </w:p>
    <w:p>
      <w:pPr>
        <w:spacing w:after="0" w:line="191" w:lineRule="exact"/>
        <w:rPr>
          <w:sz w:val="20"/>
          <w:szCs w:val="20"/>
          <w:color w:val="auto"/>
        </w:rPr>
      </w:pPr>
    </w:p>
    <w:p>
      <w:pPr>
        <w:ind w:right="720"/>
        <w:spacing w:after="0" w:line="277" w:lineRule="auto"/>
        <w:rPr>
          <w:sz w:val="20"/>
          <w:szCs w:val="20"/>
          <w:color w:val="auto"/>
        </w:rPr>
      </w:pPr>
      <w:r>
        <w:rPr>
          <w:rFonts w:ascii="Arial" w:cs="Arial" w:eastAsia="Arial" w:hAnsi="Arial"/>
          <w:sz w:val="18"/>
          <w:szCs w:val="18"/>
          <w:color w:val="auto"/>
        </w:rPr>
        <w:t>Included within the Income (loss) from continuing operations in the first and fourth quarters of 2018 are tax benefits of $49 million and $23 million, respectively, related to goodwill that is amortizable for tax purposes which resulted from legal entity restructuring.</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420"/>
          </w:cols>
          <w:pgMar w:left="240" w:top="126" w:right="239" w:bottom="1440" w:gutter="0" w:footer="0" w:header="0"/>
          <w:type w:val="continuous"/>
        </w:sectPr>
      </w:pPr>
    </w:p>
    <w:bookmarkStart w:id="143" w:name="page144"/>
    <w:bookmarkEnd w:id="143"/>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8"/>
          <w:szCs w:val="18"/>
          <w:b w:val="1"/>
          <w:bCs w:val="1"/>
          <w:color w:val="auto"/>
        </w:rPr>
        <w:t>CHANGES IN AND DISAGREEMENTS WITH ACCOUNTANTS ON ACCOUNTING AND FINANCIAL DISCLOSURE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Our Chief Executive Officer and Chief Financial Officer evaluated the effectiveness of our disclosure controls and procedures (as defined in Rules 13a-15(e) and 15d-15(e) of the Securities Exchange Act of 1934 (Exchange Act)) as of December 31, 2019. Based on their evaluation, they have concluded that our disclosure controls and procedures are effective.</w:t>
      </w:r>
    </w:p>
    <w:p>
      <w:pPr>
        <w:spacing w:after="0" w:line="18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Our disclosure controls and procedures are designed to ensure that information required to be disclosed by us in the reports that we file or submit under the Security Exchange Act of 1934, as amended, is recorded, processed, summarized and reported, within the time periods specified in the Commission’s rules and forms, and that such information is accumulated and communicated to our management, including our Chief Executive Officer and Chief Financial Officer, as appropriate to allow timely decisions regarding required disclosure.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During the quarter ended December 31, 2019, there were no changes in the Company’s internal control over financial reporting (as defined in Rule 13a-15(f) under the Securities Exchange Act of 1934) that have materially affected, or are reasonably likely to materially affect, the Company’s internal control over financial reporting.</w:t>
      </w:r>
    </w:p>
    <w:p>
      <w:pPr>
        <w:spacing w:after="0" w:line="343" w:lineRule="exact"/>
        <w:rPr>
          <w:sz w:val="20"/>
          <w:szCs w:val="20"/>
          <w:color w:val="auto"/>
        </w:rPr>
      </w:pPr>
    </w:p>
    <w:p>
      <w:pPr>
        <w:ind w:left="40"/>
        <w:spacing w:after="0"/>
        <w:rPr>
          <w:rFonts w:ascii="Arial" w:cs="Arial" w:eastAsia="Arial" w:hAnsi="Arial"/>
          <w:sz w:val="18"/>
          <w:szCs w:val="18"/>
          <w:color w:val="auto"/>
        </w:rPr>
      </w:pPr>
      <w:r>
        <w:rPr>
          <w:rFonts w:ascii="Arial" w:cs="Arial" w:eastAsia="Arial" w:hAnsi="Arial"/>
          <w:sz w:val="18"/>
          <w:szCs w:val="18"/>
          <w:color w:val="auto"/>
        </w:rPr>
        <w:t xml:space="preserve">Management’s Report on Internal Control over Financial Reporting is presented on Page </w:t>
      </w:r>
      <w:hyperlink w:anchor="page73">
        <w:r>
          <w:rPr>
            <w:rFonts w:ascii="Arial" w:cs="Arial" w:eastAsia="Arial" w:hAnsi="Arial"/>
            <w:sz w:val="18"/>
            <w:szCs w:val="18"/>
            <w:u w:val="single" w:color="auto"/>
            <w:color w:val="0000EE"/>
          </w:rPr>
          <w:t>73</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24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300"/>
          </w:cols>
          <w:pgMar w:left="240" w:top="126" w:right="359" w:bottom="1440" w:gutter="0" w:footer="0" w:header="0"/>
        </w:sectPr>
      </w:pPr>
    </w:p>
    <w:bookmarkStart w:id="144" w:name="page145"/>
    <w:bookmarkEnd w:id="144"/>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III</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8"/>
          <w:szCs w:val="18"/>
          <w:b w:val="1"/>
          <w:bCs w:val="1"/>
          <w:color w:val="auto"/>
        </w:rPr>
        <w:t>DIRECTORS, EXECUTIVE OFFICERS AND CORPORATE GOVERNANCE</w:t>
      </w:r>
    </w:p>
    <w:p>
      <w:pPr>
        <w:spacing w:after="0" w:line="229" w:lineRule="exact"/>
        <w:rPr>
          <w:sz w:val="20"/>
          <w:szCs w:val="20"/>
          <w:color w:val="auto"/>
        </w:rPr>
      </w:pPr>
    </w:p>
    <w:p>
      <w:pPr>
        <w:ind w:right="38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Information required under this item with respect to directors and information required by Items 401, 405, 406, 407(c)(3), 407(d)(4) and 407(d)(5) of Regulation S-K, is set forth in the Proxy Statement for our 2020 Annual Meeting of Shareholders, which is incorporated herein by reference. Information about our Executive Officers is reported in </w:t>
      </w:r>
      <w:hyperlink w:anchor="page38">
        <w:r>
          <w:rPr>
            <w:rFonts w:ascii="Arial" w:cs="Arial" w:eastAsia="Arial" w:hAnsi="Arial"/>
            <w:sz w:val="18"/>
            <w:szCs w:val="18"/>
            <w:u w:val="single" w:color="auto"/>
            <w:color w:val="0000EE"/>
          </w:rPr>
          <w:t>Part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this Annual Report on Form 10-K.</w:t>
      </w:r>
    </w:p>
    <w:p>
      <w:pPr>
        <w:spacing w:after="0" w:line="177"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Information required under this item is set forth in the Proxy Statement for our 2020 Annual Meeting of Shareholders, which is incorporated herein by reference.</w:t>
      </w:r>
    </w:p>
    <w:p>
      <w:pPr>
        <w:spacing w:after="0" w:line="166" w:lineRule="exact"/>
        <w:rPr>
          <w:sz w:val="20"/>
          <w:szCs w:val="20"/>
          <w:color w:val="auto"/>
        </w:rPr>
      </w:pPr>
    </w:p>
    <w:p>
      <w:pPr>
        <w:ind w:left="1300" w:right="240" w:hanging="1296"/>
        <w:spacing w:after="0" w:line="282" w:lineRule="auto"/>
        <w:tabs>
          <w:tab w:leader="none" w:pos="12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16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Information regarding the security ownership of certain beneficial owners and management is set forth in the Proxy Statement for our 2020 Annual Meeting of Shareholders, which is incorporated herein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COMPENSATION PLAN INFORMATION</w:t>
      </w:r>
    </w:p>
    <w:p>
      <w:pPr>
        <w:spacing w:after="0" w:line="22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following table includes information as of December 31, 2019 with respect to our equity compensation plans. These plans include the 2005 Omnibus Incentive Plan and 2015 Omnibus Incentive Plan.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540" w:type="dxa"/>
            <w:vAlign w:val="bottom"/>
          </w:tcPr>
          <w:p>
            <w:pPr>
              <w:spacing w:after="0"/>
              <w:rPr>
                <w:sz w:val="20"/>
                <w:szCs w:val="20"/>
                <w:color w:val="auto"/>
              </w:rPr>
            </w:pPr>
          </w:p>
        </w:tc>
        <w:tc>
          <w:tcPr>
            <w:tcW w:w="3680" w:type="dxa"/>
            <w:vAlign w:val="bottom"/>
            <w:gridSpan w:val="3"/>
          </w:tcPr>
          <w:p>
            <w:pPr>
              <w:jc w:val="right"/>
              <w:spacing w:after="0"/>
              <w:rPr>
                <w:sz w:val="20"/>
                <w:szCs w:val="20"/>
                <w:color w:val="auto"/>
              </w:rPr>
            </w:pPr>
            <w:r>
              <w:rPr>
                <w:rFonts w:ascii="Arial" w:cs="Arial" w:eastAsia="Arial" w:hAnsi="Arial"/>
                <w:sz w:val="18"/>
                <w:szCs w:val="18"/>
                <w:color w:val="auto"/>
              </w:rPr>
              <w:t>Equity Compensation Plan Information</w:t>
            </w:r>
          </w:p>
        </w:tc>
        <w:tc>
          <w:tcPr>
            <w:tcW w:w="1600" w:type="dxa"/>
            <w:vAlign w:val="bottom"/>
          </w:tcPr>
          <w:p>
            <w:pPr>
              <w:spacing w:after="0"/>
              <w:rPr>
                <w:sz w:val="20"/>
                <w:szCs w:val="20"/>
                <w:color w:val="auto"/>
              </w:rPr>
            </w:pPr>
          </w:p>
        </w:tc>
        <w:tc>
          <w:tcPr>
            <w:tcW w:w="2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3540" w:type="dxa"/>
            <w:vAlign w:val="bottom"/>
          </w:tcPr>
          <w:p>
            <w:pPr>
              <w:spacing w:after="0"/>
              <w:rPr>
                <w:sz w:val="22"/>
                <w:szCs w:val="22"/>
                <w:color w:val="auto"/>
              </w:rPr>
            </w:pPr>
          </w:p>
        </w:tc>
        <w:tc>
          <w:tcPr>
            <w:tcW w:w="22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2"/>
              </w:rPr>
              <w:t>Number of securities remaining</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0"/>
              </w:rPr>
              <w:t>available for future issuance under</w:t>
            </w: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89"/>
              </w:rPr>
              <w:t>Number of securities to be issued</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89"/>
              </w:rPr>
              <w:t>Weighted-average exercise price of</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0"/>
              </w:rPr>
              <w:t>equity compensation plans</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540" w:type="dxa"/>
            <w:vAlign w:val="bottom"/>
          </w:tcPr>
          <w:p>
            <w:pPr>
              <w:spacing w:after="0"/>
              <w:rPr>
                <w:sz w:val="18"/>
                <w:szCs w:val="18"/>
                <w:color w:val="auto"/>
              </w:rPr>
            </w:pP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upon exercise of outstanding</w:t>
            </w:r>
          </w:p>
        </w:tc>
        <w:tc>
          <w:tcPr>
            <w:tcW w:w="2660" w:type="dxa"/>
            <w:vAlign w:val="bottom"/>
            <w:gridSpan w:val="2"/>
          </w:tcPr>
          <w:p>
            <w:pPr>
              <w:jc w:val="center"/>
              <w:spacing w:after="0"/>
              <w:rPr>
                <w:sz w:val="20"/>
                <w:szCs w:val="20"/>
                <w:color w:val="auto"/>
              </w:rPr>
            </w:pPr>
            <w:r>
              <w:rPr>
                <w:rFonts w:ascii="Arial" w:cs="Arial" w:eastAsia="Arial" w:hAnsi="Arial"/>
                <w:sz w:val="18"/>
                <w:szCs w:val="18"/>
                <w:color w:val="auto"/>
                <w:w w:val="90"/>
              </w:rPr>
              <w:t>outstanding options, warrants and</w:t>
            </w:r>
          </w:p>
        </w:tc>
        <w:tc>
          <w:tcPr>
            <w:tcW w:w="2600" w:type="dxa"/>
            <w:vAlign w:val="bottom"/>
            <w:gridSpan w:val="2"/>
          </w:tcPr>
          <w:p>
            <w:pPr>
              <w:jc w:val="center"/>
              <w:spacing w:after="0"/>
              <w:rPr>
                <w:sz w:val="20"/>
                <w:szCs w:val="20"/>
                <w:color w:val="auto"/>
              </w:rPr>
            </w:pPr>
            <w:r>
              <w:rPr>
                <w:rFonts w:ascii="Arial" w:cs="Arial" w:eastAsia="Arial" w:hAnsi="Arial"/>
                <w:sz w:val="18"/>
                <w:szCs w:val="18"/>
                <w:color w:val="auto"/>
                <w:w w:val="91"/>
              </w:rPr>
              <w:t>(excluding securities reflected in</w:t>
            </w:r>
          </w:p>
        </w:tc>
        <w:tc>
          <w:tcPr>
            <w:tcW w:w="0" w:type="dxa"/>
            <w:vAlign w:val="bottom"/>
          </w:tcPr>
          <w:p>
            <w:pPr>
              <w:spacing w:after="0"/>
              <w:rPr>
                <w:sz w:val="1"/>
                <w:szCs w:val="1"/>
                <w:color w:val="auto"/>
              </w:rPr>
            </w:pPr>
          </w:p>
        </w:tc>
      </w:tr>
      <w:tr>
        <w:trPr>
          <w:trHeight w:val="230"/>
        </w:trPr>
        <w:tc>
          <w:tcPr>
            <w:tcW w:w="3540" w:type="dxa"/>
            <w:vAlign w:val="bottom"/>
          </w:tcPr>
          <w:p>
            <w:pPr>
              <w:ind w:left="1280"/>
              <w:spacing w:after="0"/>
              <w:rPr>
                <w:sz w:val="20"/>
                <w:szCs w:val="20"/>
                <w:color w:val="auto"/>
              </w:rPr>
            </w:pPr>
            <w:r>
              <w:rPr>
                <w:rFonts w:ascii="Arial" w:cs="Arial" w:eastAsia="Arial" w:hAnsi="Arial"/>
                <w:sz w:val="18"/>
                <w:szCs w:val="18"/>
                <w:color w:val="auto"/>
              </w:rPr>
              <w:t>Plan category</w:t>
            </w:r>
          </w:p>
        </w:tc>
        <w:tc>
          <w:tcPr>
            <w:tcW w:w="2620" w:type="dxa"/>
            <w:vAlign w:val="bottom"/>
            <w:gridSpan w:val="2"/>
          </w:tcPr>
          <w:p>
            <w:pPr>
              <w:jc w:val="center"/>
              <w:spacing w:after="0"/>
              <w:rPr>
                <w:sz w:val="20"/>
                <w:szCs w:val="20"/>
                <w:color w:val="auto"/>
              </w:rPr>
            </w:pPr>
            <w:r>
              <w:rPr>
                <w:rFonts w:ascii="Arial" w:cs="Arial" w:eastAsia="Arial" w:hAnsi="Arial"/>
                <w:sz w:val="18"/>
                <w:szCs w:val="18"/>
                <w:color w:val="auto"/>
                <w:w w:val="90"/>
              </w:rPr>
              <w:t>options, warrants and rights</w:t>
            </w: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rights</w:t>
            </w:r>
          </w:p>
        </w:tc>
        <w:tc>
          <w:tcPr>
            <w:tcW w:w="2280" w:type="dxa"/>
            <w:vAlign w:val="bottom"/>
          </w:tcPr>
          <w:p>
            <w:pPr>
              <w:jc w:val="center"/>
              <w:ind w:left="250"/>
              <w:spacing w:after="0"/>
              <w:rPr>
                <w:sz w:val="20"/>
                <w:szCs w:val="20"/>
                <w:color w:val="auto"/>
              </w:rPr>
            </w:pPr>
            <w:r>
              <w:rPr>
                <w:rFonts w:ascii="Arial" w:cs="Arial" w:eastAsia="Arial" w:hAnsi="Arial"/>
                <w:sz w:val="18"/>
                <w:szCs w:val="18"/>
                <w:color w:val="auto"/>
                <w:w w:val="94"/>
              </w:rPr>
              <w:t>column (a))</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540" w:type="dxa"/>
            <w:vAlign w:val="bottom"/>
          </w:tcPr>
          <w:p>
            <w:pPr>
              <w:spacing w:after="0"/>
              <w:rPr>
                <w:sz w:val="20"/>
                <w:szCs w:val="20"/>
                <w:color w:val="auto"/>
              </w:rPr>
            </w:pPr>
          </w:p>
        </w:tc>
        <w:tc>
          <w:tcPr>
            <w:tcW w:w="2260" w:type="dxa"/>
            <w:vAlign w:val="bottom"/>
          </w:tcPr>
          <w:p>
            <w:pPr>
              <w:jc w:val="center"/>
              <w:ind w:left="330"/>
              <w:spacing w:after="0"/>
              <w:rPr>
                <w:sz w:val="20"/>
                <w:szCs w:val="20"/>
                <w:color w:val="auto"/>
              </w:rPr>
            </w:pPr>
            <w:r>
              <w:rPr>
                <w:rFonts w:ascii="Arial" w:cs="Arial" w:eastAsia="Arial" w:hAnsi="Arial"/>
                <w:sz w:val="18"/>
                <w:szCs w:val="18"/>
                <w:color w:val="auto"/>
                <w:w w:val="90"/>
              </w:rPr>
              <w:t>(a)</w:t>
            </w:r>
          </w:p>
        </w:tc>
        <w:tc>
          <w:tcPr>
            <w:tcW w:w="36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600" w:type="dxa"/>
            <w:vAlign w:val="bottom"/>
          </w:tcPr>
          <w:p>
            <w:pPr>
              <w:jc w:val="center"/>
              <w:ind w:right="950"/>
              <w:spacing w:after="0"/>
              <w:rPr>
                <w:sz w:val="20"/>
                <w:szCs w:val="20"/>
                <w:color w:val="auto"/>
              </w:rPr>
            </w:pPr>
            <w:r>
              <w:rPr>
                <w:rFonts w:ascii="Arial" w:cs="Arial" w:eastAsia="Arial" w:hAnsi="Arial"/>
                <w:sz w:val="18"/>
                <w:szCs w:val="18"/>
                <w:color w:val="auto"/>
                <w:w w:val="90"/>
              </w:rPr>
              <w:t>(b)</w:t>
            </w:r>
          </w:p>
        </w:tc>
        <w:tc>
          <w:tcPr>
            <w:tcW w:w="2280" w:type="dxa"/>
            <w:vAlign w:val="bottom"/>
          </w:tcPr>
          <w:p>
            <w:pPr>
              <w:jc w:val="center"/>
              <w:ind w:left="270"/>
              <w:spacing w:after="0"/>
              <w:rPr>
                <w:sz w:val="20"/>
                <w:szCs w:val="20"/>
                <w:color w:val="auto"/>
              </w:rPr>
            </w:pPr>
            <w:r>
              <w:rPr>
                <w:rFonts w:ascii="Arial" w:cs="Arial" w:eastAsia="Arial" w:hAnsi="Arial"/>
                <w:sz w:val="18"/>
                <w:szCs w:val="18"/>
                <w:color w:val="auto"/>
                <w:w w:val="95"/>
              </w:rPr>
              <w:t>(c)</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22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2280" w:type="dxa"/>
            <w:vAlign w:val="bottom"/>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Equity compensation plans approved by</w:t>
            </w:r>
          </w:p>
        </w:tc>
        <w:tc>
          <w:tcPr>
            <w:tcW w:w="2260" w:type="dxa"/>
            <w:vAlign w:val="bottom"/>
            <w:shd w:val="clear" w:color="auto" w:fill="CEFFE7"/>
          </w:tcPr>
          <w:p>
            <w:pPr>
              <w:spacing w:after="0"/>
              <w:rPr>
                <w:sz w:val="19"/>
                <w:szCs w:val="19"/>
                <w:color w:val="auto"/>
              </w:rPr>
            </w:pPr>
          </w:p>
        </w:tc>
        <w:tc>
          <w:tcPr>
            <w:tcW w:w="360" w:type="dxa"/>
            <w:vAlign w:val="bottom"/>
            <w:shd w:val="clear" w:color="auto" w:fill="CEFFE7"/>
          </w:tcPr>
          <w:p>
            <w:pPr>
              <w:spacing w:after="0"/>
              <w:rPr>
                <w:sz w:val="19"/>
                <w:szCs w:val="19"/>
                <w:color w:val="auto"/>
              </w:rPr>
            </w:pPr>
          </w:p>
        </w:tc>
        <w:tc>
          <w:tcPr>
            <w:tcW w:w="1060" w:type="dxa"/>
            <w:vAlign w:val="bottom"/>
            <w:shd w:val="clear" w:color="auto" w:fill="CEFFE7"/>
          </w:tcPr>
          <w:p>
            <w:pPr>
              <w:spacing w:after="0"/>
              <w:rPr>
                <w:sz w:val="19"/>
                <w:szCs w:val="19"/>
                <w:color w:val="auto"/>
              </w:rPr>
            </w:pPr>
          </w:p>
        </w:tc>
        <w:tc>
          <w:tcPr>
            <w:tcW w:w="1600" w:type="dxa"/>
            <w:vAlign w:val="bottom"/>
            <w:shd w:val="clear" w:color="auto" w:fill="CEFFE7"/>
          </w:tcPr>
          <w:p>
            <w:pPr>
              <w:spacing w:after="0"/>
              <w:rPr>
                <w:sz w:val="19"/>
                <w:szCs w:val="19"/>
                <w:color w:val="auto"/>
              </w:rPr>
            </w:pPr>
          </w:p>
        </w:tc>
        <w:tc>
          <w:tcPr>
            <w:tcW w:w="2280" w:type="dxa"/>
            <w:vAlign w:val="bottom"/>
            <w:shd w:val="clear" w:color="auto" w:fill="CEFFE7"/>
          </w:tcPr>
          <w:p>
            <w:pPr>
              <w:spacing w:after="0"/>
              <w:rPr>
                <w:sz w:val="19"/>
                <w:szCs w:val="19"/>
                <w:color w:val="auto"/>
              </w:rPr>
            </w:pPr>
          </w:p>
        </w:tc>
        <w:tc>
          <w:tcPr>
            <w:tcW w:w="320" w:type="dxa"/>
            <w:vAlign w:val="bottom"/>
            <w:shd w:val="clear" w:color="auto" w:fill="CEFFE7"/>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3540" w:type="dxa"/>
            <w:vAlign w:val="bottom"/>
            <w:shd w:val="clear" w:color="auto" w:fill="CEFFE7"/>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shd w:val="clear" w:color="auto" w:fill="CEFFE7"/>
          </w:tcPr>
          <w:p>
            <w:pPr>
              <w:jc w:val="right"/>
              <w:spacing w:after="0"/>
              <w:rPr>
                <w:sz w:val="20"/>
                <w:szCs w:val="20"/>
                <w:color w:val="auto"/>
              </w:rPr>
            </w:pPr>
            <w:r>
              <w:rPr>
                <w:rFonts w:ascii="Arial" w:cs="Arial" w:eastAsia="Arial" w:hAnsi="Arial"/>
                <w:sz w:val="18"/>
                <w:szCs w:val="18"/>
                <w:color w:val="auto"/>
              </w:rPr>
              <w:t>160,179</w:t>
            </w:r>
          </w:p>
        </w:tc>
        <w:tc>
          <w:tcPr>
            <w:tcW w:w="360" w:type="dxa"/>
            <w:vAlign w:val="bottom"/>
            <w:shd w:val="clear" w:color="auto" w:fill="CEFFE7"/>
          </w:tcPr>
          <w:p>
            <w:pPr>
              <w:jc w:val="right"/>
              <w:ind w:right="77"/>
              <w:spacing w:after="0"/>
              <w:rPr>
                <w:sz w:val="20"/>
                <w:szCs w:val="20"/>
                <w:color w:val="auto"/>
              </w:rPr>
            </w:pPr>
            <w:r>
              <w:rPr>
                <w:rFonts w:ascii="Arial" w:cs="Arial" w:eastAsia="Arial" w:hAnsi="Arial"/>
                <w:sz w:val="13"/>
                <w:szCs w:val="13"/>
                <w:color w:val="auto"/>
              </w:rPr>
              <w:t>(1)</w:t>
            </w:r>
          </w:p>
        </w:tc>
        <w:tc>
          <w:tcPr>
            <w:tcW w:w="1060" w:type="dxa"/>
            <w:vAlign w:val="bottom"/>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shd w:val="clear" w:color="auto" w:fill="CEFFE7"/>
          </w:tcPr>
          <w:p>
            <w:pPr>
              <w:jc w:val="right"/>
              <w:ind w:right="90"/>
              <w:spacing w:after="0" w:line="257" w:lineRule="exact"/>
              <w:rPr>
                <w:sz w:val="20"/>
                <w:szCs w:val="20"/>
                <w:color w:val="auto"/>
              </w:rPr>
            </w:pPr>
            <w:r>
              <w:rPr>
                <w:rFonts w:ascii="Arial" w:cs="Arial" w:eastAsia="Arial" w:hAnsi="Arial"/>
                <w:sz w:val="18"/>
                <w:szCs w:val="18"/>
                <w:color w:val="auto"/>
              </w:rPr>
              <w:t xml:space="preserve">39.99  </w:t>
            </w:r>
            <w:r>
              <w:rPr>
                <w:rFonts w:ascii="Arial" w:cs="Arial" w:eastAsia="Arial" w:hAnsi="Arial"/>
                <w:sz w:val="25"/>
                <w:szCs w:val="25"/>
                <w:color w:val="auto"/>
                <w:vertAlign w:val="superscript"/>
              </w:rPr>
              <w:t>(1)</w:t>
            </w:r>
          </w:p>
        </w:tc>
        <w:tc>
          <w:tcPr>
            <w:tcW w:w="2280" w:type="dxa"/>
            <w:vAlign w:val="bottom"/>
            <w:shd w:val="clear" w:color="auto" w:fill="CEFFE7"/>
          </w:tcPr>
          <w:p>
            <w:pPr>
              <w:jc w:val="right"/>
              <w:ind w:right="30"/>
              <w:spacing w:after="0"/>
              <w:rPr>
                <w:sz w:val="20"/>
                <w:szCs w:val="20"/>
                <w:color w:val="auto"/>
              </w:rPr>
            </w:pPr>
            <w:r>
              <w:rPr>
                <w:rFonts w:ascii="Arial" w:cs="Arial" w:eastAsia="Arial" w:hAnsi="Arial"/>
                <w:sz w:val="18"/>
                <w:szCs w:val="18"/>
                <w:color w:val="auto"/>
              </w:rPr>
              <w:t>672,049</w:t>
            </w:r>
          </w:p>
        </w:tc>
        <w:tc>
          <w:tcPr>
            <w:tcW w:w="320" w:type="dxa"/>
            <w:vAlign w:val="bottom"/>
            <w:shd w:val="clear" w:color="auto" w:fill="CEFFE7"/>
          </w:tcPr>
          <w:p>
            <w:pPr>
              <w:jc w:val="right"/>
              <w:ind w:right="97"/>
              <w:spacing w:after="0"/>
              <w:rPr>
                <w:sz w:val="20"/>
                <w:szCs w:val="20"/>
                <w:color w:val="auto"/>
              </w:rPr>
            </w:pPr>
            <w:r>
              <w:rPr>
                <w:rFonts w:ascii="Arial" w:cs="Arial" w:eastAsia="Arial" w:hAnsi="Arial"/>
                <w:sz w:val="13"/>
                <w:szCs w:val="13"/>
                <w:color w:val="auto"/>
                <w:w w:val="87"/>
              </w:rPr>
              <w:t>(2)</w:t>
            </w:r>
          </w:p>
        </w:tc>
        <w:tc>
          <w:tcPr>
            <w:tcW w:w="0" w:type="dxa"/>
            <w:vAlign w:val="bottom"/>
          </w:tcPr>
          <w:p>
            <w:pPr>
              <w:spacing w:after="0"/>
              <w:rPr>
                <w:sz w:val="1"/>
                <w:szCs w:val="1"/>
                <w:color w:val="auto"/>
              </w:rPr>
            </w:pPr>
          </w:p>
        </w:tc>
      </w:tr>
      <w:tr>
        <w:trPr>
          <w:trHeight w:val="229"/>
        </w:trPr>
        <w:tc>
          <w:tcPr>
            <w:tcW w:w="3540" w:type="dxa"/>
            <w:vAlign w:val="bottom"/>
          </w:tcPr>
          <w:p>
            <w:pPr>
              <w:ind w:left="40"/>
              <w:spacing w:after="0"/>
              <w:rPr>
                <w:sz w:val="20"/>
                <w:szCs w:val="20"/>
                <w:color w:val="auto"/>
              </w:rPr>
            </w:pPr>
            <w:r>
              <w:rPr>
                <w:rFonts w:ascii="Arial" w:cs="Arial" w:eastAsia="Arial" w:hAnsi="Arial"/>
                <w:sz w:val="18"/>
                <w:szCs w:val="18"/>
                <w:color w:val="auto"/>
                <w:w w:val="99"/>
              </w:rPr>
              <w:t>Equity compensation plans not approved by</w:t>
            </w:r>
          </w:p>
        </w:tc>
        <w:tc>
          <w:tcPr>
            <w:tcW w:w="2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22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40"/>
              <w:spacing w:after="0"/>
              <w:rPr>
                <w:sz w:val="20"/>
                <w:szCs w:val="20"/>
                <w:color w:val="auto"/>
              </w:rPr>
            </w:pPr>
            <w:r>
              <w:rPr>
                <w:rFonts w:ascii="Arial" w:cs="Arial" w:eastAsia="Arial" w:hAnsi="Arial"/>
                <w:sz w:val="18"/>
                <w:szCs w:val="18"/>
                <w:color w:val="auto"/>
              </w:rPr>
              <w:t>security holders</w:t>
            </w:r>
          </w:p>
        </w:tc>
        <w:tc>
          <w:tcPr>
            <w:tcW w:w="226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0"/>
                <w:szCs w:val="20"/>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40" w:type="dxa"/>
            <w:vAlign w:val="bottom"/>
            <w:tcBorders>
              <w:bottom w:val="single" w:sz="8" w:color="CEFFE7"/>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3540" w:type="dxa"/>
            <w:vAlign w:val="bottom"/>
            <w:tcBorders>
              <w:bottom w:val="single" w:sz="8" w:color="CEFFE7"/>
            </w:tcBorders>
            <w:shd w:val="clear" w:color="auto" w:fill="CEFFE7"/>
          </w:tcPr>
          <w:p>
            <w:pPr>
              <w:ind w:left="180"/>
              <w:spacing w:after="0"/>
              <w:rPr>
                <w:sz w:val="20"/>
                <w:szCs w:val="20"/>
                <w:color w:val="auto"/>
              </w:rPr>
            </w:pPr>
            <w:r>
              <w:rPr>
                <w:rFonts w:ascii="Arial" w:cs="Arial" w:eastAsia="Arial" w:hAnsi="Arial"/>
                <w:sz w:val="18"/>
                <w:szCs w:val="18"/>
                <w:color w:val="auto"/>
              </w:rPr>
              <w:t>Total</w:t>
            </w:r>
          </w:p>
        </w:tc>
        <w:tc>
          <w:tcPr>
            <w:tcW w:w="2260" w:type="dxa"/>
            <w:vAlign w:val="bottom"/>
            <w:tcBorders>
              <w:bottom w:val="single" w:sz="8" w:color="auto"/>
            </w:tcBorders>
            <w:shd w:val="clear" w:color="auto" w:fill="CEFFE7"/>
          </w:tcPr>
          <w:p>
            <w:pPr>
              <w:jc w:val="right"/>
              <w:spacing w:after="0"/>
              <w:rPr>
                <w:sz w:val="20"/>
                <w:szCs w:val="20"/>
                <w:color w:val="auto"/>
              </w:rPr>
            </w:pPr>
            <w:r>
              <w:rPr>
                <w:rFonts w:ascii="Arial" w:cs="Arial" w:eastAsia="Arial" w:hAnsi="Arial"/>
                <w:sz w:val="18"/>
                <w:szCs w:val="18"/>
                <w:color w:val="auto"/>
              </w:rPr>
              <w:t>160,179</w:t>
            </w:r>
          </w:p>
        </w:tc>
        <w:tc>
          <w:tcPr>
            <w:tcW w:w="360" w:type="dxa"/>
            <w:vAlign w:val="bottom"/>
            <w:tcBorders>
              <w:bottom w:val="single" w:sz="8" w:color="auto"/>
            </w:tcBorders>
            <w:shd w:val="clear" w:color="auto" w:fill="CEFFE7"/>
          </w:tcPr>
          <w:p>
            <w:pPr>
              <w:spacing w:after="0"/>
              <w:rPr>
                <w:sz w:val="22"/>
                <w:szCs w:val="22"/>
                <w:color w:val="auto"/>
              </w:rPr>
            </w:pPr>
          </w:p>
        </w:tc>
        <w:tc>
          <w:tcPr>
            <w:tcW w:w="1060" w:type="dxa"/>
            <w:vAlign w:val="bottom"/>
            <w:tcBorders>
              <w:bottom w:val="single" w:sz="8" w:color="auto"/>
            </w:tcBorders>
            <w:shd w:val="clear" w:color="auto" w:fill="CEFFE7"/>
          </w:tcPr>
          <w:p>
            <w:pPr>
              <w:jc w:val="right"/>
              <w:ind w:right="47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auto"/>
            </w:tcBorders>
            <w:shd w:val="clear" w:color="auto" w:fill="CEFFE7"/>
          </w:tcPr>
          <w:p>
            <w:pPr>
              <w:jc w:val="right"/>
              <w:ind w:right="370"/>
              <w:spacing w:after="0"/>
              <w:rPr>
                <w:sz w:val="20"/>
                <w:szCs w:val="20"/>
                <w:color w:val="auto"/>
              </w:rPr>
            </w:pPr>
            <w:r>
              <w:rPr>
                <w:rFonts w:ascii="Arial" w:cs="Arial" w:eastAsia="Arial" w:hAnsi="Arial"/>
                <w:sz w:val="18"/>
                <w:szCs w:val="18"/>
                <w:color w:val="auto"/>
              </w:rPr>
              <w:t>39.99</w:t>
            </w:r>
          </w:p>
        </w:tc>
        <w:tc>
          <w:tcPr>
            <w:tcW w:w="2280" w:type="dxa"/>
            <w:vAlign w:val="bottom"/>
            <w:tcBorders>
              <w:bottom w:val="single" w:sz="8" w:color="auto"/>
            </w:tcBorders>
            <w:shd w:val="clear" w:color="auto" w:fill="CEFFE7"/>
          </w:tcPr>
          <w:p>
            <w:pPr>
              <w:jc w:val="right"/>
              <w:ind w:right="30"/>
              <w:spacing w:after="0"/>
              <w:rPr>
                <w:sz w:val="20"/>
                <w:szCs w:val="20"/>
                <w:color w:val="auto"/>
              </w:rPr>
            </w:pPr>
            <w:r>
              <w:rPr>
                <w:rFonts w:ascii="Arial" w:cs="Arial" w:eastAsia="Arial" w:hAnsi="Arial"/>
                <w:sz w:val="18"/>
                <w:szCs w:val="18"/>
                <w:color w:val="auto"/>
              </w:rPr>
              <w:t>672,049</w:t>
            </w:r>
          </w:p>
        </w:tc>
        <w:tc>
          <w:tcPr>
            <w:tcW w:w="320" w:type="dxa"/>
            <w:vAlign w:val="bottom"/>
            <w:tcBorders>
              <w:bottom w:val="single" w:sz="8" w:color="auto"/>
            </w:tcBorders>
            <w:shd w:val="clear" w:color="auto" w:fill="CEFFE7"/>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8"/>
                <w:szCs w:val="18"/>
                <w:color w:val="auto"/>
              </w:rPr>
              <w:t>_________________________</w:t>
            </w:r>
          </w:p>
        </w:tc>
        <w:tc>
          <w:tcPr>
            <w:tcW w:w="22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vMerge w:val="continue"/>
          </w:tcPr>
          <w:p>
            <w:pPr>
              <w:spacing w:after="0"/>
              <w:rPr>
                <w:sz w:val="17"/>
                <w:szCs w:val="17"/>
                <w:color w:val="auto"/>
              </w:rPr>
            </w:pPr>
          </w:p>
        </w:tc>
        <w:tc>
          <w:tcPr>
            <w:tcW w:w="22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40" w:right="40" w:hanging="332"/>
        <w:spacing w:after="0" w:line="247"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Includes 146,179 full value awards outstanding as of December 31, 2019, comprised of restricted stock units, performance shares, short-term incentive plan (STIP) units and Director common stock units. The weighted average exercise price does not include the restricted stock units, performance shares, STIP or common stock units. In addition, 192,120 shares of unvested restricted stock were outstanding as of December 31, 2019, which are not included in the above table because they have already been issued.</w:t>
      </w:r>
    </w:p>
    <w:p>
      <w:pPr>
        <w:spacing w:after="0" w:line="3" w:lineRule="exact"/>
        <w:rPr>
          <w:rFonts w:ascii="Arial" w:cs="Arial" w:eastAsia="Arial" w:hAnsi="Arial"/>
          <w:sz w:val="16"/>
          <w:szCs w:val="16"/>
          <w:color w:val="auto"/>
        </w:rPr>
      </w:pPr>
    </w:p>
    <w:p>
      <w:pPr>
        <w:ind w:left="340" w:right="180" w:hanging="332"/>
        <w:spacing w:after="0" w:line="257" w:lineRule="auto"/>
        <w:tabs>
          <w:tab w:leader="none" w:pos="340" w:val="left"/>
        </w:tabs>
        <w:numPr>
          <w:ilvl w:val="0"/>
          <w:numId w:val="95"/>
        </w:numPr>
        <w:rPr>
          <w:rFonts w:ascii="Arial" w:cs="Arial" w:eastAsia="Arial" w:hAnsi="Arial"/>
          <w:sz w:val="16"/>
          <w:szCs w:val="16"/>
          <w:color w:val="auto"/>
        </w:rPr>
      </w:pPr>
      <w:r>
        <w:rPr>
          <w:rFonts w:ascii="Arial" w:cs="Arial" w:eastAsia="Arial" w:hAnsi="Arial"/>
          <w:sz w:val="16"/>
          <w:szCs w:val="16"/>
          <w:color w:val="auto"/>
        </w:rPr>
        <w:t>Shares available for issuance are from the 2015 Omnibus Incentive Plan. The 2015 Omnibus Incentive Plan permits the grant of stock options, stock appreciation rights, restricted stock, restricted stock units, performance shares, performance units, cash-based awards and other stock based awards.</w:t>
      </w:r>
    </w:p>
    <w:p>
      <w:pPr>
        <w:spacing w:after="0" w:line="151"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8"/>
          <w:szCs w:val="18"/>
          <w:b w:val="1"/>
          <w:bCs w:val="1"/>
          <w:color w:val="auto"/>
        </w:rPr>
        <w:t>CERTAIN RELATIONSHIPS AND RELATED TRANSACTIONS AND DIRECTOR INDEPENDENCE</w:t>
      </w:r>
    </w:p>
    <w:p>
      <w:pPr>
        <w:spacing w:after="0" w:line="22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Information regarding certain relationships and related transactions and director independence is set forth in the Proxy Statement for our 2020 Annual Meeting of Shareholders, which is incorporated herein by reference.</w:t>
      </w:r>
    </w:p>
    <w:p>
      <w:pPr>
        <w:spacing w:after="0" w:line="166"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7"/>
          <w:szCs w:val="17"/>
          <w:b w:val="1"/>
          <w:bCs w:val="1"/>
          <w:color w:val="auto"/>
        </w:rPr>
        <w:t>PRINCIPAL ACCOUNTING FEES AND SERVICES</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Information regarding principal accounting fees and services is set forth in the Proxy Statement for our 2020 Annual Meeting to Shareholders, which is incorporated herein by reference.</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420"/>
          </w:cols>
          <w:pgMar w:left="240" w:top="126" w:right="239" w:bottom="1440" w:gutter="0" w:footer="0" w:header="0"/>
        </w:sectPr>
      </w:pPr>
    </w:p>
    <w:bookmarkStart w:id="145" w:name="page146"/>
    <w:bookmarkEnd w:id="145"/>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IV</w:t>
      </w:r>
    </w:p>
    <w:p>
      <w:pPr>
        <w:spacing w:after="0" w:line="225"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8"/>
          <w:szCs w:val="18"/>
          <w:b w:val="1"/>
          <w:bCs w:val="1"/>
          <w:color w:val="auto"/>
        </w:rPr>
        <w:t>EXHIBITS, FINANCIAL STATEMENT SCHEDULES</w:t>
      </w:r>
    </w:p>
    <w:p>
      <w:pPr>
        <w:spacing w:after="0" w:line="200" w:lineRule="exact"/>
        <w:rPr>
          <w:sz w:val="20"/>
          <w:szCs w:val="20"/>
          <w:color w:val="auto"/>
        </w:rPr>
      </w:pPr>
    </w:p>
    <w:p>
      <w:pPr>
        <w:spacing w:after="0" w:line="205" w:lineRule="exact"/>
        <w:rPr>
          <w:sz w:val="20"/>
          <w:szCs w:val="20"/>
          <w:color w:val="auto"/>
        </w:rPr>
      </w:pPr>
    </w:p>
    <w:p>
      <w:pPr>
        <w:ind w:left="720" w:hanging="685"/>
        <w:spacing w:after="0"/>
        <w:tabs>
          <w:tab w:leader="none" w:pos="720" w:val="left"/>
        </w:tabs>
        <w:numPr>
          <w:ilvl w:val="0"/>
          <w:numId w:val="96"/>
        </w:numPr>
        <w:rPr>
          <w:rFonts w:ascii="Arial" w:cs="Arial" w:eastAsia="Arial" w:hAnsi="Arial"/>
          <w:sz w:val="18"/>
          <w:szCs w:val="18"/>
          <w:color w:val="auto"/>
        </w:rPr>
      </w:pPr>
      <w:r>
        <w:rPr>
          <w:rFonts w:ascii="Arial" w:cs="Arial" w:eastAsia="Arial" w:hAnsi="Arial"/>
          <w:sz w:val="18"/>
          <w:szCs w:val="18"/>
          <w:color w:val="auto"/>
        </w:rPr>
        <w:t>1.</w:t>
      </w:r>
      <w:r>
        <w:rPr>
          <w:rFonts w:ascii="Arial" w:cs="Arial" w:eastAsia="Arial" w:hAnsi="Arial"/>
          <w:sz w:val="16"/>
          <w:szCs w:val="16"/>
          <w:color w:val="auto"/>
        </w:rPr>
        <w:t>Consolidated Financial Statements</w:t>
      </w:r>
    </w:p>
    <w:p>
      <w:pPr>
        <w:spacing w:after="0" w:line="387" w:lineRule="exact"/>
        <w:rPr>
          <w:sz w:val="20"/>
          <w:szCs w:val="20"/>
          <w:color w:val="auto"/>
        </w:rPr>
      </w:pPr>
    </w:p>
    <w:p>
      <w:pPr>
        <w:ind w:left="1520"/>
        <w:spacing w:after="0"/>
        <w:rPr>
          <w:sz w:val="20"/>
          <w:szCs w:val="20"/>
          <w:color w:val="auto"/>
        </w:rPr>
      </w:pPr>
      <w:r>
        <w:rPr>
          <w:rFonts w:ascii="Arial" w:cs="Arial" w:eastAsia="Arial" w:hAnsi="Arial"/>
          <w:sz w:val="18"/>
          <w:szCs w:val="18"/>
          <w:color w:val="auto"/>
        </w:rPr>
        <w:t>Financial statements required under this item are included in Item 8 of Part II</w:t>
      </w:r>
    </w:p>
    <w:p>
      <w:pPr>
        <w:spacing w:after="0" w:line="387" w:lineRule="exact"/>
        <w:rPr>
          <w:sz w:val="20"/>
          <w:szCs w:val="20"/>
          <w:color w:val="auto"/>
        </w:rPr>
      </w:pPr>
    </w:p>
    <w:p>
      <w:pPr>
        <w:ind w:left="1520" w:hanging="796"/>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Schedules</w:t>
      </w:r>
    </w:p>
    <w:p>
      <w:pPr>
        <w:spacing w:after="0" w:line="387" w:lineRule="exact"/>
        <w:rPr>
          <w:rFonts w:ascii="Arial" w:cs="Arial" w:eastAsia="Arial" w:hAnsi="Arial"/>
          <w:sz w:val="18"/>
          <w:szCs w:val="18"/>
          <w:color w:val="auto"/>
        </w:rPr>
      </w:pPr>
    </w:p>
    <w:p>
      <w:pPr>
        <w:ind w:left="1520"/>
        <w:spacing w:after="0"/>
        <w:rPr>
          <w:rFonts w:ascii="Arial" w:cs="Arial" w:eastAsia="Arial" w:hAnsi="Arial"/>
          <w:sz w:val="18"/>
          <w:szCs w:val="18"/>
          <w:color w:val="auto"/>
        </w:rPr>
      </w:pPr>
      <w:r>
        <w:rPr>
          <w:rFonts w:ascii="Arial" w:cs="Arial" w:eastAsia="Arial" w:hAnsi="Arial"/>
          <w:sz w:val="18"/>
          <w:szCs w:val="18"/>
          <w:color w:val="auto"/>
        </w:rPr>
        <w:t>Schedule II — Consolidated Valuation and Qualifying Accounts for the years ended December 31, 2019, 2018 and 2017</w:t>
      </w:r>
    </w:p>
    <w:p>
      <w:pPr>
        <w:spacing w:after="0" w:line="387" w:lineRule="exact"/>
        <w:rPr>
          <w:rFonts w:ascii="Arial" w:cs="Arial" w:eastAsia="Arial" w:hAnsi="Arial"/>
          <w:sz w:val="18"/>
          <w:szCs w:val="18"/>
          <w:color w:val="auto"/>
        </w:rPr>
      </w:pPr>
    </w:p>
    <w:p>
      <w:pPr>
        <w:ind w:left="1520" w:hanging="796"/>
        <w:spacing w:after="0"/>
        <w:tabs>
          <w:tab w:leader="none" w:pos="15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Exhibits</w:t>
      </w:r>
    </w:p>
    <w:p>
      <w:pPr>
        <w:spacing w:after="0" w:line="387" w:lineRule="exact"/>
        <w:rPr>
          <w:rFonts w:ascii="Arial" w:cs="Arial" w:eastAsia="Arial" w:hAnsi="Arial"/>
          <w:sz w:val="18"/>
          <w:szCs w:val="18"/>
          <w:color w:val="auto"/>
        </w:rPr>
      </w:pPr>
    </w:p>
    <w:p>
      <w:pPr>
        <w:ind w:left="1520" w:right="280"/>
        <w:spacing w:after="0" w:line="277" w:lineRule="auto"/>
        <w:rPr>
          <w:rFonts w:ascii="Arial" w:cs="Arial" w:eastAsia="Arial" w:hAnsi="Arial"/>
          <w:sz w:val="18"/>
          <w:szCs w:val="18"/>
          <w:color w:val="auto"/>
        </w:rPr>
      </w:pPr>
      <w:r>
        <w:rPr>
          <w:rFonts w:ascii="Arial" w:cs="Arial" w:eastAsia="Arial" w:hAnsi="Arial"/>
          <w:sz w:val="18"/>
          <w:szCs w:val="18"/>
          <w:color w:val="auto"/>
        </w:rPr>
        <w:t>All other schedules have been omitted because of the absence of the conditions under which they are required or because the required information is included in our consolidated financial statements and notes thereto.</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w:t>
      </w:r>
    </w:p>
    <w:p>
      <w:pPr>
        <w:spacing w:after="0" w:line="229" w:lineRule="exact"/>
        <w:rPr>
          <w:sz w:val="20"/>
          <w:szCs w:val="20"/>
          <w:color w:val="auto"/>
        </w:rPr>
      </w:pPr>
    </w:p>
    <w:p>
      <w:pPr>
        <w:ind w:right="32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Consolidated valuation and qualifying accounts are detailed within </w:t>
      </w:r>
      <w:hyperlink w:anchor="page83">
        <w:r>
          <w:rPr>
            <w:rFonts w:ascii="Arial" w:cs="Arial" w:eastAsia="Arial" w:hAnsi="Arial"/>
            <w:sz w:val="18"/>
            <w:szCs w:val="18"/>
            <w:u w:val="single" w:color="auto"/>
            <w:color w:val="0000EE"/>
          </w:rPr>
          <w:t>Note 1</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of the Notes to the Consolidated Financial Statements in this Annual Report on Form 10-K.</w:t>
      </w:r>
    </w:p>
    <w:p>
      <w:pPr>
        <w:spacing w:after="0" w:line="139" w:lineRule="exact"/>
        <w:rPr>
          <w:sz w:val="20"/>
          <w:szCs w:val="20"/>
          <w:color w:val="auto"/>
        </w:rPr>
      </w:pPr>
    </w:p>
    <w:p>
      <w:pPr>
        <w:ind w:left="660" w:hanging="652"/>
        <w:spacing w:after="0"/>
        <w:tabs>
          <w:tab w:leader="none" w:pos="660" w:val="left"/>
        </w:tabs>
        <w:numPr>
          <w:ilvl w:val="0"/>
          <w:numId w:val="98"/>
        </w:numPr>
        <w:rPr>
          <w:rFonts w:ascii="Arial" w:cs="Arial" w:eastAsia="Arial" w:hAnsi="Arial"/>
          <w:sz w:val="18"/>
          <w:szCs w:val="18"/>
          <w:b w:val="1"/>
          <w:bCs w:val="1"/>
          <w:color w:val="auto"/>
        </w:rPr>
      </w:pPr>
      <w:r>
        <w:rPr>
          <w:rFonts w:ascii="Arial" w:cs="Arial" w:eastAsia="Arial" w:hAnsi="Arial"/>
          <w:sz w:val="18"/>
          <w:szCs w:val="18"/>
          <w:b w:val="1"/>
          <w:bCs w:val="1"/>
          <w:color w:val="auto"/>
        </w:rPr>
        <w:t>Exhibits</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20" w:type="dxa"/>
            <w:vAlign w:val="bottom"/>
          </w:tcPr>
          <w:p>
            <w:pPr>
              <w:jc w:val="right"/>
              <w:ind w:right="10"/>
              <w:spacing w:after="0"/>
              <w:rPr>
                <w:sz w:val="20"/>
                <w:szCs w:val="20"/>
                <w:color w:val="auto"/>
              </w:rPr>
            </w:pPr>
            <w:r>
              <w:rPr>
                <w:rFonts w:ascii="Arial" w:cs="Arial" w:eastAsia="Arial" w:hAnsi="Arial"/>
                <w:sz w:val="18"/>
                <w:szCs w:val="18"/>
                <w:b w:val="1"/>
                <w:bCs w:val="1"/>
                <w:color w:val="auto"/>
                <w:w w:val="97"/>
              </w:rPr>
              <w:t>Exhibit Number</w:t>
            </w:r>
          </w:p>
        </w:tc>
        <w:tc>
          <w:tcPr>
            <w:tcW w:w="4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6820" w:type="dxa"/>
            <w:vAlign w:val="bottom"/>
            <w:gridSpan w:val="10"/>
          </w:tcPr>
          <w:p>
            <w:pPr>
              <w:ind w:left="1360"/>
              <w:spacing w:after="0"/>
              <w:rPr>
                <w:sz w:val="20"/>
                <w:szCs w:val="20"/>
                <w:color w:val="auto"/>
              </w:rPr>
            </w:pPr>
            <w:r>
              <w:rPr>
                <w:rFonts w:ascii="Arial" w:cs="Arial" w:eastAsia="Arial" w:hAnsi="Arial"/>
                <w:sz w:val="18"/>
                <w:szCs w:val="18"/>
                <w:b w:val="1"/>
                <w:bCs w:val="1"/>
                <w:color w:val="auto"/>
              </w:rPr>
              <w:t>Description</w:t>
            </w:r>
          </w:p>
        </w:tc>
      </w:tr>
      <w:tr>
        <w:trPr>
          <w:trHeight w:val="27"/>
        </w:trPr>
        <w:tc>
          <w:tcPr>
            <w:tcW w:w="14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372"/>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2.1*</w:t>
            </w:r>
          </w:p>
        </w:tc>
        <w:tc>
          <w:tcPr>
            <w:tcW w:w="9260" w:type="dxa"/>
            <w:vAlign w:val="bottom"/>
            <w:tcBorders>
              <w:bottom w:val="single" w:sz="8" w:color="0000FF"/>
            </w:tcBorders>
            <w:gridSpan w:val="6"/>
          </w:tcPr>
          <w:p>
            <w:pPr>
              <w:spacing w:after="0"/>
              <w:rPr>
                <w:rFonts w:ascii="Arial" w:cs="Arial" w:eastAsia="Arial" w:hAnsi="Arial"/>
                <w:sz w:val="18"/>
                <w:szCs w:val="18"/>
                <w:color w:val="0000FF"/>
                <w:w w:val="90"/>
              </w:rPr>
            </w:pPr>
            <w:hyperlink r:id="rId55">
              <w:r>
                <w:rPr>
                  <w:rFonts w:ascii="Arial" w:cs="Arial" w:eastAsia="Arial" w:hAnsi="Arial"/>
                  <w:sz w:val="18"/>
                  <w:szCs w:val="18"/>
                  <w:color w:val="0000FF"/>
                  <w:w w:val="90"/>
                </w:rPr>
                <w:t>Purchase and Sale Agreement by and among Alinda Gas Delaware LLC, Alinda Infrastructure Fund I, L.P. and Aircraft Services</w:t>
              </w:r>
            </w:hyperlink>
          </w:p>
        </w:tc>
        <w:tc>
          <w:tcPr>
            <w:tcW w:w="740" w:type="dxa"/>
            <w:vAlign w:val="bottom"/>
            <w:gridSpan w:val="7"/>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880" w:type="dxa"/>
            <w:vAlign w:val="bottom"/>
            <w:tcBorders>
              <w:bottom w:val="single" w:sz="8" w:color="0000FF"/>
            </w:tcBorders>
            <w:gridSpan w:val="12"/>
          </w:tcPr>
          <w:p>
            <w:pPr>
              <w:spacing w:after="0" w:line="196" w:lineRule="exact"/>
              <w:rPr>
                <w:rFonts w:ascii="Arial" w:cs="Arial" w:eastAsia="Arial" w:hAnsi="Arial"/>
                <w:sz w:val="18"/>
                <w:szCs w:val="18"/>
                <w:color w:val="0000FF"/>
                <w:w w:val="91"/>
              </w:rPr>
            </w:pPr>
            <w:hyperlink r:id="rId55">
              <w:r>
                <w:rPr>
                  <w:rFonts w:ascii="Arial" w:cs="Arial" w:eastAsia="Arial" w:hAnsi="Arial"/>
                  <w:sz w:val="18"/>
                  <w:szCs w:val="18"/>
                  <w:color w:val="0000FF"/>
                  <w:w w:val="91"/>
                </w:rPr>
                <w:t>Corporation, as Sellers, and Black Hills Utility Holdings, Inc., as Buyer, dated as of July 12, 2015 (filed as Exhibit 2.1 to the Registrant’s</w:t>
              </w:r>
            </w:hyperlink>
          </w:p>
        </w:tc>
        <w:tc>
          <w:tcPr>
            <w:tcW w:w="120" w:type="dxa"/>
            <w:vAlign w:val="bottom"/>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2440" w:type="dxa"/>
            <w:vAlign w:val="bottom"/>
            <w:tcBorders>
              <w:bottom w:val="single" w:sz="8" w:color="0000FF"/>
            </w:tcBorders>
            <w:gridSpan w:val="2"/>
          </w:tcPr>
          <w:p>
            <w:pPr>
              <w:spacing w:after="0" w:line="196" w:lineRule="exact"/>
              <w:rPr>
                <w:rFonts w:ascii="Arial" w:cs="Arial" w:eastAsia="Arial" w:hAnsi="Arial"/>
                <w:sz w:val="18"/>
                <w:szCs w:val="18"/>
                <w:color w:val="0000FF"/>
                <w:w w:val="92"/>
              </w:rPr>
            </w:pPr>
            <w:hyperlink r:id="rId55">
              <w:r>
                <w:rPr>
                  <w:rFonts w:ascii="Arial" w:cs="Arial" w:eastAsia="Arial" w:hAnsi="Arial"/>
                  <w:sz w:val="18"/>
                  <w:szCs w:val="18"/>
                  <w:color w:val="0000FF"/>
                  <w:w w:val="92"/>
                </w:rPr>
                <w:t>Form 8-K filed on July 14, 2015).</w:t>
              </w:r>
            </w:hyperlink>
          </w:p>
        </w:tc>
        <w:tc>
          <w:tcPr>
            <w:tcW w:w="7560" w:type="dxa"/>
            <w:vAlign w:val="bottom"/>
            <w:gridSpan w:val="11"/>
          </w:tcPr>
          <w:p>
            <w:pPr>
              <w:spacing w:after="0"/>
              <w:rPr>
                <w:sz w:val="17"/>
                <w:szCs w:val="17"/>
                <w:color w:val="auto"/>
              </w:rPr>
            </w:pPr>
          </w:p>
        </w:tc>
      </w:tr>
      <w:tr>
        <w:trPr>
          <w:trHeight w:val="42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2.2*</w:t>
            </w:r>
          </w:p>
        </w:tc>
        <w:tc>
          <w:tcPr>
            <w:tcW w:w="10000" w:type="dxa"/>
            <w:vAlign w:val="bottom"/>
            <w:gridSpan w:val="13"/>
          </w:tcPr>
          <w:p>
            <w:pPr>
              <w:spacing w:after="0"/>
              <w:rPr>
                <w:rFonts w:ascii="Arial" w:cs="Arial" w:eastAsia="Arial" w:hAnsi="Arial"/>
                <w:sz w:val="18"/>
                <w:szCs w:val="18"/>
                <w:color w:val="0000FF"/>
                <w:w w:val="95"/>
              </w:rPr>
            </w:pPr>
            <w:hyperlink r:id="rId56">
              <w:r>
                <w:rPr>
                  <w:rFonts w:ascii="Arial" w:cs="Arial" w:eastAsia="Arial" w:hAnsi="Arial"/>
                  <w:sz w:val="18"/>
                  <w:szCs w:val="18"/>
                  <w:color w:val="0000FF"/>
                  <w:w w:val="95"/>
                </w:rPr>
                <w:t>First Amendment to Purchase and Sale Agreement effective December 10, 2015, by and among, Alinda Gas Delaware LLC, Alinda</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400" w:type="dxa"/>
            <w:vAlign w:val="bottom"/>
            <w:shd w:val="clear" w:color="auto" w:fill="0000FF"/>
          </w:tcPr>
          <w:p>
            <w:pPr>
              <w:spacing w:after="0" w:line="20" w:lineRule="exact"/>
              <w:rPr>
                <w:sz w:val="1"/>
                <w:szCs w:val="1"/>
                <w:color w:val="auto"/>
              </w:rPr>
            </w:pPr>
          </w:p>
        </w:tc>
        <w:tc>
          <w:tcPr>
            <w:tcW w:w="1560" w:type="dxa"/>
            <w:vAlign w:val="bottom"/>
            <w:shd w:val="clear" w:color="auto" w:fill="0000FF"/>
          </w:tcPr>
          <w:p>
            <w:pPr>
              <w:spacing w:after="0" w:line="20" w:lineRule="exact"/>
              <w:rPr>
                <w:sz w:val="1"/>
                <w:szCs w:val="1"/>
                <w:color w:val="auto"/>
              </w:rPr>
            </w:pPr>
          </w:p>
        </w:tc>
        <w:tc>
          <w:tcPr>
            <w:tcW w:w="340" w:type="dxa"/>
            <w:vAlign w:val="bottom"/>
            <w:tcBorders>
              <w:right w:val="single" w:sz="8" w:color="0000FF"/>
            </w:tcBorders>
            <w:gridSpan w:val="2"/>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1420" w:type="dxa"/>
            <w:vAlign w:val="bottom"/>
          </w:tcPr>
          <w:p>
            <w:pPr>
              <w:spacing w:after="0"/>
              <w:rPr>
                <w:sz w:val="17"/>
                <w:szCs w:val="17"/>
                <w:color w:val="auto"/>
              </w:rPr>
            </w:pPr>
          </w:p>
        </w:tc>
        <w:tc>
          <w:tcPr>
            <w:tcW w:w="9860" w:type="dxa"/>
            <w:vAlign w:val="bottom"/>
            <w:tcBorders>
              <w:bottom w:val="single" w:sz="8" w:color="0000FF"/>
            </w:tcBorders>
            <w:gridSpan w:val="11"/>
          </w:tcPr>
          <w:p>
            <w:pPr>
              <w:spacing w:after="0" w:line="196" w:lineRule="exact"/>
              <w:rPr>
                <w:rFonts w:ascii="Arial" w:cs="Arial" w:eastAsia="Arial" w:hAnsi="Arial"/>
                <w:sz w:val="18"/>
                <w:szCs w:val="18"/>
                <w:color w:val="0000FF"/>
                <w:w w:val="92"/>
              </w:rPr>
            </w:pPr>
            <w:hyperlink r:id="rId56">
              <w:r>
                <w:rPr>
                  <w:rFonts w:ascii="Arial" w:cs="Arial" w:eastAsia="Arial" w:hAnsi="Arial"/>
                  <w:sz w:val="18"/>
                  <w:szCs w:val="18"/>
                  <w:color w:val="0000FF"/>
                  <w:w w:val="92"/>
                </w:rPr>
                <w:t>Infrastructure Fund I, L.P. and Aircraft Services Corporation, as Sellers, and Black Hills Utility Holdings, Inc., as Buyer (filed as Exhibit</w:t>
              </w:r>
            </w:hyperlink>
          </w:p>
        </w:tc>
        <w:tc>
          <w:tcPr>
            <w:tcW w:w="140" w:type="dxa"/>
            <w:vAlign w:val="bottom"/>
            <w:gridSpan w:val="2"/>
          </w:tcPr>
          <w:p>
            <w:pPr>
              <w:spacing w:after="0"/>
              <w:rPr>
                <w:sz w:val="17"/>
                <w:szCs w:val="17"/>
                <w:color w:val="auto"/>
              </w:rPr>
            </w:pPr>
          </w:p>
        </w:tc>
      </w:tr>
      <w:tr>
        <w:trPr>
          <w:trHeight w:val="196"/>
        </w:trPr>
        <w:tc>
          <w:tcPr>
            <w:tcW w:w="1420" w:type="dxa"/>
            <w:vAlign w:val="bottom"/>
          </w:tcPr>
          <w:p>
            <w:pPr>
              <w:spacing w:after="0"/>
              <w:rPr>
                <w:sz w:val="17"/>
                <w:szCs w:val="17"/>
                <w:color w:val="auto"/>
              </w:rPr>
            </w:pPr>
          </w:p>
        </w:tc>
        <w:tc>
          <w:tcPr>
            <w:tcW w:w="10000" w:type="dxa"/>
            <w:vAlign w:val="bottom"/>
            <w:gridSpan w:val="13"/>
          </w:tcPr>
          <w:p>
            <w:pPr>
              <w:spacing w:after="0" w:line="196" w:lineRule="exact"/>
              <w:rPr>
                <w:rFonts w:ascii="Arial" w:cs="Arial" w:eastAsia="Arial" w:hAnsi="Arial"/>
                <w:sz w:val="18"/>
                <w:szCs w:val="18"/>
                <w:color w:val="0000FF"/>
              </w:rPr>
            </w:pPr>
            <w:hyperlink r:id="rId56">
              <w:r>
                <w:rPr>
                  <w:rFonts w:ascii="Arial" w:cs="Arial" w:eastAsia="Arial" w:hAnsi="Arial"/>
                  <w:sz w:val="18"/>
                  <w:szCs w:val="18"/>
                  <w:color w:val="0000FF"/>
                </w:rPr>
                <w:t>2.</w:t>
              </w:r>
              <w:r>
                <w:rPr>
                  <w:rFonts w:ascii="Arial" w:cs="Arial" w:eastAsia="Arial" w:hAnsi="Arial"/>
                  <w:sz w:val="18"/>
                  <w:szCs w:val="18"/>
                  <w:u w:val="single" w:color="auto"/>
                  <w:color w:val="0000FF"/>
                </w:rPr>
                <w:t>2</w:t>
              </w:r>
              <w:r>
                <w:rPr>
                  <w:rFonts w:ascii="Arial" w:cs="Arial" w:eastAsia="Arial" w:hAnsi="Arial"/>
                  <w:sz w:val="18"/>
                  <w:szCs w:val="18"/>
                  <w:color w:val="0000FF"/>
                </w:rPr>
                <w:t xml:space="preserve"> to the Registrant’s Form 10-K for 2015).</w:t>
              </w:r>
            </w:hyperlink>
          </w:p>
        </w:tc>
      </w:tr>
      <w:tr>
        <w:trPr>
          <w:trHeight w:val="20"/>
        </w:trPr>
        <w:tc>
          <w:tcPr>
            <w:tcW w:w="1420" w:type="dxa"/>
            <w:vAlign w:val="bottom"/>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720" w:type="dxa"/>
            <w:vAlign w:val="bottom"/>
            <w:gridSpan w:val="2"/>
            <w:shd w:val="clear" w:color="auto" w:fill="0000FF"/>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3"/>
          </w:tcPr>
          <w:p>
            <w:pPr>
              <w:spacing w:after="0" w:line="20" w:lineRule="exact"/>
              <w:rPr>
                <w:sz w:val="1"/>
                <w:szCs w:val="1"/>
                <w:color w:val="auto"/>
              </w:rPr>
            </w:pPr>
          </w:p>
        </w:tc>
      </w:tr>
      <w:tr>
        <w:trPr>
          <w:trHeight w:val="42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2.3*</w:t>
            </w:r>
          </w:p>
        </w:tc>
        <w:tc>
          <w:tcPr>
            <w:tcW w:w="10000" w:type="dxa"/>
            <w:vAlign w:val="bottom"/>
            <w:gridSpan w:val="13"/>
          </w:tcPr>
          <w:p>
            <w:pPr>
              <w:spacing w:after="0"/>
              <w:rPr>
                <w:rFonts w:ascii="Arial" w:cs="Arial" w:eastAsia="Arial" w:hAnsi="Arial"/>
                <w:sz w:val="18"/>
                <w:szCs w:val="18"/>
                <w:color w:val="0000FF"/>
                <w:w w:val="94"/>
              </w:rPr>
            </w:pPr>
            <w:hyperlink r:id="rId57">
              <w:r>
                <w:rPr>
                  <w:rFonts w:ascii="Arial" w:cs="Arial" w:eastAsia="Arial" w:hAnsi="Arial"/>
                  <w:sz w:val="18"/>
                  <w:szCs w:val="18"/>
                  <w:color w:val="0000FF"/>
                  <w:w w:val="94"/>
                </w:rPr>
                <w:t>Option Agreement, by and among, Aircraft Services Corporation, as ASC, SourceGas Holdings LLC, as the Company and Black Hills</w:t>
              </w:r>
            </w:hyperlink>
          </w:p>
        </w:tc>
      </w:tr>
      <w:tr>
        <w:trPr>
          <w:trHeight w:val="196"/>
        </w:trPr>
        <w:tc>
          <w:tcPr>
            <w:tcW w:w="1420" w:type="dxa"/>
            <w:vAlign w:val="bottom"/>
          </w:tcPr>
          <w:p>
            <w:pPr>
              <w:spacing w:after="0"/>
              <w:rPr>
                <w:sz w:val="17"/>
                <w:szCs w:val="17"/>
                <w:color w:val="auto"/>
              </w:rPr>
            </w:pPr>
          </w:p>
        </w:tc>
        <w:tc>
          <w:tcPr>
            <w:tcW w:w="758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93"/>
              </w:rPr>
            </w:pPr>
            <w:hyperlink r:id="rId57">
              <w:r>
                <w:rPr>
                  <w:rFonts w:ascii="Arial" w:cs="Arial" w:eastAsia="Arial" w:hAnsi="Arial"/>
                  <w:sz w:val="18"/>
                  <w:szCs w:val="18"/>
                  <w:color w:val="0000FF"/>
                  <w:w w:val="93"/>
                </w:rPr>
                <w:t>Utility Holdings, Inc., as Buyer (filed as Exhibit 2.2 to the Registrant’s Form 8-K filed on July 14, 2015).</w:t>
              </w:r>
            </w:hyperlink>
          </w:p>
        </w:tc>
        <w:tc>
          <w:tcPr>
            <w:tcW w:w="2100" w:type="dxa"/>
            <w:vAlign w:val="bottom"/>
            <w:tcBorders>
              <w:top w:val="single" w:sz="8" w:color="0000FF"/>
            </w:tcBorders>
            <w:gridSpan w:val="4"/>
          </w:tcPr>
          <w:p>
            <w:pPr>
              <w:spacing w:after="0"/>
              <w:rPr>
                <w:sz w:val="17"/>
                <w:szCs w:val="17"/>
                <w:color w:val="auto"/>
              </w:rPr>
            </w:pPr>
          </w:p>
        </w:tc>
        <w:tc>
          <w:tcPr>
            <w:tcW w:w="320" w:type="dxa"/>
            <w:vAlign w:val="bottom"/>
            <w:gridSpan w:val="5"/>
          </w:tcPr>
          <w:p>
            <w:pPr>
              <w:spacing w:after="0"/>
              <w:rPr>
                <w:sz w:val="17"/>
                <w:szCs w:val="17"/>
                <w:color w:val="auto"/>
              </w:rPr>
            </w:pPr>
          </w:p>
        </w:tc>
      </w:tr>
      <w:tr>
        <w:trPr>
          <w:trHeight w:val="42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3.1*</w:t>
            </w:r>
          </w:p>
        </w:tc>
        <w:tc>
          <w:tcPr>
            <w:tcW w:w="9140" w:type="dxa"/>
            <w:vAlign w:val="bottom"/>
            <w:tcBorders>
              <w:bottom w:val="single" w:sz="8" w:color="0000FF"/>
            </w:tcBorders>
            <w:gridSpan w:val="5"/>
          </w:tcPr>
          <w:p>
            <w:pPr>
              <w:spacing w:after="0"/>
              <w:rPr>
                <w:rFonts w:ascii="Arial" w:cs="Arial" w:eastAsia="Arial" w:hAnsi="Arial"/>
                <w:sz w:val="18"/>
                <w:szCs w:val="18"/>
                <w:color w:val="0000FF"/>
                <w:w w:val="91"/>
              </w:rPr>
            </w:pPr>
            <w:hyperlink r:id="rId58">
              <w:r>
                <w:rPr>
                  <w:rFonts w:ascii="Arial" w:cs="Arial" w:eastAsia="Arial" w:hAnsi="Arial"/>
                  <w:sz w:val="18"/>
                  <w:szCs w:val="18"/>
                  <w:color w:val="0000FF"/>
                  <w:w w:val="91"/>
                </w:rPr>
                <w:t>Restated Articles of Incorporation of the Registrant (filed as Exhibit 3 to the Registrant’s Form 8-K filed on February 5, 2018).</w:t>
              </w:r>
            </w:hyperlink>
          </w:p>
        </w:tc>
        <w:tc>
          <w:tcPr>
            <w:tcW w:w="860" w:type="dxa"/>
            <w:vAlign w:val="bottom"/>
            <w:gridSpan w:val="8"/>
          </w:tcPr>
          <w:p>
            <w:pPr>
              <w:spacing w:after="0"/>
              <w:rPr>
                <w:sz w:val="24"/>
                <w:szCs w:val="24"/>
                <w:color w:val="auto"/>
              </w:rPr>
            </w:pPr>
          </w:p>
        </w:tc>
      </w:tr>
      <w:tr>
        <w:trPr>
          <w:trHeight w:val="42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3.2*</w:t>
            </w:r>
          </w:p>
        </w:tc>
        <w:tc>
          <w:tcPr>
            <w:tcW w:w="10000" w:type="dxa"/>
            <w:vAlign w:val="bottom"/>
            <w:gridSpan w:val="13"/>
          </w:tcPr>
          <w:p>
            <w:pPr>
              <w:spacing w:after="0"/>
              <w:rPr>
                <w:rFonts w:ascii="Arial" w:cs="Arial" w:eastAsia="Arial" w:hAnsi="Arial"/>
                <w:sz w:val="18"/>
                <w:szCs w:val="18"/>
                <w:color w:val="0000FF"/>
                <w:w w:val="94"/>
              </w:rPr>
            </w:pPr>
            <w:hyperlink r:id="rId59">
              <w:r>
                <w:rPr>
                  <w:rFonts w:ascii="Arial" w:cs="Arial" w:eastAsia="Arial" w:hAnsi="Arial"/>
                  <w:sz w:val="18"/>
                  <w:szCs w:val="18"/>
                  <w:color w:val="0000FF"/>
                  <w:w w:val="94"/>
                </w:rPr>
                <w:t>Amended and Restated Bylaws of the Registrant dated April 24, 2017 (filed as Exhibit 3 to the Registrant’s Form 8-K filed on April 28,</w:t>
              </w:r>
            </w:hyperlink>
          </w:p>
        </w:tc>
      </w:tr>
      <w:tr>
        <w:trPr>
          <w:trHeight w:val="196"/>
        </w:trPr>
        <w:tc>
          <w:tcPr>
            <w:tcW w:w="1420" w:type="dxa"/>
            <w:vAlign w:val="bottom"/>
          </w:tcPr>
          <w:p>
            <w:pPr>
              <w:spacing w:after="0"/>
              <w:rPr>
                <w:sz w:val="17"/>
                <w:szCs w:val="17"/>
                <w:color w:val="auto"/>
              </w:rPr>
            </w:pPr>
          </w:p>
        </w:tc>
        <w:tc>
          <w:tcPr>
            <w:tcW w:w="4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86"/>
              </w:rPr>
            </w:pPr>
            <w:hyperlink r:id="rId59">
              <w:r>
                <w:rPr>
                  <w:rFonts w:ascii="Arial" w:cs="Arial" w:eastAsia="Arial" w:hAnsi="Arial"/>
                  <w:sz w:val="18"/>
                  <w:szCs w:val="18"/>
                  <w:color w:val="0000FF"/>
                  <w:w w:val="86"/>
                </w:rPr>
                <w:t>2017).</w:t>
              </w:r>
            </w:hyperlink>
          </w:p>
        </w:tc>
        <w:tc>
          <w:tcPr>
            <w:tcW w:w="1980" w:type="dxa"/>
            <w:vAlign w:val="bottom"/>
            <w:tcBorders>
              <w:top w:val="single" w:sz="8" w:color="0000FF"/>
            </w:tcBorders>
          </w:tcPr>
          <w:p>
            <w:pPr>
              <w:spacing w:after="0"/>
              <w:rPr>
                <w:sz w:val="17"/>
                <w:szCs w:val="17"/>
                <w:color w:val="auto"/>
              </w:rPr>
            </w:pPr>
          </w:p>
        </w:tc>
        <w:tc>
          <w:tcPr>
            <w:tcW w:w="740" w:type="dxa"/>
            <w:vAlign w:val="bottom"/>
            <w:tcBorders>
              <w:top w:val="single" w:sz="8" w:color="0000FF"/>
            </w:tcBorders>
          </w:tcPr>
          <w:p>
            <w:pPr>
              <w:spacing w:after="0"/>
              <w:rPr>
                <w:sz w:val="17"/>
                <w:szCs w:val="17"/>
                <w:color w:val="auto"/>
              </w:rPr>
            </w:pPr>
          </w:p>
        </w:tc>
        <w:tc>
          <w:tcPr>
            <w:tcW w:w="4400" w:type="dxa"/>
            <w:vAlign w:val="bottom"/>
            <w:tcBorders>
              <w:top w:val="single" w:sz="8" w:color="0000FF"/>
            </w:tcBorders>
          </w:tcPr>
          <w:p>
            <w:pPr>
              <w:spacing w:after="0"/>
              <w:rPr>
                <w:sz w:val="17"/>
                <w:szCs w:val="17"/>
                <w:color w:val="auto"/>
              </w:rPr>
            </w:pPr>
          </w:p>
        </w:tc>
        <w:tc>
          <w:tcPr>
            <w:tcW w:w="156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220" w:type="dxa"/>
            <w:vAlign w:val="bottom"/>
            <w:tcBorders>
              <w:top w:val="single" w:sz="8" w:color="0000FF"/>
            </w:tcBorders>
          </w:tcPr>
          <w:p>
            <w:pPr>
              <w:spacing w:after="0"/>
              <w:rPr>
                <w:sz w:val="17"/>
                <w:szCs w:val="17"/>
                <w:color w:val="auto"/>
              </w:rPr>
            </w:pPr>
          </w:p>
        </w:tc>
        <w:tc>
          <w:tcPr>
            <w:tcW w:w="200" w:type="dxa"/>
            <w:vAlign w:val="bottom"/>
            <w:tcBorders>
              <w:top w:val="single" w:sz="8" w:color="0000FF"/>
            </w:tcBorders>
          </w:tcPr>
          <w:p>
            <w:pPr>
              <w:spacing w:after="0"/>
              <w:rPr>
                <w:sz w:val="17"/>
                <w:szCs w:val="17"/>
                <w:color w:val="auto"/>
              </w:rPr>
            </w:pPr>
          </w:p>
        </w:tc>
        <w:tc>
          <w:tcPr>
            <w:tcW w:w="2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26"/>
        </w:trPr>
        <w:tc>
          <w:tcPr>
            <w:tcW w:w="1420" w:type="dxa"/>
            <w:vAlign w:val="bottom"/>
          </w:tcPr>
          <w:p>
            <w:pPr>
              <w:jc w:val="right"/>
              <w:ind w:right="970"/>
              <w:spacing w:after="0"/>
              <w:rPr>
                <w:sz w:val="20"/>
                <w:szCs w:val="20"/>
                <w:color w:val="auto"/>
              </w:rPr>
            </w:pPr>
            <w:r>
              <w:rPr>
                <w:rFonts w:ascii="Arial" w:cs="Arial" w:eastAsia="Arial" w:hAnsi="Arial"/>
                <w:sz w:val="18"/>
                <w:szCs w:val="18"/>
                <w:color w:val="auto"/>
              </w:rPr>
              <w:t>4.1*</w:t>
            </w:r>
          </w:p>
        </w:tc>
        <w:tc>
          <w:tcPr>
            <w:tcW w:w="9700" w:type="dxa"/>
            <w:vAlign w:val="bottom"/>
            <w:tcBorders>
              <w:bottom w:val="single" w:sz="8" w:color="0000FF"/>
            </w:tcBorders>
            <w:gridSpan w:val="9"/>
          </w:tcPr>
          <w:p>
            <w:pPr>
              <w:spacing w:after="0"/>
              <w:rPr>
                <w:rFonts w:ascii="Arial" w:cs="Arial" w:eastAsia="Arial" w:hAnsi="Arial"/>
                <w:sz w:val="18"/>
                <w:szCs w:val="18"/>
                <w:color w:val="0000FF"/>
                <w:w w:val="89"/>
              </w:rPr>
            </w:pPr>
            <w:hyperlink r:id="rId60">
              <w:r>
                <w:rPr>
                  <w:rFonts w:ascii="Arial" w:cs="Arial" w:eastAsia="Arial" w:hAnsi="Arial"/>
                  <w:sz w:val="18"/>
                  <w:szCs w:val="18"/>
                  <w:color w:val="0000FF"/>
                  <w:w w:val="89"/>
                </w:rPr>
                <w:t>Indenture dated as of May 21, 2003 between the Registrant and Wells Fargo Bank, National Association (as successor to LaSalle Bank</w:t>
              </w:r>
            </w:hyperlink>
          </w:p>
        </w:tc>
        <w:tc>
          <w:tcPr>
            <w:tcW w:w="300" w:type="dxa"/>
            <w:vAlign w:val="bottom"/>
            <w:gridSpan w:val="4"/>
          </w:tcPr>
          <w:p>
            <w:pPr>
              <w:spacing w:after="0"/>
              <w:rPr>
                <w:sz w:val="24"/>
                <w:szCs w:val="24"/>
                <w:color w:val="auto"/>
              </w:rPr>
            </w:pPr>
          </w:p>
        </w:tc>
      </w:tr>
      <w:tr>
        <w:trPr>
          <w:trHeight w:val="196"/>
        </w:trPr>
        <w:tc>
          <w:tcPr>
            <w:tcW w:w="1420" w:type="dxa"/>
            <w:vAlign w:val="bottom"/>
          </w:tcPr>
          <w:p>
            <w:pPr>
              <w:spacing w:after="0"/>
              <w:rPr>
                <w:sz w:val="17"/>
                <w:szCs w:val="17"/>
                <w:color w:val="auto"/>
              </w:rPr>
            </w:pPr>
          </w:p>
        </w:tc>
        <w:tc>
          <w:tcPr>
            <w:tcW w:w="94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60">
              <w:r>
                <w:rPr>
                  <w:rFonts w:ascii="Arial" w:cs="Arial" w:eastAsia="Arial" w:hAnsi="Arial"/>
                  <w:sz w:val="18"/>
                  <w:szCs w:val="18"/>
                  <w:color w:val="0000FF"/>
                  <w:w w:val="91"/>
                </w:rPr>
                <w:t>National Association), as Trustee (filed as Exhibit 4.1 to the Registrant’s Form 10-Q for the quarterly period ended June 30, 2003).</w:t>
              </w:r>
            </w:hyperlink>
          </w:p>
        </w:tc>
        <w:tc>
          <w:tcPr>
            <w:tcW w:w="520" w:type="dxa"/>
            <w:vAlign w:val="bottom"/>
            <w:gridSpan w:val="6"/>
          </w:tcPr>
          <w:p>
            <w:pPr>
              <w:spacing w:after="0"/>
              <w:rPr>
                <w:sz w:val="17"/>
                <w:szCs w:val="17"/>
                <w:color w:val="auto"/>
              </w:rPr>
            </w:pPr>
          </w:p>
        </w:tc>
      </w:tr>
    </w:tbl>
    <w:p>
      <w:pPr>
        <w:spacing w:after="0" w:line="67" w:lineRule="exact"/>
        <w:rPr>
          <w:sz w:val="20"/>
          <w:szCs w:val="20"/>
          <w:color w:val="auto"/>
        </w:rPr>
      </w:pPr>
    </w:p>
    <w:p>
      <w:pPr>
        <w:ind w:left="1420" w:right="160"/>
        <w:spacing w:after="0" w:line="277" w:lineRule="auto"/>
        <w:rPr>
          <w:rFonts w:ascii="Arial" w:cs="Arial" w:eastAsia="Arial" w:hAnsi="Arial"/>
          <w:sz w:val="18"/>
          <w:szCs w:val="18"/>
          <w:u w:val="single" w:color="auto"/>
          <w:color w:val="0000FF"/>
        </w:rPr>
      </w:pPr>
      <w:hyperlink r:id="rId61">
        <w:r>
          <w:rPr>
            <w:rFonts w:ascii="Arial" w:cs="Arial" w:eastAsia="Arial" w:hAnsi="Arial"/>
            <w:sz w:val="18"/>
            <w:szCs w:val="18"/>
            <w:u w:val="single" w:color="auto"/>
            <w:color w:val="0000FF"/>
          </w:rPr>
          <w:t>First Supplemental Indenture dated as of May 21, 2003 (filed as Exhibit 4.2 to the Registrant’s Form 10-Q for the quarterly period ended</w:t>
        </w:r>
      </w:hyperlink>
      <w:r>
        <w:rPr>
          <w:rFonts w:ascii="Arial" w:cs="Arial" w:eastAsia="Arial" w:hAnsi="Arial"/>
          <w:sz w:val="18"/>
          <w:szCs w:val="18"/>
          <w:u w:val="single" w:color="auto"/>
          <w:color w:val="0000FF"/>
        </w:rPr>
        <w:t xml:space="preserve"> </w:t>
      </w:r>
      <w:hyperlink r:id="rId61">
        <w:r>
          <w:rPr>
            <w:rFonts w:ascii="Arial" w:cs="Arial" w:eastAsia="Arial" w:hAnsi="Arial"/>
            <w:sz w:val="18"/>
            <w:szCs w:val="18"/>
            <w:u w:val="single" w:color="auto"/>
            <w:color w:val="0000FF"/>
          </w:rPr>
          <w:t>June 30, 2003).</w:t>
        </w:r>
      </w:hyperlink>
    </w:p>
    <w:p>
      <w:pPr>
        <w:spacing w:after="0" w:line="8" w:lineRule="exact"/>
        <w:rPr>
          <w:sz w:val="20"/>
          <w:szCs w:val="20"/>
          <w:color w:val="auto"/>
        </w:rPr>
      </w:pPr>
    </w:p>
    <w:p>
      <w:pPr>
        <w:ind w:left="1420"/>
        <w:spacing w:after="0"/>
        <w:rPr>
          <w:rFonts w:ascii="Arial" w:cs="Arial" w:eastAsia="Arial" w:hAnsi="Arial"/>
          <w:sz w:val="17"/>
          <w:szCs w:val="17"/>
          <w:u w:val="single" w:color="auto"/>
          <w:color w:val="0000FF"/>
        </w:rPr>
      </w:pPr>
      <w:hyperlink r:id="rId62">
        <w:r>
          <w:rPr>
            <w:rFonts w:ascii="Arial" w:cs="Arial" w:eastAsia="Arial" w:hAnsi="Arial"/>
            <w:sz w:val="17"/>
            <w:szCs w:val="17"/>
            <w:u w:val="single" w:color="auto"/>
            <w:color w:val="0000FF"/>
          </w:rPr>
          <w:t>Second Supplemental Indenture dated as of May 14, 2009 (filed as Exhibit 4 to the Registrant’s Form 8-K filed on May 14, 2009).</w:t>
        </w:r>
      </w:hyperlink>
    </w:p>
    <w:p>
      <w:pPr>
        <w:spacing w:after="0" w:line="75" w:lineRule="exact"/>
        <w:rPr>
          <w:sz w:val="20"/>
          <w:szCs w:val="20"/>
          <w:color w:val="auto"/>
        </w:rPr>
      </w:pPr>
    </w:p>
    <w:p>
      <w:pPr>
        <w:ind w:left="142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Third Supplemental Indenture dated as of July 16, 2010 (filed as Exhibit 4 to Registrant’s Form 8-K filed on July 15, 2010).</w:t>
        </w:r>
      </w:hyperlink>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420"/>
          </w:cols>
          <w:pgMar w:left="240" w:top="126" w:right="239" w:bottom="1440" w:gutter="0" w:footer="0" w:header="0"/>
        </w:sectPr>
      </w:pPr>
    </w:p>
    <w:bookmarkStart w:id="146" w:name="page147"/>
    <w:bookmarkEnd w:id="146"/>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spacing w:after="0"/>
              <w:rPr>
                <w:rFonts w:ascii="Arial" w:cs="Arial" w:eastAsia="Arial" w:hAnsi="Arial"/>
                <w:sz w:val="16"/>
                <w:szCs w:val="16"/>
                <w:b w:val="1"/>
                <w:bCs w:val="1"/>
                <w:color w:val="0000EE"/>
                <w:w w:val="88"/>
              </w:rPr>
            </w:pPr>
            <w:hyperlink w:anchor="page2">
              <w:r>
                <w:rPr>
                  <w:rFonts w:ascii="Arial" w:cs="Arial" w:eastAsia="Arial" w:hAnsi="Arial"/>
                  <w:sz w:val="16"/>
                  <w:szCs w:val="16"/>
                  <w:b w:val="1"/>
                  <w:bCs w:val="1"/>
                  <w:color w:val="0000EE"/>
                  <w:w w:val="88"/>
                </w:rPr>
                <w:t>Table of Contents</w:t>
              </w:r>
            </w:hyperlink>
          </w:p>
        </w:tc>
        <w:tc>
          <w:tcPr>
            <w:tcW w:w="20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561"/>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80" w:type="dxa"/>
            <w:vAlign w:val="bottom"/>
            <w:tcBorders>
              <w:bottom w:val="single" w:sz="8" w:color="0000FF"/>
            </w:tcBorders>
            <w:gridSpan w:val="21"/>
          </w:tcPr>
          <w:p>
            <w:pPr>
              <w:spacing w:after="0"/>
              <w:rPr>
                <w:rFonts w:ascii="Arial" w:cs="Arial" w:eastAsia="Arial" w:hAnsi="Arial"/>
                <w:sz w:val="18"/>
                <w:szCs w:val="18"/>
                <w:color w:val="0000FF"/>
                <w:w w:val="91"/>
              </w:rPr>
            </w:pPr>
            <w:hyperlink r:id="rId64">
              <w:r>
                <w:rPr>
                  <w:rFonts w:ascii="Arial" w:cs="Arial" w:eastAsia="Arial" w:hAnsi="Arial"/>
                  <w:sz w:val="18"/>
                  <w:szCs w:val="18"/>
                  <w:color w:val="0000FF"/>
                  <w:w w:val="91"/>
                </w:rPr>
                <w:t>Fourth Supplemental Indenture dated as of November 19, 2013 (filed as Exhibit 4 to the Registrant’s Form 8-K filed on November 18,</w:t>
              </w:r>
            </w:hyperlink>
          </w:p>
        </w:tc>
        <w:tc>
          <w:tcPr>
            <w:tcW w:w="280" w:type="dxa"/>
            <w:vAlign w:val="bottom"/>
            <w:gridSpan w:val="8"/>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700" w:type="dxa"/>
            <w:vAlign w:val="bottom"/>
            <w:gridSpan w:val="2"/>
          </w:tcPr>
          <w:p>
            <w:pPr>
              <w:ind w:left="200"/>
              <w:spacing w:after="0" w:line="196" w:lineRule="exact"/>
              <w:rPr>
                <w:rFonts w:ascii="Arial" w:cs="Arial" w:eastAsia="Arial" w:hAnsi="Arial"/>
                <w:sz w:val="18"/>
                <w:szCs w:val="18"/>
                <w:color w:val="0000FF"/>
                <w:w w:val="90"/>
              </w:rPr>
            </w:pPr>
            <w:hyperlink r:id="rId64">
              <w:r>
                <w:rPr>
                  <w:rFonts w:ascii="Arial" w:cs="Arial" w:eastAsia="Arial" w:hAnsi="Arial"/>
                  <w:sz w:val="18"/>
                  <w:szCs w:val="18"/>
                  <w:color w:val="0000FF"/>
                  <w:w w:val="90"/>
                </w:rPr>
                <w:t>2013).</w:t>
              </w:r>
            </w:hyperlink>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00" w:type="dxa"/>
            <w:vAlign w:val="bottom"/>
            <w:tcBorders>
              <w:bottom w:val="single" w:sz="8" w:color="0000FF"/>
            </w:tcBorders>
            <w:gridSpan w:val="23"/>
          </w:tcPr>
          <w:p>
            <w:pPr>
              <w:spacing w:after="0"/>
              <w:rPr>
                <w:rFonts w:ascii="Arial" w:cs="Arial" w:eastAsia="Arial" w:hAnsi="Arial"/>
                <w:sz w:val="18"/>
                <w:szCs w:val="18"/>
                <w:color w:val="0000FF"/>
                <w:w w:val="91"/>
              </w:rPr>
            </w:pPr>
            <w:hyperlink r:id="rId65">
              <w:r>
                <w:rPr>
                  <w:rFonts w:ascii="Arial" w:cs="Arial" w:eastAsia="Arial" w:hAnsi="Arial"/>
                  <w:sz w:val="18"/>
                  <w:szCs w:val="18"/>
                  <w:color w:val="0000FF"/>
                  <w:w w:val="91"/>
                </w:rPr>
                <w:t>Fifth Supplemental Indenture dated as of January 13, 2016 (filed as Exhibit 4.1 to the Registrant’s Form 8-K filed on January 13, 2016).</w:t>
              </w:r>
            </w:hyperlink>
          </w:p>
        </w:tc>
        <w:tc>
          <w:tcPr>
            <w:tcW w:w="160" w:type="dxa"/>
            <w:vAlign w:val="bottom"/>
            <w:gridSpan w:val="6"/>
          </w:tcPr>
          <w:p>
            <w:pPr>
              <w:spacing w:after="0"/>
              <w:rPr>
                <w:sz w:val="21"/>
                <w:szCs w:val="2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60" w:type="dxa"/>
            <w:vAlign w:val="bottom"/>
            <w:gridSpan w:val="29"/>
          </w:tcPr>
          <w:p>
            <w:pPr>
              <w:spacing w:after="0"/>
              <w:rPr>
                <w:rFonts w:ascii="Arial" w:cs="Arial" w:eastAsia="Arial" w:hAnsi="Arial"/>
                <w:sz w:val="18"/>
                <w:szCs w:val="18"/>
                <w:color w:val="0000FF"/>
                <w:w w:val="93"/>
              </w:rPr>
            </w:pPr>
            <w:hyperlink r:id="rId66">
              <w:r>
                <w:rPr>
                  <w:rFonts w:ascii="Arial" w:cs="Arial" w:eastAsia="Arial" w:hAnsi="Arial"/>
                  <w:sz w:val="18"/>
                  <w:szCs w:val="18"/>
                  <w:color w:val="0000FF"/>
                  <w:w w:val="93"/>
                </w:rPr>
                <w:t>Sixth Supplemental Indenture dated as of August 19, 2016 (filed as Exhibit 4.1 to the Registrant’s Form 8-K filed on August 19, 2016).</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60" w:type="dxa"/>
            <w:vAlign w:val="bottom"/>
            <w:gridSpan w:val="29"/>
          </w:tcPr>
          <w:p>
            <w:pPr>
              <w:spacing w:after="0"/>
              <w:rPr>
                <w:rFonts w:ascii="Arial" w:cs="Arial" w:eastAsia="Arial" w:hAnsi="Arial"/>
                <w:sz w:val="18"/>
                <w:szCs w:val="18"/>
                <w:color w:val="0000FF"/>
                <w:w w:val="91"/>
              </w:rPr>
            </w:pPr>
            <w:hyperlink r:id="rId67">
              <w:r>
                <w:rPr>
                  <w:rFonts w:ascii="Arial" w:cs="Arial" w:eastAsia="Arial" w:hAnsi="Arial"/>
                  <w:sz w:val="18"/>
                  <w:szCs w:val="18"/>
                  <w:color w:val="0000FF"/>
                  <w:w w:val="91"/>
                </w:rPr>
                <w:t>Seventh Supplemental Indenture dated as of August 17, 2018 (filed as Exhibit 4.2 to the Registrant’s Form 8-K filed on August 17, 2018).</w:t>
              </w:r>
            </w:hyperlink>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40" w:type="dxa"/>
            <w:vAlign w:val="bottom"/>
            <w:tcBorders>
              <w:top w:val="single" w:sz="8" w:color="0000FF"/>
            </w:tcBorders>
            <w:gridSpan w:val="28"/>
          </w:tcPr>
          <w:p>
            <w:pPr>
              <w:spacing w:after="0"/>
              <w:rPr>
                <w:rFonts w:ascii="Arial" w:cs="Arial" w:eastAsia="Arial" w:hAnsi="Arial"/>
                <w:sz w:val="18"/>
                <w:szCs w:val="18"/>
                <w:color w:val="0000FF"/>
                <w:w w:val="92"/>
              </w:rPr>
            </w:pPr>
            <w:hyperlink r:id="rId68">
              <w:r>
                <w:rPr>
                  <w:rFonts w:ascii="Arial" w:cs="Arial" w:eastAsia="Arial" w:hAnsi="Arial"/>
                  <w:sz w:val="18"/>
                  <w:szCs w:val="18"/>
                  <w:color w:val="0000FF"/>
                  <w:w w:val="92"/>
                </w:rPr>
                <w:t>Eighth Supplemental Indenture dated as of October 3, 2019 (filed as Exhibit 4.1 to the Registrant’s Form 8-K filed on October 4, 2019).</w:t>
              </w:r>
            </w:hyperlink>
          </w:p>
        </w:tc>
        <w:tc>
          <w:tcPr>
            <w:tcW w:w="20" w:type="dxa"/>
            <w:vAlign w:val="bottom"/>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tcBorders>
              <w:left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4.2*</w:t>
            </w:r>
          </w:p>
        </w:tc>
        <w:tc>
          <w:tcPr>
            <w:tcW w:w="200" w:type="dxa"/>
            <w:vAlign w:val="bottom"/>
          </w:tcPr>
          <w:p>
            <w:pPr>
              <w:spacing w:after="0"/>
              <w:rPr>
                <w:sz w:val="24"/>
                <w:szCs w:val="24"/>
                <w:color w:val="auto"/>
              </w:rPr>
            </w:pPr>
          </w:p>
        </w:tc>
        <w:tc>
          <w:tcPr>
            <w:tcW w:w="9960" w:type="dxa"/>
            <w:vAlign w:val="bottom"/>
            <w:tcBorders>
              <w:bottom w:val="single" w:sz="8" w:color="0000FF"/>
            </w:tcBorders>
            <w:gridSpan w:val="29"/>
          </w:tcPr>
          <w:p>
            <w:pPr>
              <w:spacing w:after="0"/>
              <w:rPr>
                <w:rFonts w:ascii="Arial" w:cs="Arial" w:eastAsia="Arial" w:hAnsi="Arial"/>
                <w:sz w:val="18"/>
                <w:szCs w:val="18"/>
                <w:color w:val="0000FF"/>
                <w:w w:val="91"/>
              </w:rPr>
            </w:pPr>
            <w:hyperlink r:id="rId69">
              <w:r>
                <w:rPr>
                  <w:rFonts w:ascii="Arial" w:cs="Arial" w:eastAsia="Arial" w:hAnsi="Arial"/>
                  <w:sz w:val="18"/>
                  <w:szCs w:val="18"/>
                  <w:color w:val="0000FF"/>
                  <w:w w:val="91"/>
                </w:rPr>
                <w:t>Restated and Amended Indenture of Mortgage and Deed of Trust of Black Hills Corporation (now called Black Hills Power, Inc.) dated as</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tcBorders>
              <w:bottom w:val="single" w:sz="8" w:color="0000FF"/>
            </w:tcBorders>
            <w:gridSpan w:val="29"/>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of September 1, 1999 (filed as Exhibit 4.19 to the Registrant’s Post-Effective Amendment No. 1 to the Registrant’s Registration Statement</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tcBorders>
              <w:bottom w:val="single" w:sz="8" w:color="0000FF"/>
            </w:tcBorders>
            <w:gridSpan w:val="4"/>
          </w:tcPr>
          <w:p>
            <w:pPr>
              <w:spacing w:after="0" w:line="196" w:lineRule="exact"/>
              <w:rPr>
                <w:rFonts w:ascii="Arial" w:cs="Arial" w:eastAsia="Arial" w:hAnsi="Arial"/>
                <w:sz w:val="18"/>
                <w:szCs w:val="18"/>
                <w:color w:val="0000FF"/>
                <w:w w:val="90"/>
              </w:rPr>
            </w:pPr>
            <w:hyperlink r:id="rId69">
              <w:r>
                <w:rPr>
                  <w:rFonts w:ascii="Arial" w:cs="Arial" w:eastAsia="Arial" w:hAnsi="Arial"/>
                  <w:sz w:val="18"/>
                  <w:szCs w:val="18"/>
                  <w:color w:val="0000FF"/>
                  <w:w w:val="90"/>
                </w:rPr>
                <w:t>on Form S-3 (No. 333-150669)).</w:t>
              </w:r>
            </w:hyperlink>
          </w:p>
        </w:tc>
        <w:tc>
          <w:tcPr>
            <w:tcW w:w="7600" w:type="dxa"/>
            <w:vAlign w:val="bottom"/>
            <w:gridSpan w:val="25"/>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60" w:type="dxa"/>
            <w:vAlign w:val="bottom"/>
            <w:gridSpan w:val="29"/>
          </w:tcPr>
          <w:p>
            <w:pPr>
              <w:spacing w:after="0"/>
              <w:rPr>
                <w:rFonts w:ascii="Arial" w:cs="Arial" w:eastAsia="Arial" w:hAnsi="Arial"/>
                <w:sz w:val="18"/>
                <w:szCs w:val="18"/>
                <w:color w:val="0000FF"/>
                <w:w w:val="95"/>
              </w:rPr>
            </w:pPr>
            <w:hyperlink r:id="rId70">
              <w:r>
                <w:rPr>
                  <w:rFonts w:ascii="Arial" w:cs="Arial" w:eastAsia="Arial" w:hAnsi="Arial"/>
                  <w:sz w:val="18"/>
                  <w:szCs w:val="18"/>
                  <w:color w:val="0000FF"/>
                  <w:w w:val="95"/>
                </w:rPr>
                <w:t>First Supplemental Indenture, dated as of August 13, 2002, between Black Hills Power, Inc. and The Bank of New York Mellon (as</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60" w:type="dxa"/>
            <w:vAlign w:val="bottom"/>
            <w:tcBorders>
              <w:top w:val="single" w:sz="8" w:color="0000FF"/>
              <w:bottom w:val="single" w:sz="8" w:color="0000FF"/>
            </w:tcBorders>
            <w:gridSpan w:val="16"/>
          </w:tcPr>
          <w:p>
            <w:pPr>
              <w:spacing w:after="0" w:line="196" w:lineRule="exact"/>
              <w:rPr>
                <w:rFonts w:ascii="Arial" w:cs="Arial" w:eastAsia="Arial" w:hAnsi="Arial"/>
                <w:sz w:val="18"/>
                <w:szCs w:val="18"/>
                <w:color w:val="0000FF"/>
                <w:w w:val="90"/>
              </w:rPr>
            </w:pPr>
            <w:hyperlink r:id="rId70">
              <w:r>
                <w:rPr>
                  <w:rFonts w:ascii="Arial" w:cs="Arial" w:eastAsia="Arial" w:hAnsi="Arial"/>
                  <w:sz w:val="18"/>
                  <w:szCs w:val="18"/>
                  <w:color w:val="0000FF"/>
                  <w:w w:val="90"/>
                </w:rPr>
                <w:t>successor to JPMorgan Chase Bank), as Trustee (filed as Exhibit 4.20 to the Registrant’s Post-Effective Amendment No. 1 to the</w:t>
              </w:r>
            </w:hyperlink>
          </w:p>
        </w:tc>
        <w:tc>
          <w:tcPr>
            <w:tcW w:w="200" w:type="dxa"/>
            <w:vAlign w:val="bottom"/>
            <w:tcBorders>
              <w:top w:val="single" w:sz="8" w:color="0000FF"/>
            </w:tcBorders>
          </w:tcPr>
          <w:p>
            <w:pPr>
              <w:spacing w:after="0"/>
              <w:rPr>
                <w:sz w:val="17"/>
                <w:szCs w:val="17"/>
                <w:color w:val="auto"/>
              </w:rPr>
            </w:pPr>
          </w:p>
        </w:tc>
        <w:tc>
          <w:tcPr>
            <w:tcW w:w="500" w:type="dxa"/>
            <w:vAlign w:val="bottom"/>
            <w:gridSpan w:val="12"/>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70">
              <w:r>
                <w:rPr>
                  <w:rFonts w:ascii="Arial" w:cs="Arial" w:eastAsia="Arial" w:hAnsi="Arial"/>
                  <w:sz w:val="18"/>
                  <w:szCs w:val="18"/>
                  <w:color w:val="0000FF"/>
                </w:rPr>
                <w:t>Registrant’s Registration Statement on Form S</w:t>
              </w:r>
              <w:r>
                <w:rPr>
                  <w:rFonts w:ascii="MS PGothic" w:cs="MS PGothic" w:eastAsia="MS PGothic" w:hAnsi="MS PGothic"/>
                  <w:sz w:val="18"/>
                  <w:szCs w:val="18"/>
                  <w:color w:val="0000FF"/>
                </w:rPr>
                <w:t>‑</w:t>
              </w:r>
              <w:r>
                <w:rPr>
                  <w:rFonts w:ascii="Arial" w:cs="Arial" w:eastAsia="Arial" w:hAnsi="Arial"/>
                  <w:sz w:val="18"/>
                  <w:szCs w:val="18"/>
                  <w:color w:val="0000FF"/>
                </w:rPr>
                <w:t>3 (No. 333</w:t>
              </w:r>
              <w:r>
                <w:rPr>
                  <w:rFonts w:ascii="MS PGothic" w:cs="MS PGothic" w:eastAsia="MS PGothic" w:hAnsi="MS PGothic"/>
                  <w:sz w:val="18"/>
                  <w:szCs w:val="18"/>
                  <w:color w:val="0000FF"/>
                </w:rPr>
                <w:t>‑</w:t>
              </w:r>
              <w:r>
                <w:rPr>
                  <w:rFonts w:ascii="Arial" w:cs="Arial" w:eastAsia="Arial" w:hAnsi="Arial"/>
                  <w:sz w:val="18"/>
                  <w:szCs w:val="18"/>
                  <w:color w:val="0000FF"/>
                </w:rPr>
                <w:t>150669)).</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20" w:type="dxa"/>
            <w:vAlign w:val="bottom"/>
            <w:tcBorders>
              <w:bottom w:val="single" w:sz="8" w:color="0000FF"/>
            </w:tcBorders>
            <w:gridSpan w:val="27"/>
          </w:tcPr>
          <w:p>
            <w:pPr>
              <w:spacing w:after="0"/>
              <w:rPr>
                <w:rFonts w:ascii="Arial" w:cs="Arial" w:eastAsia="Arial" w:hAnsi="Arial"/>
                <w:sz w:val="18"/>
                <w:szCs w:val="18"/>
                <w:color w:val="0000FF"/>
                <w:w w:val="91"/>
              </w:rPr>
            </w:pPr>
            <w:hyperlink r:id="rId71">
              <w:r>
                <w:rPr>
                  <w:rFonts w:ascii="Arial" w:cs="Arial" w:eastAsia="Arial" w:hAnsi="Arial"/>
                  <w:sz w:val="18"/>
                  <w:szCs w:val="18"/>
                  <w:color w:val="0000FF"/>
                  <w:w w:val="91"/>
                </w:rPr>
                <w:t>Second Supplemental Indenture, dated as of October 27, 2009, between Black Hills Power, Inc. and The Bank of New York Mellon (filed</w:t>
              </w:r>
            </w:hyperlink>
          </w:p>
        </w:tc>
        <w:tc>
          <w:tcPr>
            <w:tcW w:w="40" w:type="dxa"/>
            <w:vAlign w:val="bottom"/>
            <w:gridSpan w:val="2"/>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w w:val="93"/>
              </w:rPr>
            </w:pPr>
            <w:hyperlink r:id="rId71">
              <w:r>
                <w:rPr>
                  <w:rFonts w:ascii="Arial" w:cs="Arial" w:eastAsia="Arial" w:hAnsi="Arial"/>
                  <w:sz w:val="18"/>
                  <w:szCs w:val="18"/>
                  <w:color w:val="0000FF"/>
                  <w:w w:val="93"/>
                </w:rPr>
                <w:t>as Exhibit 4.21 to the Registrant’s Post-Effective Amendment No. 2 to the Registrant’s Registration Statement on Form S-3 (No. 333-</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4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220" w:type="dxa"/>
            <w:vAlign w:val="bottom"/>
          </w:tcPr>
          <w:p>
            <w:pPr>
              <w:spacing w:after="0"/>
              <w:rPr>
                <w:sz w:val="17"/>
                <w:szCs w:val="17"/>
                <w:color w:val="auto"/>
              </w:rPr>
            </w:pPr>
          </w:p>
        </w:tc>
        <w:tc>
          <w:tcPr>
            <w:tcW w:w="900" w:type="dxa"/>
            <w:vAlign w:val="bottom"/>
            <w:gridSpan w:val="3"/>
          </w:tcPr>
          <w:p>
            <w:pPr>
              <w:ind w:left="200"/>
              <w:spacing w:after="0" w:line="196" w:lineRule="exact"/>
              <w:rPr>
                <w:rFonts w:ascii="Arial" w:cs="Arial" w:eastAsia="Arial" w:hAnsi="Arial"/>
                <w:sz w:val="18"/>
                <w:szCs w:val="18"/>
                <w:color w:val="0000FF"/>
                <w:w w:val="88"/>
              </w:rPr>
            </w:pPr>
            <w:hyperlink r:id="rId71">
              <w:r>
                <w:rPr>
                  <w:rFonts w:ascii="Arial" w:cs="Arial" w:eastAsia="Arial" w:hAnsi="Arial"/>
                  <w:sz w:val="18"/>
                  <w:szCs w:val="18"/>
                  <w:color w:val="0000FF"/>
                  <w:w w:val="88"/>
                </w:rPr>
                <w:t>150669)</w:t>
              </w:r>
              <w:r>
                <w:rPr>
                  <w:rFonts w:ascii="Arial" w:cs="Arial" w:eastAsia="Arial" w:hAnsi="Arial"/>
                  <w:sz w:val="18"/>
                  <w:szCs w:val="18"/>
                  <w:u w:val="single" w:color="auto"/>
                  <w:color w:val="0000FF"/>
                  <w:w w:val="88"/>
                </w:rPr>
                <w:t>)</w:t>
              </w:r>
              <w:r>
                <w:rPr>
                  <w:rFonts w:ascii="Arial" w:cs="Arial" w:eastAsia="Arial" w:hAnsi="Arial"/>
                  <w:sz w:val="18"/>
                  <w:szCs w:val="18"/>
                  <w:color w:val="0000FF"/>
                  <w:w w:val="88"/>
                </w:rPr>
                <w:t>.</w:t>
              </w:r>
            </w:hyperlink>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880" w:type="dxa"/>
            <w:vAlign w:val="bottom"/>
            <w:tcBorders>
              <w:bottom w:val="single" w:sz="8" w:color="0000FF"/>
            </w:tcBorders>
            <w:gridSpan w:val="25"/>
          </w:tcPr>
          <w:p>
            <w:pPr>
              <w:spacing w:after="0"/>
              <w:rPr>
                <w:rFonts w:ascii="Arial" w:cs="Arial" w:eastAsia="Arial" w:hAnsi="Arial"/>
                <w:sz w:val="18"/>
                <w:szCs w:val="18"/>
                <w:color w:val="0000FF"/>
                <w:w w:val="91"/>
              </w:rPr>
            </w:pPr>
            <w:hyperlink r:id="rId72">
              <w:r>
                <w:rPr>
                  <w:rFonts w:ascii="Arial" w:cs="Arial" w:eastAsia="Arial" w:hAnsi="Arial"/>
                  <w:sz w:val="18"/>
                  <w:szCs w:val="18"/>
                  <w:color w:val="0000FF"/>
                  <w:w w:val="91"/>
                </w:rPr>
                <w:t>Third Supplemental Indenture, dated as of October 1, 2014, between Black Hills Power, Inc. and The Bank of New York Mellon (filed as</w:t>
              </w:r>
            </w:hyperlink>
          </w:p>
        </w:tc>
        <w:tc>
          <w:tcPr>
            <w:tcW w:w="80" w:type="dxa"/>
            <w:vAlign w:val="bottom"/>
            <w:gridSpan w:val="4"/>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940" w:type="dxa"/>
            <w:vAlign w:val="bottom"/>
            <w:tcBorders>
              <w:bottom w:val="single" w:sz="8" w:color="0000FF"/>
            </w:tcBorders>
            <w:gridSpan w:val="10"/>
          </w:tcPr>
          <w:p>
            <w:pPr>
              <w:spacing w:after="0" w:line="196" w:lineRule="exact"/>
              <w:rPr>
                <w:rFonts w:ascii="Arial" w:cs="Arial" w:eastAsia="Arial" w:hAnsi="Arial"/>
                <w:sz w:val="18"/>
                <w:szCs w:val="18"/>
                <w:color w:val="0000FF"/>
                <w:w w:val="92"/>
              </w:rPr>
            </w:pPr>
            <w:hyperlink r:id="rId72">
              <w:r>
                <w:rPr>
                  <w:rFonts w:ascii="Arial" w:cs="Arial" w:eastAsia="Arial" w:hAnsi="Arial"/>
                  <w:sz w:val="18"/>
                  <w:szCs w:val="18"/>
                  <w:color w:val="0000FF"/>
                  <w:w w:val="92"/>
                </w:rPr>
                <w:t>Exhibit 10.1 to the Registrant’s Form 8-K filed on October 2, 2014).</w:t>
              </w:r>
            </w:hyperlink>
          </w:p>
        </w:tc>
        <w:tc>
          <w:tcPr>
            <w:tcW w:w="5020" w:type="dxa"/>
            <w:vAlign w:val="bottom"/>
            <w:gridSpan w:val="19"/>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4.3*</w:t>
            </w:r>
          </w:p>
        </w:tc>
        <w:tc>
          <w:tcPr>
            <w:tcW w:w="200" w:type="dxa"/>
            <w:vAlign w:val="bottom"/>
          </w:tcPr>
          <w:p>
            <w:pPr>
              <w:spacing w:after="0"/>
              <w:rPr>
                <w:sz w:val="24"/>
                <w:szCs w:val="24"/>
                <w:color w:val="auto"/>
              </w:rPr>
            </w:pPr>
          </w:p>
        </w:tc>
        <w:tc>
          <w:tcPr>
            <w:tcW w:w="9860" w:type="dxa"/>
            <w:vAlign w:val="bottom"/>
            <w:tcBorders>
              <w:bottom w:val="single" w:sz="8" w:color="0000FF"/>
            </w:tcBorders>
            <w:gridSpan w:val="24"/>
          </w:tcPr>
          <w:p>
            <w:pPr>
              <w:spacing w:after="0"/>
              <w:rPr>
                <w:rFonts w:ascii="Arial" w:cs="Arial" w:eastAsia="Arial" w:hAnsi="Arial"/>
                <w:sz w:val="18"/>
                <w:szCs w:val="18"/>
                <w:color w:val="0000FF"/>
                <w:w w:val="89"/>
              </w:rPr>
            </w:pPr>
            <w:hyperlink r:id="rId73">
              <w:r>
                <w:rPr>
                  <w:rFonts w:ascii="Arial" w:cs="Arial" w:eastAsia="Arial" w:hAnsi="Arial"/>
                  <w:sz w:val="18"/>
                  <w:szCs w:val="18"/>
                  <w:color w:val="0000FF"/>
                  <w:w w:val="89"/>
                </w:rPr>
                <w:t>Restated Indenture of Mortgage, Deed of Trust, Security Agreement and Financing Statement, amended and restated as of November 20,</w:t>
              </w:r>
            </w:hyperlink>
          </w:p>
        </w:tc>
        <w:tc>
          <w:tcPr>
            <w:tcW w:w="10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w w:val="95"/>
              </w:rPr>
            </w:pPr>
            <w:hyperlink r:id="rId73">
              <w:r>
                <w:rPr>
                  <w:rFonts w:ascii="Arial" w:cs="Arial" w:eastAsia="Arial" w:hAnsi="Arial"/>
                  <w:sz w:val="18"/>
                  <w:szCs w:val="18"/>
                  <w:color w:val="0000FF"/>
                  <w:w w:val="95"/>
                </w:rPr>
                <w:t>2007, between Cheyenne Light, Fuel and Power Company and Wells Fargo Bank, National Association (filed as Exhibit 10.2 to the</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6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73">
              <w:r>
                <w:rPr>
                  <w:rFonts w:ascii="Arial" w:cs="Arial" w:eastAsia="Arial" w:hAnsi="Arial"/>
                  <w:sz w:val="18"/>
                  <w:szCs w:val="18"/>
                  <w:color w:val="0000FF"/>
                </w:rPr>
                <w:t>Registrant’s Form 8-K filed on October 2, 2014).</w:t>
              </w:r>
            </w:hyperlink>
          </w:p>
        </w:tc>
        <w:tc>
          <w:tcPr>
            <w:tcW w:w="500" w:type="dxa"/>
            <w:vAlign w:val="bottom"/>
            <w:gridSpan w:val="12"/>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20" w:type="dxa"/>
            <w:vAlign w:val="bottom"/>
            <w:tcBorders>
              <w:bottom w:val="single" w:sz="8" w:color="0000FF"/>
            </w:tcBorders>
            <w:gridSpan w:val="27"/>
          </w:tcPr>
          <w:p>
            <w:pPr>
              <w:spacing w:after="0"/>
              <w:rPr>
                <w:rFonts w:ascii="Arial" w:cs="Arial" w:eastAsia="Arial" w:hAnsi="Arial"/>
                <w:sz w:val="18"/>
                <w:szCs w:val="18"/>
                <w:color w:val="0000FF"/>
                <w:w w:val="89"/>
              </w:rPr>
            </w:pPr>
            <w:hyperlink r:id="rId74">
              <w:r>
                <w:rPr>
                  <w:rFonts w:ascii="Arial" w:cs="Arial" w:eastAsia="Arial" w:hAnsi="Arial"/>
                  <w:sz w:val="18"/>
                  <w:szCs w:val="18"/>
                  <w:color w:val="0000FF"/>
                  <w:w w:val="89"/>
                </w:rPr>
                <w:t>First Supplemental Indenture, dated as of September 3, 2009, between Cheyenne Light, Fuel and Power Company and Wells Fargo Bank,</w:t>
              </w:r>
            </w:hyperlink>
          </w:p>
        </w:tc>
        <w:tc>
          <w:tcPr>
            <w:tcW w:w="40" w:type="dxa"/>
            <w:vAlign w:val="bottom"/>
            <w:gridSpan w:val="2"/>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74">
              <w:r>
                <w:rPr>
                  <w:rFonts w:ascii="Arial" w:cs="Arial" w:eastAsia="Arial" w:hAnsi="Arial"/>
                  <w:sz w:val="18"/>
                  <w:szCs w:val="18"/>
                  <w:color w:val="0000FF"/>
                </w:rPr>
                <w:t>National Association (filed as Exhibit 10.3 to the Registrant’s Form 8-K filed on October 2, 2014).</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20" w:type="dxa"/>
            <w:vAlign w:val="bottom"/>
            <w:tcBorders>
              <w:bottom w:val="single" w:sz="8" w:color="0000FF"/>
            </w:tcBorders>
            <w:gridSpan w:val="27"/>
          </w:tcPr>
          <w:p>
            <w:pPr>
              <w:spacing w:after="0"/>
              <w:rPr>
                <w:rFonts w:ascii="Arial" w:cs="Arial" w:eastAsia="Arial" w:hAnsi="Arial"/>
                <w:sz w:val="18"/>
                <w:szCs w:val="18"/>
                <w:color w:val="0000FF"/>
                <w:w w:val="89"/>
              </w:rPr>
            </w:pPr>
            <w:hyperlink r:id="rId75">
              <w:r>
                <w:rPr>
                  <w:rFonts w:ascii="Arial" w:cs="Arial" w:eastAsia="Arial" w:hAnsi="Arial"/>
                  <w:sz w:val="18"/>
                  <w:szCs w:val="18"/>
                  <w:color w:val="0000FF"/>
                  <w:w w:val="89"/>
                </w:rPr>
                <w:t>Second Supplemental Indenture, dated as of October 1, 2014, between Cheyenne Light, Fuel and Power Company and Wells Fargo Bank,</w:t>
              </w:r>
            </w:hyperlink>
          </w:p>
        </w:tc>
        <w:tc>
          <w:tcPr>
            <w:tcW w:w="40" w:type="dxa"/>
            <w:vAlign w:val="bottom"/>
            <w:gridSpan w:val="2"/>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75">
              <w:r>
                <w:rPr>
                  <w:rFonts w:ascii="Arial" w:cs="Arial" w:eastAsia="Arial" w:hAnsi="Arial"/>
                  <w:sz w:val="18"/>
                  <w:szCs w:val="18"/>
                  <w:color w:val="0000FF"/>
                </w:rPr>
                <w:t>National Association (filed as Exhibit 10.4 to the Registrant’s Form 8-K filed on October 2, 2014).</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04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4.4*</w:t>
            </w:r>
          </w:p>
        </w:tc>
        <w:tc>
          <w:tcPr>
            <w:tcW w:w="20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4"/>
              </w:rPr>
            </w:pPr>
            <w:hyperlink r:id="rId76">
              <w:r>
                <w:rPr>
                  <w:rFonts w:ascii="Arial" w:cs="Arial" w:eastAsia="Arial" w:hAnsi="Arial"/>
                  <w:sz w:val="18"/>
                  <w:szCs w:val="18"/>
                  <w:color w:val="0000FF"/>
                  <w:w w:val="94"/>
                </w:rPr>
                <w:t xml:space="preserve">Form of Stock Certificate for Common Stock, Par Value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1.00 Per Share (filed as Exhibit 4.2 to the Registrant’s Form 10-K for 2000).</w:t>
              </w:r>
            </w:hyperlink>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4"/>
                <w:szCs w:val="24"/>
                <w:color w:val="auto"/>
              </w:rPr>
            </w:pPr>
          </w:p>
        </w:tc>
        <w:tc>
          <w:tcPr>
            <w:tcW w:w="9680" w:type="dxa"/>
            <w:vAlign w:val="bottom"/>
            <w:tcBorders>
              <w:top w:val="single" w:sz="8" w:color="0000FF"/>
            </w:tcBorders>
            <w:gridSpan w:val="21"/>
          </w:tcPr>
          <w:p>
            <w:pPr>
              <w:spacing w:after="0"/>
              <w:rPr>
                <w:rFonts w:ascii="Arial" w:cs="Arial" w:eastAsia="Arial" w:hAnsi="Arial"/>
                <w:sz w:val="18"/>
                <w:szCs w:val="18"/>
                <w:color w:val="0000FF"/>
              </w:rPr>
            </w:pPr>
            <w:hyperlink w:anchor="page151">
              <w:r>
                <w:rPr>
                  <w:rFonts w:ascii="Arial" w:cs="Arial" w:eastAsia="Arial" w:hAnsi="Arial"/>
                  <w:sz w:val="18"/>
                  <w:szCs w:val="18"/>
                  <w:color w:val="0000FF"/>
                </w:rPr>
                <w:t>Description of Securities</w:t>
              </w:r>
            </w:hyperlink>
          </w:p>
        </w:tc>
        <w:tc>
          <w:tcPr>
            <w:tcW w:w="280" w:type="dxa"/>
            <w:vAlign w:val="bottom"/>
            <w:gridSpan w:val="8"/>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280" w:type="dxa"/>
            <w:vAlign w:val="bottom"/>
            <w:gridSpan w:val="2"/>
            <w:shd w:val="clear" w:color="auto" w:fill="0000FF"/>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w:t>
            </w:r>
          </w:p>
        </w:tc>
        <w:tc>
          <w:tcPr>
            <w:tcW w:w="200" w:type="dxa"/>
            <w:vAlign w:val="bottom"/>
          </w:tcPr>
          <w:p>
            <w:pPr>
              <w:spacing w:after="0"/>
              <w:rPr>
                <w:sz w:val="24"/>
                <w:szCs w:val="24"/>
                <w:color w:val="auto"/>
              </w:rPr>
            </w:pPr>
          </w:p>
        </w:tc>
        <w:tc>
          <w:tcPr>
            <w:tcW w:w="9960" w:type="dxa"/>
            <w:vAlign w:val="bottom"/>
            <w:gridSpan w:val="29"/>
          </w:tcPr>
          <w:p>
            <w:pPr>
              <w:spacing w:after="0"/>
              <w:rPr>
                <w:rFonts w:ascii="Arial" w:cs="Arial" w:eastAsia="Arial" w:hAnsi="Arial"/>
                <w:sz w:val="18"/>
                <w:szCs w:val="18"/>
                <w:color w:val="0000FF"/>
                <w:w w:val="95"/>
              </w:rPr>
            </w:pPr>
            <w:hyperlink r:id="rId77">
              <w:r>
                <w:rPr>
                  <w:rFonts w:ascii="Arial" w:cs="Arial" w:eastAsia="Arial" w:hAnsi="Arial"/>
                  <w:sz w:val="18"/>
                  <w:szCs w:val="18"/>
                  <w:color w:val="0000FF"/>
                  <w:w w:val="95"/>
                </w:rPr>
                <w:t>Amended and Restated Pension Equalization Plan of Black Hills Corporation dated November 6, 2001 (filed as Exhibit 10.11 to the</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80" w:type="dxa"/>
            <w:vAlign w:val="bottom"/>
            <w:tcBorders>
              <w:top w:val="single" w:sz="8" w:color="0000FF"/>
            </w:tcBorders>
            <w:gridSpan w:val="18"/>
          </w:tcPr>
          <w:p>
            <w:pPr>
              <w:spacing w:after="0" w:line="196" w:lineRule="exact"/>
              <w:rPr>
                <w:rFonts w:ascii="Arial" w:cs="Arial" w:eastAsia="Arial" w:hAnsi="Arial"/>
                <w:sz w:val="18"/>
                <w:szCs w:val="18"/>
                <w:color w:val="0000FF"/>
              </w:rPr>
            </w:pPr>
            <w:hyperlink r:id="rId77">
              <w:r>
                <w:rPr>
                  <w:rFonts w:ascii="Arial" w:cs="Arial" w:eastAsia="Arial" w:hAnsi="Arial"/>
                  <w:sz w:val="18"/>
                  <w:szCs w:val="18"/>
                  <w:color w:val="0000FF"/>
                </w:rPr>
                <w:t>Registrant’s Form 10-K/A for 2001).</w:t>
              </w:r>
            </w:hyperlink>
          </w:p>
        </w:tc>
        <w:tc>
          <w:tcPr>
            <w:tcW w:w="480" w:type="dxa"/>
            <w:vAlign w:val="bottom"/>
            <w:gridSpan w:val="11"/>
          </w:tcPr>
          <w:p>
            <w:pPr>
              <w:spacing w:after="0"/>
              <w:rPr>
                <w:sz w:val="17"/>
                <w:szCs w:val="17"/>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60" w:type="dxa"/>
            <w:vAlign w:val="bottom"/>
            <w:gridSpan w:val="29"/>
          </w:tcPr>
          <w:p>
            <w:pPr>
              <w:spacing w:after="0"/>
              <w:rPr>
                <w:rFonts w:ascii="Arial" w:cs="Arial" w:eastAsia="Arial" w:hAnsi="Arial"/>
                <w:sz w:val="18"/>
                <w:szCs w:val="18"/>
                <w:color w:val="0000FF"/>
              </w:rPr>
            </w:pPr>
            <w:hyperlink r:id="rId78">
              <w:r>
                <w:rPr>
                  <w:rFonts w:ascii="Arial" w:cs="Arial" w:eastAsia="Arial" w:hAnsi="Arial"/>
                  <w:sz w:val="18"/>
                  <w:szCs w:val="18"/>
                  <w:color w:val="0000FF"/>
                </w:rPr>
                <w:t>First Amendment to Pension Equalization Plan (filed as Exhibit 10.10 to the Registrant’s Form 10-K for 2002).</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gridSpan w:val="2"/>
            <w:shd w:val="clear" w:color="auto" w:fill="0000FF"/>
          </w:tcPr>
          <w:p>
            <w:pPr>
              <w:spacing w:after="0" w:line="20" w:lineRule="exact"/>
              <w:rPr>
                <w:sz w:val="1"/>
                <w:szCs w:val="1"/>
                <w:color w:val="auto"/>
              </w:rPr>
            </w:pPr>
          </w:p>
        </w:tc>
        <w:tc>
          <w:tcPr>
            <w:tcW w:w="264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00" w:type="dxa"/>
            <w:vAlign w:val="bottom"/>
            <w:tcBorders>
              <w:bottom w:val="single" w:sz="8" w:color="0000FF"/>
            </w:tcBorders>
            <w:gridSpan w:val="26"/>
          </w:tcPr>
          <w:p>
            <w:pPr>
              <w:spacing w:after="0"/>
              <w:rPr>
                <w:rFonts w:ascii="Arial" w:cs="Arial" w:eastAsia="Arial" w:hAnsi="Arial"/>
                <w:sz w:val="18"/>
                <w:szCs w:val="18"/>
                <w:color w:val="0000FF"/>
                <w:w w:val="91"/>
              </w:rPr>
            </w:pPr>
            <w:hyperlink r:id="rId79">
              <w:r>
                <w:rPr>
                  <w:rFonts w:ascii="Arial" w:cs="Arial" w:eastAsia="Arial" w:hAnsi="Arial"/>
                  <w:sz w:val="18"/>
                  <w:szCs w:val="18"/>
                  <w:color w:val="0000FF"/>
                  <w:w w:val="91"/>
                </w:rPr>
                <w:t>Grandfather Amendment to the Amended and Restated Pension Equalization Plan of Black Hills Corporation (filed as Exhibit 10.2 to the</w:t>
              </w:r>
            </w:hyperlink>
          </w:p>
        </w:tc>
        <w:tc>
          <w:tcPr>
            <w:tcW w:w="60" w:type="dxa"/>
            <w:vAlign w:val="bottom"/>
            <w:gridSpan w:val="3"/>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79">
              <w:r>
                <w:rPr>
                  <w:rFonts w:ascii="Arial" w:cs="Arial" w:eastAsia="Arial" w:hAnsi="Arial"/>
                  <w:sz w:val="18"/>
                  <w:szCs w:val="18"/>
                  <w:color w:val="0000FF"/>
                </w:rPr>
                <w:t>Registrant’s Form 10-K for 2008).</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1960" w:type="dxa"/>
            <w:vAlign w:val="bottom"/>
            <w:gridSpan w:val="4"/>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640" w:type="dxa"/>
            <w:vAlign w:val="bottom"/>
            <w:gridSpan w:val="2"/>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860" w:type="dxa"/>
            <w:vAlign w:val="bottom"/>
            <w:gridSpan w:val="5"/>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10.2*†</w:t>
            </w:r>
          </w:p>
        </w:tc>
        <w:tc>
          <w:tcPr>
            <w:tcW w:w="200" w:type="dxa"/>
            <w:vAlign w:val="bottom"/>
          </w:tcPr>
          <w:p>
            <w:pPr>
              <w:spacing w:after="0"/>
              <w:rPr>
                <w:sz w:val="24"/>
                <w:szCs w:val="24"/>
                <w:color w:val="auto"/>
              </w:rPr>
            </w:pPr>
          </w:p>
        </w:tc>
        <w:tc>
          <w:tcPr>
            <w:tcW w:w="8800" w:type="dxa"/>
            <w:vAlign w:val="bottom"/>
            <w:tcBorders>
              <w:bottom w:val="single" w:sz="8" w:color="0000FF"/>
            </w:tcBorders>
            <w:gridSpan w:val="15"/>
          </w:tcPr>
          <w:p>
            <w:pPr>
              <w:spacing w:after="0"/>
              <w:rPr>
                <w:rFonts w:ascii="Arial" w:cs="Arial" w:eastAsia="Arial" w:hAnsi="Arial"/>
                <w:sz w:val="18"/>
                <w:szCs w:val="18"/>
                <w:color w:val="0000FF"/>
                <w:w w:val="92"/>
              </w:rPr>
            </w:pPr>
            <w:hyperlink r:id="rId80">
              <w:r>
                <w:rPr>
                  <w:rFonts w:ascii="Arial" w:cs="Arial" w:eastAsia="Arial" w:hAnsi="Arial"/>
                  <w:sz w:val="18"/>
                  <w:szCs w:val="18"/>
                  <w:color w:val="0000FF"/>
                  <w:w w:val="92"/>
                </w:rPr>
                <w:t>2005 Pension Equalization Plan of Black Hills Corporation (filed as Exhibit 10.3 to the Registrant’s Form 10-K for 2008).</w:t>
              </w:r>
            </w:hyperlink>
          </w:p>
        </w:tc>
        <w:tc>
          <w:tcPr>
            <w:tcW w:w="1160" w:type="dxa"/>
            <w:vAlign w:val="bottom"/>
            <w:gridSpan w:val="14"/>
          </w:tcPr>
          <w:p>
            <w:pPr>
              <w:spacing w:after="0"/>
              <w:rPr>
                <w:sz w:val="24"/>
                <w:szCs w:val="24"/>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10.3*†</w:t>
            </w:r>
          </w:p>
        </w:tc>
        <w:tc>
          <w:tcPr>
            <w:tcW w:w="200" w:type="dxa"/>
            <w:vAlign w:val="bottom"/>
          </w:tcPr>
          <w:p>
            <w:pPr>
              <w:spacing w:after="0"/>
              <w:rPr>
                <w:sz w:val="24"/>
                <w:szCs w:val="24"/>
                <w:color w:val="auto"/>
              </w:rPr>
            </w:pPr>
          </w:p>
        </w:tc>
        <w:tc>
          <w:tcPr>
            <w:tcW w:w="7700" w:type="dxa"/>
            <w:vAlign w:val="bottom"/>
            <w:tcBorders>
              <w:bottom w:val="single" w:sz="8" w:color="0000FF"/>
            </w:tcBorders>
            <w:gridSpan w:val="13"/>
          </w:tcPr>
          <w:p>
            <w:pPr>
              <w:spacing w:after="0"/>
              <w:rPr>
                <w:rFonts w:ascii="Arial" w:cs="Arial" w:eastAsia="Arial" w:hAnsi="Arial"/>
                <w:sz w:val="18"/>
                <w:szCs w:val="18"/>
                <w:color w:val="0000FF"/>
                <w:w w:val="92"/>
              </w:rPr>
            </w:pPr>
            <w:hyperlink r:id="rId81">
              <w:r>
                <w:rPr>
                  <w:rFonts w:ascii="Arial" w:cs="Arial" w:eastAsia="Arial" w:hAnsi="Arial"/>
                  <w:sz w:val="18"/>
                  <w:szCs w:val="18"/>
                  <w:color w:val="0000FF"/>
                  <w:w w:val="92"/>
                </w:rPr>
                <w:t>Restoration Plan of Black Hills Corporation (filed as Exhibit 10.5 to the Registrant’s Form 10-K for 2008).</w:t>
              </w:r>
            </w:hyperlink>
          </w:p>
        </w:tc>
        <w:tc>
          <w:tcPr>
            <w:tcW w:w="2260" w:type="dxa"/>
            <w:vAlign w:val="bottom"/>
            <w:gridSpan w:val="16"/>
          </w:tcPr>
          <w:p>
            <w:pPr>
              <w:spacing w:after="0"/>
              <w:rPr>
                <w:sz w:val="24"/>
                <w:szCs w:val="24"/>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740" w:type="dxa"/>
            <w:vAlign w:val="bottom"/>
            <w:tcBorders>
              <w:bottom w:val="single" w:sz="8" w:color="0000FF"/>
            </w:tcBorders>
            <w:gridSpan w:val="22"/>
          </w:tcPr>
          <w:p>
            <w:pPr>
              <w:spacing w:after="0"/>
              <w:rPr>
                <w:rFonts w:ascii="Arial" w:cs="Arial" w:eastAsia="Arial" w:hAnsi="Arial"/>
                <w:sz w:val="18"/>
                <w:szCs w:val="18"/>
                <w:color w:val="0000FF"/>
                <w:w w:val="91"/>
              </w:rPr>
            </w:pPr>
            <w:hyperlink r:id="rId82">
              <w:r>
                <w:rPr>
                  <w:rFonts w:ascii="Arial" w:cs="Arial" w:eastAsia="Arial" w:hAnsi="Arial"/>
                  <w:sz w:val="18"/>
                  <w:szCs w:val="18"/>
                  <w:color w:val="0000FF"/>
                  <w:w w:val="91"/>
                </w:rPr>
                <w:t>First Amendment to the Restoration Plan of Black Hills Corporation dated July 24, 2011 (filed as Exhibit 10.2 to the Registrant’s Form</w:t>
              </w:r>
            </w:hyperlink>
          </w:p>
        </w:tc>
        <w:tc>
          <w:tcPr>
            <w:tcW w:w="220" w:type="dxa"/>
            <w:vAlign w:val="bottom"/>
            <w:gridSpan w:val="7"/>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82">
              <w:r>
                <w:rPr>
                  <w:rFonts w:ascii="Arial" w:cs="Arial" w:eastAsia="Arial" w:hAnsi="Arial"/>
                  <w:sz w:val="18"/>
                  <w:szCs w:val="18"/>
                  <w:color w:val="0000FF"/>
                </w:rPr>
                <w:t>10-Q for the quarterly period ended June 30, 2011).</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2780" w:type="dxa"/>
            <w:vAlign w:val="bottom"/>
            <w:gridSpan w:val="6"/>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1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10.4*†</w:t>
            </w:r>
          </w:p>
        </w:tc>
        <w:tc>
          <w:tcPr>
            <w:tcW w:w="200" w:type="dxa"/>
            <w:vAlign w:val="bottom"/>
          </w:tcPr>
          <w:p>
            <w:pPr>
              <w:spacing w:after="0"/>
              <w:rPr>
                <w:sz w:val="24"/>
                <w:szCs w:val="24"/>
                <w:color w:val="auto"/>
              </w:rPr>
            </w:pPr>
          </w:p>
        </w:tc>
        <w:tc>
          <w:tcPr>
            <w:tcW w:w="9880" w:type="dxa"/>
            <w:vAlign w:val="bottom"/>
            <w:tcBorders>
              <w:bottom w:val="single" w:sz="8" w:color="0000FF"/>
            </w:tcBorders>
            <w:gridSpan w:val="25"/>
          </w:tcPr>
          <w:p>
            <w:pPr>
              <w:spacing w:after="0"/>
              <w:rPr>
                <w:rFonts w:ascii="Arial" w:cs="Arial" w:eastAsia="Arial" w:hAnsi="Arial"/>
                <w:sz w:val="18"/>
                <w:szCs w:val="18"/>
                <w:color w:val="0000FF"/>
                <w:w w:val="91"/>
              </w:rPr>
            </w:pPr>
            <w:hyperlink r:id="rId83">
              <w:r>
                <w:rPr>
                  <w:rFonts w:ascii="Arial" w:cs="Arial" w:eastAsia="Arial" w:hAnsi="Arial"/>
                  <w:sz w:val="18"/>
                  <w:szCs w:val="18"/>
                  <w:color w:val="0000FF"/>
                  <w:w w:val="91"/>
                </w:rPr>
                <w:t>Black Hills Corporation Non-qualified Deferred Compensation Plan as Amended and Restated effective January 1, 2011 (filed as Exhibit</w:t>
              </w:r>
            </w:hyperlink>
          </w:p>
        </w:tc>
        <w:tc>
          <w:tcPr>
            <w:tcW w:w="8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80" w:type="dxa"/>
            <w:vAlign w:val="bottom"/>
            <w:tcBorders>
              <w:bottom w:val="single" w:sz="8" w:color="0000FF"/>
            </w:tcBorders>
            <w:gridSpan w:val="7"/>
          </w:tcPr>
          <w:p>
            <w:pPr>
              <w:spacing w:after="0" w:line="196" w:lineRule="exact"/>
              <w:rPr>
                <w:rFonts w:ascii="Arial" w:cs="Arial" w:eastAsia="Arial" w:hAnsi="Arial"/>
                <w:sz w:val="18"/>
                <w:szCs w:val="18"/>
                <w:color w:val="0000FF"/>
                <w:w w:val="91"/>
              </w:rPr>
            </w:pPr>
            <w:hyperlink r:id="rId83">
              <w:r>
                <w:rPr>
                  <w:rFonts w:ascii="Arial" w:cs="Arial" w:eastAsia="Arial" w:hAnsi="Arial"/>
                  <w:sz w:val="18"/>
                  <w:szCs w:val="18"/>
                  <w:color w:val="0000FF"/>
                  <w:w w:val="91"/>
                </w:rPr>
                <w:t>10.</w:t>
              </w:r>
              <w:r>
                <w:rPr>
                  <w:rFonts w:ascii="Arial" w:cs="Arial" w:eastAsia="Arial" w:hAnsi="Arial"/>
                  <w:sz w:val="18"/>
                  <w:szCs w:val="18"/>
                  <w:u w:val="single" w:color="auto"/>
                  <w:color w:val="0000FF"/>
                  <w:w w:val="91"/>
                </w:rPr>
                <w:t>4</w:t>
              </w:r>
              <w:r>
                <w:rPr>
                  <w:rFonts w:ascii="Arial" w:cs="Arial" w:eastAsia="Arial" w:hAnsi="Arial"/>
                  <w:sz w:val="18"/>
                  <w:szCs w:val="18"/>
                  <w:color w:val="0000FF"/>
                  <w:w w:val="91"/>
                </w:rPr>
                <w:t xml:space="preserve"> to the Registrant’s Form 10-K for 2010).</w:t>
              </w:r>
            </w:hyperlink>
          </w:p>
        </w:tc>
        <w:tc>
          <w:tcPr>
            <w:tcW w:w="6680" w:type="dxa"/>
            <w:vAlign w:val="bottom"/>
            <w:gridSpan w:val="22"/>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10.5*†</w:t>
            </w:r>
          </w:p>
        </w:tc>
        <w:tc>
          <w:tcPr>
            <w:tcW w:w="200" w:type="dxa"/>
            <w:vAlign w:val="bottom"/>
          </w:tcPr>
          <w:p>
            <w:pPr>
              <w:spacing w:after="0"/>
              <w:rPr>
                <w:sz w:val="24"/>
                <w:szCs w:val="24"/>
                <w:color w:val="auto"/>
              </w:rPr>
            </w:pPr>
          </w:p>
        </w:tc>
        <w:tc>
          <w:tcPr>
            <w:tcW w:w="9800" w:type="dxa"/>
            <w:vAlign w:val="bottom"/>
            <w:tcBorders>
              <w:bottom w:val="single" w:sz="8" w:color="0000FF"/>
            </w:tcBorders>
            <w:gridSpan w:val="23"/>
          </w:tcPr>
          <w:p>
            <w:pPr>
              <w:spacing w:after="0"/>
              <w:rPr>
                <w:rFonts w:ascii="Arial" w:cs="Arial" w:eastAsia="Arial" w:hAnsi="Arial"/>
                <w:sz w:val="18"/>
                <w:szCs w:val="18"/>
                <w:color w:val="0000FF"/>
                <w:w w:val="90"/>
              </w:rPr>
            </w:pPr>
            <w:hyperlink r:id="rId84">
              <w:r>
                <w:rPr>
                  <w:rFonts w:ascii="Arial" w:cs="Arial" w:eastAsia="Arial" w:hAnsi="Arial"/>
                  <w:sz w:val="18"/>
                  <w:szCs w:val="18"/>
                  <w:color w:val="0000FF"/>
                  <w:w w:val="90"/>
                </w:rPr>
                <w:t>First Amendment to the Black Hills Corporation Nonqualified Deferred Compensation Plan as Amended and Restated effective January</w:t>
              </w:r>
            </w:hyperlink>
          </w:p>
        </w:tc>
        <w:tc>
          <w:tcPr>
            <w:tcW w:w="160" w:type="dxa"/>
            <w:vAlign w:val="bottom"/>
            <w:gridSpan w:val="6"/>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60" w:type="dxa"/>
            <w:vAlign w:val="bottom"/>
            <w:gridSpan w:val="29"/>
          </w:tcPr>
          <w:p>
            <w:pPr>
              <w:spacing w:after="0" w:line="196" w:lineRule="exact"/>
              <w:rPr>
                <w:rFonts w:ascii="Arial" w:cs="Arial" w:eastAsia="Arial" w:hAnsi="Arial"/>
                <w:sz w:val="18"/>
                <w:szCs w:val="18"/>
                <w:color w:val="0000FF"/>
              </w:rPr>
            </w:pPr>
            <w:hyperlink r:id="rId84">
              <w:r>
                <w:rPr>
                  <w:rFonts w:ascii="Arial" w:cs="Arial" w:eastAsia="Arial" w:hAnsi="Arial"/>
                  <w:sz w:val="18"/>
                  <w:szCs w:val="18"/>
                  <w:color w:val="0000FF"/>
                </w:rPr>
                <w:t>1, 2011 (filed as Exhibit 10.5 to the Registrant’s Form 10-K for 2018).</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right w:val="single" w:sz="8" w:color="0000FF"/>
            </w:tcBorders>
            <w:shd w:val="clear" w:color="auto" w:fill="0000FF"/>
          </w:tcPr>
          <w:p>
            <w:pPr>
              <w:spacing w:after="0" w:line="20" w:lineRule="exact"/>
              <w:rPr>
                <w:sz w:val="1"/>
                <w:szCs w:val="1"/>
                <w:color w:val="auto"/>
              </w:rPr>
            </w:pPr>
          </w:p>
        </w:tc>
        <w:tc>
          <w:tcPr>
            <w:tcW w:w="4560" w:type="dxa"/>
            <w:vAlign w:val="bottom"/>
            <w:gridSpan w:val="10"/>
            <w:shd w:val="clear" w:color="auto" w:fill="0000FF"/>
          </w:tcPr>
          <w:p>
            <w:pPr>
              <w:spacing w:after="0" w:line="20" w:lineRule="exact"/>
              <w:rPr>
                <w:sz w:val="1"/>
                <w:szCs w:val="1"/>
                <w:color w:val="auto"/>
              </w:rPr>
            </w:pPr>
          </w:p>
        </w:tc>
        <w:tc>
          <w:tcPr>
            <w:tcW w:w="4600" w:type="dxa"/>
            <w:vAlign w:val="bottom"/>
            <w:gridSpan w:val="9"/>
          </w:tcPr>
          <w:p>
            <w:pPr>
              <w:spacing w:after="0" w:line="20" w:lineRule="exact"/>
              <w:rPr>
                <w:sz w:val="1"/>
                <w:szCs w:val="1"/>
                <w:color w:val="auto"/>
              </w:rPr>
            </w:pPr>
          </w:p>
        </w:tc>
        <w:tc>
          <w:tcPr>
            <w:tcW w:w="300" w:type="dxa"/>
            <w:vAlign w:val="bottom"/>
            <w:gridSpan w:val="9"/>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10.6*†</w:t>
            </w:r>
          </w:p>
        </w:tc>
        <w:tc>
          <w:tcPr>
            <w:tcW w:w="200" w:type="dxa"/>
            <w:vAlign w:val="bottom"/>
          </w:tcPr>
          <w:p>
            <w:pPr>
              <w:spacing w:after="0"/>
              <w:rPr>
                <w:sz w:val="24"/>
                <w:szCs w:val="24"/>
                <w:color w:val="auto"/>
              </w:rPr>
            </w:pPr>
          </w:p>
        </w:tc>
        <w:tc>
          <w:tcPr>
            <w:tcW w:w="9660" w:type="dxa"/>
            <w:vAlign w:val="bottom"/>
            <w:tcBorders>
              <w:bottom w:val="single" w:sz="8" w:color="0000FF"/>
            </w:tcBorders>
            <w:gridSpan w:val="20"/>
          </w:tcPr>
          <w:p>
            <w:pPr>
              <w:spacing w:after="0"/>
              <w:rPr>
                <w:rFonts w:ascii="Arial" w:cs="Arial" w:eastAsia="Arial" w:hAnsi="Arial"/>
                <w:sz w:val="18"/>
                <w:szCs w:val="18"/>
                <w:color w:val="0000FF"/>
                <w:w w:val="92"/>
              </w:rPr>
            </w:pPr>
            <w:hyperlink r:id="rId85">
              <w:r>
                <w:rPr>
                  <w:rFonts w:ascii="Arial" w:cs="Arial" w:eastAsia="Arial" w:hAnsi="Arial"/>
                  <w:sz w:val="18"/>
                  <w:szCs w:val="18"/>
                  <w:color w:val="0000FF"/>
                  <w:w w:val="92"/>
                </w:rPr>
                <w:t>Black Hills Corporation Post-2018 Nonqualified Deferred Compensation Plan (filed as Exhibit 10.6 to the Registrant’s Form 10-K for</w:t>
              </w:r>
            </w:hyperlink>
          </w:p>
        </w:tc>
        <w:tc>
          <w:tcPr>
            <w:tcW w:w="300" w:type="dxa"/>
            <w:vAlign w:val="bottom"/>
            <w:gridSpan w:val="9"/>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700" w:type="dxa"/>
            <w:vAlign w:val="bottom"/>
            <w:gridSpan w:val="2"/>
          </w:tcPr>
          <w:p>
            <w:pPr>
              <w:ind w:left="200"/>
              <w:spacing w:after="0" w:line="196" w:lineRule="exact"/>
              <w:rPr>
                <w:rFonts w:ascii="Arial" w:cs="Arial" w:eastAsia="Arial" w:hAnsi="Arial"/>
                <w:sz w:val="18"/>
                <w:szCs w:val="18"/>
                <w:color w:val="0000FF"/>
                <w:w w:val="90"/>
              </w:rPr>
            </w:pPr>
            <w:hyperlink r:id="rId85">
              <w:r>
                <w:rPr>
                  <w:rFonts w:ascii="Arial" w:cs="Arial" w:eastAsia="Arial" w:hAnsi="Arial"/>
                  <w:sz w:val="18"/>
                  <w:szCs w:val="18"/>
                  <w:color w:val="0000FF"/>
                  <w:w w:val="90"/>
                </w:rPr>
                <w:t>2018).</w:t>
              </w:r>
            </w:hyperlink>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55"/>
        </w:trPr>
        <w:tc>
          <w:tcPr>
            <w:tcW w:w="1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Borders>
              <w:top w:val="single" w:sz="8" w:color="0000FF"/>
            </w:tcBorders>
          </w:tcPr>
          <w:p>
            <w:pPr>
              <w:spacing w:after="0"/>
              <w:rPr>
                <w:sz w:val="24"/>
                <w:szCs w:val="24"/>
                <w:color w:val="auto"/>
              </w:rPr>
            </w:pPr>
          </w:p>
        </w:tc>
        <w:tc>
          <w:tcPr>
            <w:tcW w:w="4440" w:type="dxa"/>
            <w:vAlign w:val="bottom"/>
            <w:gridSpan w:val="9"/>
          </w:tcPr>
          <w:p>
            <w:pPr>
              <w:jc w:val="right"/>
              <w:ind w:right="520"/>
              <w:spacing w:after="0"/>
              <w:rPr>
                <w:sz w:val="20"/>
                <w:szCs w:val="20"/>
                <w:color w:val="auto"/>
              </w:rPr>
            </w:pPr>
            <w:r>
              <w:rPr>
                <w:rFonts w:ascii="Arial" w:cs="Arial" w:eastAsia="Arial" w:hAnsi="Arial"/>
                <w:sz w:val="18"/>
                <w:szCs w:val="18"/>
                <w:color w:val="auto"/>
              </w:rPr>
              <w:t>146</w:t>
            </w:r>
          </w:p>
        </w:tc>
        <w:tc>
          <w:tcPr>
            <w:tcW w:w="12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380"/>
          </w:cols>
          <w:pgMar w:left="240" w:top="117" w:right="279" w:bottom="1440" w:gutter="0" w:footer="0" w:header="0"/>
        </w:sectPr>
      </w:pPr>
    </w:p>
    <w:bookmarkStart w:id="147" w:name="page148"/>
    <w:bookmarkEnd w:id="14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220" w:type="dxa"/>
            <w:vAlign w:val="bottom"/>
            <w:tcBorders>
              <w:bottom w:val="single" w:sz="8" w:color="0000EE"/>
            </w:tcBorders>
          </w:tcPr>
          <w:p>
            <w:pPr>
              <w:spacing w:after="0"/>
              <w:rPr>
                <w:rFonts w:ascii="Arial" w:cs="Arial" w:eastAsia="Arial" w:hAnsi="Arial"/>
                <w:sz w:val="16"/>
                <w:szCs w:val="16"/>
                <w:b w:val="1"/>
                <w:bCs w:val="1"/>
                <w:color w:val="0000EE"/>
                <w:w w:val="88"/>
              </w:rPr>
            </w:pPr>
            <w:hyperlink w:anchor="page2">
              <w:r>
                <w:rPr>
                  <w:rFonts w:ascii="Arial" w:cs="Arial" w:eastAsia="Arial" w:hAnsi="Arial"/>
                  <w:sz w:val="16"/>
                  <w:szCs w:val="16"/>
                  <w:b w:val="1"/>
                  <w:bCs w:val="1"/>
                  <w:color w:val="0000EE"/>
                  <w:w w:val="88"/>
                </w:rPr>
                <w:t>Table of Contents</w:t>
              </w:r>
            </w:hyperlink>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561"/>
        </w:trPr>
        <w:tc>
          <w:tcPr>
            <w:tcW w:w="1220" w:type="dxa"/>
            <w:vAlign w:val="bottom"/>
          </w:tcPr>
          <w:p>
            <w:pPr>
              <w:ind w:left="40"/>
              <w:spacing w:after="0"/>
              <w:rPr>
                <w:sz w:val="20"/>
                <w:szCs w:val="20"/>
                <w:color w:val="auto"/>
              </w:rPr>
            </w:pPr>
            <w:r>
              <w:rPr>
                <w:rFonts w:ascii="Arial" w:cs="Arial" w:eastAsia="Arial" w:hAnsi="Arial"/>
                <w:sz w:val="18"/>
                <w:szCs w:val="18"/>
                <w:color w:val="auto"/>
              </w:rPr>
              <w:t>10.7*†</w:t>
            </w:r>
          </w:p>
        </w:tc>
        <w:tc>
          <w:tcPr>
            <w:tcW w:w="200" w:type="dxa"/>
            <w:vAlign w:val="bottom"/>
          </w:tcPr>
          <w:p>
            <w:pPr>
              <w:spacing w:after="0"/>
              <w:rPr>
                <w:sz w:val="24"/>
                <w:szCs w:val="24"/>
                <w:color w:val="auto"/>
              </w:rPr>
            </w:pPr>
          </w:p>
        </w:tc>
        <w:tc>
          <w:tcPr>
            <w:tcW w:w="9800" w:type="dxa"/>
            <w:vAlign w:val="bottom"/>
            <w:tcBorders>
              <w:bottom w:val="single" w:sz="8" w:color="0000FF"/>
            </w:tcBorders>
            <w:gridSpan w:val="31"/>
          </w:tcPr>
          <w:p>
            <w:pPr>
              <w:spacing w:after="0"/>
              <w:rPr>
                <w:rFonts w:ascii="Arial" w:cs="Arial" w:eastAsia="Arial" w:hAnsi="Arial"/>
                <w:sz w:val="18"/>
                <w:szCs w:val="18"/>
                <w:color w:val="0000FF"/>
                <w:w w:val="92"/>
              </w:rPr>
            </w:pPr>
            <w:hyperlink r:id="rId86">
              <w:r>
                <w:rPr>
                  <w:rFonts w:ascii="Arial" w:cs="Arial" w:eastAsia="Arial" w:hAnsi="Arial"/>
                  <w:sz w:val="18"/>
                  <w:szCs w:val="18"/>
                  <w:color w:val="0000FF"/>
                  <w:w w:val="92"/>
                </w:rPr>
                <w:t>Black Hills Corporation 2005 Omnibus Incentive Plan (”Omnibus Plan”) (filed as Appendix A to the Registrant’s Proxy Statement filed</w:t>
              </w:r>
            </w:hyperlink>
          </w:p>
        </w:tc>
        <w:tc>
          <w:tcPr>
            <w:tcW w:w="140" w:type="dxa"/>
            <w:vAlign w:val="bottom"/>
            <w:gridSpan w:val="5"/>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Borders>
              <w:bottom w:val="single" w:sz="8" w:color="0000FF"/>
            </w:tcBorders>
            <w:gridSpan w:val="2"/>
          </w:tcPr>
          <w:p>
            <w:pPr>
              <w:spacing w:after="0" w:line="196" w:lineRule="exact"/>
              <w:rPr>
                <w:rFonts w:ascii="Arial" w:cs="Arial" w:eastAsia="Arial" w:hAnsi="Arial"/>
                <w:sz w:val="18"/>
                <w:szCs w:val="18"/>
                <w:color w:val="0000FF"/>
                <w:w w:val="93"/>
              </w:rPr>
            </w:pPr>
            <w:hyperlink r:id="rId86">
              <w:r>
                <w:rPr>
                  <w:rFonts w:ascii="Arial" w:cs="Arial" w:eastAsia="Arial" w:hAnsi="Arial"/>
                  <w:sz w:val="18"/>
                  <w:szCs w:val="18"/>
                  <w:color w:val="0000FF"/>
                  <w:w w:val="93"/>
                </w:rPr>
                <w:t>April 13, 2005).</w:t>
              </w:r>
            </w:hyperlink>
          </w:p>
        </w:tc>
        <w:tc>
          <w:tcPr>
            <w:tcW w:w="8780" w:type="dxa"/>
            <w:vAlign w:val="bottom"/>
            <w:gridSpan w:val="34"/>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0" w:type="dxa"/>
            <w:vAlign w:val="bottom"/>
            <w:tcBorders>
              <w:bottom w:val="single" w:sz="8" w:color="0000FF"/>
            </w:tcBorders>
            <w:gridSpan w:val="14"/>
          </w:tcPr>
          <w:p>
            <w:pPr>
              <w:spacing w:after="0"/>
              <w:rPr>
                <w:rFonts w:ascii="Arial" w:cs="Arial" w:eastAsia="Arial" w:hAnsi="Arial"/>
                <w:sz w:val="18"/>
                <w:szCs w:val="18"/>
                <w:color w:val="0000FF"/>
                <w:w w:val="91"/>
              </w:rPr>
            </w:pPr>
            <w:hyperlink r:id="rId87">
              <w:r>
                <w:rPr>
                  <w:rFonts w:ascii="Arial" w:cs="Arial" w:eastAsia="Arial" w:hAnsi="Arial"/>
                  <w:sz w:val="18"/>
                  <w:szCs w:val="18"/>
                  <w:color w:val="0000FF"/>
                  <w:w w:val="91"/>
                </w:rPr>
                <w:t>First Amendment to the Omnibus Plan (filed as Exhibit 10.11 to the Registrant’s Form 10-K for 2008).</w:t>
              </w:r>
            </w:hyperlink>
          </w:p>
        </w:tc>
        <w:tc>
          <w:tcPr>
            <w:tcW w:w="2540" w:type="dxa"/>
            <w:vAlign w:val="bottom"/>
            <w:gridSpan w:val="22"/>
          </w:tcPr>
          <w:p>
            <w:pPr>
              <w:spacing w:after="0"/>
              <w:rPr>
                <w:sz w:val="21"/>
                <w:szCs w:val="2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80" w:type="dxa"/>
            <w:vAlign w:val="bottom"/>
            <w:tcBorders>
              <w:bottom w:val="single" w:sz="8" w:color="0000FF"/>
            </w:tcBorders>
            <w:gridSpan w:val="18"/>
          </w:tcPr>
          <w:p>
            <w:pPr>
              <w:spacing w:after="0"/>
              <w:rPr>
                <w:rFonts w:ascii="Arial" w:cs="Arial" w:eastAsia="Arial" w:hAnsi="Arial"/>
                <w:sz w:val="18"/>
                <w:szCs w:val="18"/>
                <w:color w:val="0000FF"/>
                <w:w w:val="91"/>
              </w:rPr>
            </w:pPr>
            <w:hyperlink r:id="rId88">
              <w:r>
                <w:rPr>
                  <w:rFonts w:ascii="Arial" w:cs="Arial" w:eastAsia="Arial" w:hAnsi="Arial"/>
                  <w:sz w:val="18"/>
                  <w:szCs w:val="18"/>
                  <w:color w:val="0000FF"/>
                  <w:w w:val="91"/>
                </w:rPr>
                <w:t>Second Amendment to the Omnibus Plan (filed as Exhibit 10 to the Registrant’s Form 8-K filed on May 26, 2010).</w:t>
              </w:r>
            </w:hyperlink>
          </w:p>
        </w:tc>
        <w:tc>
          <w:tcPr>
            <w:tcW w:w="1660" w:type="dxa"/>
            <w:vAlign w:val="bottom"/>
            <w:gridSpan w:val="18"/>
          </w:tcPr>
          <w:p>
            <w:pPr>
              <w:spacing w:after="0"/>
              <w:rPr>
                <w:sz w:val="21"/>
                <w:szCs w:val="2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10.8*†</w:t>
            </w:r>
          </w:p>
        </w:tc>
        <w:tc>
          <w:tcPr>
            <w:tcW w:w="200" w:type="dxa"/>
            <w:vAlign w:val="bottom"/>
          </w:tcPr>
          <w:p>
            <w:pPr>
              <w:spacing w:after="0"/>
              <w:rPr>
                <w:sz w:val="24"/>
                <w:szCs w:val="24"/>
                <w:color w:val="auto"/>
              </w:rPr>
            </w:pPr>
          </w:p>
        </w:tc>
        <w:tc>
          <w:tcPr>
            <w:tcW w:w="9940" w:type="dxa"/>
            <w:vAlign w:val="bottom"/>
            <w:gridSpan w:val="36"/>
          </w:tcPr>
          <w:p>
            <w:pPr>
              <w:spacing w:after="0"/>
              <w:rPr>
                <w:rFonts w:ascii="Arial" w:cs="Arial" w:eastAsia="Arial" w:hAnsi="Arial"/>
                <w:sz w:val="18"/>
                <w:szCs w:val="18"/>
                <w:color w:val="0000FF"/>
                <w:w w:val="94"/>
              </w:rPr>
            </w:pPr>
            <w:hyperlink r:id="rId89">
              <w:r>
                <w:rPr>
                  <w:rFonts w:ascii="Arial" w:cs="Arial" w:eastAsia="Arial" w:hAnsi="Arial"/>
                  <w:sz w:val="18"/>
                  <w:szCs w:val="18"/>
                  <w:color w:val="0000FF"/>
                  <w:w w:val="94"/>
                </w:rPr>
                <w:t>Black Hills Corporation 2015 Omnibus Incentive Plan (filed as Appendix B to the Registrant’s Proxy Statement filed March 19, 2015).</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8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10.9*†</w:t>
            </w:r>
          </w:p>
        </w:tc>
        <w:tc>
          <w:tcPr>
            <w:tcW w:w="200" w:type="dxa"/>
            <w:vAlign w:val="bottom"/>
          </w:tcPr>
          <w:p>
            <w:pPr>
              <w:spacing w:after="0"/>
              <w:rPr>
                <w:sz w:val="24"/>
                <w:szCs w:val="24"/>
                <w:color w:val="auto"/>
              </w:rPr>
            </w:pPr>
          </w:p>
        </w:tc>
        <w:tc>
          <w:tcPr>
            <w:tcW w:w="9820" w:type="dxa"/>
            <w:vAlign w:val="bottom"/>
            <w:tcBorders>
              <w:bottom w:val="single" w:sz="8" w:color="0000FF"/>
            </w:tcBorders>
            <w:gridSpan w:val="32"/>
          </w:tcPr>
          <w:p>
            <w:pPr>
              <w:spacing w:after="0"/>
              <w:rPr>
                <w:rFonts w:ascii="Arial" w:cs="Arial" w:eastAsia="Arial" w:hAnsi="Arial"/>
                <w:sz w:val="18"/>
                <w:szCs w:val="18"/>
                <w:color w:val="0000FF"/>
                <w:w w:val="91"/>
              </w:rPr>
            </w:pPr>
            <w:hyperlink r:id="rId90">
              <w:r>
                <w:rPr>
                  <w:rFonts w:ascii="Arial" w:cs="Arial" w:eastAsia="Arial" w:hAnsi="Arial"/>
                  <w:sz w:val="18"/>
                  <w:szCs w:val="18"/>
                  <w:color w:val="0000FF"/>
                  <w:w w:val="91"/>
                </w:rPr>
                <w:t>Form of Stock Option Agreement for Omnibus Plan effective for awards granted on or after January 1, 2014 (filed as Exhibit 10.7 to the</w:t>
              </w:r>
            </w:hyperlink>
          </w:p>
        </w:tc>
        <w:tc>
          <w:tcPr>
            <w:tcW w:w="120" w:type="dxa"/>
            <w:vAlign w:val="bottom"/>
            <w:gridSpan w:val="4"/>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90">
              <w:r>
                <w:rPr>
                  <w:rFonts w:ascii="Arial" w:cs="Arial" w:eastAsia="Arial" w:hAnsi="Arial"/>
                  <w:sz w:val="18"/>
                  <w:szCs w:val="18"/>
                  <w:color w:val="0000FF"/>
                </w:rPr>
                <w:t>Registrant’s Form 10-K for 2013).</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900" w:type="dxa"/>
            <w:vAlign w:val="bottom"/>
            <w:tcBorders>
              <w:bottom w:val="single" w:sz="8" w:color="0000FF"/>
            </w:tcBorders>
            <w:gridSpan w:val="35"/>
          </w:tcPr>
          <w:p>
            <w:pPr>
              <w:spacing w:after="0"/>
              <w:rPr>
                <w:rFonts w:ascii="Arial" w:cs="Arial" w:eastAsia="Arial" w:hAnsi="Arial"/>
                <w:sz w:val="18"/>
                <w:szCs w:val="18"/>
                <w:color w:val="0000FF"/>
                <w:w w:val="92"/>
              </w:rPr>
            </w:pPr>
            <w:hyperlink r:id="rId91">
              <w:r>
                <w:rPr>
                  <w:rFonts w:ascii="Arial" w:cs="Arial" w:eastAsia="Arial" w:hAnsi="Arial"/>
                  <w:sz w:val="18"/>
                  <w:szCs w:val="18"/>
                  <w:color w:val="0000FF"/>
                  <w:w w:val="92"/>
                </w:rPr>
                <w:t>Form of Stock Option Agreement effective for awards granted on or after April 28, 2015 (filed as Exhibit 10.8 to Registrant’s Form 10-K</w:t>
              </w:r>
            </w:hyperlink>
          </w:p>
        </w:tc>
        <w:tc>
          <w:tcPr>
            <w:tcW w:w="40" w:type="dxa"/>
            <w:vAlign w:val="bottom"/>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Borders>
              <w:bottom w:val="single" w:sz="8" w:color="0000FF"/>
            </w:tcBorders>
          </w:tcPr>
          <w:p>
            <w:pPr>
              <w:spacing w:after="0" w:line="196" w:lineRule="exact"/>
              <w:rPr>
                <w:rFonts w:ascii="Arial" w:cs="Arial" w:eastAsia="Arial" w:hAnsi="Arial"/>
                <w:sz w:val="18"/>
                <w:szCs w:val="18"/>
                <w:color w:val="0000FF"/>
                <w:w w:val="90"/>
              </w:rPr>
            </w:pPr>
            <w:hyperlink r:id="rId91">
              <w:r>
                <w:rPr>
                  <w:rFonts w:ascii="Arial" w:cs="Arial" w:eastAsia="Arial" w:hAnsi="Arial"/>
                  <w:sz w:val="18"/>
                  <w:szCs w:val="18"/>
                  <w:color w:val="0000FF"/>
                  <w:w w:val="90"/>
                </w:rPr>
                <w:t>for 2015).</w:t>
              </w:r>
            </w:hyperlink>
          </w:p>
        </w:tc>
        <w:tc>
          <w:tcPr>
            <w:tcW w:w="9220" w:type="dxa"/>
            <w:vAlign w:val="bottom"/>
            <w:gridSpan w:val="35"/>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10.10*†</w:t>
            </w:r>
          </w:p>
        </w:tc>
        <w:tc>
          <w:tcPr>
            <w:tcW w:w="200" w:type="dxa"/>
            <w:vAlign w:val="bottom"/>
          </w:tcPr>
          <w:p>
            <w:pPr>
              <w:spacing w:after="0"/>
              <w:rPr>
                <w:sz w:val="24"/>
                <w:szCs w:val="24"/>
                <w:color w:val="auto"/>
              </w:rPr>
            </w:pPr>
          </w:p>
        </w:tc>
        <w:tc>
          <w:tcPr>
            <w:tcW w:w="9880" w:type="dxa"/>
            <w:vAlign w:val="bottom"/>
            <w:tcBorders>
              <w:bottom w:val="single" w:sz="8" w:color="0000FF"/>
            </w:tcBorders>
            <w:gridSpan w:val="34"/>
          </w:tcPr>
          <w:p>
            <w:pPr>
              <w:spacing w:after="0"/>
              <w:rPr>
                <w:rFonts w:ascii="Arial" w:cs="Arial" w:eastAsia="Arial" w:hAnsi="Arial"/>
                <w:sz w:val="18"/>
                <w:szCs w:val="18"/>
                <w:color w:val="0000FF"/>
                <w:w w:val="91"/>
              </w:rPr>
            </w:pPr>
            <w:hyperlink r:id="rId92">
              <w:r>
                <w:rPr>
                  <w:rFonts w:ascii="Arial" w:cs="Arial" w:eastAsia="Arial" w:hAnsi="Arial"/>
                  <w:sz w:val="18"/>
                  <w:szCs w:val="18"/>
                  <w:color w:val="0000FF"/>
                  <w:w w:val="91"/>
                </w:rPr>
                <w:t>Form of Restricted Stock Award Agreement effective for awards granted on or after April 28, 2015 (filed as Exhibit 10.10 to Registrant’s</w:t>
              </w:r>
            </w:hyperlink>
          </w:p>
        </w:tc>
        <w:tc>
          <w:tcPr>
            <w:tcW w:w="60" w:type="dxa"/>
            <w:vAlign w:val="bottom"/>
            <w:gridSpan w:val="2"/>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92">
              <w:r>
                <w:rPr>
                  <w:rFonts w:ascii="Arial" w:cs="Arial" w:eastAsia="Arial" w:hAnsi="Arial"/>
                  <w:sz w:val="18"/>
                  <w:szCs w:val="18"/>
                  <w:color w:val="0000FF"/>
                </w:rPr>
                <w:t>Form 10-K for 2015).</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560" w:type="dxa"/>
            <w:vAlign w:val="bottom"/>
            <w:gridSpan w:val="3"/>
            <w:shd w:val="clear" w:color="auto" w:fill="0000FF"/>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10.11*†</w:t>
            </w:r>
          </w:p>
        </w:tc>
        <w:tc>
          <w:tcPr>
            <w:tcW w:w="200" w:type="dxa"/>
            <w:vAlign w:val="bottom"/>
          </w:tcPr>
          <w:p>
            <w:pPr>
              <w:spacing w:after="0"/>
              <w:rPr>
                <w:sz w:val="24"/>
                <w:szCs w:val="24"/>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w w:val="91"/>
              </w:rPr>
            </w:pPr>
            <w:hyperlink r:id="rId93">
              <w:r>
                <w:rPr>
                  <w:rFonts w:ascii="Arial" w:cs="Arial" w:eastAsia="Arial" w:hAnsi="Arial"/>
                  <w:sz w:val="18"/>
                  <w:szCs w:val="18"/>
                  <w:color w:val="0000FF"/>
                  <w:w w:val="91"/>
                </w:rPr>
                <w:t>Form of Restricted Stock Unit Award Agreement for 2015 Omnibus Plan effective for awards granted on or after April 28, 2015 (filed as</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93">
              <w:r>
                <w:rPr>
                  <w:rFonts w:ascii="Arial" w:cs="Arial" w:eastAsia="Arial" w:hAnsi="Arial"/>
                  <w:sz w:val="18"/>
                  <w:szCs w:val="18"/>
                  <w:color w:val="0000FF"/>
                </w:rPr>
                <w:t>Exhibit 10.12 to the Registrant’s Form 10-K for 2015).</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10.12†</w:t>
            </w:r>
          </w:p>
        </w:tc>
        <w:tc>
          <w:tcPr>
            <w:tcW w:w="200" w:type="dxa"/>
            <w:vAlign w:val="bottom"/>
          </w:tcPr>
          <w:p>
            <w:pPr>
              <w:spacing w:after="0"/>
              <w:rPr>
                <w:sz w:val="24"/>
                <w:szCs w:val="24"/>
                <w:color w:val="auto"/>
              </w:rPr>
            </w:pPr>
          </w:p>
        </w:tc>
        <w:tc>
          <w:tcPr>
            <w:tcW w:w="9940" w:type="dxa"/>
            <w:vAlign w:val="bottom"/>
            <w:gridSpan w:val="36"/>
          </w:tcPr>
          <w:p>
            <w:pPr>
              <w:spacing w:after="0"/>
              <w:rPr>
                <w:rFonts w:ascii="Arial" w:cs="Arial" w:eastAsia="Arial" w:hAnsi="Arial"/>
                <w:sz w:val="18"/>
                <w:szCs w:val="18"/>
                <w:color w:val="0000FF"/>
                <w:w w:val="95"/>
              </w:rPr>
            </w:pPr>
            <w:hyperlink r:id="rId94">
              <w:r>
                <w:rPr>
                  <w:rFonts w:ascii="Arial" w:cs="Arial" w:eastAsia="Arial" w:hAnsi="Arial"/>
                  <w:sz w:val="18"/>
                  <w:szCs w:val="18"/>
                  <w:color w:val="0000FF"/>
                  <w:w w:val="95"/>
                </w:rPr>
                <w:t>Form of Performance Share Award Agreement effective for awards granted on or after January 1, 2016 (filed as Exhibit 10.6 to the</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11"/>
          </w:tcPr>
          <w:p>
            <w:pPr>
              <w:spacing w:after="0" w:line="196" w:lineRule="exact"/>
              <w:rPr>
                <w:rFonts w:ascii="Arial" w:cs="Arial" w:eastAsia="Arial" w:hAnsi="Arial"/>
                <w:sz w:val="18"/>
                <w:szCs w:val="18"/>
                <w:color w:val="0000FF"/>
                <w:w w:val="90"/>
              </w:rPr>
            </w:pPr>
            <w:hyperlink r:id="rId94">
              <w:r>
                <w:rPr>
                  <w:rFonts w:ascii="Arial" w:cs="Arial" w:eastAsia="Arial" w:hAnsi="Arial"/>
                  <w:sz w:val="18"/>
                  <w:szCs w:val="18"/>
                  <w:color w:val="0000FF"/>
                  <w:w w:val="90"/>
                </w:rPr>
                <w:t>Registrant’s Form 10-Q for the quarterly period ended March 31, 2016).</w:t>
              </w:r>
            </w:hyperlink>
          </w:p>
        </w:tc>
        <w:tc>
          <w:tcPr>
            <w:tcW w:w="4220" w:type="dxa"/>
            <w:vAlign w:val="bottom"/>
            <w:tcBorders>
              <w:top w:val="single" w:sz="8" w:color="0000FF"/>
            </w:tcBorders>
            <w:gridSpan w:val="11"/>
          </w:tcPr>
          <w:p>
            <w:pPr>
              <w:spacing w:after="0"/>
              <w:rPr>
                <w:sz w:val="17"/>
                <w:szCs w:val="17"/>
                <w:color w:val="auto"/>
              </w:rPr>
            </w:pPr>
          </w:p>
        </w:tc>
        <w:tc>
          <w:tcPr>
            <w:tcW w:w="520" w:type="dxa"/>
            <w:vAlign w:val="bottom"/>
            <w:gridSpan w:val="14"/>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60" w:type="dxa"/>
            <w:vAlign w:val="bottom"/>
            <w:tcBorders>
              <w:bottom w:val="single" w:sz="8" w:color="0000FF"/>
            </w:tcBorders>
            <w:gridSpan w:val="15"/>
          </w:tcPr>
          <w:p>
            <w:pPr>
              <w:spacing w:after="0"/>
              <w:rPr>
                <w:rFonts w:ascii="Arial" w:cs="Arial" w:eastAsia="Arial" w:hAnsi="Arial"/>
                <w:sz w:val="18"/>
                <w:szCs w:val="18"/>
                <w:color w:val="0000FF"/>
                <w:w w:val="90"/>
              </w:rPr>
            </w:pPr>
            <w:hyperlink w:anchor="page154">
              <w:r>
                <w:rPr>
                  <w:rFonts w:ascii="Arial" w:cs="Arial" w:eastAsia="Arial" w:hAnsi="Arial"/>
                  <w:sz w:val="18"/>
                  <w:szCs w:val="18"/>
                  <w:color w:val="0000FF"/>
                  <w:w w:val="90"/>
                </w:rPr>
                <w:t>Form of Performance Share Award Agreement effective for awards granted on or after January 1, 2017.</w:t>
              </w:r>
            </w:hyperlink>
          </w:p>
        </w:tc>
        <w:tc>
          <w:tcPr>
            <w:tcW w:w="2480" w:type="dxa"/>
            <w:vAlign w:val="bottom"/>
            <w:gridSpan w:val="21"/>
          </w:tcPr>
          <w:p>
            <w:pPr>
              <w:spacing w:after="0"/>
              <w:rPr>
                <w:sz w:val="21"/>
                <w:szCs w:val="2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10.13*†</w:t>
            </w:r>
          </w:p>
        </w:tc>
        <w:tc>
          <w:tcPr>
            <w:tcW w:w="200" w:type="dxa"/>
            <w:vAlign w:val="bottom"/>
          </w:tcPr>
          <w:p>
            <w:pPr>
              <w:spacing w:after="0"/>
              <w:rPr>
                <w:sz w:val="24"/>
                <w:szCs w:val="24"/>
                <w:color w:val="auto"/>
              </w:rPr>
            </w:pPr>
          </w:p>
        </w:tc>
        <w:tc>
          <w:tcPr>
            <w:tcW w:w="9940" w:type="dxa"/>
            <w:vAlign w:val="bottom"/>
            <w:tcBorders>
              <w:bottom w:val="single" w:sz="8" w:color="0000FF"/>
            </w:tcBorders>
            <w:gridSpan w:val="36"/>
          </w:tcPr>
          <w:p>
            <w:pPr>
              <w:spacing w:after="0"/>
              <w:rPr>
                <w:rFonts w:ascii="Arial" w:cs="Arial" w:eastAsia="Arial" w:hAnsi="Arial"/>
                <w:sz w:val="18"/>
                <w:szCs w:val="18"/>
                <w:color w:val="0000FF"/>
                <w:w w:val="91"/>
              </w:rPr>
            </w:pPr>
            <w:hyperlink r:id="rId95">
              <w:r>
                <w:rPr>
                  <w:rFonts w:ascii="Arial" w:cs="Arial" w:eastAsia="Arial" w:hAnsi="Arial"/>
                  <w:sz w:val="18"/>
                  <w:szCs w:val="18"/>
                  <w:color w:val="0000FF"/>
                  <w:w w:val="91"/>
                </w:rPr>
                <w:t>Form of Short-term Incentive effective for awards granted on or after January 1, 2016 (filed as Exhibit 10.7 to the Registrant’s Form 10-Q</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40" w:type="dxa"/>
            <w:vAlign w:val="bottom"/>
            <w:tcBorders>
              <w:bottom w:val="single" w:sz="8" w:color="0000FF"/>
            </w:tcBorders>
            <w:gridSpan w:val="7"/>
          </w:tcPr>
          <w:p>
            <w:pPr>
              <w:spacing w:after="0" w:line="196" w:lineRule="exact"/>
              <w:rPr>
                <w:rFonts w:ascii="Arial" w:cs="Arial" w:eastAsia="Arial" w:hAnsi="Arial"/>
                <w:sz w:val="18"/>
                <w:szCs w:val="18"/>
                <w:color w:val="0000FF"/>
                <w:w w:val="90"/>
              </w:rPr>
            </w:pPr>
            <w:hyperlink r:id="rId95">
              <w:r>
                <w:rPr>
                  <w:rFonts w:ascii="Arial" w:cs="Arial" w:eastAsia="Arial" w:hAnsi="Arial"/>
                  <w:sz w:val="18"/>
                  <w:szCs w:val="18"/>
                  <w:color w:val="0000FF"/>
                  <w:w w:val="90"/>
                </w:rPr>
                <w:t>for the quarterly period ended March 31, 2016).</w:t>
              </w:r>
            </w:hyperlink>
          </w:p>
        </w:tc>
        <w:tc>
          <w:tcPr>
            <w:tcW w:w="6500" w:type="dxa"/>
            <w:vAlign w:val="bottom"/>
            <w:gridSpan w:val="29"/>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10.14*†</w:t>
            </w:r>
          </w:p>
        </w:tc>
        <w:tc>
          <w:tcPr>
            <w:tcW w:w="200" w:type="dxa"/>
            <w:vAlign w:val="bottom"/>
          </w:tcPr>
          <w:p>
            <w:pPr>
              <w:spacing w:after="0"/>
              <w:rPr>
                <w:sz w:val="24"/>
                <w:szCs w:val="24"/>
                <w:color w:val="auto"/>
              </w:rPr>
            </w:pPr>
          </w:p>
        </w:tc>
        <w:tc>
          <w:tcPr>
            <w:tcW w:w="9940" w:type="dxa"/>
            <w:vAlign w:val="bottom"/>
            <w:gridSpan w:val="36"/>
          </w:tcPr>
          <w:p>
            <w:pPr>
              <w:spacing w:after="0"/>
              <w:rPr>
                <w:rFonts w:ascii="Arial" w:cs="Arial" w:eastAsia="Arial" w:hAnsi="Arial"/>
                <w:sz w:val="18"/>
                <w:szCs w:val="18"/>
                <w:color w:val="0000FF"/>
              </w:rPr>
            </w:pPr>
            <w:hyperlink r:id="rId96">
              <w:r>
                <w:rPr>
                  <w:rFonts w:ascii="Arial" w:cs="Arial" w:eastAsia="Arial" w:hAnsi="Arial"/>
                  <w:sz w:val="18"/>
                  <w:szCs w:val="18"/>
                  <w:color w:val="0000FF"/>
                </w:rPr>
                <w:t>Form of Indemnification Agreement (filed as Exhibit 10.5 to the Registrant’s Form 8-K filed on September 3, 2004).</w:t>
              </w:r>
            </w:hyperlink>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10.15†</w:t>
            </w:r>
          </w:p>
        </w:tc>
        <w:tc>
          <w:tcPr>
            <w:tcW w:w="200" w:type="dxa"/>
            <w:vAlign w:val="bottom"/>
          </w:tcPr>
          <w:p>
            <w:pPr>
              <w:spacing w:after="0"/>
              <w:rPr>
                <w:sz w:val="24"/>
                <w:szCs w:val="24"/>
                <w:color w:val="auto"/>
              </w:rPr>
            </w:pPr>
          </w:p>
        </w:tc>
        <w:tc>
          <w:tcPr>
            <w:tcW w:w="8400" w:type="dxa"/>
            <w:vAlign w:val="bottom"/>
            <w:tcBorders>
              <w:top w:val="single" w:sz="8" w:color="0000FF"/>
            </w:tcBorders>
            <w:gridSpan w:val="19"/>
          </w:tcPr>
          <w:p>
            <w:pPr>
              <w:spacing w:after="0"/>
              <w:rPr>
                <w:rFonts w:ascii="Arial" w:cs="Arial" w:eastAsia="Arial" w:hAnsi="Arial"/>
                <w:sz w:val="18"/>
                <w:szCs w:val="18"/>
                <w:color w:val="0000FF"/>
                <w:w w:val="94"/>
              </w:rPr>
            </w:pPr>
            <w:hyperlink w:anchor="page165">
              <w:r>
                <w:rPr>
                  <w:rFonts w:ascii="Arial" w:cs="Arial" w:eastAsia="Arial" w:hAnsi="Arial"/>
                  <w:sz w:val="18"/>
                  <w:szCs w:val="18"/>
                  <w:color w:val="0000FF"/>
                  <w:w w:val="94"/>
                </w:rPr>
                <w:t>Change in Control Agreement dated November 15, 2019 between Black Hills Corporation and Linden R. Evans.</w:t>
              </w:r>
            </w:hyperlink>
          </w:p>
        </w:tc>
        <w:tc>
          <w:tcPr>
            <w:tcW w:w="1540" w:type="dxa"/>
            <w:vAlign w:val="bottom"/>
            <w:gridSpan w:val="17"/>
          </w:tcPr>
          <w:p>
            <w:pPr>
              <w:spacing w:after="0"/>
              <w:rPr>
                <w:sz w:val="24"/>
                <w:szCs w:val="24"/>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10.16†</w:t>
            </w:r>
          </w:p>
        </w:tc>
        <w:tc>
          <w:tcPr>
            <w:tcW w:w="200" w:type="dxa"/>
            <w:vAlign w:val="bottom"/>
          </w:tcPr>
          <w:p>
            <w:pPr>
              <w:spacing w:after="0"/>
              <w:rPr>
                <w:sz w:val="24"/>
                <w:szCs w:val="24"/>
                <w:color w:val="auto"/>
              </w:rPr>
            </w:pPr>
          </w:p>
        </w:tc>
        <w:tc>
          <w:tcPr>
            <w:tcW w:w="8100" w:type="dxa"/>
            <w:vAlign w:val="bottom"/>
            <w:tcBorders>
              <w:top w:val="single" w:sz="8" w:color="0000FF"/>
            </w:tcBorders>
            <w:gridSpan w:val="17"/>
          </w:tcPr>
          <w:p>
            <w:pPr>
              <w:spacing w:after="0"/>
              <w:rPr>
                <w:rFonts w:ascii="Arial" w:cs="Arial" w:eastAsia="Arial" w:hAnsi="Arial"/>
                <w:sz w:val="18"/>
                <w:szCs w:val="18"/>
                <w:color w:val="0000FF"/>
                <w:w w:val="94"/>
              </w:rPr>
            </w:pPr>
            <w:hyperlink w:anchor="page182">
              <w:r>
                <w:rPr>
                  <w:rFonts w:ascii="Arial" w:cs="Arial" w:eastAsia="Arial" w:hAnsi="Arial"/>
                  <w:sz w:val="18"/>
                  <w:szCs w:val="18"/>
                  <w:color w:val="0000FF"/>
                  <w:w w:val="94"/>
                </w:rPr>
                <w:t>Change in Control Agreements between Black Hills Corporation and its non-CEO Senior Executive Officers.</w:t>
              </w:r>
            </w:hyperlink>
          </w:p>
        </w:tc>
        <w:tc>
          <w:tcPr>
            <w:tcW w:w="1840" w:type="dxa"/>
            <w:vAlign w:val="bottom"/>
            <w:gridSpan w:val="19"/>
          </w:tcPr>
          <w:p>
            <w:pPr>
              <w:spacing w:after="0"/>
              <w:rPr>
                <w:sz w:val="24"/>
                <w:szCs w:val="24"/>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280" w:type="dxa"/>
            <w:vAlign w:val="bottom"/>
            <w:gridSpan w:val="3"/>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740" w:type="dxa"/>
            <w:vAlign w:val="bottom"/>
            <w:gridSpan w:val="2"/>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900" w:type="dxa"/>
            <w:vAlign w:val="bottom"/>
            <w:gridSpan w:val="3"/>
            <w:shd w:val="clear" w:color="auto" w:fill="0000FF"/>
          </w:tcPr>
          <w:p>
            <w:pPr>
              <w:spacing w:after="0" w:line="20" w:lineRule="exact"/>
              <w:rPr>
                <w:sz w:val="1"/>
                <w:szCs w:val="1"/>
                <w:color w:val="auto"/>
              </w:rPr>
            </w:pPr>
          </w:p>
        </w:tc>
        <w:tc>
          <w:tcPr>
            <w:tcW w:w="1340" w:type="dxa"/>
            <w:vAlign w:val="bottom"/>
            <w:gridSpan w:val="4"/>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10.17*†</w:t>
            </w:r>
          </w:p>
        </w:tc>
        <w:tc>
          <w:tcPr>
            <w:tcW w:w="200" w:type="dxa"/>
            <w:vAlign w:val="bottom"/>
          </w:tcPr>
          <w:p>
            <w:pPr>
              <w:spacing w:after="0"/>
              <w:rPr>
                <w:sz w:val="24"/>
                <w:szCs w:val="24"/>
                <w:color w:val="auto"/>
              </w:rPr>
            </w:pPr>
          </w:p>
        </w:tc>
        <w:tc>
          <w:tcPr>
            <w:tcW w:w="9540" w:type="dxa"/>
            <w:vAlign w:val="bottom"/>
            <w:tcBorders>
              <w:bottom w:val="single" w:sz="8" w:color="0000FF"/>
            </w:tcBorders>
            <w:gridSpan w:val="27"/>
          </w:tcPr>
          <w:p>
            <w:pPr>
              <w:spacing w:after="0"/>
              <w:rPr>
                <w:rFonts w:ascii="Arial" w:cs="Arial" w:eastAsia="Arial" w:hAnsi="Arial"/>
                <w:sz w:val="18"/>
                <w:szCs w:val="18"/>
                <w:color w:val="0000FF"/>
                <w:w w:val="89"/>
              </w:rPr>
            </w:pPr>
            <w:hyperlink r:id="rId97">
              <w:r>
                <w:rPr>
                  <w:rFonts w:ascii="Arial" w:cs="Arial" w:eastAsia="Arial" w:hAnsi="Arial"/>
                  <w:sz w:val="18"/>
                  <w:szCs w:val="18"/>
                  <w:color w:val="0000FF"/>
                  <w:w w:val="89"/>
                </w:rPr>
                <w:t>Outside Directors Stock Based Compensation Plan as Amended and Restated effective January 1, 2009 (filed as Exhibit 10.23 to the</w:t>
              </w:r>
            </w:hyperlink>
          </w:p>
        </w:tc>
        <w:tc>
          <w:tcPr>
            <w:tcW w:w="400" w:type="dxa"/>
            <w:vAlign w:val="bottom"/>
            <w:gridSpan w:val="9"/>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7">
              <w:r>
                <w:rPr>
                  <w:rFonts w:ascii="Arial" w:cs="Arial" w:eastAsia="Arial" w:hAnsi="Arial"/>
                  <w:sz w:val="18"/>
                  <w:szCs w:val="18"/>
                  <w:color w:val="0000FF"/>
                  <w:w w:val="92"/>
                </w:rPr>
                <w:t>Registrant’s Form 10-K for 2008).</w:t>
              </w:r>
            </w:hyperlink>
          </w:p>
        </w:tc>
        <w:tc>
          <w:tcPr>
            <w:tcW w:w="7460" w:type="dxa"/>
            <w:vAlign w:val="bottom"/>
            <w:gridSpan w:val="31"/>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380" w:type="dxa"/>
            <w:vAlign w:val="bottom"/>
            <w:tcBorders>
              <w:bottom w:val="single" w:sz="8" w:color="0000FF"/>
            </w:tcBorders>
            <w:gridSpan w:val="21"/>
          </w:tcPr>
          <w:p>
            <w:pPr>
              <w:spacing w:after="0"/>
              <w:rPr>
                <w:rFonts w:ascii="Arial" w:cs="Arial" w:eastAsia="Arial" w:hAnsi="Arial"/>
                <w:sz w:val="18"/>
                <w:szCs w:val="18"/>
                <w:color w:val="0000FF"/>
                <w:w w:val="90"/>
              </w:rPr>
            </w:pPr>
            <w:hyperlink r:id="rId98">
              <w:r>
                <w:rPr>
                  <w:rFonts w:ascii="Arial" w:cs="Arial" w:eastAsia="Arial" w:hAnsi="Arial"/>
                  <w:sz w:val="18"/>
                  <w:szCs w:val="18"/>
                  <w:color w:val="0000FF"/>
                  <w:w w:val="90"/>
                </w:rPr>
                <w:t>First Amendment to the Outside Directors Stock Based Compensation Plan effective January 1, 2011 (filed as Exhibit 10.16 to the</w:t>
              </w:r>
            </w:hyperlink>
          </w:p>
        </w:tc>
        <w:tc>
          <w:tcPr>
            <w:tcW w:w="560" w:type="dxa"/>
            <w:vAlign w:val="bottom"/>
            <w:gridSpan w:val="15"/>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8">
              <w:r>
                <w:rPr>
                  <w:rFonts w:ascii="Arial" w:cs="Arial" w:eastAsia="Arial" w:hAnsi="Arial"/>
                  <w:sz w:val="18"/>
                  <w:szCs w:val="18"/>
                  <w:color w:val="0000FF"/>
                  <w:w w:val="92"/>
                </w:rPr>
                <w:t>Registrant’s Form 10-K for 2010).</w:t>
              </w:r>
            </w:hyperlink>
          </w:p>
        </w:tc>
        <w:tc>
          <w:tcPr>
            <w:tcW w:w="7460" w:type="dxa"/>
            <w:vAlign w:val="bottom"/>
            <w:gridSpan w:val="31"/>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640" w:type="dxa"/>
            <w:vAlign w:val="bottom"/>
            <w:tcBorders>
              <w:bottom w:val="single" w:sz="8" w:color="0000FF"/>
            </w:tcBorders>
            <w:gridSpan w:val="29"/>
          </w:tcPr>
          <w:p>
            <w:pPr>
              <w:spacing w:after="0"/>
              <w:rPr>
                <w:rFonts w:ascii="Arial" w:cs="Arial" w:eastAsia="Arial" w:hAnsi="Arial"/>
                <w:sz w:val="18"/>
                <w:szCs w:val="18"/>
                <w:color w:val="0000FF"/>
                <w:w w:val="90"/>
              </w:rPr>
            </w:pPr>
            <w:hyperlink r:id="rId99">
              <w:r>
                <w:rPr>
                  <w:rFonts w:ascii="Arial" w:cs="Arial" w:eastAsia="Arial" w:hAnsi="Arial"/>
                  <w:sz w:val="18"/>
                  <w:szCs w:val="18"/>
                  <w:color w:val="0000FF"/>
                  <w:w w:val="90"/>
                </w:rPr>
                <w:t>Second Amendment to the Outside Director’s Stock Based Compensation Plan effective January 1, 2013 (filed as Exhibit 10.15 to the</w:t>
              </w:r>
            </w:hyperlink>
          </w:p>
        </w:tc>
        <w:tc>
          <w:tcPr>
            <w:tcW w:w="300" w:type="dxa"/>
            <w:vAlign w:val="bottom"/>
            <w:gridSpan w:val="7"/>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99">
              <w:r>
                <w:rPr>
                  <w:rFonts w:ascii="Arial" w:cs="Arial" w:eastAsia="Arial" w:hAnsi="Arial"/>
                  <w:sz w:val="18"/>
                  <w:szCs w:val="18"/>
                  <w:color w:val="0000FF"/>
                  <w:w w:val="92"/>
                </w:rPr>
                <w:t>Registrant’s Form 10-K for 2012).</w:t>
              </w:r>
            </w:hyperlink>
          </w:p>
        </w:tc>
        <w:tc>
          <w:tcPr>
            <w:tcW w:w="7460" w:type="dxa"/>
            <w:vAlign w:val="bottom"/>
            <w:gridSpan w:val="31"/>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20" w:type="dxa"/>
            <w:vAlign w:val="bottom"/>
            <w:tcBorders>
              <w:bottom w:val="single" w:sz="8" w:color="0000FF"/>
            </w:tcBorders>
            <w:gridSpan w:val="26"/>
          </w:tcPr>
          <w:p>
            <w:pPr>
              <w:spacing w:after="0"/>
              <w:rPr>
                <w:rFonts w:ascii="Arial" w:cs="Arial" w:eastAsia="Arial" w:hAnsi="Arial"/>
                <w:sz w:val="18"/>
                <w:szCs w:val="18"/>
                <w:color w:val="0000FF"/>
                <w:w w:val="91"/>
              </w:rPr>
            </w:pPr>
            <w:hyperlink r:id="rId100">
              <w:r>
                <w:rPr>
                  <w:rFonts w:ascii="Arial" w:cs="Arial" w:eastAsia="Arial" w:hAnsi="Arial"/>
                  <w:sz w:val="18"/>
                  <w:szCs w:val="18"/>
                  <w:color w:val="0000FF"/>
                  <w:w w:val="91"/>
                </w:rPr>
                <w:t>Third Amendment to the Outside Director’s Stock Based Compensation Plan effective January 1, 2015 (filed as Exhibit 10.16 to the</w:t>
              </w:r>
            </w:hyperlink>
          </w:p>
        </w:tc>
        <w:tc>
          <w:tcPr>
            <w:tcW w:w="420" w:type="dxa"/>
            <w:vAlign w:val="bottom"/>
            <w:gridSpan w:val="10"/>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100">
              <w:r>
                <w:rPr>
                  <w:rFonts w:ascii="Arial" w:cs="Arial" w:eastAsia="Arial" w:hAnsi="Arial"/>
                  <w:sz w:val="18"/>
                  <w:szCs w:val="18"/>
                  <w:color w:val="0000FF"/>
                </w:rPr>
                <w:t>Registrant’s Form 10-K for 2014).</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gridSpan w:val="4"/>
            <w:shd w:val="clear" w:color="auto" w:fill="0000FF"/>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500" w:type="dxa"/>
            <w:vAlign w:val="bottom"/>
            <w:tcBorders>
              <w:bottom w:val="single" w:sz="8" w:color="0000FF"/>
            </w:tcBorders>
            <w:gridSpan w:val="25"/>
          </w:tcPr>
          <w:p>
            <w:pPr>
              <w:spacing w:after="0"/>
              <w:rPr>
                <w:rFonts w:ascii="Arial" w:cs="Arial" w:eastAsia="Arial" w:hAnsi="Arial"/>
                <w:sz w:val="18"/>
                <w:szCs w:val="18"/>
                <w:color w:val="0000FF"/>
                <w:w w:val="90"/>
              </w:rPr>
            </w:pPr>
            <w:hyperlink r:id="rId101">
              <w:r>
                <w:rPr>
                  <w:rFonts w:ascii="Arial" w:cs="Arial" w:eastAsia="Arial" w:hAnsi="Arial"/>
                  <w:sz w:val="18"/>
                  <w:szCs w:val="18"/>
                  <w:color w:val="0000FF"/>
                  <w:w w:val="90"/>
                </w:rPr>
                <w:t>Fourth Amendment to the Outside Director’s Stock Based Compensation Plan effective January 1, 2017 (filed as Exhibit 10.4 to the</w:t>
              </w:r>
            </w:hyperlink>
          </w:p>
        </w:tc>
        <w:tc>
          <w:tcPr>
            <w:tcW w:w="440" w:type="dxa"/>
            <w:vAlign w:val="bottom"/>
            <w:gridSpan w:val="11"/>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5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101">
              <w:r>
                <w:rPr>
                  <w:rFonts w:ascii="Arial" w:cs="Arial" w:eastAsia="Arial" w:hAnsi="Arial"/>
                  <w:sz w:val="18"/>
                  <w:szCs w:val="18"/>
                  <w:color w:val="0000FF"/>
                  <w:w w:val="90"/>
                </w:rPr>
                <w:t>Registrant’s Form 10-Q for the quarterly period ended September 30, 2016).</w:t>
              </w:r>
            </w:hyperlink>
          </w:p>
        </w:tc>
        <w:tc>
          <w:tcPr>
            <w:tcW w:w="4440" w:type="dxa"/>
            <w:vAlign w:val="bottom"/>
            <w:gridSpan w:val="24"/>
          </w:tcPr>
          <w:p>
            <w:pPr>
              <w:spacing w:after="0"/>
              <w:rPr>
                <w:sz w:val="17"/>
                <w:szCs w:val="17"/>
                <w:color w:val="auto"/>
              </w:rPr>
            </w:pPr>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60" w:type="dxa"/>
            <w:vAlign w:val="bottom"/>
            <w:tcBorders>
              <w:bottom w:val="single" w:sz="8" w:color="0000FF"/>
            </w:tcBorders>
            <w:gridSpan w:val="23"/>
          </w:tcPr>
          <w:p>
            <w:pPr>
              <w:spacing w:after="0"/>
              <w:rPr>
                <w:rFonts w:ascii="Arial" w:cs="Arial" w:eastAsia="Arial" w:hAnsi="Arial"/>
                <w:sz w:val="18"/>
                <w:szCs w:val="18"/>
                <w:color w:val="0000FF"/>
                <w:w w:val="91"/>
              </w:rPr>
            </w:pPr>
            <w:hyperlink r:id="rId102">
              <w:r>
                <w:rPr>
                  <w:rFonts w:ascii="Arial" w:cs="Arial" w:eastAsia="Arial" w:hAnsi="Arial"/>
                  <w:sz w:val="18"/>
                  <w:szCs w:val="18"/>
                  <w:color w:val="0000FF"/>
                  <w:w w:val="91"/>
                </w:rPr>
                <w:t>Fifth Amendment to the Outside Director’s Stock Based Compensation Plan effective January 1, 2018 (filed as Exhibit 10.16 to the</w:t>
              </w:r>
            </w:hyperlink>
          </w:p>
        </w:tc>
        <w:tc>
          <w:tcPr>
            <w:tcW w:w="480" w:type="dxa"/>
            <w:vAlign w:val="bottom"/>
            <w:gridSpan w:val="13"/>
          </w:tcPr>
          <w:p>
            <w:pPr>
              <w:spacing w:after="0"/>
              <w:rPr>
                <w:sz w:val="21"/>
                <w:szCs w:val="21"/>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bottom w:val="single" w:sz="8" w:color="0000FF"/>
            </w:tcBorders>
            <w:gridSpan w:val="5"/>
          </w:tcPr>
          <w:p>
            <w:pPr>
              <w:spacing w:after="0" w:line="196" w:lineRule="exact"/>
              <w:rPr>
                <w:rFonts w:ascii="Arial" w:cs="Arial" w:eastAsia="Arial" w:hAnsi="Arial"/>
                <w:sz w:val="18"/>
                <w:szCs w:val="18"/>
                <w:color w:val="0000FF"/>
                <w:w w:val="92"/>
              </w:rPr>
            </w:pPr>
            <w:hyperlink r:id="rId102">
              <w:r>
                <w:rPr>
                  <w:rFonts w:ascii="Arial" w:cs="Arial" w:eastAsia="Arial" w:hAnsi="Arial"/>
                  <w:sz w:val="18"/>
                  <w:szCs w:val="18"/>
                  <w:color w:val="0000FF"/>
                  <w:w w:val="92"/>
                </w:rPr>
                <w:t>Registrant’s Form 10-K for 2017).</w:t>
              </w:r>
            </w:hyperlink>
          </w:p>
        </w:tc>
        <w:tc>
          <w:tcPr>
            <w:tcW w:w="7460" w:type="dxa"/>
            <w:vAlign w:val="bottom"/>
            <w:gridSpan w:val="31"/>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10.18*†</w:t>
            </w:r>
          </w:p>
        </w:tc>
        <w:tc>
          <w:tcPr>
            <w:tcW w:w="200" w:type="dxa"/>
            <w:vAlign w:val="bottom"/>
          </w:tcPr>
          <w:p>
            <w:pPr>
              <w:spacing w:after="0"/>
              <w:rPr>
                <w:sz w:val="24"/>
                <w:szCs w:val="24"/>
                <w:color w:val="auto"/>
              </w:rPr>
            </w:pPr>
          </w:p>
        </w:tc>
        <w:tc>
          <w:tcPr>
            <w:tcW w:w="9940" w:type="dxa"/>
            <w:vAlign w:val="bottom"/>
            <w:gridSpan w:val="36"/>
          </w:tcPr>
          <w:p>
            <w:pPr>
              <w:spacing w:after="0"/>
              <w:rPr>
                <w:rFonts w:ascii="Arial" w:cs="Arial" w:eastAsia="Arial" w:hAnsi="Arial"/>
                <w:sz w:val="18"/>
                <w:szCs w:val="18"/>
                <w:color w:val="0000FF"/>
                <w:w w:val="95"/>
              </w:rPr>
            </w:pPr>
            <w:hyperlink r:id="rId103">
              <w:r>
                <w:rPr>
                  <w:rFonts w:ascii="Arial" w:cs="Arial" w:eastAsia="Arial" w:hAnsi="Arial"/>
                  <w:sz w:val="18"/>
                  <w:szCs w:val="18"/>
                  <w:color w:val="0000FF"/>
                  <w:w w:val="95"/>
                </w:rPr>
                <w:t>Sixth Amendment to the Outside Director’s Stock Based Compensation Plan effective January 1, 2019 (filed as Exhibit 10.18 to the</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80" w:type="dxa"/>
            <w:vAlign w:val="bottom"/>
            <w:tcBorders>
              <w:top w:val="single" w:sz="8" w:color="0000FF"/>
              <w:bottom w:val="single" w:sz="8" w:color="0000FF"/>
            </w:tcBorders>
            <w:gridSpan w:val="5"/>
          </w:tcPr>
          <w:p>
            <w:pPr>
              <w:spacing w:after="0" w:line="196" w:lineRule="exact"/>
              <w:rPr>
                <w:rFonts w:ascii="Arial" w:cs="Arial" w:eastAsia="Arial" w:hAnsi="Arial"/>
                <w:sz w:val="18"/>
                <w:szCs w:val="18"/>
                <w:color w:val="0000FF"/>
                <w:w w:val="92"/>
              </w:rPr>
            </w:pPr>
            <w:hyperlink r:id="rId103">
              <w:r>
                <w:rPr>
                  <w:rFonts w:ascii="Arial" w:cs="Arial" w:eastAsia="Arial" w:hAnsi="Arial"/>
                  <w:sz w:val="18"/>
                  <w:szCs w:val="18"/>
                  <w:color w:val="0000FF"/>
                  <w:w w:val="92"/>
                </w:rPr>
                <w:t>Registrant’s Form 10-K for 2018).</w:t>
              </w:r>
            </w:hyperlink>
          </w:p>
        </w:tc>
        <w:tc>
          <w:tcPr>
            <w:tcW w:w="7000" w:type="dxa"/>
            <w:vAlign w:val="bottom"/>
            <w:tcBorders>
              <w:top w:val="single" w:sz="8" w:color="0000FF"/>
            </w:tcBorders>
            <w:gridSpan w:val="19"/>
          </w:tcPr>
          <w:p>
            <w:pPr>
              <w:spacing w:after="0"/>
              <w:rPr>
                <w:sz w:val="17"/>
                <w:szCs w:val="17"/>
                <w:color w:val="auto"/>
              </w:rPr>
            </w:pPr>
          </w:p>
        </w:tc>
        <w:tc>
          <w:tcPr>
            <w:tcW w:w="460" w:type="dxa"/>
            <w:vAlign w:val="bottom"/>
            <w:gridSpan w:val="12"/>
          </w:tcPr>
          <w:p>
            <w:pPr>
              <w:spacing w:after="0"/>
              <w:rPr>
                <w:sz w:val="17"/>
                <w:szCs w:val="17"/>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10.19*†</w:t>
            </w:r>
          </w:p>
        </w:tc>
        <w:tc>
          <w:tcPr>
            <w:tcW w:w="200" w:type="dxa"/>
            <w:vAlign w:val="bottom"/>
          </w:tcPr>
          <w:p>
            <w:pPr>
              <w:spacing w:after="0"/>
              <w:rPr>
                <w:sz w:val="24"/>
                <w:szCs w:val="24"/>
                <w:color w:val="auto"/>
              </w:rPr>
            </w:pPr>
          </w:p>
        </w:tc>
        <w:tc>
          <w:tcPr>
            <w:tcW w:w="9860" w:type="dxa"/>
            <w:vAlign w:val="bottom"/>
            <w:tcBorders>
              <w:bottom w:val="single" w:sz="8" w:color="0000FF"/>
            </w:tcBorders>
            <w:gridSpan w:val="33"/>
          </w:tcPr>
          <w:p>
            <w:pPr>
              <w:spacing w:after="0"/>
              <w:rPr>
                <w:rFonts w:ascii="Arial" w:cs="Arial" w:eastAsia="Arial" w:hAnsi="Arial"/>
                <w:sz w:val="18"/>
                <w:szCs w:val="18"/>
                <w:color w:val="0000FF"/>
                <w:w w:val="92"/>
              </w:rPr>
            </w:pPr>
            <w:hyperlink r:id="rId104">
              <w:r>
                <w:rPr>
                  <w:rFonts w:ascii="Arial" w:cs="Arial" w:eastAsia="Arial" w:hAnsi="Arial"/>
                  <w:sz w:val="18"/>
                  <w:szCs w:val="18"/>
                  <w:color w:val="0000FF"/>
                  <w:w w:val="92"/>
                </w:rPr>
                <w:t>Form of Non-Disclosure and Non-Solicitation Agreement for Certain Employees (filed as Exhibit 10.8 to the Registrant’s Form 10-Q for</w:t>
              </w:r>
            </w:hyperlink>
          </w:p>
        </w:tc>
        <w:tc>
          <w:tcPr>
            <w:tcW w:w="80" w:type="dxa"/>
            <w:vAlign w:val="bottom"/>
            <w:gridSpan w:val="3"/>
          </w:tcPr>
          <w:p>
            <w:pPr>
              <w:spacing w:after="0"/>
              <w:rPr>
                <w:sz w:val="24"/>
                <w:szCs w:val="24"/>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104">
              <w:r>
                <w:rPr>
                  <w:rFonts w:ascii="Arial" w:cs="Arial" w:eastAsia="Arial" w:hAnsi="Arial"/>
                  <w:sz w:val="18"/>
                  <w:szCs w:val="18"/>
                  <w:color w:val="0000FF"/>
                </w:rPr>
                <w:t>the quarterly period ended March 31, 2016).</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180" w:type="dxa"/>
            <w:vAlign w:val="bottom"/>
            <w:gridSpan w:val="6"/>
            <w:shd w:val="clear" w:color="auto" w:fill="0000FF"/>
          </w:tcPr>
          <w:p>
            <w:pPr>
              <w:spacing w:after="0" w:line="20" w:lineRule="exact"/>
              <w:rPr>
                <w:sz w:val="1"/>
                <w:szCs w:val="1"/>
                <w:color w:val="auto"/>
              </w:rPr>
            </w:pPr>
          </w:p>
        </w:tc>
        <w:tc>
          <w:tcPr>
            <w:tcW w:w="12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0" w:type="dxa"/>
            <w:vAlign w:val="bottom"/>
            <w:gridSpan w:val="3"/>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10.20</w:t>
            </w:r>
          </w:p>
        </w:tc>
        <w:tc>
          <w:tcPr>
            <w:tcW w:w="200" w:type="dxa"/>
            <w:vAlign w:val="bottom"/>
          </w:tcPr>
          <w:p>
            <w:pPr>
              <w:spacing w:after="0"/>
              <w:rPr>
                <w:sz w:val="24"/>
                <w:szCs w:val="24"/>
                <w:color w:val="auto"/>
              </w:rPr>
            </w:pPr>
          </w:p>
        </w:tc>
        <w:tc>
          <w:tcPr>
            <w:tcW w:w="9940" w:type="dxa"/>
            <w:vAlign w:val="bottom"/>
            <w:tcBorders>
              <w:bottom w:val="single" w:sz="8" w:color="0000FF"/>
            </w:tcBorders>
            <w:gridSpan w:val="36"/>
          </w:tcPr>
          <w:p>
            <w:pPr>
              <w:spacing w:after="0"/>
              <w:rPr>
                <w:rFonts w:ascii="Arial" w:cs="Arial" w:eastAsia="Arial" w:hAnsi="Arial"/>
                <w:sz w:val="18"/>
                <w:szCs w:val="18"/>
                <w:color w:val="0000FF"/>
                <w:w w:val="91"/>
              </w:rPr>
            </w:pPr>
            <w:hyperlink r:id="rId105">
              <w:r>
                <w:rPr>
                  <w:rFonts w:ascii="Arial" w:cs="Arial" w:eastAsia="Arial" w:hAnsi="Arial"/>
                  <w:sz w:val="18"/>
                  <w:szCs w:val="18"/>
                  <w:color w:val="0000FF"/>
                  <w:w w:val="91"/>
                </w:rPr>
                <w:t>Equity Distribution Sales Agreement dated August 4, 2017 among Black Hills Corporation and the several Agents named therein (filed as</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105">
              <w:r>
                <w:rPr>
                  <w:rFonts w:ascii="Arial" w:cs="Arial" w:eastAsia="Arial" w:hAnsi="Arial"/>
                  <w:sz w:val="18"/>
                  <w:szCs w:val="18"/>
                  <w:color w:val="0000FF"/>
                </w:rPr>
                <w:t>Exhibit 1.1 to the Registrant’s Form 8-K filed on August 4, 2017).</w:t>
              </w:r>
            </w:hyperlink>
          </w:p>
        </w:tc>
      </w:tr>
      <w:tr>
        <w:trPr>
          <w:trHeight w:val="250"/>
        </w:trPr>
        <w:tc>
          <w:tcPr>
            <w:tcW w:w="12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4760" w:type="dxa"/>
            <w:vAlign w:val="bottom"/>
            <w:tcBorders>
              <w:top w:val="single" w:sz="8" w:color="0000FF"/>
            </w:tcBorders>
            <w:gridSpan w:val="10"/>
          </w:tcPr>
          <w:p>
            <w:pPr>
              <w:spacing w:after="0"/>
              <w:rPr>
                <w:rFonts w:ascii="Arial" w:cs="Arial" w:eastAsia="Arial" w:hAnsi="Arial"/>
                <w:sz w:val="18"/>
                <w:szCs w:val="18"/>
                <w:color w:val="0000FF"/>
                <w:w w:val="97"/>
              </w:rPr>
            </w:pPr>
            <w:hyperlink w:anchor="page199">
              <w:r>
                <w:rPr>
                  <w:rFonts w:ascii="Arial" w:cs="Arial" w:eastAsia="Arial" w:hAnsi="Arial"/>
                  <w:sz w:val="18"/>
                  <w:szCs w:val="18"/>
                  <w:color w:val="0000FF"/>
                  <w:w w:val="97"/>
                </w:rPr>
                <w:t>First Amendment to the Equity Distribution Sales Agreement.</w:t>
              </w:r>
            </w:hyperlink>
          </w:p>
        </w:tc>
        <w:tc>
          <w:tcPr>
            <w:tcW w:w="5180" w:type="dxa"/>
            <w:vAlign w:val="bottom"/>
            <w:gridSpan w:val="26"/>
          </w:tcPr>
          <w:p>
            <w:pPr>
              <w:spacing w:after="0"/>
              <w:rPr>
                <w:sz w:val="21"/>
                <w:szCs w:val="21"/>
                <w:color w:val="auto"/>
              </w:rPr>
            </w:pPr>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60" w:type="dxa"/>
            <w:vAlign w:val="bottom"/>
            <w:gridSpan w:val="9"/>
            <w:shd w:val="clear" w:color="auto" w:fill="0000FF"/>
          </w:tcPr>
          <w:p>
            <w:pPr>
              <w:spacing w:after="0" w:line="20" w:lineRule="exact"/>
              <w:rPr>
                <w:sz w:val="1"/>
                <w:szCs w:val="1"/>
                <w:color w:val="auto"/>
              </w:rPr>
            </w:pPr>
          </w:p>
        </w:tc>
        <w:tc>
          <w:tcPr>
            <w:tcW w:w="2500" w:type="dxa"/>
            <w:vAlign w:val="bottom"/>
            <w:gridSpan w:val="4"/>
          </w:tcPr>
          <w:p>
            <w:pPr>
              <w:spacing w:after="0" w:line="20" w:lineRule="exact"/>
              <w:rPr>
                <w:sz w:val="1"/>
                <w:szCs w:val="1"/>
                <w:color w:val="auto"/>
              </w:rPr>
            </w:pPr>
          </w:p>
        </w:tc>
        <w:tc>
          <w:tcPr>
            <w:tcW w:w="2240" w:type="dxa"/>
            <w:vAlign w:val="bottom"/>
            <w:gridSpan w:val="7"/>
          </w:tcPr>
          <w:p>
            <w:pPr>
              <w:spacing w:after="0" w:line="20" w:lineRule="exact"/>
              <w:rPr>
                <w:sz w:val="1"/>
                <w:szCs w:val="1"/>
                <w:color w:val="auto"/>
              </w:rPr>
            </w:pPr>
          </w:p>
        </w:tc>
        <w:tc>
          <w:tcPr>
            <w:tcW w:w="420" w:type="dxa"/>
            <w:vAlign w:val="bottom"/>
            <w:gridSpan w:val="8"/>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r>
      <w:tr>
        <w:trPr>
          <w:trHeight w:val="426"/>
        </w:trPr>
        <w:tc>
          <w:tcPr>
            <w:tcW w:w="1220" w:type="dxa"/>
            <w:vAlign w:val="bottom"/>
          </w:tcPr>
          <w:p>
            <w:pPr>
              <w:ind w:left="40"/>
              <w:spacing w:after="0"/>
              <w:rPr>
                <w:sz w:val="20"/>
                <w:szCs w:val="20"/>
                <w:color w:val="auto"/>
              </w:rPr>
            </w:pPr>
            <w:r>
              <w:rPr>
                <w:rFonts w:ascii="Arial" w:cs="Arial" w:eastAsia="Arial" w:hAnsi="Arial"/>
                <w:sz w:val="18"/>
                <w:szCs w:val="18"/>
                <w:color w:val="auto"/>
              </w:rPr>
              <w:t>10.21*</w:t>
            </w:r>
          </w:p>
        </w:tc>
        <w:tc>
          <w:tcPr>
            <w:tcW w:w="200" w:type="dxa"/>
            <w:vAlign w:val="bottom"/>
          </w:tcPr>
          <w:p>
            <w:pPr>
              <w:spacing w:after="0"/>
              <w:rPr>
                <w:sz w:val="24"/>
                <w:szCs w:val="24"/>
                <w:color w:val="auto"/>
              </w:rPr>
            </w:pPr>
          </w:p>
        </w:tc>
        <w:tc>
          <w:tcPr>
            <w:tcW w:w="9940" w:type="dxa"/>
            <w:vAlign w:val="bottom"/>
            <w:gridSpan w:val="36"/>
          </w:tcPr>
          <w:p>
            <w:pPr>
              <w:spacing w:after="0"/>
              <w:rPr>
                <w:rFonts w:ascii="Arial" w:cs="Arial" w:eastAsia="Arial" w:hAnsi="Arial"/>
                <w:sz w:val="18"/>
                <w:szCs w:val="18"/>
                <w:color w:val="0000FF"/>
                <w:w w:val="94"/>
              </w:rPr>
            </w:pPr>
            <w:hyperlink r:id="rId106">
              <w:r>
                <w:rPr>
                  <w:rFonts w:ascii="Arial" w:cs="Arial" w:eastAsia="Arial" w:hAnsi="Arial"/>
                  <w:sz w:val="18"/>
                  <w:szCs w:val="18"/>
                  <w:color w:val="0000FF"/>
                  <w:w w:val="94"/>
                </w:rPr>
                <w:t xml:space="preserve">Third Amended and Restated Credit Agreement dated as of July 30, 2018 (relating to </w:t>
              </w:r>
              <w:r>
                <w:rPr>
                  <w:rFonts w:ascii="Arial" w:cs="Arial" w:eastAsia="Arial" w:hAnsi="Arial"/>
                  <w:sz w:val="18"/>
                  <w:szCs w:val="18"/>
                  <w:u w:val="single" w:color="auto"/>
                  <w:color w:val="0000FF"/>
                  <w:w w:val="94"/>
                </w:rPr>
                <w:t>$</w:t>
              </w:r>
              <w:r>
                <w:rPr>
                  <w:rFonts w:ascii="Arial" w:cs="Arial" w:eastAsia="Arial" w:hAnsi="Arial"/>
                  <w:sz w:val="18"/>
                  <w:szCs w:val="18"/>
                  <w:color w:val="0000FF"/>
                  <w:w w:val="94"/>
                </w:rPr>
                <w:t>750 million Revolving Credit Facility), among</w:t>
              </w:r>
            </w:hyperlink>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0" w:type="dxa"/>
            <w:vAlign w:val="bottom"/>
            <w:tcBorders>
              <w:top w:val="single" w:sz="8" w:color="0000FF"/>
              <w:bottom w:val="single" w:sz="8" w:color="0000FF"/>
            </w:tcBorders>
            <w:gridSpan w:val="20"/>
          </w:tcPr>
          <w:p>
            <w:pPr>
              <w:spacing w:after="0" w:line="196" w:lineRule="exact"/>
              <w:rPr>
                <w:rFonts w:ascii="Arial" w:cs="Arial" w:eastAsia="Arial" w:hAnsi="Arial"/>
                <w:sz w:val="18"/>
                <w:szCs w:val="18"/>
                <w:color w:val="0000FF"/>
                <w:w w:val="91"/>
              </w:rPr>
            </w:pPr>
            <w:hyperlink r:id="rId106">
              <w:r>
                <w:rPr>
                  <w:rFonts w:ascii="Arial" w:cs="Arial" w:eastAsia="Arial" w:hAnsi="Arial"/>
                  <w:sz w:val="18"/>
                  <w:szCs w:val="18"/>
                  <w:color w:val="0000FF"/>
                  <w:w w:val="91"/>
                </w:rPr>
                <w:t>Black Hills Corporation, as Borrower, the financial institutions party thereto, as Banks, and U.S. Bank, National Association, as</w:t>
              </w:r>
            </w:hyperlink>
          </w:p>
        </w:tc>
        <w:tc>
          <w:tcPr>
            <w:tcW w:w="420" w:type="dxa"/>
            <w:vAlign w:val="bottom"/>
            <w:tcBorders>
              <w:top w:val="single" w:sz="8" w:color="0000FF"/>
            </w:tcBorders>
            <w:gridSpan w:val="8"/>
          </w:tcPr>
          <w:p>
            <w:pPr>
              <w:spacing w:after="0"/>
              <w:rPr>
                <w:sz w:val="17"/>
                <w:szCs w:val="17"/>
                <w:color w:val="auto"/>
              </w:rPr>
            </w:pPr>
          </w:p>
        </w:tc>
        <w:tc>
          <w:tcPr>
            <w:tcW w:w="320" w:type="dxa"/>
            <w:vAlign w:val="bottom"/>
            <w:gridSpan w:val="8"/>
          </w:tcPr>
          <w:p>
            <w:pPr>
              <w:spacing w:after="0"/>
              <w:rPr>
                <w:sz w:val="17"/>
                <w:szCs w:val="17"/>
                <w:color w:val="auto"/>
              </w:rPr>
            </w:pPr>
          </w:p>
        </w:tc>
      </w:tr>
      <w:tr>
        <w:trPr>
          <w:trHeight w:val="196"/>
        </w:trPr>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940" w:type="dxa"/>
            <w:vAlign w:val="bottom"/>
            <w:gridSpan w:val="36"/>
          </w:tcPr>
          <w:p>
            <w:pPr>
              <w:spacing w:after="0" w:line="196" w:lineRule="exact"/>
              <w:rPr>
                <w:rFonts w:ascii="Arial" w:cs="Arial" w:eastAsia="Arial" w:hAnsi="Arial"/>
                <w:sz w:val="18"/>
                <w:szCs w:val="18"/>
                <w:color w:val="0000FF"/>
              </w:rPr>
            </w:pPr>
            <w:hyperlink r:id="rId106">
              <w:r>
                <w:rPr>
                  <w:rFonts w:ascii="Arial" w:cs="Arial" w:eastAsia="Arial" w:hAnsi="Arial"/>
                  <w:sz w:val="18"/>
                  <w:szCs w:val="18"/>
                  <w:color w:val="0000FF"/>
                </w:rPr>
                <w:t>Administrative Agent (filed as Exhibit 10.1 to the Registrant’s Form 8-K filed on July 31, 2018).</w:t>
              </w:r>
            </w:hyperlink>
          </w:p>
        </w:tc>
      </w:tr>
      <w:tr>
        <w:trPr>
          <w:trHeight w:val="20"/>
        </w:trPr>
        <w:tc>
          <w:tcPr>
            <w:tcW w:w="1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60" w:type="dxa"/>
            <w:vAlign w:val="bottom"/>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60"/>
          </w:cols>
          <w:pgMar w:left="240" w:top="117" w:right="299" w:bottom="1440" w:gutter="0" w:footer="0" w:header="0"/>
        </w:sectPr>
      </w:pPr>
    </w:p>
    <w:p>
      <w:pPr>
        <w:spacing w:after="0" w:line="5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360"/>
          </w:cols>
          <w:pgMar w:left="240" w:top="117" w:right="299" w:bottom="1440" w:gutter="0" w:footer="0" w:header="0"/>
          <w:type w:val="continuous"/>
        </w:sectPr>
      </w:pPr>
    </w:p>
    <w:bookmarkStart w:id="148" w:name="page149"/>
    <w:bookmarkEnd w:id="148"/>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00" w:lineRule="exact"/>
        <w:rPr>
          <w:sz w:val="20"/>
          <w:szCs w:val="20"/>
          <w:color w:val="auto"/>
        </w:rPr>
      </w:pPr>
    </w:p>
    <w:p>
      <w:pPr>
        <w:spacing w:after="0" w:line="34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10.22*</w:t>
            </w:r>
          </w:p>
        </w:tc>
        <w:tc>
          <w:tcPr>
            <w:tcW w:w="9620" w:type="dxa"/>
            <w:vAlign w:val="bottom"/>
            <w:tcBorders>
              <w:bottom w:val="single" w:sz="8" w:color="0000FF"/>
            </w:tcBorders>
            <w:gridSpan w:val="3"/>
          </w:tcPr>
          <w:p>
            <w:pPr>
              <w:spacing w:after="0"/>
              <w:rPr>
                <w:rFonts w:ascii="Arial" w:cs="Arial" w:eastAsia="Arial" w:hAnsi="Arial"/>
                <w:sz w:val="18"/>
                <w:szCs w:val="18"/>
                <w:color w:val="0000FF"/>
                <w:w w:val="91"/>
              </w:rPr>
            </w:pPr>
            <w:hyperlink r:id="rId107">
              <w:r>
                <w:rPr>
                  <w:rFonts w:ascii="Arial" w:cs="Arial" w:eastAsia="Arial" w:hAnsi="Arial"/>
                  <w:sz w:val="18"/>
                  <w:szCs w:val="18"/>
                  <w:color w:val="0000FF"/>
                  <w:w w:val="91"/>
                </w:rPr>
                <w:t xml:space="preserve">Amended and Restated Credit Agreement dated as of July 30, 2018 (relating to </w:t>
              </w:r>
              <w:r>
                <w:rPr>
                  <w:rFonts w:ascii="Arial" w:cs="Arial" w:eastAsia="Arial" w:hAnsi="Arial"/>
                  <w:sz w:val="18"/>
                  <w:szCs w:val="18"/>
                  <w:u w:val="single" w:color="auto"/>
                  <w:color w:val="0000FF"/>
                  <w:w w:val="91"/>
                </w:rPr>
                <w:t>$</w:t>
              </w:r>
              <w:r>
                <w:rPr>
                  <w:rFonts w:ascii="Arial" w:cs="Arial" w:eastAsia="Arial" w:hAnsi="Arial"/>
                  <w:sz w:val="18"/>
                  <w:szCs w:val="18"/>
                  <w:color w:val="0000FF"/>
                  <w:w w:val="91"/>
                </w:rPr>
                <w:t>300 million, two-year term loan), among Black Hills</w:t>
              </w:r>
            </w:hyperlink>
          </w:p>
        </w:tc>
        <w:tc>
          <w:tcPr>
            <w:tcW w:w="280" w:type="dxa"/>
            <w:vAlign w:val="bottom"/>
            <w:gridSpan w:val="3"/>
          </w:tcPr>
          <w:p>
            <w:pPr>
              <w:spacing w:after="0"/>
              <w:rPr>
                <w:sz w:val="17"/>
                <w:szCs w:val="17"/>
                <w:color w:val="auto"/>
              </w:rPr>
            </w:pPr>
          </w:p>
        </w:tc>
      </w:tr>
      <w:tr>
        <w:trPr>
          <w:trHeight w:val="196"/>
        </w:trPr>
        <w:tc>
          <w:tcPr>
            <w:tcW w:w="1380" w:type="dxa"/>
            <w:vAlign w:val="bottom"/>
          </w:tcPr>
          <w:p>
            <w:pPr>
              <w:spacing w:after="0"/>
              <w:rPr>
                <w:sz w:val="17"/>
                <w:szCs w:val="17"/>
                <w:color w:val="auto"/>
              </w:rPr>
            </w:pPr>
          </w:p>
        </w:tc>
        <w:tc>
          <w:tcPr>
            <w:tcW w:w="9900" w:type="dxa"/>
            <w:vAlign w:val="bottom"/>
            <w:gridSpan w:val="6"/>
          </w:tcPr>
          <w:p>
            <w:pPr>
              <w:spacing w:after="0" w:line="196" w:lineRule="exact"/>
              <w:rPr>
                <w:rFonts w:ascii="Arial" w:cs="Arial" w:eastAsia="Arial" w:hAnsi="Arial"/>
                <w:sz w:val="18"/>
                <w:szCs w:val="18"/>
                <w:color w:val="0000FF"/>
                <w:w w:val="93"/>
              </w:rPr>
            </w:pPr>
            <w:hyperlink r:id="rId107">
              <w:r>
                <w:rPr>
                  <w:rFonts w:ascii="Arial" w:cs="Arial" w:eastAsia="Arial" w:hAnsi="Arial"/>
                  <w:sz w:val="18"/>
                  <w:szCs w:val="18"/>
                  <w:color w:val="0000FF"/>
                  <w:w w:val="93"/>
                </w:rPr>
                <w:t>Corporation, as Borrower, the financial institutions party thereto, as Banks, and JPMorgan Chase Bank, N.A., as Administrative Agent</w:t>
              </w:r>
            </w:hyperlink>
          </w:p>
        </w:tc>
      </w:tr>
      <w:tr>
        <w:trPr>
          <w:trHeight w:val="196"/>
        </w:trPr>
        <w:tc>
          <w:tcPr>
            <w:tcW w:w="1380" w:type="dxa"/>
            <w:vAlign w:val="bottom"/>
          </w:tcPr>
          <w:p>
            <w:pPr>
              <w:spacing w:after="0"/>
              <w:rPr>
                <w:sz w:val="17"/>
                <w:szCs w:val="17"/>
                <w:color w:val="auto"/>
              </w:rPr>
            </w:pPr>
          </w:p>
        </w:tc>
        <w:tc>
          <w:tcPr>
            <w:tcW w:w="5360" w:type="dxa"/>
            <w:vAlign w:val="bottom"/>
            <w:tcBorders>
              <w:top w:val="single" w:sz="8" w:color="0000FF"/>
              <w:bottom w:val="single" w:sz="8" w:color="0000FF"/>
            </w:tcBorders>
          </w:tcPr>
          <w:p>
            <w:pPr>
              <w:spacing w:after="0" w:line="196" w:lineRule="exact"/>
              <w:rPr>
                <w:rFonts w:ascii="Arial" w:cs="Arial" w:eastAsia="Arial" w:hAnsi="Arial"/>
                <w:sz w:val="18"/>
                <w:szCs w:val="18"/>
                <w:color w:val="0000FF"/>
                <w:w w:val="92"/>
              </w:rPr>
            </w:pPr>
            <w:hyperlink r:id="rId107">
              <w:r>
                <w:rPr>
                  <w:rFonts w:ascii="Arial" w:cs="Arial" w:eastAsia="Arial" w:hAnsi="Arial"/>
                  <w:sz w:val="18"/>
                  <w:szCs w:val="18"/>
                  <w:color w:val="0000FF"/>
                  <w:w w:val="92"/>
                </w:rPr>
                <w:t>(filed as Exhibit 10.2 to the Registrant’s Form 8-K filed on July 31, 2018).</w:t>
              </w:r>
            </w:hyperlink>
          </w:p>
        </w:tc>
        <w:tc>
          <w:tcPr>
            <w:tcW w:w="4320" w:type="dxa"/>
            <w:vAlign w:val="bottom"/>
            <w:tcBorders>
              <w:top w:val="single" w:sz="8" w:color="0000FF"/>
            </w:tcBorders>
            <w:gridSpan w:val="4"/>
          </w:tcPr>
          <w:p>
            <w:pPr>
              <w:spacing w:after="0"/>
              <w:rPr>
                <w:sz w:val="17"/>
                <w:szCs w:val="17"/>
                <w:color w:val="auto"/>
              </w:rPr>
            </w:pPr>
          </w:p>
        </w:tc>
        <w:tc>
          <w:tcPr>
            <w:tcW w:w="220" w:type="dxa"/>
            <w:vAlign w:val="bottom"/>
          </w:tcPr>
          <w:p>
            <w:pPr>
              <w:spacing w:after="0"/>
              <w:rPr>
                <w:sz w:val="17"/>
                <w:szCs w:val="17"/>
                <w:color w:val="auto"/>
              </w:rPr>
            </w:pPr>
          </w:p>
        </w:tc>
      </w:tr>
      <w:tr>
        <w:trPr>
          <w:trHeight w:val="250"/>
        </w:trPr>
        <w:tc>
          <w:tcPr>
            <w:tcW w:w="1380" w:type="dxa"/>
            <w:vAlign w:val="bottom"/>
          </w:tcPr>
          <w:p>
            <w:pPr>
              <w:spacing w:after="0"/>
              <w:rPr>
                <w:sz w:val="21"/>
                <w:szCs w:val="21"/>
                <w:color w:val="auto"/>
              </w:rPr>
            </w:pPr>
          </w:p>
        </w:tc>
        <w:tc>
          <w:tcPr>
            <w:tcW w:w="9660" w:type="dxa"/>
            <w:vAlign w:val="bottom"/>
            <w:tcBorders>
              <w:bottom w:val="single" w:sz="8" w:color="0000FF"/>
            </w:tcBorders>
            <w:gridSpan w:val="4"/>
          </w:tcPr>
          <w:p>
            <w:pPr>
              <w:spacing w:after="0"/>
              <w:rPr>
                <w:rFonts w:ascii="Arial" w:cs="Arial" w:eastAsia="Arial" w:hAnsi="Arial"/>
                <w:sz w:val="18"/>
                <w:szCs w:val="18"/>
                <w:color w:val="0000FF"/>
                <w:w w:val="90"/>
              </w:rPr>
            </w:pPr>
            <w:hyperlink r:id="rId108">
              <w:r>
                <w:rPr>
                  <w:rFonts w:ascii="Arial" w:cs="Arial" w:eastAsia="Arial" w:hAnsi="Arial"/>
                  <w:sz w:val="18"/>
                  <w:szCs w:val="18"/>
                  <w:color w:val="0000FF"/>
                  <w:w w:val="90"/>
                </w:rPr>
                <w:t>First Amendment dated as of June 17, 2019 to Amended and Restated Credit Agreement dated as of July 30, 2018, among Black Hills</w:t>
              </w:r>
            </w:hyperlink>
          </w:p>
        </w:tc>
        <w:tc>
          <w:tcPr>
            <w:tcW w:w="240" w:type="dxa"/>
            <w:vAlign w:val="bottom"/>
            <w:gridSpan w:val="2"/>
          </w:tcPr>
          <w:p>
            <w:pPr>
              <w:spacing w:after="0"/>
              <w:rPr>
                <w:sz w:val="21"/>
                <w:szCs w:val="21"/>
                <w:color w:val="auto"/>
              </w:rPr>
            </w:pPr>
          </w:p>
        </w:tc>
      </w:tr>
      <w:tr>
        <w:trPr>
          <w:trHeight w:val="196"/>
        </w:trPr>
        <w:tc>
          <w:tcPr>
            <w:tcW w:w="1380" w:type="dxa"/>
            <w:vAlign w:val="bottom"/>
          </w:tcPr>
          <w:p>
            <w:pPr>
              <w:spacing w:after="0"/>
              <w:rPr>
                <w:sz w:val="17"/>
                <w:szCs w:val="17"/>
                <w:color w:val="auto"/>
              </w:rPr>
            </w:pPr>
          </w:p>
        </w:tc>
        <w:tc>
          <w:tcPr>
            <w:tcW w:w="9900" w:type="dxa"/>
            <w:vAlign w:val="bottom"/>
            <w:gridSpan w:val="6"/>
          </w:tcPr>
          <w:p>
            <w:pPr>
              <w:spacing w:after="0" w:line="196" w:lineRule="exact"/>
              <w:rPr>
                <w:rFonts w:ascii="Arial" w:cs="Arial" w:eastAsia="Arial" w:hAnsi="Arial"/>
                <w:sz w:val="18"/>
                <w:szCs w:val="18"/>
                <w:color w:val="0000FF"/>
                <w:w w:val="93"/>
              </w:rPr>
            </w:pPr>
            <w:hyperlink r:id="rId108">
              <w:r>
                <w:rPr>
                  <w:rFonts w:ascii="Arial" w:cs="Arial" w:eastAsia="Arial" w:hAnsi="Arial"/>
                  <w:sz w:val="18"/>
                  <w:szCs w:val="18"/>
                  <w:color w:val="0000FF"/>
                  <w:w w:val="93"/>
                </w:rPr>
                <w:t>Corporation, as Borrower, the financial institutions party thereto, as Banks, and JPMorgan Chase Bank, N.A., as Administrative Agent</w:t>
              </w:r>
            </w:hyperlink>
          </w:p>
        </w:tc>
      </w:tr>
      <w:tr>
        <w:trPr>
          <w:trHeight w:val="196"/>
        </w:trPr>
        <w:tc>
          <w:tcPr>
            <w:tcW w:w="1380" w:type="dxa"/>
            <w:vAlign w:val="bottom"/>
          </w:tcPr>
          <w:p>
            <w:pPr>
              <w:spacing w:after="0"/>
              <w:rPr>
                <w:sz w:val="17"/>
                <w:szCs w:val="17"/>
                <w:color w:val="auto"/>
              </w:rPr>
            </w:pPr>
          </w:p>
        </w:tc>
        <w:tc>
          <w:tcPr>
            <w:tcW w:w="5420" w:type="dxa"/>
            <w:vAlign w:val="bottom"/>
            <w:tcBorders>
              <w:top w:val="single" w:sz="8" w:color="0000FF"/>
              <w:bottom w:val="single" w:sz="8" w:color="0000FF"/>
            </w:tcBorders>
            <w:gridSpan w:val="2"/>
          </w:tcPr>
          <w:p>
            <w:pPr>
              <w:spacing w:after="0" w:line="196" w:lineRule="exact"/>
              <w:rPr>
                <w:rFonts w:ascii="Arial" w:cs="Arial" w:eastAsia="Arial" w:hAnsi="Arial"/>
                <w:sz w:val="18"/>
                <w:szCs w:val="18"/>
                <w:color w:val="0000FF"/>
                <w:w w:val="91"/>
              </w:rPr>
            </w:pPr>
            <w:hyperlink r:id="rId108">
              <w:r>
                <w:rPr>
                  <w:rFonts w:ascii="Arial" w:cs="Arial" w:eastAsia="Arial" w:hAnsi="Arial"/>
                  <w:sz w:val="18"/>
                  <w:szCs w:val="18"/>
                  <w:color w:val="0000FF"/>
                  <w:w w:val="91"/>
                </w:rPr>
                <w:t>(filed as Exhibit 10.1 to the Registrant’s Form 8–K filed on June 17, 2019).</w:t>
              </w:r>
            </w:hyperlink>
          </w:p>
        </w:tc>
        <w:tc>
          <w:tcPr>
            <w:tcW w:w="4260" w:type="dxa"/>
            <w:vAlign w:val="bottom"/>
            <w:tcBorders>
              <w:top w:val="single" w:sz="8" w:color="0000FF"/>
            </w:tcBorders>
            <w:gridSpan w:val="3"/>
          </w:tcPr>
          <w:p>
            <w:pPr>
              <w:spacing w:after="0"/>
              <w:rPr>
                <w:sz w:val="17"/>
                <w:szCs w:val="17"/>
                <w:color w:val="auto"/>
              </w:rPr>
            </w:pPr>
          </w:p>
        </w:tc>
        <w:tc>
          <w:tcPr>
            <w:tcW w:w="220" w:type="dxa"/>
            <w:vAlign w:val="bottom"/>
          </w:tcPr>
          <w:p>
            <w:pPr>
              <w:spacing w:after="0"/>
              <w:rPr>
                <w:sz w:val="17"/>
                <w:szCs w:val="17"/>
                <w:color w:val="auto"/>
              </w:rPr>
            </w:pPr>
          </w:p>
        </w:tc>
      </w:tr>
      <w:tr>
        <w:trPr>
          <w:trHeight w:val="452"/>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10.23*</w:t>
            </w:r>
          </w:p>
        </w:tc>
        <w:tc>
          <w:tcPr>
            <w:tcW w:w="9900" w:type="dxa"/>
            <w:vAlign w:val="bottom"/>
            <w:gridSpan w:val="6"/>
          </w:tcPr>
          <w:p>
            <w:pPr>
              <w:spacing w:after="0"/>
              <w:rPr>
                <w:sz w:val="20"/>
                <w:szCs w:val="20"/>
                <w:color w:val="auto"/>
              </w:rPr>
            </w:pPr>
            <w:r>
              <w:rPr>
                <w:rFonts w:ascii="Arial" w:cs="Arial" w:eastAsia="Arial" w:hAnsi="Arial"/>
                <w:sz w:val="18"/>
                <w:szCs w:val="18"/>
                <w:color w:val="auto"/>
              </w:rPr>
              <w:t>Coal Leases between WRDC and the Federal Government</w:t>
            </w:r>
          </w:p>
        </w:tc>
      </w:tr>
      <w:tr>
        <w:trPr>
          <w:trHeight w:val="216"/>
        </w:trPr>
        <w:tc>
          <w:tcPr>
            <w:tcW w:w="1380" w:type="dxa"/>
            <w:vAlign w:val="bottom"/>
          </w:tcPr>
          <w:p>
            <w:pPr>
              <w:spacing w:after="0"/>
              <w:rPr>
                <w:sz w:val="18"/>
                <w:szCs w:val="18"/>
                <w:color w:val="auto"/>
              </w:rPr>
            </w:pPr>
          </w:p>
        </w:tc>
        <w:tc>
          <w:tcPr>
            <w:tcW w:w="9900" w:type="dxa"/>
            <w:vAlign w:val="bottom"/>
            <w:gridSpan w:val="6"/>
          </w:tcPr>
          <w:p>
            <w:pPr>
              <w:ind w:left="220"/>
              <w:spacing w:after="0" w:line="207" w:lineRule="exact"/>
              <w:rPr>
                <w:sz w:val="20"/>
                <w:szCs w:val="20"/>
                <w:color w:val="auto"/>
              </w:rPr>
            </w:pPr>
            <w:r>
              <w:rPr>
                <w:rFonts w:ascii="Arial" w:cs="Arial" w:eastAsia="Arial" w:hAnsi="Arial"/>
                <w:sz w:val="18"/>
                <w:szCs w:val="18"/>
                <w:color w:val="auto"/>
              </w:rPr>
              <w:t>-Dated May 1, 1959 (filed as Exhibit 5(i)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16"/>
        </w:trPr>
        <w:tc>
          <w:tcPr>
            <w:tcW w:w="1380" w:type="dxa"/>
            <w:vAlign w:val="bottom"/>
          </w:tcPr>
          <w:p>
            <w:pPr>
              <w:spacing w:after="0"/>
              <w:rPr>
                <w:sz w:val="18"/>
                <w:szCs w:val="18"/>
                <w:color w:val="auto"/>
              </w:rPr>
            </w:pPr>
          </w:p>
        </w:tc>
        <w:tc>
          <w:tcPr>
            <w:tcW w:w="9900" w:type="dxa"/>
            <w:vAlign w:val="bottom"/>
            <w:gridSpan w:val="6"/>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10(h) to the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216"/>
        </w:trPr>
        <w:tc>
          <w:tcPr>
            <w:tcW w:w="1380" w:type="dxa"/>
            <w:vAlign w:val="bottom"/>
          </w:tcPr>
          <w:p>
            <w:pPr>
              <w:spacing w:after="0"/>
              <w:rPr>
                <w:sz w:val="18"/>
                <w:szCs w:val="18"/>
                <w:color w:val="auto"/>
              </w:rPr>
            </w:pPr>
          </w:p>
        </w:tc>
        <w:tc>
          <w:tcPr>
            <w:tcW w:w="9900" w:type="dxa"/>
            <w:vAlign w:val="bottom"/>
            <w:gridSpan w:val="6"/>
          </w:tcPr>
          <w:p>
            <w:pPr>
              <w:ind w:left="220"/>
              <w:spacing w:after="0" w:line="207" w:lineRule="exact"/>
              <w:rPr>
                <w:sz w:val="20"/>
                <w:szCs w:val="20"/>
                <w:color w:val="auto"/>
              </w:rPr>
            </w:pPr>
            <w:r>
              <w:rPr>
                <w:rFonts w:ascii="Arial" w:cs="Arial" w:eastAsia="Arial" w:hAnsi="Arial"/>
                <w:sz w:val="18"/>
                <w:szCs w:val="18"/>
                <w:color w:val="auto"/>
              </w:rPr>
              <w:t>-Dated April 1, 1961 (filed as Exhibit 5(j)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16"/>
        </w:trPr>
        <w:tc>
          <w:tcPr>
            <w:tcW w:w="1380" w:type="dxa"/>
            <w:vAlign w:val="bottom"/>
          </w:tcPr>
          <w:p>
            <w:pPr>
              <w:spacing w:after="0"/>
              <w:rPr>
                <w:sz w:val="18"/>
                <w:szCs w:val="18"/>
                <w:color w:val="auto"/>
              </w:rPr>
            </w:pPr>
          </w:p>
        </w:tc>
        <w:tc>
          <w:tcPr>
            <w:tcW w:w="9900" w:type="dxa"/>
            <w:vAlign w:val="bottom"/>
            <w:gridSpan w:val="6"/>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10(i) to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216"/>
        </w:trPr>
        <w:tc>
          <w:tcPr>
            <w:tcW w:w="1380" w:type="dxa"/>
            <w:vAlign w:val="bottom"/>
          </w:tcPr>
          <w:p>
            <w:pPr>
              <w:spacing w:after="0"/>
              <w:rPr>
                <w:sz w:val="18"/>
                <w:szCs w:val="18"/>
                <w:color w:val="auto"/>
              </w:rPr>
            </w:pPr>
          </w:p>
        </w:tc>
        <w:tc>
          <w:tcPr>
            <w:tcW w:w="9900" w:type="dxa"/>
            <w:vAlign w:val="bottom"/>
            <w:gridSpan w:val="6"/>
          </w:tcPr>
          <w:p>
            <w:pPr>
              <w:ind w:left="220"/>
              <w:spacing w:after="0" w:line="207" w:lineRule="exact"/>
              <w:rPr>
                <w:sz w:val="20"/>
                <w:szCs w:val="20"/>
                <w:color w:val="auto"/>
              </w:rPr>
            </w:pPr>
            <w:r>
              <w:rPr>
                <w:rFonts w:ascii="Arial" w:cs="Arial" w:eastAsia="Arial" w:hAnsi="Arial"/>
                <w:sz w:val="18"/>
                <w:szCs w:val="18"/>
                <w:color w:val="auto"/>
              </w:rPr>
              <w:t>-Dated October 1, 1965 (filed as Exhibit 5(k) to the Registrant’s Form S</w:t>
            </w:r>
            <w:r>
              <w:rPr>
                <w:rFonts w:ascii="MS PGothic" w:cs="MS PGothic" w:eastAsia="MS PGothic" w:hAnsi="MS PGothic"/>
                <w:sz w:val="18"/>
                <w:szCs w:val="18"/>
                <w:color w:val="auto"/>
              </w:rPr>
              <w:t>‑</w:t>
            </w:r>
            <w:r>
              <w:rPr>
                <w:rFonts w:ascii="Arial" w:cs="Arial" w:eastAsia="Arial" w:hAnsi="Arial"/>
                <w:sz w:val="18"/>
                <w:szCs w:val="18"/>
                <w:color w:val="auto"/>
              </w:rPr>
              <w:t>7, File No. 2</w:t>
            </w:r>
            <w:r>
              <w:rPr>
                <w:rFonts w:ascii="MS PGothic" w:cs="MS PGothic" w:eastAsia="MS PGothic" w:hAnsi="MS PGothic"/>
                <w:sz w:val="18"/>
                <w:szCs w:val="18"/>
                <w:color w:val="auto"/>
              </w:rPr>
              <w:t>‑</w:t>
            </w:r>
            <w:r>
              <w:rPr>
                <w:rFonts w:ascii="Arial" w:cs="Arial" w:eastAsia="Arial" w:hAnsi="Arial"/>
                <w:sz w:val="18"/>
                <w:szCs w:val="18"/>
                <w:color w:val="auto"/>
              </w:rPr>
              <w:t>60755)</w:t>
            </w:r>
          </w:p>
        </w:tc>
      </w:tr>
      <w:tr>
        <w:trPr>
          <w:trHeight w:val="230"/>
        </w:trPr>
        <w:tc>
          <w:tcPr>
            <w:tcW w:w="1380" w:type="dxa"/>
            <w:vAlign w:val="bottom"/>
          </w:tcPr>
          <w:p>
            <w:pPr>
              <w:spacing w:after="0"/>
              <w:rPr>
                <w:sz w:val="20"/>
                <w:szCs w:val="20"/>
                <w:color w:val="auto"/>
              </w:rPr>
            </w:pPr>
          </w:p>
        </w:tc>
        <w:tc>
          <w:tcPr>
            <w:tcW w:w="9900" w:type="dxa"/>
            <w:vAlign w:val="bottom"/>
            <w:gridSpan w:val="6"/>
          </w:tcPr>
          <w:p>
            <w:pPr>
              <w:ind w:left="360"/>
              <w:spacing w:after="0" w:line="207" w:lineRule="exact"/>
              <w:rPr>
                <w:sz w:val="20"/>
                <w:szCs w:val="20"/>
                <w:color w:val="auto"/>
              </w:rPr>
            </w:pPr>
            <w:r>
              <w:rPr>
                <w:rFonts w:ascii="Arial" w:cs="Arial" w:eastAsia="Arial" w:hAnsi="Arial"/>
                <w:sz w:val="18"/>
                <w:szCs w:val="18"/>
                <w:color w:val="auto"/>
              </w:rPr>
              <w:t>-Modified January 22, 1990 (filed as Exhibit 10(j) to the Registrant’s Form 10</w:t>
            </w:r>
            <w:r>
              <w:rPr>
                <w:rFonts w:ascii="MS PGothic" w:cs="MS PGothic" w:eastAsia="MS PGothic" w:hAnsi="MS PGothic"/>
                <w:sz w:val="18"/>
                <w:szCs w:val="18"/>
                <w:color w:val="auto"/>
              </w:rPr>
              <w:t>‑</w:t>
            </w:r>
            <w:r>
              <w:rPr>
                <w:rFonts w:ascii="Arial" w:cs="Arial" w:eastAsia="Arial" w:hAnsi="Arial"/>
                <w:sz w:val="18"/>
                <w:szCs w:val="18"/>
                <w:color w:val="auto"/>
              </w:rPr>
              <w:t>K for 1989).</w:t>
            </w:r>
          </w:p>
        </w:tc>
      </w:tr>
      <w:tr>
        <w:trPr>
          <w:trHeight w:val="431"/>
        </w:trPr>
        <w:tc>
          <w:tcPr>
            <w:tcW w:w="1380" w:type="dxa"/>
            <w:vAlign w:val="bottom"/>
          </w:tcPr>
          <w:p>
            <w:pPr>
              <w:jc w:val="right"/>
              <w:ind w:right="790"/>
              <w:spacing w:after="0"/>
              <w:rPr>
                <w:sz w:val="20"/>
                <w:szCs w:val="20"/>
                <w:color w:val="auto"/>
              </w:rPr>
            </w:pPr>
            <w:r>
              <w:rPr>
                <w:rFonts w:ascii="Arial" w:cs="Arial" w:eastAsia="Arial" w:hAnsi="Arial"/>
                <w:sz w:val="18"/>
                <w:szCs w:val="18"/>
                <w:color w:val="auto"/>
                <w:w w:val="92"/>
              </w:rPr>
              <w:t>10.24*</w:t>
            </w:r>
          </w:p>
        </w:tc>
        <w:tc>
          <w:tcPr>
            <w:tcW w:w="9900" w:type="dxa"/>
            <w:vAlign w:val="bottom"/>
            <w:gridSpan w:val="6"/>
          </w:tcPr>
          <w:p>
            <w:pPr>
              <w:spacing w:after="0"/>
              <w:rPr>
                <w:sz w:val="20"/>
                <w:szCs w:val="20"/>
                <w:color w:val="auto"/>
              </w:rPr>
            </w:pPr>
            <w:r>
              <w:rPr>
                <w:rFonts w:ascii="Arial" w:cs="Arial" w:eastAsia="Arial" w:hAnsi="Arial"/>
                <w:sz w:val="18"/>
                <w:szCs w:val="18"/>
                <w:color w:val="auto"/>
                <w:w w:val="91"/>
              </w:rPr>
              <w:t>Assignment of Mining Leases and Related Agreement effective May 27, 1997, between WRDC and Kerr-McGee Coal Corporation (filed</w:t>
            </w:r>
          </w:p>
        </w:tc>
      </w:tr>
      <w:tr>
        <w:trPr>
          <w:trHeight w:val="230"/>
        </w:trPr>
        <w:tc>
          <w:tcPr>
            <w:tcW w:w="1380" w:type="dxa"/>
            <w:vAlign w:val="bottom"/>
          </w:tcPr>
          <w:p>
            <w:pPr>
              <w:spacing w:after="0"/>
              <w:rPr>
                <w:sz w:val="20"/>
                <w:szCs w:val="20"/>
                <w:color w:val="auto"/>
              </w:rPr>
            </w:pPr>
          </w:p>
        </w:tc>
        <w:tc>
          <w:tcPr>
            <w:tcW w:w="9900" w:type="dxa"/>
            <w:vAlign w:val="bottom"/>
            <w:gridSpan w:val="6"/>
          </w:tcPr>
          <w:p>
            <w:pPr>
              <w:spacing w:after="0"/>
              <w:rPr>
                <w:sz w:val="20"/>
                <w:szCs w:val="20"/>
                <w:color w:val="auto"/>
              </w:rPr>
            </w:pPr>
            <w:r>
              <w:rPr>
                <w:rFonts w:ascii="Arial" w:cs="Arial" w:eastAsia="Arial" w:hAnsi="Arial"/>
                <w:sz w:val="18"/>
                <w:szCs w:val="18"/>
                <w:color w:val="auto"/>
              </w:rPr>
              <w:t>as Exhibit 10(u) to the Registrant’s Form 10-K for 1997).</w:t>
            </w:r>
          </w:p>
        </w:tc>
      </w:tr>
    </w:tbl>
    <w:p>
      <w:pPr>
        <w:spacing w:after="0" w:line="215" w:lineRule="exact"/>
        <w:rPr>
          <w:sz w:val="20"/>
          <w:szCs w:val="20"/>
          <w:color w:val="auto"/>
        </w:rPr>
      </w:pPr>
    </w:p>
    <w:p>
      <w:pPr>
        <w:ind w:left="1420" w:hanging="1385"/>
        <w:spacing w:after="0"/>
        <w:tabs>
          <w:tab w:leader="none" w:pos="1420" w:val="left"/>
        </w:tabs>
        <w:numPr>
          <w:ilvl w:val="0"/>
          <w:numId w:val="99"/>
        </w:numPr>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List of Subsidiaries of Black Hills Corporation.</w:t>
        </w:r>
      </w:hyperlink>
    </w:p>
    <w:p>
      <w:pPr>
        <w:spacing w:after="0" w:line="222"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23.1</w:t>
            </w:r>
          </w:p>
        </w:tc>
        <w:tc>
          <w:tcPr>
            <w:tcW w:w="4360" w:type="dxa"/>
            <w:vAlign w:val="bottom"/>
            <w:tcBorders>
              <w:bottom w:val="single" w:sz="8" w:color="0000FF"/>
            </w:tcBorders>
            <w:gridSpan w:val="4"/>
          </w:tcPr>
          <w:p>
            <w:pPr>
              <w:spacing w:after="0"/>
              <w:rPr>
                <w:rFonts w:ascii="Arial" w:cs="Arial" w:eastAsia="Arial" w:hAnsi="Arial"/>
                <w:sz w:val="18"/>
                <w:szCs w:val="18"/>
                <w:color w:val="0000FF"/>
                <w:w w:val="90"/>
              </w:rPr>
            </w:pPr>
            <w:hyperlink w:anchor="page203">
              <w:r>
                <w:rPr>
                  <w:rFonts w:ascii="Arial" w:cs="Arial" w:eastAsia="Arial" w:hAnsi="Arial"/>
                  <w:sz w:val="18"/>
                  <w:szCs w:val="18"/>
                  <w:color w:val="0000FF"/>
                  <w:w w:val="90"/>
                </w:rPr>
                <w:t>Consent of Independent Registered Public Accounting Firm.</w:t>
              </w:r>
            </w:hyperlink>
          </w:p>
        </w:tc>
        <w:tc>
          <w:tcPr>
            <w:tcW w:w="5360" w:type="dxa"/>
            <w:vAlign w:val="bottom"/>
            <w:gridSpan w:val="4"/>
          </w:tcPr>
          <w:p>
            <w:pPr>
              <w:spacing w:after="0"/>
              <w:rPr>
                <w:sz w:val="17"/>
                <w:szCs w:val="17"/>
                <w:color w:val="auto"/>
              </w:rPr>
            </w:pPr>
          </w:p>
        </w:tc>
      </w:tr>
      <w:tr>
        <w:trPr>
          <w:trHeight w:val="42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31.1</w:t>
            </w:r>
          </w:p>
        </w:tc>
        <w:tc>
          <w:tcPr>
            <w:tcW w:w="9520" w:type="dxa"/>
            <w:vAlign w:val="bottom"/>
            <w:tcBorders>
              <w:bottom w:val="single" w:sz="8" w:color="0000FF"/>
            </w:tcBorders>
            <w:gridSpan w:val="6"/>
          </w:tcPr>
          <w:p>
            <w:pPr>
              <w:spacing w:after="0"/>
              <w:rPr>
                <w:rFonts w:ascii="Arial" w:cs="Arial" w:eastAsia="Arial" w:hAnsi="Arial"/>
                <w:sz w:val="18"/>
                <w:szCs w:val="18"/>
                <w:color w:val="0000FF"/>
                <w:w w:val="91"/>
              </w:rPr>
            </w:pPr>
            <w:hyperlink w:anchor="page204">
              <w:r>
                <w:rPr>
                  <w:rFonts w:ascii="Arial" w:cs="Arial" w:eastAsia="Arial" w:hAnsi="Arial"/>
                  <w:sz w:val="18"/>
                  <w:szCs w:val="18"/>
                  <w:color w:val="0000FF"/>
                  <w:w w:val="91"/>
                </w:rPr>
                <w:t>Certification of Chief Executive Officer pursuant to Rule 13a - 14(a) of the Securities Exchange Act of 1934, as adopted pursuant to</w:t>
              </w:r>
            </w:hyperlink>
          </w:p>
        </w:tc>
        <w:tc>
          <w:tcPr>
            <w:tcW w:w="200" w:type="dxa"/>
            <w:vAlign w:val="bottom"/>
            <w:gridSpan w:val="2"/>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3560" w:type="dxa"/>
            <w:vAlign w:val="bottom"/>
            <w:tcBorders>
              <w:bottom w:val="single" w:sz="8" w:color="0000FF"/>
            </w:tcBorders>
            <w:gridSpan w:val="3"/>
          </w:tcPr>
          <w:p>
            <w:pPr>
              <w:spacing w:after="0" w:line="196" w:lineRule="exact"/>
              <w:rPr>
                <w:rFonts w:ascii="Arial" w:cs="Arial" w:eastAsia="Arial" w:hAnsi="Arial"/>
                <w:sz w:val="18"/>
                <w:szCs w:val="18"/>
                <w:color w:val="0000FF"/>
                <w:w w:val="90"/>
              </w:rPr>
            </w:pPr>
            <w:hyperlink w:anchor="page204">
              <w:r>
                <w:rPr>
                  <w:rFonts w:ascii="Arial" w:cs="Arial" w:eastAsia="Arial" w:hAnsi="Arial"/>
                  <w:sz w:val="18"/>
                  <w:szCs w:val="18"/>
                  <w:color w:val="0000FF"/>
                  <w:w w:val="90"/>
                </w:rPr>
                <w:t>Section 302 of the Sarbanes - Oxley Act of 2002.</w:t>
              </w:r>
            </w:hyperlink>
          </w:p>
        </w:tc>
        <w:tc>
          <w:tcPr>
            <w:tcW w:w="6160" w:type="dxa"/>
            <w:vAlign w:val="bottom"/>
            <w:gridSpan w:val="5"/>
          </w:tcPr>
          <w:p>
            <w:pPr>
              <w:spacing w:after="0"/>
              <w:rPr>
                <w:sz w:val="17"/>
                <w:szCs w:val="17"/>
                <w:color w:val="auto"/>
              </w:rPr>
            </w:pPr>
          </w:p>
        </w:tc>
      </w:tr>
      <w:tr>
        <w:trPr>
          <w:trHeight w:val="42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31.2</w:t>
            </w:r>
          </w:p>
        </w:tc>
        <w:tc>
          <w:tcPr>
            <w:tcW w:w="9720" w:type="dxa"/>
            <w:vAlign w:val="bottom"/>
            <w:gridSpan w:val="8"/>
          </w:tcPr>
          <w:p>
            <w:pPr>
              <w:spacing w:after="0"/>
              <w:rPr>
                <w:rFonts w:ascii="Arial" w:cs="Arial" w:eastAsia="Arial" w:hAnsi="Arial"/>
                <w:sz w:val="18"/>
                <w:szCs w:val="18"/>
                <w:color w:val="0000FF"/>
                <w:w w:val="93"/>
              </w:rPr>
            </w:pPr>
            <w:hyperlink w:anchor="page205">
              <w:r>
                <w:rPr>
                  <w:rFonts w:ascii="Arial" w:cs="Arial" w:eastAsia="Arial" w:hAnsi="Arial"/>
                  <w:sz w:val="18"/>
                  <w:szCs w:val="18"/>
                  <w:color w:val="0000FF"/>
                  <w:w w:val="93"/>
                </w:rPr>
                <w:t>Certification of Chief Financial Officer pursuant to Rule 13a - 14(a) of the Securities Exchange Act of 1934, as adopted pursuant to</w:t>
              </w:r>
            </w:hyperlink>
          </w:p>
        </w:tc>
      </w:tr>
      <w:tr>
        <w:trPr>
          <w:trHeight w:val="196"/>
        </w:trPr>
        <w:tc>
          <w:tcPr>
            <w:tcW w:w="1380" w:type="dxa"/>
            <w:vAlign w:val="bottom"/>
          </w:tcPr>
          <w:p>
            <w:pPr>
              <w:spacing w:after="0"/>
              <w:rPr>
                <w:sz w:val="17"/>
                <w:szCs w:val="17"/>
                <w:color w:val="auto"/>
              </w:rPr>
            </w:pPr>
          </w:p>
        </w:tc>
        <w:tc>
          <w:tcPr>
            <w:tcW w:w="9460" w:type="dxa"/>
            <w:vAlign w:val="bottom"/>
            <w:tcBorders>
              <w:top w:val="single" w:sz="8" w:color="0000FF"/>
            </w:tcBorders>
            <w:gridSpan w:val="5"/>
          </w:tcPr>
          <w:p>
            <w:pPr>
              <w:spacing w:after="0" w:line="196" w:lineRule="exact"/>
              <w:rPr>
                <w:rFonts w:ascii="Arial" w:cs="Arial" w:eastAsia="Arial" w:hAnsi="Arial"/>
                <w:sz w:val="18"/>
                <w:szCs w:val="18"/>
                <w:color w:val="0000FF"/>
              </w:rPr>
            </w:pPr>
            <w:hyperlink w:anchor="page205">
              <w:r>
                <w:rPr>
                  <w:rFonts w:ascii="Arial" w:cs="Arial" w:eastAsia="Arial" w:hAnsi="Arial"/>
                  <w:sz w:val="18"/>
                  <w:szCs w:val="18"/>
                  <w:color w:val="0000FF"/>
                </w:rPr>
                <w:t>Section 302 of the Sarbanes - Oxley Act of 2002.</w:t>
              </w:r>
            </w:hyperlink>
          </w:p>
        </w:tc>
        <w:tc>
          <w:tcPr>
            <w:tcW w:w="260" w:type="dxa"/>
            <w:vAlign w:val="bottom"/>
            <w:gridSpan w:val="3"/>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40" w:type="dxa"/>
            <w:vAlign w:val="bottom"/>
            <w:shd w:val="clear" w:color="auto" w:fill="0000FF"/>
          </w:tcPr>
          <w:p>
            <w:pPr>
              <w:spacing w:after="0" w:line="20" w:lineRule="exact"/>
              <w:rPr>
                <w:sz w:val="1"/>
                <w:szCs w:val="1"/>
                <w:color w:val="auto"/>
              </w:rPr>
            </w:pPr>
          </w:p>
        </w:tc>
        <w:tc>
          <w:tcPr>
            <w:tcW w:w="614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2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32.1</w:t>
            </w:r>
          </w:p>
        </w:tc>
        <w:tc>
          <w:tcPr>
            <w:tcW w:w="9720" w:type="dxa"/>
            <w:vAlign w:val="bottom"/>
            <w:tcBorders>
              <w:bottom w:val="single" w:sz="8" w:color="0000FF"/>
            </w:tcBorders>
            <w:gridSpan w:val="8"/>
          </w:tcPr>
          <w:p>
            <w:pPr>
              <w:spacing w:after="0"/>
              <w:rPr>
                <w:rFonts w:ascii="Arial" w:cs="Arial" w:eastAsia="Arial" w:hAnsi="Arial"/>
                <w:sz w:val="18"/>
                <w:szCs w:val="18"/>
                <w:color w:val="0000FF"/>
                <w:w w:val="90"/>
              </w:rPr>
            </w:pPr>
            <w:hyperlink w:anchor="page206">
              <w:r>
                <w:rPr>
                  <w:rFonts w:ascii="Arial" w:cs="Arial" w:eastAsia="Arial" w:hAnsi="Arial"/>
                  <w:sz w:val="18"/>
                  <w:szCs w:val="18"/>
                  <w:color w:val="0000FF"/>
                  <w:w w:val="90"/>
                </w:rPr>
                <w:t>Certification of Chief Executive Officer pursuant to 18 U.S.C. Section 1350, as adopted pursuant to Section 906 of the Sarbanes-Oxley</w:t>
              </w:r>
            </w:hyperlink>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206">
              <w:r>
                <w:rPr>
                  <w:rFonts w:ascii="Arial" w:cs="Arial" w:eastAsia="Arial" w:hAnsi="Arial"/>
                  <w:sz w:val="18"/>
                  <w:szCs w:val="18"/>
                  <w:color w:val="0000FF"/>
                  <w:w w:val="91"/>
                </w:rPr>
                <w:t>Act of 2002.</w:t>
              </w:r>
            </w:hyperlink>
          </w:p>
        </w:tc>
        <w:tc>
          <w:tcPr>
            <w:tcW w:w="8820" w:type="dxa"/>
            <w:vAlign w:val="bottom"/>
            <w:gridSpan w:val="7"/>
          </w:tcPr>
          <w:p>
            <w:pPr>
              <w:spacing w:after="0"/>
              <w:rPr>
                <w:sz w:val="17"/>
                <w:szCs w:val="17"/>
                <w:color w:val="auto"/>
              </w:rPr>
            </w:pPr>
          </w:p>
        </w:tc>
      </w:tr>
      <w:tr>
        <w:trPr>
          <w:trHeight w:val="426"/>
        </w:trPr>
        <w:tc>
          <w:tcPr>
            <w:tcW w:w="1380" w:type="dxa"/>
            <w:vAlign w:val="bottom"/>
          </w:tcPr>
          <w:p>
            <w:pPr>
              <w:jc w:val="right"/>
              <w:ind w:right="970"/>
              <w:spacing w:after="0"/>
              <w:rPr>
                <w:sz w:val="20"/>
                <w:szCs w:val="20"/>
                <w:color w:val="auto"/>
              </w:rPr>
            </w:pPr>
            <w:r>
              <w:rPr>
                <w:rFonts w:ascii="Arial" w:cs="Arial" w:eastAsia="Arial" w:hAnsi="Arial"/>
                <w:sz w:val="18"/>
                <w:szCs w:val="18"/>
                <w:color w:val="auto"/>
                <w:w w:val="85"/>
              </w:rPr>
              <w:t>32.2</w:t>
            </w:r>
          </w:p>
        </w:tc>
        <w:tc>
          <w:tcPr>
            <w:tcW w:w="9680" w:type="dxa"/>
            <w:vAlign w:val="bottom"/>
            <w:tcBorders>
              <w:bottom w:val="single" w:sz="8" w:color="0000FF"/>
            </w:tcBorders>
            <w:gridSpan w:val="7"/>
          </w:tcPr>
          <w:p>
            <w:pPr>
              <w:spacing w:after="0"/>
              <w:rPr>
                <w:rFonts w:ascii="Arial" w:cs="Arial" w:eastAsia="Arial" w:hAnsi="Arial"/>
                <w:sz w:val="18"/>
                <w:szCs w:val="18"/>
                <w:color w:val="0000FF"/>
                <w:w w:val="90"/>
              </w:rPr>
            </w:pPr>
            <w:hyperlink w:anchor="page207">
              <w:r>
                <w:rPr>
                  <w:rFonts w:ascii="Arial" w:cs="Arial" w:eastAsia="Arial" w:hAnsi="Arial"/>
                  <w:sz w:val="18"/>
                  <w:szCs w:val="18"/>
                  <w:color w:val="0000FF"/>
                  <w:w w:val="90"/>
                </w:rPr>
                <w:t>Certification of Chief Financial Officer pursuant to 18 U.S.C. Section 1350, as adopted pursuant to Section 906 of the Sarbanes-Oxley</w:t>
              </w:r>
            </w:hyperlink>
          </w:p>
        </w:tc>
        <w:tc>
          <w:tcPr>
            <w:tcW w:w="4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900" w:type="dxa"/>
            <w:vAlign w:val="bottom"/>
            <w:tcBorders>
              <w:bottom w:val="single" w:sz="8" w:color="0000FF"/>
            </w:tcBorders>
          </w:tcPr>
          <w:p>
            <w:pPr>
              <w:spacing w:after="0" w:line="196" w:lineRule="exact"/>
              <w:rPr>
                <w:rFonts w:ascii="Arial" w:cs="Arial" w:eastAsia="Arial" w:hAnsi="Arial"/>
                <w:sz w:val="18"/>
                <w:szCs w:val="18"/>
                <w:color w:val="0000FF"/>
                <w:w w:val="91"/>
              </w:rPr>
            </w:pPr>
            <w:hyperlink w:anchor="page207">
              <w:r>
                <w:rPr>
                  <w:rFonts w:ascii="Arial" w:cs="Arial" w:eastAsia="Arial" w:hAnsi="Arial"/>
                  <w:sz w:val="18"/>
                  <w:szCs w:val="18"/>
                  <w:color w:val="0000FF"/>
                  <w:w w:val="91"/>
                </w:rPr>
                <w:t>Act of 2002.</w:t>
              </w:r>
            </w:hyperlink>
          </w:p>
        </w:tc>
        <w:tc>
          <w:tcPr>
            <w:tcW w:w="8820" w:type="dxa"/>
            <w:vAlign w:val="bottom"/>
            <w:gridSpan w:val="7"/>
          </w:tcPr>
          <w:p>
            <w:pPr>
              <w:spacing w:after="0"/>
              <w:rPr>
                <w:sz w:val="17"/>
                <w:szCs w:val="17"/>
                <w:color w:val="auto"/>
              </w:rPr>
            </w:pPr>
          </w:p>
        </w:tc>
      </w:tr>
    </w:tbl>
    <w:p>
      <w:pPr>
        <w:spacing w:after="0" w:line="242" w:lineRule="exact"/>
        <w:rPr>
          <w:sz w:val="20"/>
          <w:szCs w:val="20"/>
          <w:color w:val="auto"/>
        </w:rPr>
      </w:pPr>
    </w:p>
    <w:p>
      <w:pPr>
        <w:ind w:left="1420" w:hanging="1385"/>
        <w:spacing w:after="0"/>
        <w:tabs>
          <w:tab w:leader="none" w:pos="1420" w:val="left"/>
        </w:tabs>
        <w:numPr>
          <w:ilvl w:val="0"/>
          <w:numId w:val="100"/>
        </w:numPr>
        <w:rPr>
          <w:rFonts w:ascii="Arial" w:cs="Arial" w:eastAsia="Arial" w:hAnsi="Arial"/>
          <w:sz w:val="18"/>
          <w:szCs w:val="18"/>
          <w:u w:val="single" w:color="auto"/>
          <w:color w:val="0000FF"/>
        </w:rPr>
      </w:pPr>
      <w:hyperlink w:anchor="page208">
        <w:r>
          <w:rPr>
            <w:rFonts w:ascii="Arial" w:cs="Arial" w:eastAsia="Arial" w:hAnsi="Arial"/>
            <w:sz w:val="18"/>
            <w:szCs w:val="18"/>
            <w:u w:val="single" w:color="auto"/>
            <w:color w:val="0000FF"/>
          </w:rPr>
          <w:t>Mine Safety and Health Administration Safety Data</w:t>
        </w:r>
      </w:hyperlink>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1020" w:type="dxa"/>
            <w:vAlign w:val="bottom"/>
          </w:tcPr>
          <w:p>
            <w:pPr>
              <w:spacing w:after="0"/>
              <w:rPr>
                <w:sz w:val="20"/>
                <w:szCs w:val="20"/>
                <w:color w:val="auto"/>
              </w:rPr>
            </w:pPr>
            <w:r>
              <w:rPr>
                <w:rFonts w:ascii="Arial" w:cs="Arial" w:eastAsia="Arial" w:hAnsi="Arial"/>
                <w:sz w:val="18"/>
                <w:szCs w:val="18"/>
                <w:color w:val="auto"/>
              </w:rPr>
              <w:t>101.INS</w:t>
            </w:r>
          </w:p>
        </w:tc>
        <w:tc>
          <w:tcPr>
            <w:tcW w:w="9920" w:type="dxa"/>
            <w:vAlign w:val="bottom"/>
          </w:tcPr>
          <w:p>
            <w:pPr>
              <w:ind w:left="360"/>
              <w:spacing w:after="0"/>
              <w:rPr>
                <w:sz w:val="20"/>
                <w:szCs w:val="20"/>
                <w:color w:val="auto"/>
              </w:rPr>
            </w:pPr>
            <w:r>
              <w:rPr>
                <w:rFonts w:ascii="Arial" w:cs="Arial" w:eastAsia="Arial" w:hAnsi="Arial"/>
                <w:sz w:val="18"/>
                <w:szCs w:val="18"/>
                <w:color w:val="auto"/>
                <w:w w:val="89"/>
              </w:rPr>
              <w:t>XBRL Instance Document - the instance document does not appear in the Interactive Data File because its XBRL tags are embedded</w:t>
            </w:r>
          </w:p>
        </w:tc>
      </w:tr>
      <w:tr>
        <w:trPr>
          <w:trHeight w:val="230"/>
        </w:trPr>
        <w:tc>
          <w:tcPr>
            <w:tcW w:w="1020" w:type="dxa"/>
            <w:vAlign w:val="bottom"/>
          </w:tcPr>
          <w:p>
            <w:pPr>
              <w:spacing w:after="0"/>
              <w:rPr>
                <w:sz w:val="20"/>
                <w:szCs w:val="20"/>
                <w:color w:val="auto"/>
              </w:rPr>
            </w:pPr>
          </w:p>
        </w:tc>
        <w:tc>
          <w:tcPr>
            <w:tcW w:w="9920" w:type="dxa"/>
            <w:vAlign w:val="bottom"/>
          </w:tcPr>
          <w:p>
            <w:pPr>
              <w:ind w:left="360"/>
              <w:spacing w:after="0"/>
              <w:rPr>
                <w:sz w:val="20"/>
                <w:szCs w:val="20"/>
                <w:color w:val="auto"/>
              </w:rPr>
            </w:pPr>
            <w:r>
              <w:rPr>
                <w:rFonts w:ascii="Arial" w:cs="Arial" w:eastAsia="Arial" w:hAnsi="Arial"/>
                <w:sz w:val="18"/>
                <w:szCs w:val="18"/>
                <w:color w:val="auto"/>
              </w:rPr>
              <w:t>within the Inline XBRL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101.SCH</w:t>
            </w:r>
          </w:p>
        </w:tc>
        <w:tc>
          <w:tcPr>
            <w:tcW w:w="9920" w:type="dxa"/>
            <w:vAlign w:val="bottom"/>
          </w:tcPr>
          <w:p>
            <w:pPr>
              <w:ind w:left="360"/>
              <w:spacing w:after="0"/>
              <w:rPr>
                <w:sz w:val="20"/>
                <w:szCs w:val="20"/>
                <w:color w:val="auto"/>
              </w:rPr>
            </w:pPr>
            <w:r>
              <w:rPr>
                <w:rFonts w:ascii="Arial" w:cs="Arial" w:eastAsia="Arial" w:hAnsi="Arial"/>
                <w:sz w:val="18"/>
                <w:szCs w:val="18"/>
                <w:color w:val="auto"/>
              </w:rPr>
              <w:t>XBRL Taxonomy Extension Schema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101.CAL</w:t>
            </w:r>
          </w:p>
        </w:tc>
        <w:tc>
          <w:tcPr>
            <w:tcW w:w="9920" w:type="dxa"/>
            <w:vAlign w:val="bottom"/>
          </w:tcPr>
          <w:p>
            <w:pPr>
              <w:ind w:left="360"/>
              <w:spacing w:after="0"/>
              <w:rPr>
                <w:sz w:val="20"/>
                <w:szCs w:val="20"/>
                <w:color w:val="auto"/>
              </w:rPr>
            </w:pPr>
            <w:r>
              <w:rPr>
                <w:rFonts w:ascii="Arial" w:cs="Arial" w:eastAsia="Arial" w:hAnsi="Arial"/>
                <w:sz w:val="18"/>
                <w:szCs w:val="18"/>
                <w:color w:val="auto"/>
              </w:rPr>
              <w:t>XBRL Taxonomy Extension Calculation Linkbase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101.DEF</w:t>
            </w:r>
          </w:p>
        </w:tc>
        <w:tc>
          <w:tcPr>
            <w:tcW w:w="9920" w:type="dxa"/>
            <w:vAlign w:val="bottom"/>
          </w:tcPr>
          <w:p>
            <w:pPr>
              <w:ind w:left="360"/>
              <w:spacing w:after="0"/>
              <w:rPr>
                <w:sz w:val="20"/>
                <w:szCs w:val="20"/>
                <w:color w:val="auto"/>
              </w:rPr>
            </w:pPr>
            <w:r>
              <w:rPr>
                <w:rFonts w:ascii="Arial" w:cs="Arial" w:eastAsia="Arial" w:hAnsi="Arial"/>
                <w:sz w:val="18"/>
                <w:szCs w:val="18"/>
                <w:color w:val="auto"/>
              </w:rPr>
              <w:t>XBRL Taxonomy Extension Definition Linkbase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101.LAB</w:t>
            </w:r>
          </w:p>
        </w:tc>
        <w:tc>
          <w:tcPr>
            <w:tcW w:w="9920" w:type="dxa"/>
            <w:vAlign w:val="bottom"/>
          </w:tcPr>
          <w:p>
            <w:pPr>
              <w:ind w:left="360"/>
              <w:spacing w:after="0"/>
              <w:rPr>
                <w:sz w:val="20"/>
                <w:szCs w:val="20"/>
                <w:color w:val="auto"/>
              </w:rPr>
            </w:pPr>
            <w:r>
              <w:rPr>
                <w:rFonts w:ascii="Arial" w:cs="Arial" w:eastAsia="Arial" w:hAnsi="Arial"/>
                <w:sz w:val="18"/>
                <w:szCs w:val="18"/>
                <w:color w:val="auto"/>
              </w:rPr>
              <w:t>XBRL Taxonomy Extension Label Linkbase Document</w:t>
            </w:r>
          </w:p>
        </w:tc>
      </w:tr>
      <w:tr>
        <w:trPr>
          <w:trHeight w:val="270"/>
        </w:trPr>
        <w:tc>
          <w:tcPr>
            <w:tcW w:w="1020" w:type="dxa"/>
            <w:vAlign w:val="bottom"/>
          </w:tcPr>
          <w:p>
            <w:pPr>
              <w:spacing w:after="0"/>
              <w:rPr>
                <w:sz w:val="20"/>
                <w:szCs w:val="20"/>
                <w:color w:val="auto"/>
              </w:rPr>
            </w:pPr>
            <w:r>
              <w:rPr>
                <w:rFonts w:ascii="Arial" w:cs="Arial" w:eastAsia="Arial" w:hAnsi="Arial"/>
                <w:sz w:val="18"/>
                <w:szCs w:val="18"/>
                <w:color w:val="auto"/>
              </w:rPr>
              <w:t>101.PRE</w:t>
            </w:r>
          </w:p>
        </w:tc>
        <w:tc>
          <w:tcPr>
            <w:tcW w:w="9920" w:type="dxa"/>
            <w:vAlign w:val="bottom"/>
          </w:tcPr>
          <w:p>
            <w:pPr>
              <w:ind w:left="360"/>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337" w:lineRule="exact"/>
        <w:rPr>
          <w:sz w:val="20"/>
          <w:szCs w:val="20"/>
          <w:color w:val="auto"/>
        </w:rPr>
      </w:pPr>
    </w:p>
    <w:p>
      <w:pPr>
        <w:ind w:left="1420" w:hanging="1385"/>
        <w:spacing w:after="0"/>
        <w:tabs>
          <w:tab w:leader="none" w:pos="1420" w:val="left"/>
        </w:tabs>
        <w:numPr>
          <w:ilvl w:val="1"/>
          <w:numId w:val="101"/>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36"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________________________</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6"/>
          <w:szCs w:val="16"/>
          <w:color w:val="auto"/>
        </w:rPr>
        <w:t>*   Previously filed as part of the filing indicated and incorporated by reference herein.</w:t>
      </w:r>
    </w:p>
    <w:p>
      <w:pPr>
        <w:spacing w:after="0" w:line="9" w:lineRule="exact"/>
        <w:rPr>
          <w:sz w:val="20"/>
          <w:szCs w:val="20"/>
          <w:color w:val="auto"/>
        </w:rPr>
      </w:pPr>
    </w:p>
    <w:p>
      <w:pPr>
        <w:ind w:left="340" w:hanging="332"/>
        <w:spacing w:after="0"/>
        <w:tabs>
          <w:tab w:leader="none" w:pos="34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Indicates a board of director or management compensatory plan.</w:t>
      </w:r>
    </w:p>
    <w:p>
      <w:pPr>
        <w:spacing w:after="0" w:line="388"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8"/>
          <w:szCs w:val="18"/>
          <w:b w:val="1"/>
          <w:bCs w:val="1"/>
          <w:color w:val="auto"/>
        </w:rPr>
        <w:t>FORM 10-K SUMMARY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320"/>
          </w:cols>
          <w:pgMar w:left="240" w:top="126" w:right="339" w:bottom="1440" w:gutter="0" w:footer="0" w:header="0"/>
        </w:sectPr>
      </w:pPr>
    </w:p>
    <w:bookmarkStart w:id="149" w:name="page150"/>
    <w:bookmarkEnd w:id="149"/>
    <w:p>
      <w:pPr>
        <w:spacing w:after="0"/>
        <w:rPr>
          <w:rFonts w:ascii="Arial" w:cs="Arial" w:eastAsia="Arial" w:hAnsi="Arial"/>
          <w:sz w:val="16"/>
          <w:szCs w:val="16"/>
          <w:b w:val="1"/>
          <w:bCs w:val="1"/>
          <w:u w:val="single" w:color="auto"/>
          <w:color w:val="0000EE"/>
        </w:rPr>
      </w:pPr>
      <w:hyperlink w:anchor="page2">
        <w:r>
          <w:rPr>
            <w:rFonts w:ascii="Arial" w:cs="Arial" w:eastAsia="Arial" w:hAnsi="Arial"/>
            <w:sz w:val="16"/>
            <w:szCs w:val="16"/>
            <w:b w:val="1"/>
            <w:bCs w:val="1"/>
            <w:u w:val="single" w:color="auto"/>
            <w:color w:val="0000EE"/>
          </w:rPr>
          <w:t>Table of Contents</w:t>
        </w:r>
      </w:hyperlink>
    </w:p>
    <w:p>
      <w:pPr>
        <w:spacing w:after="0" w:line="21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BLACK HILLS CORPORATION</w:t>
      </w:r>
    </w:p>
    <w:p>
      <w:pPr>
        <w:spacing w:after="0" w:line="387" w:lineRule="exact"/>
        <w:rPr>
          <w:sz w:val="20"/>
          <w:szCs w:val="20"/>
          <w:color w:val="auto"/>
        </w:rPr>
      </w:pPr>
    </w:p>
    <w:p>
      <w:pPr>
        <w:ind w:left="5260"/>
        <w:spacing w:after="0"/>
        <w:tabs>
          <w:tab w:leader="none" w:pos="5720" w:val="left"/>
        </w:tabs>
        <w:rPr>
          <w:sz w:val="20"/>
          <w:szCs w:val="20"/>
          <w:color w:val="auto"/>
        </w:rPr>
      </w:pPr>
      <w:r>
        <w:rPr>
          <w:rFonts w:ascii="Arial" w:cs="Arial" w:eastAsia="Arial" w:hAnsi="Arial"/>
          <w:sz w:val="18"/>
          <w:szCs w:val="18"/>
          <w:color w:val="auto"/>
        </w:rPr>
        <w:t>By:</w:t>
        <w:tab/>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31750</wp:posOffset>
            </wp:positionV>
            <wp:extent cx="3035935"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109">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43" w:lineRule="exact"/>
        <w:rPr>
          <w:sz w:val="20"/>
          <w:szCs w:val="20"/>
          <w:color w:val="auto"/>
        </w:rPr>
      </w:pPr>
    </w:p>
    <w:p>
      <w:pPr>
        <w:ind w:left="5260"/>
        <w:spacing w:after="0"/>
        <w:rPr>
          <w:sz w:val="20"/>
          <w:szCs w:val="20"/>
          <w:color w:val="auto"/>
        </w:rPr>
      </w:pPr>
      <w:r>
        <w:rPr>
          <w:rFonts w:ascii="Arial" w:cs="Arial" w:eastAsia="Arial" w:hAnsi="Arial"/>
          <w:sz w:val="18"/>
          <w:szCs w:val="18"/>
          <w:color w:val="auto"/>
        </w:rPr>
        <w:t>Linden R. Evans, President and Chief Executive Officer</w:t>
      </w:r>
    </w:p>
    <w:p>
      <w:pPr>
        <w:spacing w:after="0" w:line="63" w:lineRule="exact"/>
        <w:rPr>
          <w:sz w:val="20"/>
          <w:szCs w:val="20"/>
          <w:color w:val="auto"/>
        </w:rPr>
      </w:pPr>
    </w:p>
    <w:p>
      <w:pPr>
        <w:ind w:left="1200"/>
        <w:spacing w:after="0"/>
        <w:rPr>
          <w:sz w:val="20"/>
          <w:szCs w:val="20"/>
          <w:color w:val="auto"/>
        </w:rPr>
      </w:pPr>
      <w:r>
        <w:rPr>
          <w:rFonts w:ascii="Arial" w:cs="Arial" w:eastAsia="Arial" w:hAnsi="Arial"/>
          <w:sz w:val="18"/>
          <w:szCs w:val="18"/>
          <w:color w:val="auto"/>
        </w:rPr>
        <w:t>Dated: February 14, 2020</w:t>
      </w:r>
    </w:p>
    <w:p>
      <w:pPr>
        <w:spacing w:after="0" w:line="252"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pacing w:after="0" w:line="333" w:lineRule="exact"/>
        <w:rPr>
          <w:sz w:val="20"/>
          <w:szCs w:val="20"/>
          <w:color w:val="auto"/>
        </w:rPr>
      </w:pPr>
    </w:p>
    <w:tbl>
      <w:tblPr>
        <w:tblLayout w:type="fixed"/>
        <w:tblInd w:w="1020" w:type="dxa"/>
        <w:tblCellMar>
          <w:top w:w="0" w:type="dxa"/>
          <w:left w:w="0" w:type="dxa"/>
          <w:bottom w:w="0" w:type="dxa"/>
          <w:right w:w="0" w:type="dxa"/>
        </w:tblCellMar>
      </w:tblPr>
      <w:tr>
        <w:trPr>
          <w:trHeight w:val="230"/>
        </w:trPr>
        <w:tc>
          <w:tcPr>
            <w:tcW w:w="4420" w:type="dxa"/>
            <w:vAlign w:val="bottom"/>
          </w:tcPr>
          <w:p>
            <w:pPr>
              <w:ind w:left="20"/>
              <w:spacing w:after="0"/>
              <w:rPr>
                <w:sz w:val="20"/>
                <w:szCs w:val="20"/>
                <w:color w:val="auto"/>
              </w:rPr>
            </w:pPr>
            <w:r>
              <w:rPr>
                <w:rFonts w:ascii="Arial" w:cs="Arial" w:eastAsia="Arial" w:hAnsi="Arial"/>
                <w:sz w:val="18"/>
                <w:szCs w:val="18"/>
                <w:color w:val="auto"/>
              </w:rPr>
              <w:t>/S/ LINDEN R. EVANS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Linden R. Evans, President</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Executive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Executive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RICHARD W. KINZLEY</w:t>
            </w:r>
          </w:p>
        </w:tc>
        <w:tc>
          <w:tcPr>
            <w:tcW w:w="2800" w:type="dxa"/>
            <w:vAlign w:val="bottom"/>
          </w:tcPr>
          <w:p>
            <w:pPr>
              <w:ind w:left="20"/>
              <w:spacing w:after="0"/>
              <w:rPr>
                <w:sz w:val="20"/>
                <w:szCs w:val="20"/>
                <w:color w:val="auto"/>
              </w:rPr>
            </w:pPr>
            <w:r>
              <w:rPr>
                <w:rFonts w:ascii="Arial" w:cs="Arial" w:eastAsia="Arial" w:hAnsi="Arial"/>
                <w:sz w:val="18"/>
                <w:szCs w:val="18"/>
                <w:color w:val="auto"/>
              </w:rPr>
              <w:t>Principal Financial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Richard W. Kinzley, Senior Vice President</w:t>
            </w:r>
          </w:p>
        </w:tc>
        <w:tc>
          <w:tcPr>
            <w:tcW w:w="2800" w:type="dxa"/>
            <w:vAlign w:val="bottom"/>
          </w:tcPr>
          <w:p>
            <w:pPr>
              <w:ind w:left="20"/>
              <w:spacing w:after="0"/>
              <w:rPr>
                <w:sz w:val="20"/>
                <w:szCs w:val="20"/>
                <w:color w:val="auto"/>
              </w:rPr>
            </w:pPr>
            <w:r>
              <w:rPr>
                <w:rFonts w:ascii="Arial" w:cs="Arial" w:eastAsia="Arial" w:hAnsi="Arial"/>
                <w:sz w:val="18"/>
                <w:szCs w:val="18"/>
                <w:color w:val="auto"/>
              </w:rPr>
              <w:t>Accounting Officer</w:t>
            </w:r>
          </w:p>
        </w:tc>
        <w:tc>
          <w:tcPr>
            <w:tcW w:w="2140" w:type="dxa"/>
            <w:vAlign w:val="bottom"/>
          </w:tcPr>
          <w:p>
            <w:pPr>
              <w:spacing w:after="0"/>
              <w:rPr>
                <w:sz w:val="20"/>
                <w:szCs w:val="20"/>
                <w:color w:val="auto"/>
              </w:rPr>
            </w:pPr>
          </w:p>
        </w:tc>
      </w:tr>
      <w:tr>
        <w:trPr>
          <w:trHeight w:val="270"/>
        </w:trPr>
        <w:tc>
          <w:tcPr>
            <w:tcW w:w="4420" w:type="dxa"/>
            <w:vAlign w:val="bottom"/>
          </w:tcPr>
          <w:p>
            <w:pPr>
              <w:ind w:left="20"/>
              <w:spacing w:after="0"/>
              <w:rPr>
                <w:sz w:val="20"/>
                <w:szCs w:val="20"/>
                <w:color w:val="auto"/>
              </w:rPr>
            </w:pPr>
            <w:r>
              <w:rPr>
                <w:rFonts w:ascii="Arial" w:cs="Arial" w:eastAsia="Arial" w:hAnsi="Arial"/>
                <w:sz w:val="18"/>
                <w:szCs w:val="18"/>
                <w:color w:val="auto"/>
              </w:rPr>
              <w:t>and Chief Financial Officer</w:t>
            </w:r>
          </w:p>
        </w:tc>
        <w:tc>
          <w:tcPr>
            <w:tcW w:w="2800" w:type="dxa"/>
            <w:vAlign w:val="bottom"/>
          </w:tcPr>
          <w:p>
            <w:pPr>
              <w:spacing w:after="0"/>
              <w:rPr>
                <w:sz w:val="23"/>
                <w:szCs w:val="23"/>
                <w:color w:val="auto"/>
              </w:rPr>
            </w:pPr>
          </w:p>
        </w:tc>
        <w:tc>
          <w:tcPr>
            <w:tcW w:w="2140" w:type="dxa"/>
            <w:vAlign w:val="bottom"/>
          </w:tcPr>
          <w:p>
            <w:pPr>
              <w:spacing w:after="0"/>
              <w:rPr>
                <w:sz w:val="23"/>
                <w:szCs w:val="23"/>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DAVID R. EMERY</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 and</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David R. Emery, Executive Chairman</w:t>
            </w:r>
          </w:p>
        </w:tc>
        <w:tc>
          <w:tcPr>
            <w:tcW w:w="2800" w:type="dxa"/>
            <w:vAlign w:val="bottom"/>
          </w:tcPr>
          <w:p>
            <w:pPr>
              <w:ind w:left="20"/>
              <w:spacing w:after="0"/>
              <w:rPr>
                <w:sz w:val="20"/>
                <w:szCs w:val="20"/>
                <w:color w:val="auto"/>
              </w:rPr>
            </w:pPr>
            <w:r>
              <w:rPr>
                <w:rFonts w:ascii="Arial" w:cs="Arial" w:eastAsia="Arial" w:hAnsi="Arial"/>
                <w:sz w:val="18"/>
                <w:szCs w:val="18"/>
                <w:color w:val="auto"/>
              </w:rPr>
              <w:t>Executive Chairman</w:t>
            </w: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TONY A. JENSEN</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Tony A. Jensen</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MICHAEL H. MADISON</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Michael H. Madison</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KATHLEEN S. MCALLISTER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Kathleen S. McAllister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STEVEN R. MILLS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Steven R. Mills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ROBERT P. OTTO</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Robert P. Otto</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REBECCA B. ROBERTS</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Rebecca B. Roberts</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MARK A. SCHOBER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Mark A. Schober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TERESA A. TAYLOR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Teresa A. Taylor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JOHN B. VERING</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John B. Vering</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r>
        <w:trPr>
          <w:trHeight w:val="446"/>
        </w:trPr>
        <w:tc>
          <w:tcPr>
            <w:tcW w:w="4420" w:type="dxa"/>
            <w:vAlign w:val="bottom"/>
          </w:tcPr>
          <w:p>
            <w:pPr>
              <w:ind w:left="20"/>
              <w:spacing w:after="0"/>
              <w:rPr>
                <w:sz w:val="20"/>
                <w:szCs w:val="20"/>
                <w:color w:val="auto"/>
              </w:rPr>
            </w:pPr>
            <w:r>
              <w:rPr>
                <w:rFonts w:ascii="Arial" w:cs="Arial" w:eastAsia="Arial" w:hAnsi="Arial"/>
                <w:sz w:val="18"/>
                <w:szCs w:val="18"/>
                <w:color w:val="auto"/>
              </w:rPr>
              <w:t>/S/ THOMAS J. ZELLER</w:t>
            </w:r>
          </w:p>
        </w:tc>
        <w:tc>
          <w:tcPr>
            <w:tcW w:w="2800" w:type="dxa"/>
            <w:vAlign w:val="bottom"/>
          </w:tcPr>
          <w:p>
            <w:pPr>
              <w:ind w:left="20"/>
              <w:spacing w:after="0"/>
              <w:rPr>
                <w:sz w:val="20"/>
                <w:szCs w:val="20"/>
                <w:color w:val="auto"/>
              </w:rPr>
            </w:pPr>
            <w:r>
              <w:rPr>
                <w:rFonts w:ascii="Arial" w:cs="Arial" w:eastAsia="Arial" w:hAnsi="Arial"/>
                <w:sz w:val="18"/>
                <w:szCs w:val="18"/>
                <w:color w:val="auto"/>
              </w:rPr>
              <w:t>Director</w:t>
            </w:r>
          </w:p>
        </w:tc>
        <w:tc>
          <w:tcPr>
            <w:tcW w:w="2140" w:type="dxa"/>
            <w:vAlign w:val="bottom"/>
          </w:tcPr>
          <w:p>
            <w:pPr>
              <w:ind w:left="820"/>
              <w:spacing w:after="0"/>
              <w:rPr>
                <w:sz w:val="20"/>
                <w:szCs w:val="20"/>
                <w:color w:val="auto"/>
              </w:rPr>
            </w:pPr>
            <w:r>
              <w:rPr>
                <w:rFonts w:ascii="Arial" w:cs="Arial" w:eastAsia="Arial" w:hAnsi="Arial"/>
                <w:sz w:val="18"/>
                <w:szCs w:val="18"/>
                <w:color w:val="auto"/>
                <w:w w:val="88"/>
              </w:rPr>
              <w:t>February 14, 2020</w:t>
            </w:r>
          </w:p>
        </w:tc>
      </w:tr>
      <w:tr>
        <w:trPr>
          <w:trHeight w:val="27"/>
        </w:trPr>
        <w:tc>
          <w:tcPr>
            <w:tcW w:w="4420" w:type="dxa"/>
            <w:vAlign w:val="bottom"/>
            <w:tcBorders>
              <w:bottom w:val="single" w:sz="8" w:color="auto"/>
            </w:tcBorders>
          </w:tcPr>
          <w:p>
            <w:pPr>
              <w:spacing w:after="0"/>
              <w:rPr>
                <w:sz w:val="2"/>
                <w:szCs w:val="2"/>
                <w:color w:val="auto"/>
              </w:rPr>
            </w:pPr>
          </w:p>
        </w:tc>
        <w:tc>
          <w:tcPr>
            <w:tcW w:w="280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37"/>
        </w:trPr>
        <w:tc>
          <w:tcPr>
            <w:tcW w:w="4420" w:type="dxa"/>
            <w:vAlign w:val="bottom"/>
          </w:tcPr>
          <w:p>
            <w:pPr>
              <w:ind w:left="20"/>
              <w:spacing w:after="0"/>
              <w:rPr>
                <w:sz w:val="20"/>
                <w:szCs w:val="20"/>
                <w:color w:val="auto"/>
              </w:rPr>
            </w:pPr>
            <w:r>
              <w:rPr>
                <w:rFonts w:ascii="Arial" w:cs="Arial" w:eastAsia="Arial" w:hAnsi="Arial"/>
                <w:sz w:val="18"/>
                <w:szCs w:val="18"/>
                <w:color w:val="auto"/>
              </w:rPr>
              <w:t>Thomas J. Zeller</w:t>
            </w:r>
          </w:p>
        </w:tc>
        <w:tc>
          <w:tcPr>
            <w:tcW w:w="2800" w:type="dxa"/>
            <w:vAlign w:val="bottom"/>
          </w:tcPr>
          <w:p>
            <w:pPr>
              <w:spacing w:after="0"/>
              <w:rPr>
                <w:sz w:val="20"/>
                <w:szCs w:val="20"/>
                <w:color w:val="auto"/>
              </w:rPr>
            </w:pPr>
          </w:p>
        </w:tc>
        <w:tc>
          <w:tcPr>
            <w:tcW w:w="2140" w:type="dxa"/>
            <w:vAlign w:val="bottom"/>
          </w:tcPr>
          <w:p>
            <w:pPr>
              <w:spacing w:after="0"/>
              <w:rPr>
                <w:sz w:val="20"/>
                <w:szCs w:val="20"/>
                <w:color w:val="auto"/>
              </w:rPr>
            </w:pPr>
          </w:p>
        </w:tc>
      </w:tr>
    </w:tbl>
    <w:p>
      <w:pPr>
        <w:spacing w:after="0" w:line="200" w:lineRule="exact"/>
        <w:rPr>
          <w:sz w:val="20"/>
          <w:szCs w:val="20"/>
          <w:color w:val="auto"/>
        </w:rPr>
      </w:pPr>
    </w:p>
    <w:p>
      <w:pPr>
        <w:sectPr>
          <w:pgSz w:w="11900" w:h="16838" w:orient="portrait"/>
          <w:cols w:equalWidth="0" w:num="1">
            <w:col w:w="11200"/>
          </w:cols>
          <w:pgMar w:left="240" w:top="126" w:right="459" w:bottom="1440" w:gutter="0" w:footer="0" w:header="0"/>
        </w:sectPr>
      </w:pPr>
    </w:p>
    <w:p>
      <w:pPr>
        <w:spacing w:after="0" w:line="29" w:lineRule="exact"/>
        <w:rPr>
          <w:sz w:val="20"/>
          <w:szCs w:val="20"/>
          <w:color w:val="auto"/>
        </w:rPr>
      </w:pPr>
    </w:p>
    <w:p>
      <w:pPr>
        <w:jc w:val="center"/>
        <w:ind w:right="-219"/>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200"/>
          </w:cols>
          <w:pgMar w:left="240" w:top="126" w:right="459" w:bottom="1440" w:gutter="0" w:footer="0" w:header="0"/>
          <w:type w:val="continuous"/>
        </w:sectPr>
      </w:pPr>
    </w:p>
    <w:bookmarkStart w:id="150" w:name="page151"/>
    <w:bookmarkEnd w:id="150"/>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229"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This summary of general terms and provisions of the capital stock of Black Hills Corporation (the “Company,” “we” and “our”) does not purport to be complete and is subject to and qualified by reference to our Restated Articles of Incorporation (the “Articles”) and our Amended and Restated Bylaws (the “Bylaws,” and together with the Articles, our “Governing Documents”), each of which is included as an exhibit to the Company’s most recent annual report on Form 10-K filed with the Securities and Exchange Commission. For additional information, please refer to our Governing Documents and to the applicable provisions of the South Dakota Business Corporation Act. Our common stock is our only class of securities that is registered under Section 12(b) of the Securities Exchange Act of 1934, as amended.</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Our authorized capital stock consists of 100,000,000 shares of common stock, par value $1.00 per share, and 25,000,000 shares of preferred stock, without par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firstLine="648"/>
        <w:spacing w:after="0" w:line="273" w:lineRule="auto"/>
        <w:rPr>
          <w:sz w:val="20"/>
          <w:szCs w:val="20"/>
          <w:color w:val="auto"/>
        </w:rPr>
      </w:pPr>
      <w:r>
        <w:rPr>
          <w:rFonts w:ascii="Arial" w:cs="Arial" w:eastAsia="Arial" w:hAnsi="Arial"/>
          <w:sz w:val="17"/>
          <w:szCs w:val="17"/>
          <w:color w:val="auto"/>
        </w:rPr>
        <w:t>The holders of our common stock are entitled to one vote for each share held of record on all matters submitted to a vote of shareholders. Holders may use cumulative voting for the election of directors. Subject to preferences that may be applicable to any outstanding series of preferred stock, holders of our common stock are entitled to receive equally dividends as they may be declared by our board of directors out of funds legally available for the payment of dividends. Our revolving credit facility and other debt obligations contain restrictions on the payment of cash dividends upon a default or event of default. In the event of our liquidation or dissolution, holders of our common stock are entitled to share equally in all assets remaining after payment of liabilities and the liquidation preference of any outstanding series of preferred stock.</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Holders of our common stock have no preemptive rights and have no rights to convert their common stock into any other securities.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29" w:lineRule="exact"/>
        <w:rPr>
          <w:sz w:val="20"/>
          <w:szCs w:val="20"/>
          <w:color w:val="auto"/>
        </w:rPr>
      </w:pPr>
    </w:p>
    <w:p>
      <w:pPr>
        <w:ind w:right="20" w:firstLine="648"/>
        <w:spacing w:after="0" w:line="276" w:lineRule="auto"/>
        <w:rPr>
          <w:sz w:val="20"/>
          <w:szCs w:val="20"/>
          <w:color w:val="auto"/>
        </w:rPr>
      </w:pPr>
      <w:r>
        <w:rPr>
          <w:rFonts w:ascii="Arial" w:cs="Arial" w:eastAsia="Arial" w:hAnsi="Arial"/>
          <w:sz w:val="17"/>
          <w:szCs w:val="17"/>
          <w:color w:val="auto"/>
        </w:rPr>
        <w:t>Our board of directors has the authority, without further action by our shareholders, to issue shares of undesignated preferred stock from time to time in one or more series and to fix the related number of shares and the designations, voting powers, preferences, optional and other special rights, and restrictions or qualifications of that preferred stock. The rights, preferences, privileges and restrictions or qualifications of different series of preferred stock may differ from common stock and other series of preferred stock with respect to dividend rates, amounts payable on liquidation, voting rights, conversion rights, redemption provisions, sinking fund provisions and other matters. The issuance of additional series of preferred stock could:</w:t>
      </w:r>
    </w:p>
    <w:p>
      <w:pPr>
        <w:spacing w:after="0" w:line="173" w:lineRule="exact"/>
        <w:rPr>
          <w:sz w:val="20"/>
          <w:szCs w:val="20"/>
          <w:color w:val="auto"/>
        </w:rPr>
      </w:pPr>
    </w:p>
    <w:p>
      <w:pPr>
        <w:ind w:left="980" w:hanging="324"/>
        <w:spacing w:after="0"/>
        <w:tabs>
          <w:tab w:leader="none" w:pos="98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decrease the amount of earnings and assets available for distribution to holders of common stock and other series of preferred stock;</w:t>
      </w:r>
    </w:p>
    <w:p>
      <w:pPr>
        <w:spacing w:after="0" w:line="34" w:lineRule="exact"/>
        <w:rPr>
          <w:rFonts w:ascii="Arial" w:cs="Arial" w:eastAsia="Arial" w:hAnsi="Arial"/>
          <w:sz w:val="17"/>
          <w:szCs w:val="17"/>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adversely affect the rights and powers, including voting rights, of holders of common stock and other series of preferred stock; or</w:t>
      </w:r>
    </w:p>
    <w:p>
      <w:pPr>
        <w:spacing w:after="0" w:line="9" w:lineRule="exact"/>
        <w:rPr>
          <w:rFonts w:ascii="Arial" w:cs="Arial" w:eastAsia="Arial" w:hAnsi="Arial"/>
          <w:sz w:val="18"/>
          <w:szCs w:val="18"/>
          <w:color w:val="auto"/>
        </w:rPr>
      </w:pPr>
    </w:p>
    <w:p>
      <w:pPr>
        <w:ind w:left="980" w:hanging="324"/>
        <w:spacing w:after="0"/>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have the effect of delaying, deferring or preventing a change in control.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Meetings of Shareholders</w:t>
      </w:r>
    </w:p>
    <w:p>
      <w:pPr>
        <w:spacing w:after="0" w:line="27" w:lineRule="exact"/>
        <w:rPr>
          <w:sz w:val="20"/>
          <w:szCs w:val="20"/>
          <w:color w:val="auto"/>
        </w:rPr>
      </w:pPr>
    </w:p>
    <w:p>
      <w:pPr>
        <w:ind w:right="120" w:firstLine="648"/>
        <w:spacing w:after="0" w:line="255" w:lineRule="auto"/>
        <w:rPr>
          <w:sz w:val="20"/>
          <w:szCs w:val="20"/>
          <w:color w:val="auto"/>
        </w:rPr>
      </w:pPr>
      <w:r>
        <w:rPr>
          <w:rFonts w:ascii="Arial" w:cs="Arial" w:eastAsia="Arial" w:hAnsi="Arial"/>
          <w:sz w:val="18"/>
          <w:szCs w:val="18"/>
          <w:color w:val="auto"/>
        </w:rPr>
        <w:t>Our Bylaws provide that special meetings of the shareholders may be called by a majority of our board of directors and shall be called by our board of directors upon the written demand of the holders of at least 10% of the votes entitled to be cast on any issue proposed to be considered at the special meeting.</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Requirements for Shareholder Proposals and Director Nominees</w:t>
      </w:r>
    </w:p>
    <w:p>
      <w:pPr>
        <w:spacing w:after="0" w:line="229" w:lineRule="exact"/>
        <w:rPr>
          <w:sz w:val="20"/>
          <w:szCs w:val="20"/>
          <w:color w:val="auto"/>
        </w:rPr>
      </w:pPr>
    </w:p>
    <w:p>
      <w:pPr>
        <w:ind w:right="120" w:firstLine="648"/>
        <w:spacing w:after="0" w:line="264" w:lineRule="auto"/>
        <w:rPr>
          <w:sz w:val="20"/>
          <w:szCs w:val="20"/>
          <w:color w:val="auto"/>
        </w:rPr>
      </w:pPr>
      <w:r>
        <w:rPr>
          <w:rFonts w:ascii="Arial" w:cs="Arial" w:eastAsia="Arial" w:hAnsi="Arial"/>
          <w:sz w:val="18"/>
          <w:szCs w:val="18"/>
          <w:color w:val="auto"/>
        </w:rPr>
        <w:t>Shareholders wishing to nominate a director or to propose other action at an annual meeting must generally give advance written notice of such nomination or proposal that complies with Article I, Section 9, of our Bylaws to the Secretary of the Company not less than 90 nor more than 120 days prior to the anniversary date of the immediately preceding year’s annual meeting.</w:t>
      </w:r>
    </w:p>
    <w:p>
      <w:pPr>
        <w:sectPr>
          <w:pgSz w:w="11900" w:h="16838" w:orient="portrait"/>
          <w:cols w:equalWidth="0" w:num="1">
            <w:col w:w="11400"/>
          </w:cols>
          <w:pgMar w:left="240" w:top="553" w:right="25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Anti-Takeover Effects of South Dakota Law and Provisions of Our Governing Documents</w:t>
      </w:r>
    </w:p>
    <w:p>
      <w:pPr>
        <w:spacing w:after="0" w:line="229"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South Dakota law and our Governing Documents contain certain provisions that may be characterized as anti-takeover provisions. These provisions may make it more difficult to acquire control of us or remove our management.</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b w:val="1"/>
          <w:bCs w:val="1"/>
          <w:i w:val="1"/>
          <w:iCs w:val="1"/>
          <w:color w:val="auto"/>
        </w:rPr>
        <w:t>Control Share Acquisitions</w:t>
      </w:r>
    </w:p>
    <w:p>
      <w:pPr>
        <w:spacing w:after="0" w:line="225"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We have elected in our Articles not to be subject to the control share acquisition provisions of the South Dakota Domestic Public Corporation Takeover Act, which would otherwise apply to us. These provisions provide generally that the shares of a publicly held South Dakota corporation acquired by a person that exceed the thresholds of voting power described below will have the same voting rights as other shares of the same class or series only if approved by:</w:t>
      </w:r>
    </w:p>
    <w:p>
      <w:pPr>
        <w:spacing w:after="0" w:line="187" w:lineRule="exact"/>
        <w:rPr>
          <w:sz w:val="20"/>
          <w:szCs w:val="20"/>
          <w:color w:val="auto"/>
        </w:rPr>
      </w:pPr>
    </w:p>
    <w:p>
      <w:pPr>
        <w:ind w:left="980" w:hanging="32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including all shares held by the acquiring person; and</w:t>
      </w:r>
    </w:p>
    <w:p>
      <w:pPr>
        <w:spacing w:after="0" w:line="23" w:lineRule="exact"/>
        <w:rPr>
          <w:rFonts w:ascii="Arial" w:cs="Arial" w:eastAsia="Arial" w:hAnsi="Arial"/>
          <w:sz w:val="18"/>
          <w:szCs w:val="18"/>
          <w:color w:val="auto"/>
        </w:rPr>
      </w:pPr>
    </w:p>
    <w:p>
      <w:pPr>
        <w:ind w:left="980" w:hanging="324"/>
        <w:spacing w:after="0"/>
        <w:tabs>
          <w:tab w:leader="none" w:pos="9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the affirmative vote of the majority of all outstanding shares entitled to vote, excluding all interested shares.</w:t>
      </w:r>
    </w:p>
    <w:p>
      <w:pPr>
        <w:spacing w:after="0" w:line="9" w:lineRule="exact"/>
        <w:rPr>
          <w:sz w:val="20"/>
          <w:szCs w:val="20"/>
          <w:color w:val="auto"/>
        </w:rPr>
      </w:pPr>
    </w:p>
    <w:p>
      <w:pPr>
        <w:ind w:right="60" w:firstLine="648"/>
        <w:spacing w:after="0" w:line="231" w:lineRule="auto"/>
        <w:rPr>
          <w:sz w:val="20"/>
          <w:szCs w:val="20"/>
          <w:color w:val="auto"/>
        </w:rPr>
      </w:pPr>
      <w:r>
        <w:rPr>
          <w:rFonts w:ascii="Arial" w:cs="Arial" w:eastAsia="Arial" w:hAnsi="Arial"/>
          <w:sz w:val="18"/>
          <w:szCs w:val="18"/>
          <w:color w:val="auto"/>
        </w:rPr>
        <w:t>Each time an acquiring person reaches a threshold, the acquiring person must deliver an information statement to the corporation and a vote must be held as described above before the acquiring person will have any voting rights with respect to shares in excess of such threshold. The thresholds which require shareholder approval before voting powers are obtained with respect to shares acquired in excess of such thresholds are 20%, 33</w:t>
      </w:r>
      <w:r>
        <w:rPr>
          <w:rFonts w:ascii="Arial" w:cs="Arial" w:eastAsia="Arial" w:hAnsi="Arial"/>
          <w:sz w:val="25"/>
          <w:szCs w:val="25"/>
          <w:color w:val="auto"/>
          <w:vertAlign w:val="superscript"/>
        </w:rPr>
        <w:t>1</w:t>
      </w:r>
      <w:r>
        <w:rPr>
          <w:rFonts w:ascii="Arial" w:cs="Arial" w:eastAsia="Arial" w:hAnsi="Arial"/>
          <w:sz w:val="18"/>
          <w:szCs w:val="18"/>
          <w:color w:val="auto"/>
        </w:rPr>
        <w:t>/</w:t>
      </w:r>
      <w:r>
        <w:rPr>
          <w:rFonts w:ascii="Arial" w:cs="Arial" w:eastAsia="Arial" w:hAnsi="Arial"/>
          <w:sz w:val="12"/>
          <w:szCs w:val="12"/>
          <w:color w:val="auto"/>
        </w:rPr>
        <w:t>3</w:t>
      </w:r>
      <w:r>
        <w:rPr>
          <w:rFonts w:ascii="Arial" w:cs="Arial" w:eastAsia="Arial" w:hAnsi="Arial"/>
          <w:sz w:val="18"/>
          <w:szCs w:val="18"/>
          <w:color w:val="auto"/>
        </w:rPr>
        <w:t>% and 50%, respectively.</w:t>
      </w:r>
    </w:p>
    <w:p>
      <w:pPr>
        <w:spacing w:after="0" w:line="205" w:lineRule="exact"/>
        <w:rPr>
          <w:sz w:val="20"/>
          <w:szCs w:val="20"/>
          <w:color w:val="auto"/>
        </w:rPr>
      </w:pPr>
    </w:p>
    <w:p>
      <w:pPr>
        <w:jc w:val="both"/>
        <w:ind w:right="240" w:firstLine="648"/>
        <w:spacing w:after="0" w:line="264" w:lineRule="auto"/>
        <w:rPr>
          <w:sz w:val="20"/>
          <w:szCs w:val="20"/>
          <w:color w:val="auto"/>
        </w:rPr>
      </w:pPr>
      <w:r>
        <w:rPr>
          <w:rFonts w:ascii="Arial" w:cs="Arial" w:eastAsia="Arial" w:hAnsi="Arial"/>
          <w:sz w:val="18"/>
          <w:szCs w:val="18"/>
          <w:color w:val="auto"/>
        </w:rPr>
        <w:t>Shares acquired in the absence of such approval are denied voting rights and are redeemable at their then-current market value by the corporation within 10 days after the acquiring person has failed to give a timely information statement to the corporation or the date the shareholders voted not to grant voting rights to the acquiring person’s shares.</w:t>
      </w:r>
    </w:p>
    <w:p>
      <w:pPr>
        <w:spacing w:after="0" w:line="181"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52" w:lineRule="exact"/>
        <w:rPr>
          <w:sz w:val="20"/>
          <w:szCs w:val="20"/>
          <w:color w:val="auto"/>
        </w:rPr>
      </w:pPr>
    </w:p>
    <w:p>
      <w:pPr>
        <w:ind w:right="20" w:firstLine="648"/>
        <w:spacing w:after="0" w:line="358" w:lineRule="auto"/>
        <w:rPr>
          <w:sz w:val="20"/>
          <w:szCs w:val="20"/>
          <w:color w:val="auto"/>
        </w:rPr>
      </w:pPr>
      <w:r>
        <w:rPr>
          <w:rFonts w:ascii="Arial" w:cs="Arial" w:eastAsia="Arial" w:hAnsi="Arial"/>
          <w:sz w:val="16"/>
          <w:szCs w:val="16"/>
          <w:color w:val="auto"/>
        </w:rPr>
        <w:t>We are subject to the provisions of Section 47-33-17 of the South Dakota Domestic Public Corporation Takeover Act. In general, Section 47-33-17 prohibits a publicly held South Dakota corporation from engaging in a “business combination” with an “interested shareholder,” unless the business combination or the transaction in which the person became an interested shareholder is approved in a prescribed manner. A business combination with the interested shareholder must be approved by (i) the board of directors of the corporation prior to the date that the person became an interested shareholder of the corporation (referred to as the person’s “share acquisition date”), (ii) the affirmative vote of all of the holders of all of the outstanding voting shares, or, under some circumstances, by the affirmative vote of the holders of a majority of the outstanding voting shares not including those shares beneficially owned by the interested shareholder or any of its affiliates or associates, (iii) the affirmative vote of the holders of a majority of the outstanding voting shares not including those shares beneficially owned by the interested shareholder or any of its affiliates or associates at a meeting no earlier than four years after the interested shareholder’s share acquisition date, or (iv) the affirmative vote of the holders of a majority of the outstanding voting shares at a meeting no earlier than four years after the interested shareholder’s share acquisition date if the business combination satisfies the conditions of Section 47-33-18 of the Act. Generally, an “interested shareholder” is a person who, together with affiliates and associates, beneficially owns, directly or indirectly, 10% or more of the corporation's voting stock. A “business combination” includes a merger, a transfer of 10% or more of the corporation's assets, the issuance or transfer of stock equal to 5% or more of the aggregate market value of all of the corporation's outstanding shares, the adoption of a plan of liquidation or dissolution, or other transaction resulting in a financial benefit to the interested shareholder.</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Multiple Constituencies</w:t>
      </w:r>
    </w:p>
    <w:p>
      <w:pPr>
        <w:spacing w:after="0" w:line="225" w:lineRule="exact"/>
        <w:rPr>
          <w:sz w:val="20"/>
          <w:szCs w:val="20"/>
          <w:color w:val="auto"/>
        </w:rPr>
      </w:pPr>
    </w:p>
    <w:p>
      <w:pPr>
        <w:ind w:firstLine="648"/>
        <w:spacing w:after="0" w:line="302" w:lineRule="auto"/>
        <w:rPr>
          <w:sz w:val="20"/>
          <w:szCs w:val="20"/>
          <w:color w:val="auto"/>
        </w:rPr>
      </w:pPr>
      <w:r>
        <w:rPr>
          <w:rFonts w:ascii="Arial" w:cs="Arial" w:eastAsia="Arial" w:hAnsi="Arial"/>
          <w:sz w:val="16"/>
          <w:szCs w:val="16"/>
          <w:color w:val="auto"/>
        </w:rPr>
        <w:t>The South Dakota Domestic Public Corporation Takeover Act further provides that our board, in determining whether to approve a merger or other change of control, may take into account both the long-term as well as short-term interests of us and our shareholders, the effect on our employees, customers, creditors and suppliers, the effect upon the community in which we operate and the effect on the economy of the state and nation. This provision may permit our board to vote against some proposals that, in the absence of this provision, it would otherwise have a fiduciary duty to approve.</w:t>
      </w:r>
    </w:p>
    <w:p>
      <w:pPr>
        <w:sectPr>
          <w:pgSz w:w="11900" w:h="16838" w:orient="portrait"/>
          <w:cols w:equalWidth="0" w:num="1">
            <w:col w:w="11400"/>
          </w:cols>
          <w:pgMar w:left="240" w:top="553" w:right="259" w:bottom="1440" w:gutter="0" w:footer="0" w:header="0"/>
        </w:sectPr>
      </w:pPr>
    </w:p>
    <w:bookmarkStart w:id="152" w:name="page153"/>
    <w:bookmarkEnd w:id="152"/>
    <w:p>
      <w:pPr>
        <w:ind w:left="620"/>
        <w:spacing w:after="0"/>
        <w:rPr>
          <w:sz w:val="20"/>
          <w:szCs w:val="20"/>
          <w:color w:val="auto"/>
        </w:rPr>
      </w:pPr>
      <w:r>
        <w:rPr>
          <w:rFonts w:ascii="Arial" w:cs="Arial" w:eastAsia="Arial" w:hAnsi="Arial"/>
          <w:sz w:val="18"/>
          <w:szCs w:val="18"/>
          <w:b w:val="1"/>
          <w:bCs w:val="1"/>
          <w:i w:val="1"/>
          <w:iCs w:val="1"/>
          <w:color w:val="auto"/>
        </w:rPr>
        <w:t>Fair Price Provision</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Our Articles require the affirmative vote of the holders of 80% or more of the outstanding shares of our voting stock to approve any “business transaction” with any “related person” or any “business transaction” in which a “related person” has an interest. However, if a majority of the continuing members of our board who are not affiliated with the related party approve the business transaction, or if the cash or fair market value of any consideration received by our shareholders pursuant to a business transaction meets certain enumerated requirements, then the 80% voting requirement will not be applicable. Generally, our Articles define a “business transaction” to include, among other things, a merger, asset or stock sale. Our Articles generally define a “related person” as any person, entity or group that, together with its affiliates and associates, beneficially owns 10% or more of our outstanding voting stock. Any amendment to our Articles to amend or repeal this provision similarly requires the affirmative vote of the holders of 80% or more of the outstanding shares of our voting stock.</w:t>
      </w:r>
    </w:p>
    <w:p>
      <w:pPr>
        <w:spacing w:after="0" w:line="192"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Board Composition</w:t>
      </w:r>
    </w:p>
    <w:p>
      <w:pPr>
        <w:spacing w:after="0" w:line="225" w:lineRule="exact"/>
        <w:rPr>
          <w:sz w:val="20"/>
          <w:szCs w:val="20"/>
          <w:color w:val="auto"/>
        </w:rPr>
      </w:pPr>
    </w:p>
    <w:p>
      <w:pPr>
        <w:jc w:val="both"/>
        <w:ind w:right="40" w:firstLine="648"/>
        <w:spacing w:after="0" w:line="259" w:lineRule="auto"/>
        <w:rPr>
          <w:sz w:val="20"/>
          <w:szCs w:val="20"/>
          <w:color w:val="auto"/>
        </w:rPr>
      </w:pPr>
      <w:r>
        <w:rPr>
          <w:rFonts w:ascii="Arial" w:cs="Arial" w:eastAsia="Arial" w:hAnsi="Arial"/>
          <w:sz w:val="18"/>
          <w:szCs w:val="18"/>
          <w:color w:val="auto"/>
        </w:rPr>
        <w:t>Our Articles and Bylaws provide for a staggered board of directors divided into three classes, with the term of office of one class expiring each year. Our Articles and Bylaws also provide that our directors may be removed only for cause and by the affirmative vote of the majority of the remaining members of the board of directors. The likely effect of our staggered board of directors and the limitation on the removal of directors is an increase in the time required for the shareholders to change the composition of our board of directors.</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Authorized but Unissued Shares</w:t>
      </w:r>
    </w:p>
    <w:p>
      <w:pPr>
        <w:spacing w:after="0" w:line="225" w:lineRule="exact"/>
        <w:rPr>
          <w:sz w:val="20"/>
          <w:szCs w:val="20"/>
          <w:color w:val="auto"/>
        </w:rPr>
      </w:pPr>
    </w:p>
    <w:p>
      <w:pPr>
        <w:ind w:right="40" w:firstLine="648"/>
        <w:spacing w:after="0" w:line="255" w:lineRule="auto"/>
        <w:rPr>
          <w:sz w:val="20"/>
          <w:szCs w:val="20"/>
          <w:color w:val="auto"/>
        </w:rPr>
      </w:pPr>
      <w:r>
        <w:rPr>
          <w:rFonts w:ascii="Arial" w:cs="Arial" w:eastAsia="Arial" w:hAnsi="Arial"/>
          <w:sz w:val="18"/>
          <w:szCs w:val="18"/>
          <w:color w:val="auto"/>
        </w:rPr>
        <w:t>The authorized but unissued shares of our common stock and preferred stock are available for future issuance without shareholder approval. These additional shares may be used for a variety of corporate purposes, including future public offerings to raise additional capital, corporate acquisitions and employee benefit plans. The existence of authorized but unissued and unreserved common stock and preferred stock could also render more difficult or discourage an attempt to obtain control of us by means of a proxy contest, tender offer, merger or otherwise. Our board has the authority, without further shareholder approval, to issue one or more series of preferred stock that could, depending on the terms of the series, either impede or facilitate the completion of a merger, tender offer or other takeover attempt.</w:t>
      </w:r>
    </w:p>
    <w:p>
      <w:pPr>
        <w:spacing w:after="0" w:line="193" w:lineRule="exact"/>
        <w:rPr>
          <w:sz w:val="20"/>
          <w:szCs w:val="20"/>
          <w:color w:val="auto"/>
        </w:rPr>
      </w:pPr>
    </w:p>
    <w:p>
      <w:pPr>
        <w:ind w:left="640"/>
        <w:spacing w:after="0"/>
        <w:rPr>
          <w:sz w:val="20"/>
          <w:szCs w:val="20"/>
          <w:color w:val="auto"/>
        </w:rPr>
      </w:pPr>
      <w:r>
        <w:rPr>
          <w:rFonts w:ascii="Arial" w:cs="Arial" w:eastAsia="Arial" w:hAnsi="Arial"/>
          <w:sz w:val="18"/>
          <w:szCs w:val="18"/>
          <w:b w:val="1"/>
          <w:bCs w:val="1"/>
          <w:i w:val="1"/>
          <w:iCs w:val="1"/>
          <w:color w:val="auto"/>
        </w:rPr>
        <w:t>Shareholder Action by Written Consent Must Be Unanimous</w:t>
      </w:r>
    </w:p>
    <w:p>
      <w:pPr>
        <w:spacing w:after="0" w:line="225" w:lineRule="exact"/>
        <w:rPr>
          <w:sz w:val="20"/>
          <w:szCs w:val="20"/>
          <w:color w:val="auto"/>
        </w:rPr>
      </w:pPr>
    </w:p>
    <w:p>
      <w:pPr>
        <w:ind w:right="100" w:firstLine="648"/>
        <w:spacing w:after="0" w:line="264" w:lineRule="auto"/>
        <w:rPr>
          <w:sz w:val="20"/>
          <w:szCs w:val="20"/>
          <w:color w:val="auto"/>
        </w:rPr>
      </w:pPr>
      <w:r>
        <w:rPr>
          <w:rFonts w:ascii="Arial" w:cs="Arial" w:eastAsia="Arial" w:hAnsi="Arial"/>
          <w:sz w:val="18"/>
          <w:szCs w:val="18"/>
          <w:color w:val="auto"/>
        </w:rPr>
        <w:t>South Dakota law provides that any action that may be taken at a meeting of shareholders may be taken without a meeting if a written consent, setting forth the action taken, is signed by all of the shareholders entitled to vote with respect to the action taken. This provision prevents holders of less than all of our common stock from unilaterally using the written consent procedure to take shareholder action.</w:t>
      </w:r>
    </w:p>
    <w:p>
      <w:pPr>
        <w:sectPr>
          <w:pgSz w:w="11900" w:h="16838" w:orient="portrait"/>
          <w:cols w:equalWidth="0" w:num="1">
            <w:col w:w="11400"/>
          </w:cols>
          <w:pgMar w:left="240" w:top="557" w:right="259" w:bottom="1440" w:gutter="0" w:footer="0" w:header="0"/>
        </w:sectPr>
      </w:pPr>
    </w:p>
    <w:bookmarkStart w:id="153" w:name="page154"/>
    <w:bookmarkEnd w:id="153"/>
    <w:p>
      <w:pPr>
        <w:spacing w:after="0"/>
        <w:rPr>
          <w:sz w:val="20"/>
          <w:szCs w:val="20"/>
          <w:color w:val="auto"/>
        </w:rPr>
      </w:pPr>
      <w:r>
        <w:rPr>
          <w:rFonts w:ascii="Arial" w:cs="Arial" w:eastAsia="Arial" w:hAnsi="Arial"/>
          <w:sz w:val="29"/>
          <w:szCs w:val="29"/>
          <w:b w:val="1"/>
          <w:bCs w:val="1"/>
          <w:color w:val="auto"/>
        </w:rPr>
        <w:t>Black Hills Corporation</w:t>
      </w:r>
    </w:p>
    <w:p>
      <w:pPr>
        <w:spacing w:after="0" w:line="36"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2015 Omnibus Incentive Plan</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Share Award Agreement</w:t>
      </w:r>
    </w:p>
    <w:p>
      <w:pPr>
        <w:spacing w:after="0" w:line="4"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(for Awards granted on or after January 1, 2017)</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 xml:space="preserve">Performance Period </w:t>
      </w:r>
      <w:r>
        <w:rPr>
          <w:rFonts w:ascii="Arial" w:cs="Arial" w:eastAsia="Arial" w:hAnsi="Arial"/>
          <w:sz w:val="25"/>
          <w:szCs w:val="25"/>
          <w:color w:val="auto"/>
        </w:rPr>
        <w:t>January 1, 2020 -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AWARD AGREEMENT WITH EEI INDEX AS PEER INDEX</w:t>
      </w:r>
    </w:p>
    <w:p>
      <w:pPr>
        <w:sectPr>
          <w:pgSz w:w="11900" w:h="16838" w:orient="portrait"/>
          <w:cols w:equalWidth="0" w:num="1">
            <w:col w:w="10219"/>
          </w:cols>
          <w:pgMar w:left="240" w:top="540" w:right="1440" w:bottom="1440" w:gutter="0" w:footer="0" w:header="0"/>
        </w:sectPr>
      </w:pPr>
    </w:p>
    <w:bookmarkStart w:id="154" w:name="page155"/>
    <w:bookmarkEnd w:id="154"/>
    <w:p>
      <w:pPr>
        <w:spacing w:after="0"/>
        <w:rPr>
          <w:sz w:val="20"/>
          <w:szCs w:val="20"/>
          <w:color w:val="auto"/>
        </w:rPr>
      </w:pPr>
      <w:r>
        <w:rPr>
          <w:rFonts w:ascii="Arial" w:cs="Arial" w:eastAsia="Arial" w:hAnsi="Arial"/>
          <w:sz w:val="31"/>
          <w:szCs w:val="31"/>
          <w:b w:val="1"/>
          <w:bCs w:val="1"/>
          <w:color w:val="auto"/>
        </w:rPr>
        <w:t>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791845</wp:posOffset>
            </wp:positionV>
            <wp:extent cx="724662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8780" w:type="dxa"/>
            <w:vAlign w:val="bottom"/>
            <w:gridSpan w:val="2"/>
          </w:tcPr>
          <w:p>
            <w:pPr>
              <w:spacing w:after="0"/>
              <w:rPr>
                <w:sz w:val="20"/>
                <w:szCs w:val="20"/>
                <w:color w:val="auto"/>
              </w:rPr>
            </w:pPr>
            <w:r>
              <w:rPr>
                <w:rFonts w:ascii="Arial" w:cs="Arial" w:eastAsia="Arial" w:hAnsi="Arial"/>
                <w:sz w:val="22"/>
                <w:szCs w:val="22"/>
                <w:color w:val="auto"/>
              </w:rPr>
              <w:t>Article 1. Performance Period</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2. Value of Performance Shares</w:t>
            </w:r>
          </w:p>
        </w:tc>
        <w:tc>
          <w:tcPr>
            <w:tcW w:w="250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3. Performance Shares and Achievement of Performance Measure</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4. Termination Provisions</w:t>
            </w:r>
          </w:p>
        </w:tc>
        <w:tc>
          <w:tcPr>
            <w:tcW w:w="25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5. Change in Control</w:t>
            </w:r>
          </w:p>
        </w:tc>
        <w:tc>
          <w:tcPr>
            <w:tcW w:w="25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621"/>
        </w:trPr>
        <w:tc>
          <w:tcPr>
            <w:tcW w:w="840" w:type="dxa"/>
            <w:vAlign w:val="bottom"/>
          </w:tcPr>
          <w:p>
            <w:pPr>
              <w:spacing w:after="0"/>
              <w:rPr>
                <w:sz w:val="20"/>
                <w:szCs w:val="20"/>
                <w:color w:val="auto"/>
              </w:rPr>
            </w:pPr>
            <w:r>
              <w:rPr>
                <w:rFonts w:ascii="Arial" w:cs="Arial" w:eastAsia="Arial" w:hAnsi="Arial"/>
                <w:sz w:val="22"/>
                <w:szCs w:val="22"/>
                <w:color w:val="auto"/>
                <w:w w:val="95"/>
              </w:rPr>
              <w:t>Article 6.</w:t>
            </w:r>
          </w:p>
        </w:tc>
        <w:tc>
          <w:tcPr>
            <w:tcW w:w="7940" w:type="dxa"/>
            <w:vAlign w:val="bottom"/>
          </w:tcPr>
          <w:p>
            <w:pPr>
              <w:ind w:left="20"/>
              <w:spacing w:after="0"/>
              <w:rPr>
                <w:sz w:val="20"/>
                <w:szCs w:val="20"/>
                <w:color w:val="auto"/>
              </w:rPr>
            </w:pPr>
            <w:r>
              <w:rPr>
                <w:rFonts w:ascii="Arial" w:cs="Arial" w:eastAsia="Arial" w:hAnsi="Arial"/>
                <w:sz w:val="22"/>
                <w:szCs w:val="22"/>
                <w:color w:val="auto"/>
              </w:rPr>
              <w:t>Forfeiture and Repayment</w:t>
            </w:r>
          </w:p>
        </w:tc>
        <w:tc>
          <w:tcPr>
            <w:tcW w:w="25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621"/>
        </w:trPr>
        <w:tc>
          <w:tcPr>
            <w:tcW w:w="840" w:type="dxa"/>
            <w:vAlign w:val="bottom"/>
          </w:tcPr>
          <w:p>
            <w:pPr>
              <w:spacing w:after="0"/>
              <w:rPr>
                <w:sz w:val="20"/>
                <w:szCs w:val="20"/>
                <w:color w:val="auto"/>
              </w:rPr>
            </w:pPr>
            <w:r>
              <w:rPr>
                <w:rFonts w:ascii="Arial" w:cs="Arial" w:eastAsia="Arial" w:hAnsi="Arial"/>
                <w:sz w:val="22"/>
                <w:szCs w:val="22"/>
                <w:color w:val="auto"/>
                <w:w w:val="95"/>
              </w:rPr>
              <w:t>Article 7.</w:t>
            </w:r>
          </w:p>
        </w:tc>
        <w:tc>
          <w:tcPr>
            <w:tcW w:w="7940" w:type="dxa"/>
            <w:vAlign w:val="bottom"/>
          </w:tcPr>
          <w:p>
            <w:pPr>
              <w:ind w:left="20"/>
              <w:spacing w:after="0"/>
              <w:rPr>
                <w:sz w:val="20"/>
                <w:szCs w:val="20"/>
                <w:color w:val="auto"/>
              </w:rPr>
            </w:pPr>
            <w:r>
              <w:rPr>
                <w:rFonts w:ascii="Arial" w:cs="Arial" w:eastAsia="Arial" w:hAnsi="Arial"/>
                <w:sz w:val="22"/>
                <w:szCs w:val="22"/>
                <w:color w:val="auto"/>
              </w:rPr>
              <w:t>Dividends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621"/>
        </w:trPr>
        <w:tc>
          <w:tcPr>
            <w:tcW w:w="840" w:type="dxa"/>
            <w:vAlign w:val="bottom"/>
          </w:tcPr>
          <w:p>
            <w:pPr>
              <w:spacing w:after="0"/>
              <w:rPr>
                <w:sz w:val="20"/>
                <w:szCs w:val="20"/>
                <w:color w:val="auto"/>
              </w:rPr>
            </w:pPr>
            <w:r>
              <w:rPr>
                <w:rFonts w:ascii="Arial" w:cs="Arial" w:eastAsia="Arial" w:hAnsi="Arial"/>
                <w:sz w:val="22"/>
                <w:szCs w:val="22"/>
                <w:color w:val="auto"/>
                <w:w w:val="95"/>
              </w:rPr>
              <w:t>Article 8.</w:t>
            </w:r>
          </w:p>
        </w:tc>
        <w:tc>
          <w:tcPr>
            <w:tcW w:w="7940" w:type="dxa"/>
            <w:vAlign w:val="bottom"/>
          </w:tcPr>
          <w:p>
            <w:pPr>
              <w:ind w:left="20"/>
              <w:spacing w:after="0"/>
              <w:rPr>
                <w:sz w:val="20"/>
                <w:szCs w:val="20"/>
                <w:color w:val="auto"/>
              </w:rPr>
            </w:pPr>
            <w:r>
              <w:rPr>
                <w:rFonts w:ascii="Arial" w:cs="Arial" w:eastAsia="Arial" w:hAnsi="Arial"/>
                <w:sz w:val="22"/>
                <w:szCs w:val="22"/>
                <w:color w:val="auto"/>
              </w:rPr>
              <w:t>Form and Timing of Payment of Performance Shares</w:t>
            </w:r>
          </w:p>
        </w:tc>
        <w:tc>
          <w:tcPr>
            <w:tcW w:w="25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621"/>
        </w:trPr>
        <w:tc>
          <w:tcPr>
            <w:tcW w:w="840" w:type="dxa"/>
            <w:vAlign w:val="bottom"/>
          </w:tcPr>
          <w:p>
            <w:pPr>
              <w:spacing w:after="0"/>
              <w:rPr>
                <w:sz w:val="20"/>
                <w:szCs w:val="20"/>
                <w:color w:val="auto"/>
              </w:rPr>
            </w:pPr>
            <w:r>
              <w:rPr>
                <w:rFonts w:ascii="Arial" w:cs="Arial" w:eastAsia="Arial" w:hAnsi="Arial"/>
                <w:sz w:val="22"/>
                <w:szCs w:val="22"/>
                <w:color w:val="auto"/>
                <w:w w:val="95"/>
              </w:rPr>
              <w:t>Article 9.</w:t>
            </w:r>
          </w:p>
        </w:tc>
        <w:tc>
          <w:tcPr>
            <w:tcW w:w="7940" w:type="dxa"/>
            <w:vAlign w:val="bottom"/>
          </w:tcPr>
          <w:p>
            <w:pPr>
              <w:ind w:left="20"/>
              <w:spacing w:after="0"/>
              <w:rPr>
                <w:sz w:val="20"/>
                <w:szCs w:val="20"/>
                <w:color w:val="auto"/>
              </w:rPr>
            </w:pPr>
            <w:r>
              <w:rPr>
                <w:rFonts w:ascii="Arial" w:cs="Arial" w:eastAsia="Arial" w:hAnsi="Arial"/>
                <w:sz w:val="22"/>
                <w:szCs w:val="22"/>
                <w:color w:val="auto"/>
              </w:rPr>
              <w:t>Nontransferability</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10.Administration</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621"/>
        </w:trPr>
        <w:tc>
          <w:tcPr>
            <w:tcW w:w="8780" w:type="dxa"/>
            <w:vAlign w:val="bottom"/>
            <w:gridSpan w:val="2"/>
          </w:tcPr>
          <w:p>
            <w:pPr>
              <w:spacing w:after="0"/>
              <w:rPr>
                <w:sz w:val="20"/>
                <w:szCs w:val="20"/>
                <w:color w:val="auto"/>
              </w:rPr>
            </w:pPr>
            <w:r>
              <w:rPr>
                <w:rFonts w:ascii="Arial" w:cs="Arial" w:eastAsia="Arial" w:hAnsi="Arial"/>
                <w:sz w:val="22"/>
                <w:szCs w:val="22"/>
                <w:color w:val="auto"/>
              </w:rPr>
              <w:t>Article 11.Miscellaneous</w:t>
            </w:r>
          </w:p>
        </w:tc>
        <w:tc>
          <w:tcPr>
            <w:tcW w:w="2500" w:type="dxa"/>
            <w:vAlign w:val="bottom"/>
          </w:tcPr>
          <w:p>
            <w:pPr>
              <w:jc w:val="right"/>
              <w:spacing w:after="0"/>
              <w:rPr>
                <w:sz w:val="20"/>
                <w:szCs w:val="20"/>
                <w:color w:val="auto"/>
              </w:rPr>
            </w:pPr>
            <w:r>
              <w:rPr>
                <w:rFonts w:ascii="Arial" w:cs="Arial" w:eastAsia="Arial" w:hAnsi="Arial"/>
                <w:sz w:val="18"/>
                <w:szCs w:val="18"/>
                <w:color w:val="auto"/>
              </w:rPr>
              <w:t>7</w:t>
            </w:r>
          </w:p>
        </w:tc>
      </w:tr>
    </w:tbl>
    <w:p>
      <w:pPr>
        <w:sectPr>
          <w:pgSz w:w="11900" w:h="16838" w:orient="portrait"/>
          <w:cols w:equalWidth="0" w:num="1">
            <w:col w:w="11320"/>
          </w:cols>
          <w:pgMar w:left="240" w:top="333" w:right="339" w:bottom="1440" w:gutter="0" w:footer="0" w:header="0"/>
        </w:sectPr>
      </w:pPr>
    </w:p>
    <w:bookmarkStart w:id="155" w:name="page156"/>
    <w:bookmarkEnd w:id="155"/>
    <w:p>
      <w:pPr>
        <w:spacing w:after="0"/>
        <w:rPr>
          <w:sz w:val="20"/>
          <w:szCs w:val="20"/>
          <w:color w:val="auto"/>
        </w:rPr>
      </w:pPr>
      <w:r>
        <w:rPr>
          <w:rFonts w:ascii="Arial" w:cs="Arial" w:eastAsia="Arial" w:hAnsi="Arial"/>
          <w:sz w:val="31"/>
          <w:szCs w:val="31"/>
          <w:b w:val="1"/>
          <w:bCs w:val="1"/>
          <w:color w:val="auto"/>
        </w:rPr>
        <w:t>Black Hills Corporation</w:t>
      </w:r>
    </w:p>
    <w:p>
      <w:pPr>
        <w:spacing w:after="0" w:line="42"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2015 Omnibus Incentive Plan</w:t>
      </w:r>
    </w:p>
    <w:p>
      <w:pPr>
        <w:spacing w:after="0" w:line="8"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Performance Share Award Agreement</w:t>
      </w:r>
    </w:p>
    <w:p>
      <w:pPr>
        <w:spacing w:after="0" w:line="181" w:lineRule="exact"/>
        <w:rPr>
          <w:sz w:val="20"/>
          <w:szCs w:val="20"/>
          <w:color w:val="auto"/>
        </w:rPr>
      </w:pPr>
    </w:p>
    <w:p>
      <w:pPr>
        <w:spacing w:after="0"/>
        <w:rPr>
          <w:sz w:val="20"/>
          <w:szCs w:val="20"/>
          <w:color w:val="auto"/>
        </w:rPr>
      </w:pPr>
      <w:r>
        <w:rPr>
          <w:rFonts w:ascii="Arial" w:cs="Arial" w:eastAsia="Arial" w:hAnsi="Arial"/>
          <w:sz w:val="29"/>
          <w:szCs w:val="29"/>
          <w:b w:val="1"/>
          <w:bCs w:val="1"/>
          <w:color w:val="auto"/>
        </w:rPr>
        <w:t>Performance Period January 1, 2020 - December 31, 2022</w:t>
      </w:r>
    </w:p>
    <w:p>
      <w:pPr>
        <w:spacing w:after="0" w:line="249" w:lineRule="exact"/>
        <w:rPr>
          <w:sz w:val="20"/>
          <w:szCs w:val="20"/>
          <w:color w:val="auto"/>
        </w:rPr>
      </w:pPr>
    </w:p>
    <w:p>
      <w:pPr>
        <w:ind w:right="4360"/>
        <w:spacing w:after="0" w:line="260" w:lineRule="auto"/>
        <w:rPr>
          <w:sz w:val="20"/>
          <w:szCs w:val="20"/>
          <w:color w:val="auto"/>
        </w:rPr>
      </w:pPr>
      <w:r>
        <w:rPr>
          <w:rFonts w:ascii="Arial" w:cs="Arial" w:eastAsia="Arial" w:hAnsi="Arial"/>
          <w:sz w:val="20"/>
          <w:szCs w:val="20"/>
          <w:color w:val="auto"/>
        </w:rPr>
        <w:t>You have been selected to be a participant in the Black Hills Corporation 2015 Omnibus Incentive Plan (the “Plan”), as specified below: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w:t>
      </w:r>
      <w:r>
        <w:rPr>
          <w:rFonts w:ascii="Arial" w:cs="Arial" w:eastAsia="Arial" w:hAnsi="Arial"/>
          <w:sz w:val="20"/>
          <w:szCs w:val="20"/>
          <w:color w:val="auto"/>
        </w:rPr>
        <w:t>: ____________</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Target Performance Share Award</w:t>
      </w:r>
      <w:r>
        <w:rPr>
          <w:rFonts w:ascii="Arial" w:cs="Arial" w:eastAsia="Arial" w:hAnsi="Arial"/>
          <w:sz w:val="20"/>
          <w:szCs w:val="20"/>
          <w:color w:val="auto"/>
        </w:rPr>
        <w:t>: _______ shares</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Period</w:t>
      </w:r>
      <w:r>
        <w:rPr>
          <w:rFonts w:ascii="Arial" w:cs="Arial" w:eastAsia="Arial" w:hAnsi="Arial"/>
          <w:sz w:val="20"/>
          <w:szCs w:val="20"/>
          <w:color w:val="auto"/>
        </w:rPr>
        <w:t>: January 1, 2020 to December 31, 2022</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Performance Measure</w:t>
      </w:r>
      <w:r>
        <w:rPr>
          <w:rFonts w:ascii="Arial" w:cs="Arial" w:eastAsia="Arial" w:hAnsi="Arial"/>
          <w:sz w:val="20"/>
          <w:szCs w:val="20"/>
          <w:color w:val="auto"/>
        </w:rPr>
        <w:t>: Total Shareholder Return (“TSR”).</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Peer Index</w:t>
      </w:r>
      <w:r>
        <w:rPr>
          <w:rFonts w:ascii="Arial" w:cs="Arial" w:eastAsia="Arial" w:hAnsi="Arial"/>
          <w:sz w:val="20"/>
          <w:szCs w:val="20"/>
          <w:color w:val="auto"/>
        </w:rPr>
        <w:t>: EEI Index</w:t>
      </w:r>
    </w:p>
    <w:p>
      <w:pPr>
        <w:spacing w:after="0" w:line="222" w:lineRule="exact"/>
        <w:rPr>
          <w:sz w:val="20"/>
          <w:szCs w:val="20"/>
          <w:color w:val="auto"/>
        </w:rPr>
      </w:pPr>
    </w:p>
    <w:p>
      <w:pPr>
        <w:ind w:right="440" w:firstLine="648"/>
        <w:spacing w:after="0" w:line="259" w:lineRule="auto"/>
        <w:rPr>
          <w:sz w:val="20"/>
          <w:szCs w:val="20"/>
          <w:color w:val="auto"/>
        </w:rPr>
      </w:pPr>
      <w:r>
        <w:rPr>
          <w:rFonts w:ascii="Arial" w:cs="Arial" w:eastAsia="Arial" w:hAnsi="Arial"/>
          <w:sz w:val="19"/>
          <w:szCs w:val="19"/>
          <w:color w:val="auto"/>
        </w:rPr>
        <w:t>The peer group for TSR performance purposes consists of all companies comprising the EEI Index. Throughout the performance period, companies may be added or dropped from the index due to mergers or other activities. At the end of the performance period, new companies that are added to the index are included in the rankings as if they had been in the ranking from the beginning, provided there is sufficient trading history to include them in the final calculation. When a company is dropped from the index, everything related to the company is excluded as if it were never in the index. Companies included in the EEI Index at the beginning of the Performance Period excluding Black Hills Corporation, are listed in Appendix A.</w:t>
      </w:r>
    </w:p>
    <w:p>
      <w:pPr>
        <w:spacing w:after="0" w:line="179" w:lineRule="exact"/>
        <w:rPr>
          <w:sz w:val="20"/>
          <w:szCs w:val="20"/>
          <w:color w:val="auto"/>
        </w:rPr>
      </w:pPr>
    </w:p>
    <w:p>
      <w:pPr>
        <w:ind w:right="720" w:firstLine="648"/>
        <w:spacing w:after="0" w:line="316" w:lineRule="auto"/>
        <w:rPr>
          <w:sz w:val="20"/>
          <w:szCs w:val="20"/>
          <w:color w:val="auto"/>
        </w:rPr>
      </w:pPr>
      <w:r>
        <w:rPr>
          <w:rFonts w:ascii="Arial" w:cs="Arial" w:eastAsia="Arial" w:hAnsi="Arial"/>
          <w:sz w:val="18"/>
          <w:szCs w:val="18"/>
          <w:color w:val="auto"/>
        </w:rPr>
        <w:t>THIS AGREEMENT (the “Agreement”) effective January 1, 2020, represents the grant of Performance Shares by Black Hills Corporation, a South Dakota corporation (the “Company”), to the Participant named above, pursuant to the provisions of the Plan.</w:t>
      </w:r>
    </w:p>
    <w:p>
      <w:pPr>
        <w:spacing w:after="0" w:line="130"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 Plan provides a complete description of the terms and conditions governing the Performance Shares. If there is any inconsistency between the terms of this Agreement and the terms of the Plan, the Plan’s terms shall completely supersede and replace the conflicting terms of this Agreement.</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All capitalized terms shall have the meanings ascribed to them in the Plan, unless specifically set forth otherwise herein.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parties hereto agree as follows:</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 Performance Period</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Performance Period commences on January 1, 2020 and ends on December 31, 2022.</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2. Value of Performance Shares</w:t>
      </w:r>
    </w:p>
    <w:p>
      <w:pPr>
        <w:spacing w:after="0" w:line="22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Performance Share shall represent and have a value equal to one share of common stock of the Company.</w:t>
      </w: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360"/>
          </w:cols>
          <w:pgMar w:left="240" w:top="549" w:right="299" w:bottom="1440" w:gutter="0" w:footer="0" w:header="0"/>
        </w:sectPr>
      </w:pPr>
    </w:p>
    <w:bookmarkStart w:id="156" w:name="page157"/>
    <w:bookmarkEnd w:id="156"/>
    <w:p>
      <w:pPr>
        <w:spacing w:after="0"/>
        <w:rPr>
          <w:sz w:val="20"/>
          <w:szCs w:val="20"/>
          <w:color w:val="auto"/>
        </w:rPr>
      </w:pPr>
      <w:r>
        <w:rPr>
          <w:rFonts w:ascii="Arial" w:cs="Arial" w:eastAsia="Arial" w:hAnsi="Arial"/>
          <w:sz w:val="20"/>
          <w:szCs w:val="20"/>
          <w:b w:val="1"/>
          <w:bCs w:val="1"/>
          <w:color w:val="auto"/>
        </w:rPr>
        <w:t>Article 3. Performance Shares and Achievement of Performance Measure</w:t>
      </w:r>
    </w:p>
    <w:p>
      <w:pPr>
        <w:spacing w:after="0" w:line="222" w:lineRule="exact"/>
        <w:rPr>
          <w:sz w:val="20"/>
          <w:szCs w:val="20"/>
          <w:color w:val="auto"/>
        </w:rPr>
      </w:pPr>
    </w:p>
    <w:p>
      <w:pPr>
        <w:ind w:right="240" w:firstLine="648"/>
        <w:spacing w:after="0" w:line="250" w:lineRule="auto"/>
        <w:rPr>
          <w:sz w:val="20"/>
          <w:szCs w:val="20"/>
          <w:color w:val="auto"/>
        </w:rPr>
      </w:pPr>
      <w:r>
        <w:rPr>
          <w:rFonts w:ascii="Arial" w:cs="Arial" w:eastAsia="Arial" w:hAnsi="Arial"/>
          <w:sz w:val="20"/>
          <w:szCs w:val="20"/>
          <w:color w:val="auto"/>
        </w:rPr>
        <w:t>The number of Performance Shares to be earned under this Agreement shall be based upon the achievement of pre-established TSR performance goals as set by the Compensation Committee of the Board of Directors (the “Committee”) for the Performance Period, based on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939800</wp:posOffset>
            </wp:positionH>
            <wp:positionV relativeFrom="paragraph">
              <wp:posOffset>214630</wp:posOffset>
            </wp:positionV>
            <wp:extent cx="53854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111">
                      <a:extLst>
                        <a:ext uri="{28A0092B-C50C-407E-A947-70E740481C1C}"/>
                      </a:extLst>
                    </a:blip>
                    <a:srcRect/>
                    <a:stretch>
                      <a:fillRect/>
                    </a:stretch>
                  </pic:blipFill>
                  <pic:spPr bwMode="auto">
                    <a:xfrm>
                      <a:off x="0" y="0"/>
                      <a:ext cx="5385435" cy="26035"/>
                    </a:xfrm>
                    <a:prstGeom prst="rect">
                      <a:avLst/>
                    </a:prstGeom>
                    <a:noFill/>
                  </pic:spPr>
                </pic:pic>
              </a:graphicData>
            </a:graphic>
          </wp:anchor>
        </w:drawing>
      </w:r>
    </w:p>
    <w:p>
      <w:pPr>
        <w:spacing w:after="0" w:line="368" w:lineRule="exact"/>
        <w:rPr>
          <w:sz w:val="20"/>
          <w:szCs w:val="20"/>
          <w:color w:val="auto"/>
        </w:rPr>
      </w:pPr>
    </w:p>
    <w:tbl>
      <w:tblPr>
        <w:tblLayout w:type="fixed"/>
        <w:tblInd w:w="1480" w:type="dxa"/>
        <w:tblCellMar>
          <w:top w:w="0" w:type="dxa"/>
          <w:left w:w="0" w:type="dxa"/>
          <w:bottom w:w="0" w:type="dxa"/>
          <w:right w:w="0" w:type="dxa"/>
        </w:tblCellMar>
      </w:tblPr>
      <w:tr>
        <w:trPr>
          <w:trHeight w:val="230"/>
        </w:trPr>
        <w:tc>
          <w:tcPr>
            <w:tcW w:w="5840" w:type="dxa"/>
            <w:vAlign w:val="bottom"/>
          </w:tcPr>
          <w:p>
            <w:pPr>
              <w:spacing w:after="0"/>
              <w:rPr>
                <w:sz w:val="19"/>
                <w:szCs w:val="19"/>
                <w:color w:val="auto"/>
              </w:rPr>
            </w:pPr>
          </w:p>
        </w:tc>
        <w:tc>
          <w:tcPr>
            <w:tcW w:w="2640" w:type="dxa"/>
            <w:vAlign w:val="bottom"/>
          </w:tcPr>
          <w:p>
            <w:pPr>
              <w:ind w:left="900"/>
              <w:spacing w:after="0"/>
              <w:rPr>
                <w:sz w:val="20"/>
                <w:szCs w:val="20"/>
                <w:color w:val="auto"/>
              </w:rPr>
            </w:pPr>
            <w:r>
              <w:rPr>
                <w:rFonts w:ascii="Arial" w:cs="Arial" w:eastAsia="Arial" w:hAnsi="Arial"/>
                <w:sz w:val="20"/>
                <w:szCs w:val="20"/>
                <w:color w:val="auto"/>
              </w:rPr>
              <w:t>Payout</w:t>
            </w:r>
          </w:p>
        </w:tc>
      </w:tr>
      <w:tr>
        <w:trPr>
          <w:trHeight w:val="250"/>
        </w:trPr>
        <w:tc>
          <w:tcPr>
            <w:tcW w:w="5840" w:type="dxa"/>
            <w:vAlign w:val="bottom"/>
          </w:tcPr>
          <w:p>
            <w:pPr>
              <w:ind w:left="20"/>
              <w:spacing w:after="0"/>
              <w:rPr>
                <w:sz w:val="20"/>
                <w:szCs w:val="20"/>
                <w:color w:val="auto"/>
              </w:rPr>
            </w:pPr>
            <w:r>
              <w:rPr>
                <w:rFonts w:ascii="Arial" w:cs="Arial" w:eastAsia="Arial" w:hAnsi="Arial"/>
                <w:sz w:val="20"/>
                <w:szCs w:val="20"/>
                <w:color w:val="auto"/>
              </w:rPr>
              <w:t>TSR Performance Relative to Companies in Peer Index</w:t>
            </w:r>
          </w:p>
        </w:tc>
        <w:tc>
          <w:tcPr>
            <w:tcW w:w="2640" w:type="dxa"/>
            <w:vAlign w:val="bottom"/>
          </w:tcPr>
          <w:p>
            <w:pPr>
              <w:ind w:left="900"/>
              <w:spacing w:after="0"/>
              <w:rPr>
                <w:sz w:val="20"/>
                <w:szCs w:val="20"/>
                <w:color w:val="auto"/>
              </w:rPr>
            </w:pPr>
            <w:r>
              <w:rPr>
                <w:rFonts w:ascii="Arial" w:cs="Arial" w:eastAsia="Arial" w:hAnsi="Arial"/>
                <w:sz w:val="20"/>
                <w:szCs w:val="20"/>
                <w:color w:val="auto"/>
              </w:rPr>
              <w:t>(% of Target)</w:t>
            </w:r>
          </w:p>
        </w:tc>
      </w:tr>
      <w:tr>
        <w:trPr>
          <w:trHeight w:val="23"/>
        </w:trPr>
        <w:tc>
          <w:tcPr>
            <w:tcW w:w="584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r>
      <w:tr>
        <w:trPr>
          <w:trHeight w:val="530"/>
        </w:trPr>
        <w:tc>
          <w:tcPr>
            <w:tcW w:w="5840" w:type="dxa"/>
            <w:vAlign w:val="bottom"/>
          </w:tcPr>
          <w:p>
            <w:pPr>
              <w:ind w:left="20"/>
              <w:spacing w:after="0"/>
              <w:rPr>
                <w:sz w:val="20"/>
                <w:szCs w:val="20"/>
                <w:color w:val="auto"/>
              </w:rPr>
            </w:pPr>
            <w:r>
              <w:rPr>
                <w:rFonts w:ascii="Arial" w:cs="Arial" w:eastAsia="Arial" w:hAnsi="Arial"/>
                <w:sz w:val="20"/>
                <w:szCs w:val="20"/>
                <w:color w:val="auto"/>
              </w:rPr>
              <w:t>90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or Above</w:t>
            </w:r>
          </w:p>
        </w:tc>
        <w:tc>
          <w:tcPr>
            <w:tcW w:w="2640" w:type="dxa"/>
            <w:vAlign w:val="bottom"/>
          </w:tcPr>
          <w:p>
            <w:pPr>
              <w:ind w:left="900"/>
              <w:spacing w:after="0"/>
              <w:rPr>
                <w:sz w:val="20"/>
                <w:szCs w:val="20"/>
                <w:color w:val="auto"/>
              </w:rPr>
            </w:pPr>
            <w:r>
              <w:rPr>
                <w:rFonts w:ascii="Arial" w:cs="Arial" w:eastAsia="Arial" w:hAnsi="Arial"/>
                <w:sz w:val="20"/>
                <w:szCs w:val="20"/>
                <w:color w:val="auto"/>
              </w:rPr>
              <w:t>200%</w:t>
            </w:r>
          </w:p>
        </w:tc>
      </w:tr>
      <w:tr>
        <w:trPr>
          <w:trHeight w:val="284"/>
        </w:trPr>
        <w:tc>
          <w:tcPr>
            <w:tcW w:w="5840" w:type="dxa"/>
            <w:vAlign w:val="bottom"/>
          </w:tcPr>
          <w:p>
            <w:pPr>
              <w:ind w:left="20"/>
              <w:spacing w:after="0" w:line="283" w:lineRule="exact"/>
              <w:rPr>
                <w:sz w:val="20"/>
                <w:szCs w:val="20"/>
                <w:color w:val="auto"/>
              </w:rPr>
            </w:pPr>
            <w:r>
              <w:rPr>
                <w:rFonts w:ascii="Arial" w:cs="Arial" w:eastAsia="Arial" w:hAnsi="Arial"/>
                <w:sz w:val="20"/>
                <w:szCs w:val="20"/>
                <w:color w:val="auto"/>
              </w:rPr>
              <w:t>50</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w:t>
            </w:r>
          </w:p>
        </w:tc>
        <w:tc>
          <w:tcPr>
            <w:tcW w:w="2640" w:type="dxa"/>
            <w:vAlign w:val="bottom"/>
          </w:tcPr>
          <w:p>
            <w:pPr>
              <w:ind w:left="900"/>
              <w:spacing w:after="0"/>
              <w:rPr>
                <w:sz w:val="20"/>
                <w:szCs w:val="20"/>
                <w:color w:val="auto"/>
              </w:rPr>
            </w:pPr>
            <w:r>
              <w:rPr>
                <w:rFonts w:ascii="Arial" w:cs="Arial" w:eastAsia="Arial" w:hAnsi="Arial"/>
                <w:sz w:val="20"/>
                <w:szCs w:val="20"/>
                <w:color w:val="auto"/>
              </w:rPr>
              <w:t>100%</w:t>
            </w:r>
          </w:p>
        </w:tc>
      </w:tr>
      <w:tr>
        <w:trPr>
          <w:trHeight w:val="284"/>
        </w:trPr>
        <w:tc>
          <w:tcPr>
            <w:tcW w:w="5840" w:type="dxa"/>
            <w:vAlign w:val="bottom"/>
          </w:tcPr>
          <w:p>
            <w:pPr>
              <w:ind w:left="20"/>
              <w:spacing w:after="0" w:line="283" w:lineRule="exact"/>
              <w:rPr>
                <w:sz w:val="20"/>
                <w:szCs w:val="20"/>
                <w:color w:val="auto"/>
              </w:rPr>
            </w:pPr>
            <w:r>
              <w:rPr>
                <w:rFonts w:ascii="Arial" w:cs="Arial" w:eastAsia="Arial" w:hAnsi="Arial"/>
                <w:sz w:val="20"/>
                <w:szCs w:val="20"/>
                <w:color w:val="auto"/>
              </w:rPr>
              <w:t>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w:t>
            </w:r>
          </w:p>
        </w:tc>
        <w:tc>
          <w:tcPr>
            <w:tcW w:w="2640" w:type="dxa"/>
            <w:vAlign w:val="bottom"/>
          </w:tcPr>
          <w:p>
            <w:pPr>
              <w:ind w:left="900"/>
              <w:spacing w:after="0"/>
              <w:rPr>
                <w:sz w:val="20"/>
                <w:szCs w:val="20"/>
                <w:color w:val="auto"/>
              </w:rPr>
            </w:pPr>
            <w:r>
              <w:rPr>
                <w:rFonts w:ascii="Arial" w:cs="Arial" w:eastAsia="Arial" w:hAnsi="Arial"/>
                <w:sz w:val="20"/>
                <w:szCs w:val="20"/>
                <w:color w:val="auto"/>
              </w:rPr>
              <w:t>25%</w:t>
            </w:r>
          </w:p>
        </w:tc>
      </w:tr>
      <w:tr>
        <w:trPr>
          <w:trHeight w:val="284"/>
        </w:trPr>
        <w:tc>
          <w:tcPr>
            <w:tcW w:w="5840" w:type="dxa"/>
            <w:vAlign w:val="bottom"/>
          </w:tcPr>
          <w:p>
            <w:pPr>
              <w:ind w:left="20"/>
              <w:spacing w:after="0" w:line="283" w:lineRule="exact"/>
              <w:rPr>
                <w:sz w:val="20"/>
                <w:szCs w:val="20"/>
                <w:color w:val="auto"/>
              </w:rPr>
            </w:pPr>
            <w:r>
              <w:rPr>
                <w:rFonts w:ascii="Arial" w:cs="Arial" w:eastAsia="Arial" w:hAnsi="Arial"/>
                <w:sz w:val="20"/>
                <w:szCs w:val="20"/>
                <w:color w:val="auto"/>
              </w:rPr>
              <w:t>Below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and TSR is equal to or greater than 35%</w:t>
            </w:r>
          </w:p>
        </w:tc>
        <w:tc>
          <w:tcPr>
            <w:tcW w:w="2640" w:type="dxa"/>
            <w:vAlign w:val="bottom"/>
          </w:tcPr>
          <w:p>
            <w:pPr>
              <w:ind w:left="900"/>
              <w:spacing w:after="0"/>
              <w:rPr>
                <w:sz w:val="20"/>
                <w:szCs w:val="20"/>
                <w:color w:val="auto"/>
              </w:rPr>
            </w:pPr>
            <w:r>
              <w:rPr>
                <w:rFonts w:ascii="Arial" w:cs="Arial" w:eastAsia="Arial" w:hAnsi="Arial"/>
                <w:sz w:val="20"/>
                <w:szCs w:val="20"/>
                <w:color w:val="auto"/>
              </w:rPr>
              <w:t>25%</w:t>
            </w:r>
          </w:p>
        </w:tc>
      </w:tr>
      <w:tr>
        <w:trPr>
          <w:trHeight w:val="331"/>
        </w:trPr>
        <w:tc>
          <w:tcPr>
            <w:tcW w:w="5840" w:type="dxa"/>
            <w:vAlign w:val="bottom"/>
          </w:tcPr>
          <w:p>
            <w:pPr>
              <w:ind w:left="20"/>
              <w:spacing w:after="0"/>
              <w:rPr>
                <w:sz w:val="20"/>
                <w:szCs w:val="20"/>
                <w:color w:val="auto"/>
              </w:rPr>
            </w:pPr>
            <w:r>
              <w:rPr>
                <w:rFonts w:ascii="Arial" w:cs="Arial" w:eastAsia="Arial" w:hAnsi="Arial"/>
                <w:sz w:val="20"/>
                <w:szCs w:val="20"/>
                <w:color w:val="auto"/>
              </w:rPr>
              <w:t>Below the 25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Percentile and TSR is below 35%</w:t>
            </w:r>
          </w:p>
        </w:tc>
        <w:tc>
          <w:tcPr>
            <w:tcW w:w="2640" w:type="dxa"/>
            <w:vAlign w:val="bottom"/>
          </w:tcPr>
          <w:p>
            <w:pPr>
              <w:ind w:left="900"/>
              <w:spacing w:after="0"/>
              <w:rPr>
                <w:sz w:val="20"/>
                <w:szCs w:val="20"/>
                <w:color w:val="auto"/>
              </w:rPr>
            </w:pPr>
            <w:r>
              <w:rPr>
                <w:rFonts w:ascii="Arial" w:cs="Arial" w:eastAsia="Arial" w:hAnsi="Arial"/>
                <w:sz w:val="20"/>
                <w:szCs w:val="20"/>
                <w:color w:val="auto"/>
              </w:rPr>
              <w:t>0%</w:t>
            </w:r>
          </w:p>
        </w:tc>
      </w:tr>
    </w:tbl>
    <w:p>
      <w:pPr>
        <w:spacing w:after="0" w:line="14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In addition, if TSR is negative during the Performance Period, the payout will not exceed 100% of target.</w:t>
      </w:r>
    </w:p>
    <w:p>
      <w:pPr>
        <w:spacing w:after="0" w:line="216" w:lineRule="exact"/>
        <w:rPr>
          <w:sz w:val="20"/>
          <w:szCs w:val="20"/>
          <w:color w:val="auto"/>
        </w:rPr>
      </w:pPr>
    </w:p>
    <w:p>
      <w:pPr>
        <w:ind w:right="100" w:firstLine="648"/>
        <w:spacing w:after="0" w:line="260" w:lineRule="auto"/>
        <w:rPr>
          <w:sz w:val="20"/>
          <w:szCs w:val="20"/>
          <w:color w:val="auto"/>
        </w:rPr>
      </w:pPr>
      <w:r>
        <w:rPr>
          <w:rFonts w:ascii="Arial" w:cs="Arial" w:eastAsia="Arial" w:hAnsi="Arial"/>
          <w:sz w:val="20"/>
          <w:szCs w:val="20"/>
          <w:color w:val="auto"/>
        </w:rPr>
        <w:t>Interpolation shall be used to determine the percentile rank in the event the Company’s Percentile Rank does not fall directly on one of the ranks listed in the above chart.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For this purpose, Total Shareholder Return (rounded to nearest basis point) shall be determined as follows:</w:t>
      </w:r>
    </w:p>
    <w:p>
      <w:pPr>
        <w:spacing w:after="0" w:line="354" w:lineRule="exact"/>
        <w:rPr>
          <w:sz w:val="20"/>
          <w:szCs w:val="20"/>
          <w:color w:val="auto"/>
        </w:rPr>
      </w:pPr>
    </w:p>
    <w:tbl>
      <w:tblPr>
        <w:tblLayout w:type="fixed"/>
        <w:tblInd w:w="18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20"/>
                <w:szCs w:val="20"/>
                <w:color w:val="auto"/>
              </w:rPr>
              <w:t>Total Shareholder</w:t>
            </w:r>
          </w:p>
        </w:tc>
        <w:tc>
          <w:tcPr>
            <w:tcW w:w="980" w:type="dxa"/>
            <w:vAlign w:val="bottom"/>
          </w:tcPr>
          <w:p>
            <w:pPr>
              <w:spacing w:after="0"/>
              <w:rPr>
                <w:sz w:val="19"/>
                <w:szCs w:val="19"/>
                <w:color w:val="auto"/>
              </w:rPr>
            </w:pPr>
          </w:p>
        </w:tc>
        <w:tc>
          <w:tcPr>
            <w:tcW w:w="3200" w:type="dxa"/>
            <w:vAlign w:val="bottom"/>
            <w:tcBorders>
              <w:bottom w:val="single" w:sz="8" w:color="auto"/>
            </w:tcBorders>
          </w:tcPr>
          <w:p>
            <w:pPr>
              <w:spacing w:after="0"/>
              <w:rPr>
                <w:sz w:val="20"/>
                <w:szCs w:val="20"/>
                <w:color w:val="auto"/>
              </w:rPr>
            </w:pPr>
            <w:r>
              <w:rPr>
                <w:rFonts w:ascii="Arial" w:cs="Arial" w:eastAsia="Arial" w:hAnsi="Arial"/>
                <w:sz w:val="20"/>
                <w:szCs w:val="20"/>
                <w:color w:val="auto"/>
                <w:w w:val="89"/>
              </w:rPr>
              <w:t>Change in Stock Price + Dividends Paid</w:t>
            </w:r>
          </w:p>
        </w:tc>
      </w:tr>
      <w:tr>
        <w:trPr>
          <w:trHeight w:val="254"/>
        </w:trPr>
        <w:tc>
          <w:tcPr>
            <w:tcW w:w="1800" w:type="dxa"/>
            <w:vAlign w:val="bottom"/>
          </w:tcPr>
          <w:p>
            <w:pPr>
              <w:spacing w:after="0"/>
              <w:rPr>
                <w:sz w:val="20"/>
                <w:szCs w:val="20"/>
                <w:color w:val="auto"/>
              </w:rPr>
            </w:pPr>
            <w:r>
              <w:rPr>
                <w:rFonts w:ascii="Arial" w:cs="Arial" w:eastAsia="Arial" w:hAnsi="Arial"/>
                <w:sz w:val="20"/>
                <w:szCs w:val="20"/>
                <w:color w:val="auto"/>
              </w:rPr>
              <w:t>Return</w:t>
            </w:r>
          </w:p>
        </w:tc>
        <w:tc>
          <w:tcPr>
            <w:tcW w:w="980" w:type="dxa"/>
            <w:vAlign w:val="bottom"/>
          </w:tcPr>
          <w:p>
            <w:pPr>
              <w:jc w:val="right"/>
              <w:ind w:right="401"/>
              <w:spacing w:after="0"/>
              <w:rPr>
                <w:sz w:val="20"/>
                <w:szCs w:val="20"/>
                <w:color w:val="auto"/>
              </w:rPr>
            </w:pPr>
            <w:r>
              <w:rPr>
                <w:rFonts w:ascii="Arial" w:cs="Arial" w:eastAsia="Arial" w:hAnsi="Arial"/>
                <w:sz w:val="20"/>
                <w:szCs w:val="20"/>
                <w:color w:val="auto"/>
              </w:rPr>
              <w:t>=</w:t>
            </w:r>
          </w:p>
        </w:tc>
        <w:tc>
          <w:tcPr>
            <w:tcW w:w="3200" w:type="dxa"/>
            <w:vAlign w:val="bottom"/>
          </w:tcPr>
          <w:p>
            <w:pPr>
              <w:spacing w:after="0"/>
              <w:rPr>
                <w:sz w:val="20"/>
                <w:szCs w:val="20"/>
                <w:color w:val="auto"/>
              </w:rPr>
            </w:pPr>
            <w:r>
              <w:rPr>
                <w:rFonts w:ascii="Arial" w:cs="Arial" w:eastAsia="Arial" w:hAnsi="Arial"/>
                <w:sz w:val="20"/>
                <w:szCs w:val="20"/>
                <w:color w:val="auto"/>
              </w:rPr>
              <w:t>Beginning Stock Price</w:t>
            </w:r>
          </w:p>
        </w:tc>
      </w:tr>
    </w:tbl>
    <w:p>
      <w:pPr>
        <w:spacing w:after="0" w:line="222" w:lineRule="exact"/>
        <w:rPr>
          <w:sz w:val="20"/>
          <w:szCs w:val="20"/>
          <w:color w:val="auto"/>
        </w:rPr>
      </w:pPr>
    </w:p>
    <w:p>
      <w:pPr>
        <w:spacing w:after="0" w:line="276" w:lineRule="auto"/>
        <w:rPr>
          <w:sz w:val="20"/>
          <w:szCs w:val="20"/>
          <w:color w:val="auto"/>
        </w:rPr>
      </w:pPr>
      <w:r>
        <w:rPr>
          <w:rFonts w:ascii="Arial" w:cs="Arial" w:eastAsia="Arial" w:hAnsi="Arial"/>
          <w:sz w:val="18"/>
          <w:szCs w:val="18"/>
          <w:color w:val="auto"/>
        </w:rPr>
        <w:t>Beginning Stock Price shall mean the average closing price (rounded to nearest cent $xx.xx) on the applicable stock exchange of one share of stock for the twenty (20) trading days immediately prior to the first day of the Performance Period; Ending Stock Price shall mean the average closing price (rounded to nearest cent $xx.xx) on the applicable stock exchange of one share of stock for the last twenty (20) trading days of the Performance Period; Change in Stock Price shall mean the difference between the Beginning Stock Price and the Ending Stock Price; and Dividends Paid shall mean the total of all dividends (unrounded) on one (1) share of stock with Dividend Payable Dates during the Performance Period. Following the Total Shareholder Return determination, the Company’s Percentile Rank shall be determined as follows:</w:t>
      </w:r>
    </w:p>
    <w:p>
      <w:pPr>
        <w:spacing w:after="0" w:line="165" w:lineRule="exact"/>
        <w:rPr>
          <w:sz w:val="20"/>
          <w:szCs w:val="20"/>
          <w:color w:val="auto"/>
        </w:rPr>
      </w:pPr>
    </w:p>
    <w:p>
      <w:pPr>
        <w:ind w:firstLine="648"/>
        <w:spacing w:after="0" w:line="244" w:lineRule="auto"/>
        <w:rPr>
          <w:sz w:val="20"/>
          <w:szCs w:val="20"/>
          <w:color w:val="auto"/>
        </w:rPr>
      </w:pPr>
      <w:r>
        <w:rPr>
          <w:rFonts w:ascii="Arial" w:cs="Arial" w:eastAsia="Arial" w:hAnsi="Arial"/>
          <w:sz w:val="20"/>
          <w:szCs w:val="20"/>
          <w:color w:val="auto"/>
        </w:rPr>
        <w:t>Percentile Rank shall be determined by listing from highest Total Shareholder Return to lowest Total Shareholder Return each company in the Peer Index (excluding the Company). The top company would have a one hundred percentile (100%) rank and the bottom company would have a zero percentile (0.0%) rank. Each company in between would be one hundred divided by n minus one (100/(n-1)) (rounded to nearest basis point - x.xx%) above the company below it, where “n” is the total number of companies in the Peer Index. The Company percentile rank would then be interpolated based on the Company TSR.</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4. Termination Provisions</w:t>
      </w:r>
    </w:p>
    <w:p>
      <w:pPr>
        <w:spacing w:after="0" w:line="222" w:lineRule="exact"/>
        <w:rPr>
          <w:sz w:val="20"/>
          <w:szCs w:val="20"/>
          <w:color w:val="auto"/>
        </w:rPr>
      </w:pPr>
    </w:p>
    <w:p>
      <w:pPr>
        <w:ind w:right="120" w:firstLine="648"/>
        <w:spacing w:after="0" w:line="316" w:lineRule="auto"/>
        <w:rPr>
          <w:sz w:val="20"/>
          <w:szCs w:val="20"/>
          <w:color w:val="auto"/>
        </w:rPr>
      </w:pPr>
      <w:r>
        <w:rPr>
          <w:rFonts w:ascii="Arial" w:cs="Arial" w:eastAsia="Arial" w:hAnsi="Arial"/>
          <w:sz w:val="18"/>
          <w:szCs w:val="18"/>
          <w:color w:val="auto"/>
        </w:rPr>
        <w:t>Except as provided below in this Article 4 and in Article 5, a Participant shall be eligible for payment of awarded Performance Shares, as determined in Article 3, only if the Participant’s employment with the Company continues through the end of the Performance Period.</w:t>
      </w:r>
    </w:p>
    <w:p>
      <w:pPr>
        <w:spacing w:after="0" w:line="130" w:lineRule="exact"/>
        <w:rPr>
          <w:sz w:val="20"/>
          <w:szCs w:val="20"/>
          <w:color w:val="auto"/>
        </w:rPr>
      </w:pPr>
    </w:p>
    <w:p>
      <w:pPr>
        <w:jc w:val="both"/>
        <w:ind w:right="220" w:firstLine="648"/>
        <w:spacing w:after="0" w:line="263" w:lineRule="auto"/>
        <w:rPr>
          <w:sz w:val="20"/>
          <w:szCs w:val="20"/>
          <w:color w:val="auto"/>
        </w:rPr>
      </w:pPr>
      <w:r>
        <w:rPr>
          <w:rFonts w:ascii="Arial" w:cs="Arial" w:eastAsia="Arial" w:hAnsi="Arial"/>
          <w:sz w:val="19"/>
          <w:szCs w:val="19"/>
          <w:color w:val="auto"/>
        </w:rPr>
        <w:t>If participant Retires, suffers a Disability, or dies during the Performance Period, the Participant (or the Participant’s estate) shall be entitled to that proportion of the number of Performance Shares as such Participant is entitled to under Article 3 for such Performance Period that the number of full months of participation during the Performance Period bears to the total number of months in the Performance Period. The form and timing of the payment of such Performance Shares shall be as set forth in Article 8.</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549" w:right="239" w:bottom="1440" w:gutter="0" w:footer="0" w:header="0"/>
        </w:sectPr>
      </w:pPr>
    </w:p>
    <w:bookmarkStart w:id="157" w:name="page158"/>
    <w:bookmarkEnd w:id="157"/>
    <w:p>
      <w:pPr>
        <w:ind w:firstLine="648"/>
        <w:spacing w:after="0" w:line="260" w:lineRule="auto"/>
        <w:rPr>
          <w:sz w:val="20"/>
          <w:szCs w:val="20"/>
          <w:color w:val="auto"/>
        </w:rPr>
      </w:pPr>
      <w:r>
        <w:rPr>
          <w:rFonts w:ascii="Arial" w:cs="Arial" w:eastAsia="Arial" w:hAnsi="Arial"/>
          <w:sz w:val="20"/>
          <w:szCs w:val="20"/>
          <w:color w:val="auto"/>
        </w:rPr>
        <w:t>“Retirement” or “Retires” means a Separation from service by a Participant on or after (i) attaining the age of 55 with at least 5 years of service, or (ii) attaining the age of 65.</w:t>
      </w:r>
    </w:p>
    <w:p>
      <w:pPr>
        <w:spacing w:after="0" w:line="177" w:lineRule="exact"/>
        <w:rPr>
          <w:sz w:val="20"/>
          <w:szCs w:val="20"/>
          <w:color w:val="auto"/>
        </w:rPr>
      </w:pPr>
    </w:p>
    <w:p>
      <w:pPr>
        <w:ind w:right="40" w:firstLine="648"/>
        <w:spacing w:after="0" w:line="250" w:lineRule="auto"/>
        <w:rPr>
          <w:sz w:val="20"/>
          <w:szCs w:val="20"/>
          <w:color w:val="auto"/>
        </w:rPr>
      </w:pPr>
      <w:r>
        <w:rPr>
          <w:rFonts w:ascii="Arial" w:cs="Arial" w:eastAsia="Arial" w:hAnsi="Arial"/>
          <w:sz w:val="20"/>
          <w:szCs w:val="20"/>
          <w:color w:val="auto"/>
        </w:rPr>
        <w:t>“Separation from service” (as defined in Treasury Regulation Section 1.409A-1(h)) during the Performance Period other than (i) due to Retirement, Disability, or death, or (ii) following a Change in Control shall require forfeiture of this entire award, with no payment to the Participant.</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5. Change in Control</w:t>
      </w:r>
    </w:p>
    <w:p>
      <w:pPr>
        <w:spacing w:after="0" w:line="222" w:lineRule="exact"/>
        <w:rPr>
          <w:sz w:val="20"/>
          <w:szCs w:val="20"/>
          <w:color w:val="auto"/>
        </w:rPr>
      </w:pPr>
    </w:p>
    <w:p>
      <w:pPr>
        <w:ind w:firstLine="648"/>
        <w:spacing w:after="0" w:line="243" w:lineRule="auto"/>
        <w:rPr>
          <w:sz w:val="20"/>
          <w:szCs w:val="20"/>
          <w:color w:val="auto"/>
        </w:rPr>
      </w:pPr>
      <w:r>
        <w:rPr>
          <w:rFonts w:ascii="Arial" w:cs="Arial" w:eastAsia="Arial" w:hAnsi="Arial"/>
          <w:sz w:val="20"/>
          <w:szCs w:val="20"/>
          <w:color w:val="auto"/>
        </w:rPr>
        <w:t>Notwithstanding anything herein to the contrary, in the event of a Change in Control, the Participant shall be entitled to that proportion of the number of Performance Shares as such Participant is entitled to under Article 3 for such Performance Period that the number of full months of participation during the Performance Period (as of the effective date of the Change in Control) bears to the total number of months in the Performance Period. When there is a Change in Control, the TSR shall be calculated as set forth in Article 3, except that the Ending Stock Price shall mean the average closing price on the applicable stock exchange of one share of stock for the twenty (20) trading days immediately prior to the Change in Control. Performance Shares shall be paid out to the Participant in cash within thirty (30) days of the effective date of the Change in Control.</w:t>
      </w:r>
    </w:p>
    <w:p>
      <w:pPr>
        <w:spacing w:after="0" w:line="193" w:lineRule="exact"/>
        <w:rPr>
          <w:sz w:val="20"/>
          <w:szCs w:val="20"/>
          <w:color w:val="auto"/>
        </w:rPr>
      </w:pPr>
    </w:p>
    <w:p>
      <w:pPr>
        <w:ind w:right="440" w:firstLine="648"/>
        <w:spacing w:after="0" w:line="260" w:lineRule="auto"/>
        <w:rPr>
          <w:sz w:val="20"/>
          <w:szCs w:val="20"/>
          <w:color w:val="auto"/>
        </w:rPr>
      </w:pPr>
      <w:r>
        <w:rPr>
          <w:rFonts w:ascii="Arial" w:cs="Arial" w:eastAsia="Arial" w:hAnsi="Arial"/>
          <w:sz w:val="20"/>
          <w:szCs w:val="20"/>
          <w:color w:val="auto"/>
        </w:rPr>
        <w:t>"Change in Control" of the Company shall be deemed to have occurred (as of a particular day, as specified by the Board) upon the occurrence of any of the following events:</w:t>
      </w:r>
    </w:p>
    <w:p>
      <w:pPr>
        <w:spacing w:after="0" w:line="177" w:lineRule="exact"/>
        <w:rPr>
          <w:sz w:val="20"/>
          <w:szCs w:val="20"/>
          <w:color w:val="auto"/>
        </w:rPr>
      </w:pPr>
    </w:p>
    <w:p>
      <w:pPr>
        <w:ind w:left="980" w:right="20" w:hanging="648"/>
        <w:spacing w:after="0" w:line="243" w:lineRule="auto"/>
        <w:tabs>
          <w:tab w:leader="none" w:pos="980" w:val="left"/>
        </w:tabs>
        <w:numPr>
          <w:ilvl w:val="0"/>
          <w:numId w:val="105"/>
        </w:numPr>
        <w:rPr>
          <w:rFonts w:ascii="Arial" w:cs="Arial" w:eastAsia="Arial" w:hAnsi="Arial"/>
          <w:sz w:val="20"/>
          <w:szCs w:val="20"/>
          <w:color w:val="auto"/>
        </w:rPr>
      </w:pPr>
      <w:r>
        <w:rPr>
          <w:rFonts w:ascii="Arial" w:cs="Arial" w:eastAsia="Arial" w:hAnsi="Arial"/>
          <w:sz w:val="20"/>
          <w:szCs w:val="20"/>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subsections (c) (i), (ii) and (iii);</w:t>
      </w:r>
    </w:p>
    <w:p>
      <w:pPr>
        <w:spacing w:after="0" w:line="196" w:lineRule="exact"/>
        <w:rPr>
          <w:rFonts w:ascii="Arial" w:cs="Arial" w:eastAsia="Arial" w:hAnsi="Arial"/>
          <w:sz w:val="20"/>
          <w:szCs w:val="20"/>
          <w:color w:val="auto"/>
        </w:rPr>
      </w:pPr>
    </w:p>
    <w:p>
      <w:pPr>
        <w:ind w:left="980" w:hanging="648"/>
        <w:spacing w:after="0" w:line="232" w:lineRule="exact"/>
        <w:tabs>
          <w:tab w:leader="none" w:pos="9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Individuals who, as of December 31, 2018 are members of the Board (the "Incumbent Board"),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Plan, be considered as a member of the Incumbent Board; provided further, however, that no individual shall be considered a member of the Incumbent Board if such individual initially assumed office as a result of either an actual or threatened "Election Contest" (as described in Rule 14a</w:t>
      </w:r>
      <w:r>
        <w:rPr>
          <w:rFonts w:ascii="MS PGothic" w:cs="MS PGothic" w:eastAsia="MS PGothic" w:hAnsi="MS PGothic"/>
          <w:sz w:val="18"/>
          <w:szCs w:val="18"/>
          <w:color w:val="auto"/>
        </w:rPr>
        <w:t>‑</w:t>
      </w:r>
      <w:r>
        <w:rPr>
          <w:rFonts w:ascii="Arial" w:cs="Arial" w:eastAsia="Arial" w:hAnsi="Arial"/>
          <w:sz w:val="18"/>
          <w:szCs w:val="18"/>
          <w:color w:val="auto"/>
        </w:rPr>
        <w:t>11 promulgated under the Exchange Act) or other actual or threatened solicitation of proxies or consents by or on behalf of a Person other than the Board (a "Proxy Contest") including by reason of any agreement intended to avoid or settle any Election Contest or Proxy Contest;</w:t>
      </w:r>
    </w:p>
    <w:p>
      <w:pPr>
        <w:spacing w:after="0" w:line="196" w:lineRule="exact"/>
        <w:rPr>
          <w:rFonts w:ascii="Arial" w:cs="Arial" w:eastAsia="Arial" w:hAnsi="Arial"/>
          <w:sz w:val="18"/>
          <w:szCs w:val="18"/>
          <w:color w:val="auto"/>
        </w:rPr>
      </w:pPr>
    </w:p>
    <w:p>
      <w:pPr>
        <w:ind w:left="980" w:right="100" w:hanging="648"/>
        <w:spacing w:after="0" w:line="255" w:lineRule="auto"/>
        <w:tabs>
          <w:tab w:leader="none" w:pos="98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Consummation, following shareholder approval, of a reorganization, merger, or consolidation of the Company, or a sale or other disposition of all or substantially all of the assets of the Company (each a “Business Combination”),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“Successor Entity”);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00"/>
          </w:cols>
          <w:pgMar w:left="240" w:top="771" w:right="259" w:bottom="1440" w:gutter="0" w:footer="0" w:header="0"/>
        </w:sectPr>
      </w:pPr>
    </w:p>
    <w:bookmarkStart w:id="158" w:name="page159"/>
    <w:bookmarkEnd w:id="158"/>
    <w:p>
      <w:pPr>
        <w:ind w:left="980" w:right="80"/>
        <w:spacing w:after="0" w:line="234" w:lineRule="auto"/>
        <w:rPr>
          <w:sz w:val="20"/>
          <w:szCs w:val="20"/>
          <w:color w:val="auto"/>
        </w:rPr>
      </w:pPr>
      <w:r>
        <w:rPr>
          <w:rFonts w:ascii="Arial" w:cs="Arial" w:eastAsia="Arial" w:hAnsi="Arial"/>
          <w:sz w:val="20"/>
          <w:szCs w:val="20"/>
          <w:color w:val="auto"/>
        </w:rPr>
        <w:t>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184" w:lineRule="exact"/>
        <w:rPr>
          <w:sz w:val="20"/>
          <w:szCs w:val="20"/>
          <w:color w:val="auto"/>
        </w:rPr>
      </w:pPr>
    </w:p>
    <w:p>
      <w:pPr>
        <w:ind w:left="980" w:right="600" w:hanging="648"/>
        <w:spacing w:after="0" w:line="260" w:lineRule="auto"/>
        <w:tabs>
          <w:tab w:leader="none" w:pos="9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Approval by the shareholders of the Company of a complete liquidation or dissolution of the Company, except pursuant to a Business Combination that complies with subsections (c) (i), (ii), and (iii) above.</w:t>
      </w:r>
    </w:p>
    <w:p>
      <w:pPr>
        <w:spacing w:after="0" w:line="176" w:lineRule="exact"/>
        <w:rPr>
          <w:rFonts w:ascii="Arial" w:cs="Arial" w:eastAsia="Arial" w:hAnsi="Arial"/>
          <w:sz w:val="20"/>
          <w:szCs w:val="20"/>
          <w:color w:val="auto"/>
        </w:rPr>
      </w:pPr>
    </w:p>
    <w:p>
      <w:pPr>
        <w:ind w:left="980" w:hanging="648"/>
        <w:spacing w:after="0" w:line="274" w:lineRule="auto"/>
        <w:tabs>
          <w:tab w:leader="none" w:pos="9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 Change in Control shall not be deemed to occur solely because any Person (the "Subject Person")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69" w:lineRule="exact"/>
        <w:rPr>
          <w:rFonts w:ascii="Arial" w:cs="Arial" w:eastAsia="Arial" w:hAnsi="Arial"/>
          <w:sz w:val="18"/>
          <w:szCs w:val="18"/>
          <w:color w:val="auto"/>
        </w:rPr>
      </w:pPr>
    </w:p>
    <w:p>
      <w:pPr>
        <w:ind w:left="980" w:right="20" w:hanging="648"/>
        <w:spacing w:after="0" w:line="386" w:lineRule="auto"/>
        <w:tabs>
          <w:tab w:leader="none" w:pos="98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83" w:lineRule="exact"/>
        <w:rPr>
          <w:sz w:val="20"/>
          <w:szCs w:val="20"/>
          <w:color w:val="auto"/>
        </w:rPr>
      </w:pPr>
    </w:p>
    <w:p>
      <w:pPr>
        <w:ind w:right="240" w:firstLine="648"/>
        <w:spacing w:after="0" w:line="291" w:lineRule="auto"/>
        <w:rPr>
          <w:sz w:val="20"/>
          <w:szCs w:val="20"/>
          <w:color w:val="auto"/>
        </w:rPr>
      </w:pPr>
      <w:r>
        <w:rPr>
          <w:rFonts w:ascii="Arial" w:cs="Arial" w:eastAsia="Arial" w:hAnsi="Arial"/>
          <w:sz w:val="18"/>
          <w:szCs w:val="18"/>
          <w:color w:val="auto"/>
        </w:rPr>
        <w:t>Notwithstanding the above provisions of this definition, to the extent that any payment under the Agreement due to a Change in Control is subject to Code Section 409A for deferred compensation, then the term “Change in Control” shall be construed in a manner that is consistent with Code Section 409A(a)(2)(A)(v), but only to the extent inconsistent with the above provisions as determined by the Board.</w:t>
      </w:r>
    </w:p>
    <w:p>
      <w:pPr>
        <w:spacing w:after="0" w:line="14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6. Forfeiture and Repayment.</w:t>
      </w:r>
    </w:p>
    <w:p>
      <w:pPr>
        <w:spacing w:after="0" w:line="231" w:lineRule="exact"/>
        <w:rPr>
          <w:sz w:val="20"/>
          <w:szCs w:val="20"/>
          <w:color w:val="auto"/>
        </w:rPr>
      </w:pPr>
    </w:p>
    <w:p>
      <w:pPr>
        <w:ind w:left="1300" w:hanging="644"/>
        <w:spacing w:after="0" w:line="249"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22"/>
          <w:szCs w:val="22"/>
          <w:color w:val="auto"/>
        </w:rPr>
        <w:t>In the event the Participant incurs a separation from service for a reason other than those described in Article 4 herein during the Performance Period this entire award will be forfeited, unless the separation from service follows a Change in Control.</w:t>
      </w:r>
    </w:p>
    <w:p>
      <w:pPr>
        <w:ind w:left="1300" w:right="440" w:hanging="644"/>
        <w:spacing w:after="0" w:line="302" w:lineRule="auto"/>
        <w:tabs>
          <w:tab w:leader="none" w:pos="1300" w:val="left"/>
        </w:tabs>
        <w:numPr>
          <w:ilvl w:val="0"/>
          <w:numId w:val="107"/>
        </w:numPr>
        <w:rPr>
          <w:rFonts w:ascii="Arial" w:cs="Arial" w:eastAsia="Arial" w:hAnsi="Arial"/>
          <w:sz w:val="16"/>
          <w:szCs w:val="16"/>
          <w:color w:val="auto"/>
        </w:rPr>
      </w:pPr>
      <w:r>
        <w:rPr>
          <w:rFonts w:ascii="Arial" w:cs="Arial" w:eastAsia="Arial" w:hAnsi="Arial"/>
          <w:sz w:val="19"/>
          <w:szCs w:val="19"/>
          <w:color w:val="auto"/>
        </w:rPr>
        <w:t>Without limiting the generality of Article 6(a), the Company reserves the right to cancel all Performance Shares awarded hereunder, whether or not vested, and require the Participant to repay all income or gains previously realized in respect of such Performance Shares, in the event of the occurrence of any of the following events:</w:t>
      </w:r>
    </w:p>
    <w:p>
      <w:pPr>
        <w:spacing w:after="0" w:line="183" w:lineRule="exact"/>
        <w:rPr>
          <w:rFonts w:ascii="Arial" w:cs="Arial" w:eastAsia="Arial" w:hAnsi="Arial"/>
          <w:sz w:val="16"/>
          <w:szCs w:val="16"/>
          <w:color w:val="auto"/>
        </w:rPr>
      </w:pPr>
    </w:p>
    <w:p>
      <w:pPr>
        <w:ind w:left="1960" w:hanging="655"/>
        <w:spacing w:after="0"/>
        <w:tabs>
          <w:tab w:leader="none" w:pos="196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termination of Participant’s employment for Cause;</w:t>
      </w:r>
    </w:p>
    <w:p>
      <w:pPr>
        <w:spacing w:after="0" w:line="260" w:lineRule="exact"/>
        <w:rPr>
          <w:rFonts w:ascii="Arial" w:cs="Arial" w:eastAsia="Arial" w:hAnsi="Arial"/>
          <w:sz w:val="18"/>
          <w:szCs w:val="18"/>
          <w:color w:val="auto"/>
        </w:rPr>
      </w:pPr>
    </w:p>
    <w:p>
      <w:pPr>
        <w:ind w:left="1960" w:right="20" w:hanging="655"/>
        <w:spacing w:after="0" w:line="253" w:lineRule="auto"/>
        <w:tabs>
          <w:tab w:leader="none" w:pos="196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within one year following any termination of Participant’s employment, the Board determines that the Participant engaged in conduct before the Participant’s termination date that would have constituted the basis for a termination of employment for Cause;</w:t>
      </w:r>
    </w:p>
    <w:p>
      <w:pPr>
        <w:spacing w:after="0" w:line="226" w:lineRule="exact"/>
        <w:rPr>
          <w:rFonts w:ascii="Arial" w:cs="Arial" w:eastAsia="Arial" w:hAnsi="Arial"/>
          <w:sz w:val="18"/>
          <w:szCs w:val="18"/>
          <w:color w:val="auto"/>
        </w:rPr>
      </w:pPr>
    </w:p>
    <w:p>
      <w:pPr>
        <w:ind w:left="1960" w:right="500" w:hanging="655"/>
        <w:spacing w:after="0" w:line="263" w:lineRule="auto"/>
        <w:tabs>
          <w:tab w:leader="none" w:pos="1960" w:val="left"/>
        </w:tabs>
        <w:numPr>
          <w:ilvl w:val="1"/>
          <w:numId w:val="107"/>
        </w:numPr>
        <w:rPr>
          <w:rFonts w:ascii="Arial" w:cs="Arial" w:eastAsia="Arial" w:hAnsi="Arial"/>
          <w:sz w:val="18"/>
          <w:szCs w:val="18"/>
          <w:color w:val="auto"/>
        </w:rPr>
      </w:pPr>
      <w:r>
        <w:rPr>
          <w:rFonts w:ascii="Arial" w:cs="Arial" w:eastAsia="Arial" w:hAnsi="Arial"/>
          <w:sz w:val="22"/>
          <w:szCs w:val="22"/>
          <w:color w:val="auto"/>
        </w:rPr>
        <w:t>at any time during the Participant’s employment or the twelve month period immediately following any termination of employment, Participant:</w:t>
      </w:r>
    </w:p>
    <w:p>
      <w:pPr>
        <w:spacing w:after="0" w:line="215" w:lineRule="exact"/>
        <w:rPr>
          <w:rFonts w:ascii="Arial" w:cs="Arial" w:eastAsia="Arial" w:hAnsi="Arial"/>
          <w:sz w:val="18"/>
          <w:szCs w:val="18"/>
          <w:color w:val="auto"/>
        </w:rPr>
      </w:pPr>
    </w:p>
    <w:p>
      <w:pPr>
        <w:ind w:left="2600" w:right="40" w:hanging="647"/>
        <w:spacing w:after="0" w:line="312" w:lineRule="auto"/>
        <w:tabs>
          <w:tab w:leader="none" w:pos="2600" w:val="left"/>
        </w:tabs>
        <w:numPr>
          <w:ilvl w:val="2"/>
          <w:numId w:val="107"/>
        </w:numPr>
        <w:rPr>
          <w:rFonts w:ascii="Arial" w:cs="Arial" w:eastAsia="Arial" w:hAnsi="Arial"/>
          <w:sz w:val="19"/>
          <w:szCs w:val="19"/>
          <w:color w:val="auto"/>
        </w:rPr>
      </w:pPr>
      <w:r>
        <w:rPr>
          <w:rFonts w:ascii="Arial" w:cs="Arial" w:eastAsia="Arial" w:hAnsi="Arial"/>
          <w:sz w:val="19"/>
          <w:szCs w:val="19"/>
          <w:color w:val="auto"/>
        </w:rPr>
        <w:t>publicly disparages the Company, any of its affiliates or any of its or their officers, directors or senior executive employees or otherwise makes any public statement that is materially detrimental to the interests or reputation of the Company, any of its affiliates or such individuals; or</w:t>
      </w: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555" w:right="259" w:bottom="1440" w:gutter="0" w:footer="0" w:header="0"/>
        </w:sectPr>
      </w:pPr>
    </w:p>
    <w:bookmarkStart w:id="159" w:name="page160"/>
    <w:bookmarkEnd w:id="159"/>
    <w:p>
      <w:pPr>
        <w:ind w:left="1944" w:right="280" w:hanging="647"/>
        <w:spacing w:after="0" w:line="263" w:lineRule="auto"/>
        <w:tabs>
          <w:tab w:leader="none" w:pos="1944" w:val="left"/>
        </w:tabs>
        <w:numPr>
          <w:ilvl w:val="2"/>
          <w:numId w:val="108"/>
        </w:numPr>
        <w:rPr>
          <w:rFonts w:ascii="Arial" w:cs="Arial" w:eastAsia="Arial" w:hAnsi="Arial"/>
          <w:sz w:val="22"/>
          <w:szCs w:val="22"/>
          <w:color w:val="auto"/>
        </w:rPr>
      </w:pPr>
      <w:r>
        <w:rPr>
          <w:rFonts w:ascii="Arial" w:cs="Arial" w:eastAsia="Arial" w:hAnsi="Arial"/>
          <w:sz w:val="22"/>
          <w:szCs w:val="22"/>
          <w:color w:val="auto"/>
        </w:rPr>
        <w:t>violates in any material respect any policy or any code of ethics or standard of behavior or conduct generally applicable to Participant, including the Code of Conduct; or</w:t>
      </w:r>
    </w:p>
    <w:p>
      <w:pPr>
        <w:spacing w:after="0" w:line="174" w:lineRule="exact"/>
        <w:rPr>
          <w:rFonts w:ascii="Arial" w:cs="Arial" w:eastAsia="Arial" w:hAnsi="Arial"/>
          <w:sz w:val="22"/>
          <w:szCs w:val="22"/>
          <w:color w:val="auto"/>
        </w:rPr>
      </w:pPr>
    </w:p>
    <w:p>
      <w:pPr>
        <w:ind w:left="1304" w:hanging="655"/>
        <w:spacing w:after="0" w:line="253" w:lineRule="auto"/>
        <w:tabs>
          <w:tab w:leader="none" w:pos="1304" w:val="left"/>
        </w:tabs>
        <w:numPr>
          <w:ilvl w:val="1"/>
          <w:numId w:val="109"/>
        </w:numPr>
        <w:rPr>
          <w:rFonts w:ascii="Arial" w:cs="Arial" w:eastAsia="Arial" w:hAnsi="Arial"/>
          <w:sz w:val="18"/>
          <w:szCs w:val="18"/>
          <w:color w:val="auto"/>
        </w:rPr>
      </w:pPr>
      <w:r>
        <w:rPr>
          <w:rFonts w:ascii="Arial" w:cs="Arial" w:eastAsia="Arial" w:hAnsi="Arial"/>
          <w:sz w:val="22"/>
          <w:szCs w:val="22"/>
          <w:color w:val="auto"/>
        </w:rPr>
        <w:t>Participant engages in any fraudulent, illegal or other misconduct involving the Company or any of its affiliates, including but not limited to any breach of fiduciary duty, breach of a duty of loyalty, or interference with contract or business expectancy.</w:t>
      </w:r>
    </w:p>
    <w:p>
      <w:pPr>
        <w:spacing w:after="0" w:line="226" w:lineRule="exact"/>
        <w:rPr>
          <w:rFonts w:ascii="Arial" w:cs="Arial" w:eastAsia="Arial" w:hAnsi="Arial"/>
          <w:sz w:val="18"/>
          <w:szCs w:val="18"/>
          <w:color w:val="auto"/>
        </w:rPr>
      </w:pPr>
    </w:p>
    <w:p>
      <w:pPr>
        <w:ind w:left="644" w:right="500" w:hanging="644"/>
        <w:spacing w:after="0" w:line="253" w:lineRule="auto"/>
        <w:tabs>
          <w:tab w:leader="none" w:pos="644" w:val="left"/>
        </w:tabs>
        <w:numPr>
          <w:ilvl w:val="0"/>
          <w:numId w:val="110"/>
        </w:numPr>
        <w:rPr>
          <w:rFonts w:ascii="Arial" w:cs="Arial" w:eastAsia="Arial" w:hAnsi="Arial"/>
          <w:sz w:val="18"/>
          <w:szCs w:val="18"/>
          <w:color w:val="auto"/>
        </w:rPr>
      </w:pPr>
      <w:r>
        <w:rPr>
          <w:rFonts w:ascii="Arial" w:cs="Arial" w:eastAsia="Arial" w:hAnsi="Arial"/>
          <w:sz w:val="22"/>
          <w:szCs w:val="22"/>
          <w:color w:val="auto"/>
        </w:rPr>
        <w:t>If the Board determines that the Participant’s conduct, activities or circumstances constitute events described in Article 6(b), in addition to any other remedies the Company has available to it, the Company may in its sole discretion:</w:t>
      </w:r>
    </w:p>
    <w:p>
      <w:pPr>
        <w:spacing w:after="0" w:line="226" w:lineRule="exact"/>
        <w:rPr>
          <w:rFonts w:ascii="Arial" w:cs="Arial" w:eastAsia="Arial" w:hAnsi="Arial"/>
          <w:sz w:val="18"/>
          <w:szCs w:val="18"/>
          <w:color w:val="auto"/>
        </w:rPr>
      </w:pPr>
    </w:p>
    <w:p>
      <w:pPr>
        <w:ind w:left="1304" w:hanging="655"/>
        <w:spacing w:after="0"/>
        <w:tabs>
          <w:tab w:leader="none" w:pos="1304" w:val="left"/>
        </w:tabs>
        <w:numPr>
          <w:ilvl w:val="1"/>
          <w:numId w:val="110"/>
        </w:numPr>
        <w:rPr>
          <w:rFonts w:ascii="Arial" w:cs="Arial" w:eastAsia="Arial" w:hAnsi="Arial"/>
          <w:sz w:val="18"/>
          <w:szCs w:val="18"/>
          <w:color w:val="auto"/>
        </w:rPr>
      </w:pPr>
      <w:r>
        <w:rPr>
          <w:rFonts w:ascii="Arial" w:cs="Arial" w:eastAsia="Arial" w:hAnsi="Arial"/>
          <w:sz w:val="22"/>
          <w:szCs w:val="22"/>
          <w:color w:val="auto"/>
        </w:rPr>
        <w:t>cancel any Performance Shares awarded hereby, whether or not issued; and/or</w:t>
      </w:r>
    </w:p>
    <w:p>
      <w:pPr>
        <w:spacing w:after="0" w:line="260" w:lineRule="exact"/>
        <w:rPr>
          <w:rFonts w:ascii="Arial" w:cs="Arial" w:eastAsia="Arial" w:hAnsi="Arial"/>
          <w:sz w:val="18"/>
          <w:szCs w:val="18"/>
          <w:color w:val="auto"/>
        </w:rPr>
      </w:pPr>
    </w:p>
    <w:p>
      <w:pPr>
        <w:ind w:left="1304" w:right="460" w:hanging="655"/>
        <w:spacing w:after="0" w:line="250" w:lineRule="auto"/>
        <w:tabs>
          <w:tab w:leader="none" w:pos="1304" w:val="left"/>
        </w:tabs>
        <w:numPr>
          <w:ilvl w:val="1"/>
          <w:numId w:val="110"/>
        </w:numPr>
        <w:rPr>
          <w:rFonts w:ascii="Arial" w:cs="Arial" w:eastAsia="Arial" w:hAnsi="Arial"/>
          <w:sz w:val="18"/>
          <w:szCs w:val="18"/>
          <w:color w:val="auto"/>
        </w:rPr>
      </w:pPr>
      <w:r>
        <w:rPr>
          <w:rFonts w:ascii="Arial" w:cs="Arial" w:eastAsia="Arial" w:hAnsi="Arial"/>
          <w:sz w:val="22"/>
          <w:szCs w:val="22"/>
          <w:color w:val="auto"/>
        </w:rPr>
        <w:t>require the Participant to repay an amount equal to all income or gain realized in respect of all such Performance Shares. The amount of repayment shall include, without limitation, amounts received in connection with the delivery or sale of Shares of such Performance Shares or cash paid in respect of any Performance Shares.</w:t>
      </w:r>
    </w:p>
    <w:p>
      <w:pPr>
        <w:spacing w:after="0" w:line="229" w:lineRule="exact"/>
        <w:rPr>
          <w:sz w:val="20"/>
          <w:szCs w:val="20"/>
          <w:color w:val="auto"/>
        </w:rPr>
      </w:pPr>
    </w:p>
    <w:p>
      <w:pPr>
        <w:ind w:left="644"/>
        <w:spacing w:after="0"/>
        <w:rPr>
          <w:sz w:val="20"/>
          <w:szCs w:val="20"/>
          <w:color w:val="auto"/>
        </w:rPr>
      </w:pPr>
      <w:r>
        <w:rPr>
          <w:rFonts w:ascii="Arial" w:cs="Arial" w:eastAsia="Arial" w:hAnsi="Arial"/>
          <w:sz w:val="22"/>
          <w:szCs w:val="22"/>
          <w:color w:val="auto"/>
        </w:rPr>
        <w:t>There shall be no forfeiture or repayment under Article 6(b) following a Change-in-Control.</w:t>
      </w:r>
    </w:p>
    <w:p>
      <w:pPr>
        <w:spacing w:after="0" w:line="220" w:lineRule="exact"/>
        <w:rPr>
          <w:sz w:val="20"/>
          <w:szCs w:val="20"/>
          <w:color w:val="auto"/>
        </w:rPr>
      </w:pPr>
    </w:p>
    <w:p>
      <w:pPr>
        <w:ind w:left="644" w:right="60" w:hanging="644"/>
        <w:spacing w:after="0" w:line="294" w:lineRule="auto"/>
        <w:tabs>
          <w:tab w:leader="none" w:pos="644" w:val="left"/>
        </w:tabs>
        <w:numPr>
          <w:ilvl w:val="0"/>
          <w:numId w:val="111"/>
        </w:numPr>
        <w:rPr>
          <w:rFonts w:ascii="Arial" w:cs="Arial" w:eastAsia="Arial" w:hAnsi="Arial"/>
          <w:sz w:val="16"/>
          <w:szCs w:val="16"/>
          <w:color w:val="auto"/>
        </w:rPr>
      </w:pPr>
      <w:r>
        <w:rPr>
          <w:rFonts w:ascii="Arial" w:cs="Arial" w:eastAsia="Arial" w:hAnsi="Arial"/>
          <w:sz w:val="19"/>
          <w:szCs w:val="19"/>
          <w:color w:val="auto"/>
        </w:rPr>
        <w:t>The Board, in its discretion, shall determine whether a Participant’s conduct, activities or circumstances constitute events described in Article 6(b) and whether and to what extent the Performance Shares awarded hereby shall be forfeited by Participant and/or a Participant shall be required to repay an amount pursuant to Article 6(c). The Board shall have the authority to suspend the payment, delivery or settlement of all or any portion of such Participant’s outstanding Performance Shares pending an investigation of a bona fide dispute regarding Participant’s eligibility to receive a payment under the terms of this Agreement as determined by the Board in good faith.</w:t>
      </w:r>
    </w:p>
    <w:p>
      <w:pPr>
        <w:spacing w:after="0" w:line="190" w:lineRule="exact"/>
        <w:rPr>
          <w:rFonts w:ascii="Arial" w:cs="Arial" w:eastAsia="Arial" w:hAnsi="Arial"/>
          <w:sz w:val="16"/>
          <w:szCs w:val="16"/>
          <w:color w:val="auto"/>
        </w:rPr>
      </w:pPr>
    </w:p>
    <w:p>
      <w:pPr>
        <w:ind w:left="644" w:hanging="644"/>
        <w:spacing w:after="0"/>
        <w:tabs>
          <w:tab w:leader="none" w:pos="644" w:val="left"/>
        </w:tabs>
        <w:numPr>
          <w:ilvl w:val="0"/>
          <w:numId w:val="111"/>
        </w:numPr>
        <w:rPr>
          <w:rFonts w:ascii="Arial" w:cs="Arial" w:eastAsia="Arial" w:hAnsi="Arial"/>
          <w:sz w:val="18"/>
          <w:szCs w:val="18"/>
          <w:color w:val="auto"/>
        </w:rPr>
      </w:pPr>
      <w:r>
        <w:rPr>
          <w:rFonts w:ascii="Arial" w:cs="Arial" w:eastAsia="Arial" w:hAnsi="Arial"/>
          <w:sz w:val="22"/>
          <w:szCs w:val="22"/>
          <w:color w:val="auto"/>
        </w:rPr>
        <w:t>For purposes of applying this provision:</w:t>
      </w:r>
    </w:p>
    <w:p>
      <w:pPr>
        <w:spacing w:after="0" w:line="260" w:lineRule="exact"/>
        <w:rPr>
          <w:rFonts w:ascii="Arial" w:cs="Arial" w:eastAsia="Arial" w:hAnsi="Arial"/>
          <w:sz w:val="18"/>
          <w:szCs w:val="18"/>
          <w:color w:val="auto"/>
        </w:rPr>
      </w:pPr>
    </w:p>
    <w:p>
      <w:pPr>
        <w:ind w:left="1304" w:hanging="655"/>
        <w:spacing w:after="0"/>
        <w:tabs>
          <w:tab w:leader="none" w:pos="1304" w:val="left"/>
        </w:tabs>
        <w:numPr>
          <w:ilvl w:val="1"/>
          <w:numId w:val="111"/>
        </w:numPr>
        <w:rPr>
          <w:rFonts w:ascii="Arial" w:cs="Arial" w:eastAsia="Arial" w:hAnsi="Arial"/>
          <w:sz w:val="18"/>
          <w:szCs w:val="18"/>
          <w:color w:val="auto"/>
        </w:rPr>
      </w:pPr>
      <w:r>
        <w:rPr>
          <w:rFonts w:ascii="Arial" w:cs="Arial" w:eastAsia="Arial" w:hAnsi="Arial"/>
          <w:sz w:val="22"/>
          <w:szCs w:val="22"/>
          <w:color w:val="auto"/>
        </w:rPr>
        <w:t>“Cause” means any of the following:</w:t>
      </w:r>
    </w:p>
    <w:p>
      <w:pPr>
        <w:spacing w:after="0" w:line="260" w:lineRule="exact"/>
        <w:rPr>
          <w:rFonts w:ascii="Arial" w:cs="Arial" w:eastAsia="Arial" w:hAnsi="Arial"/>
          <w:sz w:val="18"/>
          <w:szCs w:val="18"/>
          <w:color w:val="auto"/>
        </w:rPr>
      </w:pPr>
    </w:p>
    <w:p>
      <w:pPr>
        <w:ind w:left="1944" w:right="360" w:hanging="647"/>
        <w:spacing w:after="0" w:line="343" w:lineRule="auto"/>
        <w:tabs>
          <w:tab w:leader="none" w:pos="1944" w:val="left"/>
        </w:tabs>
        <w:numPr>
          <w:ilvl w:val="2"/>
          <w:numId w:val="111"/>
        </w:numPr>
        <w:rPr>
          <w:rFonts w:ascii="Arial" w:cs="Arial" w:eastAsia="Arial" w:hAnsi="Arial"/>
          <w:sz w:val="19"/>
          <w:szCs w:val="19"/>
          <w:color w:val="auto"/>
        </w:rPr>
      </w:pPr>
      <w:r>
        <w:rPr>
          <w:rFonts w:ascii="Arial" w:cs="Arial" w:eastAsia="Arial" w:hAnsi="Arial"/>
          <w:sz w:val="19"/>
          <w:szCs w:val="19"/>
          <w:color w:val="auto"/>
        </w:rPr>
        <w:t>a Participant’s violation of his or her material duties to the Company or any of its affiliates, which continues after written notice from the Company or any affiliate to cure such violation;</w:t>
      </w:r>
    </w:p>
    <w:p>
      <w:pPr>
        <w:spacing w:after="0" w:line="104" w:lineRule="exact"/>
        <w:rPr>
          <w:rFonts w:ascii="Arial" w:cs="Arial" w:eastAsia="Arial" w:hAnsi="Arial"/>
          <w:sz w:val="19"/>
          <w:szCs w:val="19"/>
          <w:color w:val="auto"/>
        </w:rPr>
      </w:pPr>
    </w:p>
    <w:p>
      <w:pPr>
        <w:ind w:left="1944" w:right="680" w:hanging="647"/>
        <w:spacing w:after="0" w:line="263" w:lineRule="auto"/>
        <w:tabs>
          <w:tab w:leader="none" w:pos="1944" w:val="left"/>
        </w:tabs>
        <w:numPr>
          <w:ilvl w:val="2"/>
          <w:numId w:val="111"/>
        </w:numPr>
        <w:rPr>
          <w:rFonts w:ascii="Arial" w:cs="Arial" w:eastAsia="Arial" w:hAnsi="Arial"/>
          <w:sz w:val="22"/>
          <w:szCs w:val="22"/>
          <w:color w:val="auto"/>
        </w:rPr>
      </w:pPr>
      <w:r>
        <w:rPr>
          <w:rFonts w:ascii="Arial" w:cs="Arial" w:eastAsia="Arial" w:hAnsi="Arial"/>
          <w:sz w:val="22"/>
          <w:szCs w:val="22"/>
          <w:color w:val="auto"/>
        </w:rPr>
        <w:t>Participant’s willful failure to follow the lawful written directives of the Board in any material respect;</w:t>
      </w:r>
    </w:p>
    <w:p>
      <w:pPr>
        <w:spacing w:after="0" w:line="174" w:lineRule="exact"/>
        <w:rPr>
          <w:rFonts w:ascii="Arial" w:cs="Arial" w:eastAsia="Arial" w:hAnsi="Arial"/>
          <w:sz w:val="22"/>
          <w:szCs w:val="22"/>
          <w:color w:val="auto"/>
        </w:rPr>
      </w:pPr>
    </w:p>
    <w:p>
      <w:pPr>
        <w:ind w:left="1944" w:hanging="647"/>
        <w:spacing w:after="0" w:line="248" w:lineRule="auto"/>
        <w:tabs>
          <w:tab w:leader="none" w:pos="1944" w:val="left"/>
        </w:tabs>
        <w:numPr>
          <w:ilvl w:val="2"/>
          <w:numId w:val="111"/>
        </w:numPr>
        <w:rPr>
          <w:rFonts w:ascii="Arial" w:cs="Arial" w:eastAsia="Arial" w:hAnsi="Arial"/>
          <w:sz w:val="22"/>
          <w:szCs w:val="22"/>
          <w:color w:val="auto"/>
        </w:rPr>
      </w:pPr>
      <w:r>
        <w:rPr>
          <w:rFonts w:ascii="Arial" w:cs="Arial" w:eastAsia="Arial" w:hAnsi="Arial"/>
          <w:sz w:val="22"/>
          <w:szCs w:val="22"/>
          <w:color w:val="auto"/>
        </w:rPr>
        <w:t>Participant’s willful misconduct in connection with the performance of any of his or her duties, including but not limited to falsifying or attempting to falsify documents, books or records of the Company or any of its affiliates, making or delivering a false representation, statement or certification of compliance to the Company, misappropriating or attempting to misappropriate funds or other property of the Company or any of its</w:t>
      </w:r>
    </w:p>
    <w:p>
      <w:pPr>
        <w:spacing w:after="0" w:line="200" w:lineRule="exact"/>
        <w:rPr>
          <w:sz w:val="20"/>
          <w:szCs w:val="20"/>
          <w:color w:val="auto"/>
        </w:rPr>
      </w:pPr>
    </w:p>
    <w:p>
      <w:pPr>
        <w:spacing w:after="0" w:line="202"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764"/>
          </w:cols>
          <w:pgMar w:left="896" w:top="564" w:right="239" w:bottom="1440" w:gutter="0" w:footer="0" w:header="0"/>
        </w:sectPr>
      </w:pPr>
    </w:p>
    <w:bookmarkStart w:id="160" w:name="page161"/>
    <w:bookmarkEnd w:id="160"/>
    <w:p>
      <w:pPr>
        <w:ind w:left="2600" w:right="220"/>
        <w:spacing w:after="0" w:line="232" w:lineRule="auto"/>
        <w:rPr>
          <w:sz w:val="20"/>
          <w:szCs w:val="20"/>
          <w:color w:val="auto"/>
        </w:rPr>
      </w:pPr>
      <w:r>
        <w:rPr>
          <w:rFonts w:ascii="Arial" w:cs="Arial" w:eastAsia="Arial" w:hAnsi="Arial"/>
          <w:sz w:val="22"/>
          <w:szCs w:val="22"/>
          <w:color w:val="auto"/>
        </w:rPr>
        <w:t>affiliates, or securing or attempting to secure any personal profit in connection with any transaction entered into on behalf of the Company or any of its affiliates;</w:t>
      </w:r>
    </w:p>
    <w:p>
      <w:pPr>
        <w:spacing w:after="0" w:line="186" w:lineRule="exact"/>
        <w:rPr>
          <w:sz w:val="20"/>
          <w:szCs w:val="20"/>
          <w:color w:val="auto"/>
        </w:rPr>
      </w:pPr>
    </w:p>
    <w:p>
      <w:pPr>
        <w:ind w:left="2600" w:right="80" w:hanging="647"/>
        <w:spacing w:after="0" w:line="253" w:lineRule="auto"/>
        <w:tabs>
          <w:tab w:leader="none" w:pos="260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Participant’s breach of any material provisions of this Agreement or any other non-competition, non-interference, non-disclosure, confidentiality or other similar agreement executed by Participant with the Company or any of its affiliates;</w:t>
      </w:r>
    </w:p>
    <w:p>
      <w:pPr>
        <w:spacing w:after="0" w:line="185" w:lineRule="exact"/>
        <w:rPr>
          <w:rFonts w:ascii="Arial" w:cs="Arial" w:eastAsia="Arial" w:hAnsi="Arial"/>
          <w:sz w:val="22"/>
          <w:szCs w:val="22"/>
          <w:color w:val="auto"/>
        </w:rPr>
      </w:pPr>
    </w:p>
    <w:p>
      <w:pPr>
        <w:ind w:left="2600" w:right="140" w:hanging="647"/>
        <w:spacing w:after="0" w:line="253" w:lineRule="auto"/>
        <w:tabs>
          <w:tab w:leader="none" w:pos="260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 xml:space="preserve">conviction (or plea of </w:t>
      </w:r>
      <w:r>
        <w:rPr>
          <w:rFonts w:ascii="Arial" w:cs="Arial" w:eastAsia="Arial" w:hAnsi="Arial"/>
          <w:sz w:val="22"/>
          <w:szCs w:val="22"/>
          <w:i w:val="1"/>
          <w:iCs w:val="1"/>
          <w:color w:val="auto"/>
        </w:rPr>
        <w:t>nolo contendere</w:t>
      </w:r>
      <w:r>
        <w:rPr>
          <w:rFonts w:ascii="Arial" w:cs="Arial" w:eastAsia="Arial" w:hAnsi="Arial"/>
          <w:sz w:val="22"/>
          <w:szCs w:val="22"/>
          <w:color w:val="auto"/>
        </w:rPr>
        <w:t>) of the Participant of any felony, or a misdemeanor involving false statement, in connection with conduct involving the Company or any of its subsidiaries or affiliates; or</w:t>
      </w:r>
    </w:p>
    <w:p>
      <w:pPr>
        <w:spacing w:after="0" w:line="185" w:lineRule="exact"/>
        <w:rPr>
          <w:rFonts w:ascii="Arial" w:cs="Arial" w:eastAsia="Arial" w:hAnsi="Arial"/>
          <w:sz w:val="22"/>
          <w:szCs w:val="22"/>
          <w:color w:val="auto"/>
        </w:rPr>
      </w:pPr>
    </w:p>
    <w:p>
      <w:pPr>
        <w:ind w:left="2600" w:right="40" w:hanging="647"/>
        <w:spacing w:after="0" w:line="263" w:lineRule="auto"/>
        <w:tabs>
          <w:tab w:leader="none" w:pos="2600" w:val="left"/>
        </w:tabs>
        <w:numPr>
          <w:ilvl w:val="1"/>
          <w:numId w:val="112"/>
        </w:numPr>
        <w:rPr>
          <w:rFonts w:ascii="Arial" w:cs="Arial" w:eastAsia="Arial" w:hAnsi="Arial"/>
          <w:sz w:val="22"/>
          <w:szCs w:val="22"/>
          <w:color w:val="auto"/>
        </w:rPr>
      </w:pPr>
      <w:r>
        <w:rPr>
          <w:rFonts w:ascii="Arial" w:cs="Arial" w:eastAsia="Arial" w:hAnsi="Arial"/>
          <w:sz w:val="22"/>
          <w:szCs w:val="22"/>
          <w:color w:val="auto"/>
        </w:rPr>
        <w:t>intentional engagement in any activity which would constitute or cause a breach of duty of loyalty, or any fiduciary duty to the Company or any of its subsidiaries or affiliates.</w:t>
      </w:r>
    </w:p>
    <w:p>
      <w:pPr>
        <w:spacing w:after="0" w:line="174" w:lineRule="exact"/>
        <w:rPr>
          <w:rFonts w:ascii="Arial" w:cs="Arial" w:eastAsia="Arial" w:hAnsi="Arial"/>
          <w:sz w:val="22"/>
          <w:szCs w:val="22"/>
          <w:color w:val="auto"/>
        </w:rPr>
      </w:pPr>
    </w:p>
    <w:p>
      <w:pPr>
        <w:jc w:val="both"/>
        <w:ind w:left="1960" w:right="140" w:hanging="655"/>
        <w:spacing w:after="0" w:line="302" w:lineRule="auto"/>
        <w:tabs>
          <w:tab w:leader="none" w:pos="1960" w:val="left"/>
        </w:tabs>
        <w:numPr>
          <w:ilvl w:val="0"/>
          <w:numId w:val="113"/>
        </w:numPr>
        <w:rPr>
          <w:rFonts w:ascii="Arial" w:cs="Arial" w:eastAsia="Arial" w:hAnsi="Arial"/>
          <w:sz w:val="16"/>
          <w:szCs w:val="16"/>
          <w:color w:val="auto"/>
        </w:rPr>
      </w:pPr>
      <w:r>
        <w:rPr>
          <w:rFonts w:ascii="Arial" w:cs="Arial" w:eastAsia="Arial" w:hAnsi="Arial"/>
          <w:sz w:val="19"/>
          <w:szCs w:val="19"/>
          <w:color w:val="auto"/>
        </w:rPr>
        <w:t>“Code of Conduct” means any code of ethics or code of conduct now or hereafter adopted by the Company or any of its affiliates, including to the extent applicable the Company’s Employee Conduct and Disclosure Policy, as amended or supplemented from time to time, and the Company’s or subsidiary Risk Management Policies and Procedures, as amended, supplemented or replaced from time to time.</w:t>
      </w:r>
    </w:p>
    <w:p>
      <w:pPr>
        <w:spacing w:after="0" w:line="183" w:lineRule="exact"/>
        <w:rPr>
          <w:sz w:val="20"/>
          <w:szCs w:val="20"/>
          <w:color w:val="auto"/>
        </w:rPr>
      </w:pPr>
    </w:p>
    <w:p>
      <w:pPr>
        <w:ind w:left="1300" w:hanging="644"/>
        <w:spacing w:after="0" w:line="250" w:lineRule="auto"/>
        <w:tabs>
          <w:tab w:leader="none" w:pos="1300" w:val="left"/>
        </w:tabs>
        <w:numPr>
          <w:ilvl w:val="0"/>
          <w:numId w:val="114"/>
        </w:numPr>
        <w:rPr>
          <w:rFonts w:ascii="Arial" w:cs="Arial" w:eastAsia="Arial" w:hAnsi="Arial"/>
          <w:sz w:val="18"/>
          <w:szCs w:val="18"/>
          <w:color w:val="auto"/>
        </w:rPr>
      </w:pPr>
      <w:r>
        <w:rPr>
          <w:rFonts w:ascii="Arial" w:cs="Arial" w:eastAsia="Arial" w:hAnsi="Arial"/>
          <w:sz w:val="22"/>
          <w:szCs w:val="22"/>
          <w:color w:val="auto"/>
        </w:rPr>
        <w:t>Participant agrees that the provisions of this Article 6 are entered into in consideration of, and as a material inducement to, the agreements by the Company herein as well as an inducement for the Company to enter into this Agreement, and that, but for Participant’s agreement to the provisions of this Article 6, the Company would not have entered into this Agreement.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7. Dividends</w:t>
      </w:r>
    </w:p>
    <w:p>
      <w:pPr>
        <w:spacing w:after="0" w:line="222" w:lineRule="exact"/>
        <w:rPr>
          <w:sz w:val="20"/>
          <w:szCs w:val="20"/>
          <w:color w:val="auto"/>
        </w:rPr>
      </w:pPr>
    </w:p>
    <w:p>
      <w:pPr>
        <w:ind w:right="180" w:firstLine="648"/>
        <w:spacing w:after="0" w:line="260" w:lineRule="auto"/>
        <w:rPr>
          <w:sz w:val="20"/>
          <w:szCs w:val="20"/>
          <w:color w:val="auto"/>
        </w:rPr>
      </w:pPr>
      <w:r>
        <w:rPr>
          <w:rFonts w:ascii="Arial" w:cs="Arial" w:eastAsia="Arial" w:hAnsi="Arial"/>
          <w:sz w:val="20"/>
          <w:szCs w:val="20"/>
          <w:color w:val="auto"/>
        </w:rPr>
        <w:t>During the Performance Period, all dividends and other distributions paid with respect to the shares of common stock shall accrue for the benefit of the Participant to be paid out to the Participant pursuant to Article 8.</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8. Form and Timing of Payment of Performance Shares</w:t>
      </w:r>
    </w:p>
    <w:p>
      <w:pPr>
        <w:spacing w:after="0" w:line="222" w:lineRule="exact"/>
        <w:rPr>
          <w:sz w:val="20"/>
          <w:szCs w:val="20"/>
          <w:color w:val="auto"/>
        </w:rPr>
      </w:pPr>
    </w:p>
    <w:p>
      <w:pPr>
        <w:ind w:right="120" w:firstLine="648"/>
        <w:spacing w:after="0" w:line="260" w:lineRule="auto"/>
        <w:rPr>
          <w:sz w:val="20"/>
          <w:szCs w:val="20"/>
          <w:color w:val="auto"/>
        </w:rPr>
      </w:pPr>
      <w:r>
        <w:rPr>
          <w:rFonts w:ascii="Arial" w:cs="Arial" w:eastAsia="Arial" w:hAnsi="Arial"/>
          <w:sz w:val="20"/>
          <w:szCs w:val="20"/>
          <w:color w:val="auto"/>
        </w:rPr>
        <w:t>Payment of the Performance Shares, including accrued dividends, shall be made fifty percent (50%) in cash and fifty percent (50%) in shares of Company stock.</w:t>
      </w:r>
    </w:p>
    <w:p>
      <w:pPr>
        <w:spacing w:after="0" w:line="177"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Payment of Performance Shares shall be made within sixty (60) calendar days following the close of the Performance Period, subject to the following:</w:t>
      </w:r>
    </w:p>
    <w:p>
      <w:pPr>
        <w:spacing w:after="0" w:line="177" w:lineRule="exact"/>
        <w:rPr>
          <w:sz w:val="20"/>
          <w:szCs w:val="20"/>
          <w:color w:val="auto"/>
        </w:rPr>
      </w:pPr>
    </w:p>
    <w:p>
      <w:pPr>
        <w:ind w:left="980" w:right="860" w:hanging="648"/>
        <w:spacing w:after="0" w:line="260" w:lineRule="auto"/>
        <w:tabs>
          <w:tab w:leader="none" w:pos="980" w:val="left"/>
        </w:tabs>
        <w:numPr>
          <w:ilvl w:val="0"/>
          <w:numId w:val="115"/>
        </w:numPr>
        <w:rPr>
          <w:rFonts w:ascii="Arial" w:cs="Arial" w:eastAsia="Arial" w:hAnsi="Arial"/>
          <w:sz w:val="18"/>
          <w:szCs w:val="18"/>
          <w:color w:val="auto"/>
        </w:rPr>
      </w:pPr>
      <w:r>
        <w:rPr>
          <w:rFonts w:ascii="Arial" w:cs="Arial" w:eastAsia="Arial" w:hAnsi="Arial"/>
          <w:sz w:val="20"/>
          <w:szCs w:val="20"/>
          <w:color w:val="auto"/>
        </w:rPr>
        <w:t>The Participant shall have no right with respect to any Award or a portion there of, until such award shall be paid to such Participant.</w:t>
      </w:r>
    </w:p>
    <w:p>
      <w:pPr>
        <w:spacing w:after="0" w:line="176" w:lineRule="exact"/>
        <w:rPr>
          <w:rFonts w:ascii="Arial" w:cs="Arial" w:eastAsia="Arial" w:hAnsi="Arial"/>
          <w:sz w:val="18"/>
          <w:szCs w:val="18"/>
          <w:color w:val="auto"/>
        </w:rPr>
      </w:pPr>
    </w:p>
    <w:p>
      <w:pPr>
        <w:ind w:left="980" w:right="520" w:hanging="648"/>
        <w:spacing w:after="0" w:line="316" w:lineRule="auto"/>
        <w:tabs>
          <w:tab w:leader="none" w:pos="980" w:val="left"/>
        </w:tabs>
        <w:numPr>
          <w:ilvl w:val="0"/>
          <w:numId w:val="115"/>
        </w:numPr>
        <w:rPr>
          <w:rFonts w:ascii="Arial" w:cs="Arial" w:eastAsia="Arial" w:hAnsi="Arial"/>
          <w:sz w:val="16"/>
          <w:szCs w:val="16"/>
          <w:color w:val="auto"/>
        </w:rPr>
      </w:pPr>
      <w:r>
        <w:rPr>
          <w:rFonts w:ascii="Arial" w:cs="Arial" w:eastAsia="Arial" w:hAnsi="Arial"/>
          <w:sz w:val="18"/>
          <w:szCs w:val="18"/>
          <w:color w:val="auto"/>
        </w:rPr>
        <w:t>If the Committee determines, in its sole discretion, that a Participant at any time has willfully engaged in any activity that the Committee determines was or is harmful to the Company, any unpaid pending Award will be forfeited by such Participant.</w:t>
      </w:r>
    </w:p>
    <w:p>
      <w:pPr>
        <w:spacing w:after="0" w:line="130" w:lineRule="exact"/>
        <w:rPr>
          <w:rFonts w:ascii="Arial" w:cs="Arial" w:eastAsia="Arial" w:hAnsi="Arial"/>
          <w:sz w:val="16"/>
          <w:szCs w:val="16"/>
          <w:color w:val="auto"/>
        </w:rPr>
      </w:pPr>
    </w:p>
    <w:p>
      <w:pPr>
        <w:ind w:left="980" w:hanging="648"/>
        <w:spacing w:after="0"/>
        <w:tabs>
          <w:tab w:leader="none" w:pos="980" w:val="left"/>
        </w:tabs>
        <w:numPr>
          <w:ilvl w:val="0"/>
          <w:numId w:val="115"/>
        </w:numPr>
        <w:rPr>
          <w:rFonts w:ascii="Arial" w:cs="Arial" w:eastAsia="Arial" w:hAnsi="Arial"/>
          <w:sz w:val="18"/>
          <w:szCs w:val="18"/>
          <w:color w:val="auto"/>
        </w:rPr>
      </w:pPr>
      <w:r>
        <w:rPr>
          <w:rFonts w:ascii="Arial" w:cs="Arial" w:eastAsia="Arial" w:hAnsi="Arial"/>
          <w:sz w:val="20"/>
          <w:szCs w:val="20"/>
          <w:color w:val="auto"/>
        </w:rPr>
        <w:t>All appropriate taxes will be withheld from the cash portion of the award.</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537" w:right="259" w:bottom="1440" w:gutter="0" w:footer="0" w:header="0"/>
        </w:sectPr>
      </w:pPr>
    </w:p>
    <w:bookmarkStart w:id="161" w:name="page162"/>
    <w:bookmarkEnd w:id="161"/>
    <w:p>
      <w:pPr>
        <w:spacing w:after="0"/>
        <w:rPr>
          <w:sz w:val="20"/>
          <w:szCs w:val="20"/>
          <w:color w:val="auto"/>
        </w:rPr>
      </w:pPr>
      <w:r>
        <w:rPr>
          <w:rFonts w:ascii="Arial" w:cs="Arial" w:eastAsia="Arial" w:hAnsi="Arial"/>
          <w:sz w:val="20"/>
          <w:szCs w:val="20"/>
          <w:b w:val="1"/>
          <w:bCs w:val="1"/>
          <w:color w:val="auto"/>
        </w:rPr>
        <w:t>Article 9. Nontransferability</w:t>
      </w:r>
    </w:p>
    <w:p>
      <w:pPr>
        <w:spacing w:after="0" w:line="222" w:lineRule="exact"/>
        <w:rPr>
          <w:sz w:val="20"/>
          <w:szCs w:val="20"/>
          <w:color w:val="auto"/>
        </w:rPr>
      </w:pPr>
    </w:p>
    <w:p>
      <w:pPr>
        <w:ind w:right="40" w:firstLine="648"/>
        <w:spacing w:after="0" w:line="246" w:lineRule="auto"/>
        <w:rPr>
          <w:sz w:val="20"/>
          <w:szCs w:val="20"/>
          <w:color w:val="auto"/>
        </w:rPr>
      </w:pPr>
      <w:r>
        <w:rPr>
          <w:rFonts w:ascii="Arial" w:cs="Arial" w:eastAsia="Arial" w:hAnsi="Arial"/>
          <w:sz w:val="20"/>
          <w:szCs w:val="20"/>
          <w:color w:val="auto"/>
        </w:rPr>
        <w:t>Performance Shares may not be sold, transferred, pledged, assigned, or otherwise alienated or hypothecated, other than by will or by the laws of descent and distribution. Further, except as otherwise provided in a Participant’s Award Agreement, a Participant’s rights under the Plan shall be exercisable during the Participant’s lifetime only by the Participant or the Participant’s legal representative. The terms hereof shall be binding on the executors, administrators, heirs and successors of the Participant.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10. Administration</w:t>
      </w:r>
    </w:p>
    <w:p>
      <w:pPr>
        <w:spacing w:after="0" w:line="222"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This Agreement and the rights of the Participant hereunder are subject to all the terms and conditions of the Plan, as the same may be amended from time to time by the Board of Directors, as well as to such rules and regulations as the Committee may adopt for administration of the Plan. It is expressly understood that the Committee is authorized to administer, construe, and make all determinations necessary or appropriate to the administration of the Plan and this Agreement, in its sole discretion, all of which shall be binding upon the Participant.</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inconsistency between the Agreement and the Plan shall be resolved in favor of the Plan.</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Article 11. Miscellaneous</w:t>
      </w:r>
    </w:p>
    <w:p>
      <w:pPr>
        <w:spacing w:after="0" w:line="222" w:lineRule="exact"/>
        <w:rPr>
          <w:sz w:val="20"/>
          <w:szCs w:val="20"/>
          <w:color w:val="auto"/>
        </w:rPr>
      </w:pPr>
    </w:p>
    <w:p>
      <w:pPr>
        <w:ind w:left="980" w:right="20" w:hanging="648"/>
        <w:spacing w:after="0" w:line="244"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The selection of any employee for participation in the Plan shall not give such Participant any right to be retained in the employ of the Company. The right and power of the Company to dismiss or discharge any Participant at-will, is specifically reserved. Such Participant or any person claiming under or through the Participant shall not have any right or interest in the Plan or any Award thereunder, unless and until all terms, conditions, and provisions of the Plan that affect such Participant have been complied with as specified herein.</w:t>
      </w:r>
    </w:p>
    <w:p>
      <w:pPr>
        <w:spacing w:after="0" w:line="194" w:lineRule="exact"/>
        <w:rPr>
          <w:rFonts w:ascii="Arial" w:cs="Arial" w:eastAsia="Arial" w:hAnsi="Arial"/>
          <w:sz w:val="20"/>
          <w:szCs w:val="20"/>
          <w:color w:val="auto"/>
        </w:rPr>
      </w:pPr>
    </w:p>
    <w:p>
      <w:pPr>
        <w:ind w:left="980" w:right="60" w:hanging="648"/>
        <w:spacing w:after="0" w:line="250"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With the approval of the Board, the Committee may terminate, amend, or modify the Plan; provided, however, that no such termination, amendment, or modification of the Plan may in any way adversely affect the Participant’s rights under this Agreement without the Participant’s written consent, except as required by law.</w:t>
      </w:r>
    </w:p>
    <w:p>
      <w:pPr>
        <w:spacing w:after="0" w:line="186" w:lineRule="exact"/>
        <w:rPr>
          <w:rFonts w:ascii="Arial" w:cs="Arial" w:eastAsia="Arial" w:hAnsi="Arial"/>
          <w:sz w:val="20"/>
          <w:szCs w:val="20"/>
          <w:color w:val="auto"/>
        </w:rPr>
      </w:pPr>
    </w:p>
    <w:p>
      <w:pPr>
        <w:ind w:left="980" w:right="520" w:hanging="648"/>
        <w:spacing w:after="0" w:line="287" w:lineRule="auto"/>
        <w:tabs>
          <w:tab w:leader="none" w:pos="9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Participant shall not have voting rights with respect to the Performance Shares. Participant shall obtain voting rights upon the settlement of Performance Shares and distribution into shares of common stock of the Company.</w:t>
      </w:r>
    </w:p>
    <w:p>
      <w:pPr>
        <w:spacing w:after="0" w:line="152" w:lineRule="exact"/>
        <w:rPr>
          <w:rFonts w:ascii="Arial" w:cs="Arial" w:eastAsia="Arial" w:hAnsi="Arial"/>
          <w:sz w:val="19"/>
          <w:szCs w:val="19"/>
          <w:color w:val="auto"/>
        </w:rPr>
      </w:pPr>
    </w:p>
    <w:p>
      <w:pPr>
        <w:ind w:left="980" w:right="40" w:hanging="648"/>
        <w:spacing w:after="0" w:line="321" w:lineRule="auto"/>
        <w:tabs>
          <w:tab w:leader="none" w:pos="9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The Participant may defer such Participant’s receipt of the payment of cash and the delivery of shares of common stock, that would otherwise be due to such Participant by virtue of the satisfaction of the performance goals with respect to the Performance Shares, pursuant to the rules of the Black Hills Corporation Nonqualified Deferred Compensation Plan, if allowed, and the procedures set forth by the Compensation Committee. If the Participant elects to defer the receipt of the award, the Participant will be required to pay any necessary taxes from their own funds. They will not be allowed to have their deferred award reduced for tax withholding.</w:t>
      </w:r>
    </w:p>
    <w:p>
      <w:pPr>
        <w:spacing w:after="0" w:line="133" w:lineRule="exact"/>
        <w:rPr>
          <w:rFonts w:ascii="Arial" w:cs="Arial" w:eastAsia="Arial" w:hAnsi="Arial"/>
          <w:sz w:val="16"/>
          <w:szCs w:val="16"/>
          <w:color w:val="auto"/>
        </w:rPr>
      </w:pPr>
    </w:p>
    <w:p>
      <w:pPr>
        <w:ind w:left="980" w:right="100" w:hanging="648"/>
        <w:spacing w:after="0" w:line="260"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This Agreement shall be subject to all applicable laws, rules, and regulations, and to such approvals by any governmental agencies or national securities exchanges as may be required.</w:t>
      </w:r>
    </w:p>
    <w:p>
      <w:pPr>
        <w:spacing w:after="0" w:line="176" w:lineRule="exact"/>
        <w:rPr>
          <w:rFonts w:ascii="Arial" w:cs="Arial" w:eastAsia="Arial" w:hAnsi="Arial"/>
          <w:sz w:val="20"/>
          <w:szCs w:val="20"/>
          <w:color w:val="auto"/>
        </w:rPr>
      </w:pPr>
    </w:p>
    <w:p>
      <w:pPr>
        <w:ind w:left="980" w:right="60" w:hanging="648"/>
        <w:spacing w:after="0" w:line="260"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To the extent not preempted by federal law, this Agreement shall be governed by, and construed in accordance with, the laws of the State of South Dakota.</w:t>
      </w:r>
    </w:p>
    <w:p>
      <w:pPr>
        <w:spacing w:after="0" w:line="176" w:lineRule="exact"/>
        <w:rPr>
          <w:rFonts w:ascii="Arial" w:cs="Arial" w:eastAsia="Arial" w:hAnsi="Arial"/>
          <w:sz w:val="20"/>
          <w:szCs w:val="20"/>
          <w:color w:val="auto"/>
        </w:rPr>
      </w:pPr>
    </w:p>
    <w:p>
      <w:pPr>
        <w:ind w:left="980" w:right="440" w:hanging="648"/>
        <w:spacing w:after="0" w:line="260" w:lineRule="auto"/>
        <w:tabs>
          <w:tab w:leader="none" w:pos="9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awards received by Participant are subject to the provisions of the Stock Ownership Guidelines approved by the Board of Directors.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549" w:right="239" w:bottom="1440" w:gutter="0" w:footer="0" w:header="0"/>
        </w:sectPr>
      </w:pPr>
    </w:p>
    <w:bookmarkStart w:id="162" w:name="page163"/>
    <w:bookmarkEnd w:id="162"/>
    <w:p>
      <w:pPr>
        <w:ind w:left="980" w:hanging="648"/>
        <w:spacing w:after="0" w:line="260" w:lineRule="auto"/>
        <w:tabs>
          <w:tab w:leader="none" w:pos="980" w:val="left"/>
        </w:tabs>
        <w:numPr>
          <w:ilvl w:val="1"/>
          <w:numId w:val="117"/>
        </w:numPr>
        <w:rPr>
          <w:rFonts w:ascii="Arial" w:cs="Arial" w:eastAsia="Arial" w:hAnsi="Arial"/>
          <w:sz w:val="20"/>
          <w:szCs w:val="20"/>
          <w:color w:val="auto"/>
        </w:rPr>
      </w:pPr>
      <w:r>
        <w:rPr>
          <w:rFonts w:ascii="Arial" w:cs="Arial" w:eastAsia="Arial" w:hAnsi="Arial"/>
          <w:sz w:val="20"/>
          <w:szCs w:val="20"/>
          <w:color w:val="auto"/>
        </w:rPr>
        <w:t>Waiver and Modification. The provisions of this Agreement may not be waived or modified unless such waiver or modification is in writing and signed by the Company.</w:t>
      </w:r>
    </w:p>
    <w:p>
      <w:pPr>
        <w:spacing w:after="0" w:line="190" w:lineRule="exact"/>
        <w:rPr>
          <w:rFonts w:ascii="Arial" w:cs="Arial" w:eastAsia="Arial" w:hAnsi="Arial"/>
          <w:sz w:val="20"/>
          <w:szCs w:val="20"/>
          <w:color w:val="auto"/>
        </w:rPr>
      </w:pPr>
    </w:p>
    <w:p>
      <w:pPr>
        <w:ind w:left="980" w:right="180" w:hanging="972"/>
        <w:spacing w:after="0" w:line="250" w:lineRule="auto"/>
        <w:tabs>
          <w:tab w:leader="none" w:pos="980" w:val="left"/>
        </w:tabs>
        <w:numPr>
          <w:ilvl w:val="0"/>
          <w:numId w:val="118"/>
        </w:numPr>
        <w:rPr>
          <w:rFonts w:ascii="Arial" w:cs="Arial" w:eastAsia="Arial" w:hAnsi="Arial"/>
          <w:sz w:val="20"/>
          <w:szCs w:val="20"/>
          <w:color w:val="auto"/>
        </w:rPr>
      </w:pPr>
      <w:r>
        <w:rPr>
          <w:rFonts w:ascii="Arial" w:cs="Arial" w:eastAsia="Arial" w:hAnsi="Arial"/>
          <w:sz w:val="20"/>
          <w:szCs w:val="20"/>
          <w:color w:val="auto"/>
        </w:rPr>
        <w:t>Compliance with Exchange Act. If the Participant is subject to Section 16 of the Exchange Act, Performance Shares granted pursuant to the Award are intended to comply with all applicable conditions of Rule 16b-3 or its successors under the Exchange Act.</w:t>
      </w:r>
    </w:p>
    <w:p>
      <w:pPr>
        <w:spacing w:after="0" w:line="186" w:lineRule="exact"/>
        <w:rPr>
          <w:sz w:val="20"/>
          <w:szCs w:val="20"/>
          <w:color w:val="auto"/>
        </w:rPr>
      </w:pPr>
    </w:p>
    <w:p>
      <w:pPr>
        <w:spacing w:after="0"/>
        <w:rPr>
          <w:sz w:val="20"/>
          <w:szCs w:val="20"/>
          <w:color w:val="auto"/>
        </w:rPr>
      </w:pPr>
      <w:r>
        <w:rPr>
          <w:rFonts w:ascii="Arial" w:cs="Arial" w:eastAsia="Arial" w:hAnsi="Arial"/>
          <w:sz w:val="20"/>
          <w:szCs w:val="20"/>
          <w:color w:val="auto"/>
        </w:rPr>
        <w:t>The following parties have caused this Agreement to be executed effective as of January 1, 2020.</w:t>
      </w:r>
    </w:p>
    <w:p>
      <w:pPr>
        <w:spacing w:after="0" w:line="200" w:lineRule="exact"/>
        <w:rPr>
          <w:sz w:val="20"/>
          <w:szCs w:val="20"/>
          <w:color w:val="auto"/>
        </w:rPr>
      </w:pPr>
    </w:p>
    <w:p>
      <w:pPr>
        <w:spacing w:after="0" w:line="232" w:lineRule="exact"/>
        <w:rPr>
          <w:sz w:val="20"/>
          <w:szCs w:val="20"/>
          <w:color w:val="auto"/>
        </w:rPr>
      </w:pPr>
    </w:p>
    <w:p>
      <w:pPr>
        <w:jc w:val="center"/>
        <w:ind w:right="280"/>
        <w:spacing w:after="0"/>
        <w:rPr>
          <w:sz w:val="20"/>
          <w:szCs w:val="20"/>
          <w:color w:val="auto"/>
        </w:rPr>
      </w:pPr>
      <w:r>
        <w:rPr>
          <w:rFonts w:ascii="Arial" w:cs="Arial" w:eastAsia="Arial" w:hAnsi="Arial"/>
          <w:sz w:val="20"/>
          <w:szCs w:val="20"/>
          <w:color w:val="auto"/>
        </w:rPr>
        <w:t>Black Hills Corporation</w:t>
      </w:r>
    </w:p>
    <w:p>
      <w:pPr>
        <w:spacing w:after="0" w:line="200" w:lineRule="exact"/>
        <w:rPr>
          <w:sz w:val="20"/>
          <w:szCs w:val="20"/>
          <w:color w:val="auto"/>
        </w:rPr>
      </w:pPr>
    </w:p>
    <w:p>
      <w:pPr>
        <w:spacing w:after="0" w:line="232"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___________________________</w:t>
      </w:r>
    </w:p>
    <w:p>
      <w:pPr>
        <w:spacing w:after="0" w:line="16"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Participant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60"/>
          </w:cols>
          <w:pgMar w:left="240" w:top="555" w:right="399" w:bottom="1440" w:gutter="0" w:footer="0" w:header="0"/>
        </w:sectPr>
      </w:pPr>
    </w:p>
    <w:bookmarkStart w:id="163" w:name="page164"/>
    <w:bookmarkEnd w:id="163"/>
    <w:p>
      <w:pPr>
        <w:jc w:val="right"/>
        <w:spacing w:after="0"/>
        <w:rPr>
          <w:sz w:val="20"/>
          <w:szCs w:val="20"/>
          <w:color w:val="auto"/>
        </w:rPr>
      </w:pPr>
      <w:r>
        <w:rPr>
          <w:rFonts w:ascii="Arial" w:cs="Arial" w:eastAsia="Arial" w:hAnsi="Arial"/>
          <w:sz w:val="22"/>
          <w:szCs w:val="22"/>
          <w:b w:val="1"/>
          <w:bCs w:val="1"/>
          <w:color w:val="auto"/>
        </w:rPr>
        <w:t>Appendix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Companies Included in EEI Index</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as of January 1, 2020, Excluding Black Hills Corporation</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9"/>
          <w:szCs w:val="19"/>
          <w:color w:val="auto"/>
        </w:rPr>
        <w:t>Companies included in the EEI Index at the beginning of the Performance Period excluding Black Hills Corporation, are as follows:</w:t>
      </w:r>
    </w:p>
    <w:p>
      <w:pPr>
        <w:spacing w:after="0" w:line="389" w:lineRule="exact"/>
        <w:rPr>
          <w:sz w:val="20"/>
          <w:szCs w:val="20"/>
          <w:color w:val="auto"/>
        </w:rPr>
      </w:pPr>
    </w:p>
    <w:tbl>
      <w:tblPr>
        <w:tblLayout w:type="fixed"/>
        <w:tblInd w:w="700" w:type="dxa"/>
        <w:tblCellMar>
          <w:top w:w="0" w:type="dxa"/>
          <w:left w:w="0" w:type="dxa"/>
          <w:bottom w:w="0" w:type="dxa"/>
          <w:right w:w="0" w:type="dxa"/>
        </w:tblCellMar>
      </w:tblPr>
      <w:tr>
        <w:trPr>
          <w:trHeight w:val="250"/>
        </w:trPr>
        <w:tc>
          <w:tcPr>
            <w:tcW w:w="3780" w:type="dxa"/>
            <w:vAlign w:val="bottom"/>
          </w:tcPr>
          <w:p>
            <w:pPr>
              <w:spacing w:after="0"/>
              <w:rPr>
                <w:sz w:val="20"/>
                <w:szCs w:val="20"/>
                <w:color w:val="auto"/>
              </w:rPr>
            </w:pPr>
            <w:r>
              <w:rPr>
                <w:rFonts w:ascii="Arial" w:cs="Arial" w:eastAsia="Arial" w:hAnsi="Arial"/>
                <w:sz w:val="20"/>
                <w:szCs w:val="20"/>
                <w:color w:val="auto"/>
              </w:rPr>
              <w:t>ALLETE, Inc.</w:t>
            </w:r>
          </w:p>
        </w:tc>
        <w:tc>
          <w:tcPr>
            <w:tcW w:w="1160" w:type="dxa"/>
            <w:vAlign w:val="bottom"/>
          </w:tcPr>
          <w:p>
            <w:pPr>
              <w:ind w:left="560"/>
              <w:spacing w:after="0"/>
              <w:rPr>
                <w:sz w:val="20"/>
                <w:szCs w:val="20"/>
                <w:color w:val="auto"/>
              </w:rPr>
            </w:pPr>
            <w:r>
              <w:rPr>
                <w:rFonts w:ascii="Arial" w:cs="Arial" w:eastAsia="Arial" w:hAnsi="Arial"/>
                <w:sz w:val="20"/>
                <w:szCs w:val="20"/>
                <w:color w:val="auto"/>
              </w:rPr>
              <w:t>ALE</w:t>
            </w:r>
          </w:p>
        </w:tc>
        <w:tc>
          <w:tcPr>
            <w:tcW w:w="3700" w:type="dxa"/>
            <w:vAlign w:val="bottom"/>
          </w:tcPr>
          <w:p>
            <w:pPr>
              <w:ind w:left="320"/>
              <w:spacing w:after="0"/>
              <w:rPr>
                <w:sz w:val="20"/>
                <w:szCs w:val="20"/>
                <w:color w:val="auto"/>
              </w:rPr>
            </w:pPr>
            <w:r>
              <w:rPr>
                <w:rFonts w:ascii="Arial" w:cs="Arial" w:eastAsia="Arial" w:hAnsi="Arial"/>
                <w:sz w:val="20"/>
                <w:szCs w:val="20"/>
                <w:color w:val="auto"/>
              </w:rPr>
              <w:t>IdaCorp, Inc.</w:t>
            </w:r>
          </w:p>
        </w:tc>
        <w:tc>
          <w:tcPr>
            <w:tcW w:w="1000" w:type="dxa"/>
            <w:vAlign w:val="bottom"/>
          </w:tcPr>
          <w:p>
            <w:pPr>
              <w:ind w:left="440"/>
              <w:spacing w:after="0"/>
              <w:rPr>
                <w:sz w:val="20"/>
                <w:szCs w:val="20"/>
                <w:color w:val="auto"/>
              </w:rPr>
            </w:pPr>
            <w:r>
              <w:rPr>
                <w:rFonts w:ascii="Arial" w:cs="Arial" w:eastAsia="Arial" w:hAnsi="Arial"/>
                <w:sz w:val="20"/>
                <w:szCs w:val="20"/>
                <w:color w:val="auto"/>
              </w:rPr>
              <w:t>IDA</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Alliant Energy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LNT</w:t>
            </w:r>
          </w:p>
        </w:tc>
        <w:tc>
          <w:tcPr>
            <w:tcW w:w="3700" w:type="dxa"/>
            <w:vAlign w:val="bottom"/>
          </w:tcPr>
          <w:p>
            <w:pPr>
              <w:ind w:left="320"/>
              <w:spacing w:after="0"/>
              <w:rPr>
                <w:sz w:val="20"/>
                <w:szCs w:val="20"/>
                <w:color w:val="auto"/>
              </w:rPr>
            </w:pPr>
            <w:r>
              <w:rPr>
                <w:rFonts w:ascii="Arial" w:cs="Arial" w:eastAsia="Arial" w:hAnsi="Arial"/>
                <w:sz w:val="20"/>
                <w:szCs w:val="20"/>
                <w:color w:val="auto"/>
              </w:rPr>
              <w:t>MDU Resources Group, Inc.</w:t>
            </w:r>
          </w:p>
        </w:tc>
        <w:tc>
          <w:tcPr>
            <w:tcW w:w="1000" w:type="dxa"/>
            <w:vAlign w:val="bottom"/>
          </w:tcPr>
          <w:p>
            <w:pPr>
              <w:ind w:left="440"/>
              <w:spacing w:after="0"/>
              <w:rPr>
                <w:sz w:val="20"/>
                <w:szCs w:val="20"/>
                <w:color w:val="auto"/>
              </w:rPr>
            </w:pPr>
            <w:r>
              <w:rPr>
                <w:rFonts w:ascii="Arial" w:cs="Arial" w:eastAsia="Arial" w:hAnsi="Arial"/>
                <w:sz w:val="20"/>
                <w:szCs w:val="20"/>
                <w:color w:val="auto"/>
              </w:rPr>
              <w:t>MDU</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Ameren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AEE</w:t>
            </w:r>
          </w:p>
        </w:tc>
        <w:tc>
          <w:tcPr>
            <w:tcW w:w="3700" w:type="dxa"/>
            <w:vAlign w:val="bottom"/>
          </w:tcPr>
          <w:p>
            <w:pPr>
              <w:ind w:left="320"/>
              <w:spacing w:after="0"/>
              <w:rPr>
                <w:sz w:val="20"/>
                <w:szCs w:val="20"/>
                <w:color w:val="auto"/>
              </w:rPr>
            </w:pPr>
            <w:r>
              <w:rPr>
                <w:rFonts w:ascii="Arial" w:cs="Arial" w:eastAsia="Arial" w:hAnsi="Arial"/>
                <w:sz w:val="20"/>
                <w:szCs w:val="20"/>
                <w:color w:val="auto"/>
              </w:rPr>
              <w:t>MGE Energy, Inc.</w:t>
            </w:r>
          </w:p>
        </w:tc>
        <w:tc>
          <w:tcPr>
            <w:tcW w:w="1000" w:type="dxa"/>
            <w:vAlign w:val="bottom"/>
          </w:tcPr>
          <w:p>
            <w:pPr>
              <w:ind w:left="440"/>
              <w:spacing w:after="0"/>
              <w:rPr>
                <w:sz w:val="20"/>
                <w:szCs w:val="20"/>
                <w:color w:val="auto"/>
              </w:rPr>
            </w:pPr>
            <w:r>
              <w:rPr>
                <w:rFonts w:ascii="Arial" w:cs="Arial" w:eastAsia="Arial" w:hAnsi="Arial"/>
                <w:sz w:val="20"/>
                <w:szCs w:val="20"/>
                <w:color w:val="auto"/>
                <w:w w:val="91"/>
              </w:rPr>
              <w:t>MGEE</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American Electric Power Company, Inc.</w:t>
            </w:r>
          </w:p>
        </w:tc>
        <w:tc>
          <w:tcPr>
            <w:tcW w:w="1160" w:type="dxa"/>
            <w:vAlign w:val="bottom"/>
          </w:tcPr>
          <w:p>
            <w:pPr>
              <w:ind w:left="560"/>
              <w:spacing w:after="0"/>
              <w:rPr>
                <w:sz w:val="20"/>
                <w:szCs w:val="20"/>
                <w:color w:val="auto"/>
              </w:rPr>
            </w:pPr>
            <w:r>
              <w:rPr>
                <w:rFonts w:ascii="Arial" w:cs="Arial" w:eastAsia="Arial" w:hAnsi="Arial"/>
                <w:sz w:val="20"/>
                <w:szCs w:val="20"/>
                <w:color w:val="auto"/>
              </w:rPr>
              <w:t>AEP</w:t>
            </w:r>
          </w:p>
        </w:tc>
        <w:tc>
          <w:tcPr>
            <w:tcW w:w="3700" w:type="dxa"/>
            <w:vAlign w:val="bottom"/>
          </w:tcPr>
          <w:p>
            <w:pPr>
              <w:ind w:left="320"/>
              <w:spacing w:after="0"/>
              <w:rPr>
                <w:sz w:val="20"/>
                <w:szCs w:val="20"/>
                <w:color w:val="auto"/>
              </w:rPr>
            </w:pPr>
            <w:r>
              <w:rPr>
                <w:rFonts w:ascii="Arial" w:cs="Arial" w:eastAsia="Arial" w:hAnsi="Arial"/>
                <w:sz w:val="20"/>
                <w:szCs w:val="20"/>
                <w:color w:val="auto"/>
              </w:rPr>
              <w:t>NextEra Energy, Inc.</w:t>
            </w:r>
          </w:p>
        </w:tc>
        <w:tc>
          <w:tcPr>
            <w:tcW w:w="1000" w:type="dxa"/>
            <w:vAlign w:val="bottom"/>
          </w:tcPr>
          <w:p>
            <w:pPr>
              <w:ind w:left="440"/>
              <w:spacing w:after="0"/>
              <w:rPr>
                <w:sz w:val="20"/>
                <w:szCs w:val="20"/>
                <w:color w:val="auto"/>
              </w:rPr>
            </w:pPr>
            <w:r>
              <w:rPr>
                <w:rFonts w:ascii="Arial" w:cs="Arial" w:eastAsia="Arial" w:hAnsi="Arial"/>
                <w:sz w:val="20"/>
                <w:szCs w:val="20"/>
                <w:color w:val="auto"/>
              </w:rPr>
              <w:t>NEE</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Avangrid, Inc.</w:t>
            </w:r>
          </w:p>
        </w:tc>
        <w:tc>
          <w:tcPr>
            <w:tcW w:w="1160" w:type="dxa"/>
            <w:vAlign w:val="bottom"/>
          </w:tcPr>
          <w:p>
            <w:pPr>
              <w:ind w:left="560"/>
              <w:spacing w:after="0"/>
              <w:rPr>
                <w:sz w:val="20"/>
                <w:szCs w:val="20"/>
                <w:color w:val="auto"/>
              </w:rPr>
            </w:pPr>
            <w:r>
              <w:rPr>
                <w:rFonts w:ascii="Arial" w:cs="Arial" w:eastAsia="Arial" w:hAnsi="Arial"/>
                <w:sz w:val="20"/>
                <w:szCs w:val="20"/>
                <w:color w:val="auto"/>
              </w:rPr>
              <w:t>AGR</w:t>
            </w:r>
          </w:p>
        </w:tc>
        <w:tc>
          <w:tcPr>
            <w:tcW w:w="3700" w:type="dxa"/>
            <w:vAlign w:val="bottom"/>
          </w:tcPr>
          <w:p>
            <w:pPr>
              <w:ind w:left="320"/>
              <w:spacing w:after="0"/>
              <w:rPr>
                <w:sz w:val="20"/>
                <w:szCs w:val="20"/>
                <w:color w:val="auto"/>
              </w:rPr>
            </w:pPr>
            <w:r>
              <w:rPr>
                <w:rFonts w:ascii="Arial" w:cs="Arial" w:eastAsia="Arial" w:hAnsi="Arial"/>
                <w:sz w:val="20"/>
                <w:szCs w:val="20"/>
                <w:color w:val="auto"/>
              </w:rPr>
              <w:t>NiSource Inc.</w:t>
            </w:r>
          </w:p>
        </w:tc>
        <w:tc>
          <w:tcPr>
            <w:tcW w:w="1000" w:type="dxa"/>
            <w:vAlign w:val="bottom"/>
          </w:tcPr>
          <w:p>
            <w:pPr>
              <w:ind w:left="440"/>
              <w:spacing w:after="0"/>
              <w:rPr>
                <w:sz w:val="20"/>
                <w:szCs w:val="20"/>
                <w:color w:val="auto"/>
              </w:rPr>
            </w:pPr>
            <w:r>
              <w:rPr>
                <w:rFonts w:ascii="Arial" w:cs="Arial" w:eastAsia="Arial" w:hAnsi="Arial"/>
                <w:sz w:val="20"/>
                <w:szCs w:val="20"/>
                <w:color w:val="auto"/>
              </w:rPr>
              <w:t>NI</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Avista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AVA</w:t>
            </w:r>
          </w:p>
        </w:tc>
        <w:tc>
          <w:tcPr>
            <w:tcW w:w="3700" w:type="dxa"/>
            <w:vAlign w:val="bottom"/>
          </w:tcPr>
          <w:p>
            <w:pPr>
              <w:ind w:left="320"/>
              <w:spacing w:after="0"/>
              <w:rPr>
                <w:sz w:val="20"/>
                <w:szCs w:val="20"/>
                <w:color w:val="auto"/>
              </w:rPr>
            </w:pPr>
            <w:r>
              <w:rPr>
                <w:rFonts w:ascii="Arial" w:cs="Arial" w:eastAsia="Arial" w:hAnsi="Arial"/>
                <w:sz w:val="20"/>
                <w:szCs w:val="20"/>
                <w:color w:val="auto"/>
              </w:rPr>
              <w:t>NorthWestern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rPr>
              <w:t>NWE</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CenterPoint Energy, Inc.</w:t>
            </w:r>
          </w:p>
        </w:tc>
        <w:tc>
          <w:tcPr>
            <w:tcW w:w="1160" w:type="dxa"/>
            <w:vAlign w:val="bottom"/>
          </w:tcPr>
          <w:p>
            <w:pPr>
              <w:ind w:left="560"/>
              <w:spacing w:after="0"/>
              <w:rPr>
                <w:sz w:val="20"/>
                <w:szCs w:val="20"/>
                <w:color w:val="auto"/>
              </w:rPr>
            </w:pPr>
            <w:r>
              <w:rPr>
                <w:rFonts w:ascii="Arial" w:cs="Arial" w:eastAsia="Arial" w:hAnsi="Arial"/>
                <w:sz w:val="20"/>
                <w:szCs w:val="20"/>
                <w:color w:val="auto"/>
              </w:rPr>
              <w:t>CNP</w:t>
            </w:r>
          </w:p>
        </w:tc>
        <w:tc>
          <w:tcPr>
            <w:tcW w:w="3700" w:type="dxa"/>
            <w:vAlign w:val="bottom"/>
          </w:tcPr>
          <w:p>
            <w:pPr>
              <w:ind w:left="320"/>
              <w:spacing w:after="0"/>
              <w:rPr>
                <w:sz w:val="20"/>
                <w:szCs w:val="20"/>
                <w:color w:val="auto"/>
              </w:rPr>
            </w:pPr>
            <w:r>
              <w:rPr>
                <w:rFonts w:ascii="Arial" w:cs="Arial" w:eastAsia="Arial" w:hAnsi="Arial"/>
                <w:sz w:val="20"/>
                <w:szCs w:val="20"/>
                <w:color w:val="auto"/>
              </w:rPr>
              <w:t>OGE Energy Corp.</w:t>
            </w:r>
          </w:p>
        </w:tc>
        <w:tc>
          <w:tcPr>
            <w:tcW w:w="1000" w:type="dxa"/>
            <w:vAlign w:val="bottom"/>
          </w:tcPr>
          <w:p>
            <w:pPr>
              <w:ind w:left="440"/>
              <w:spacing w:after="0"/>
              <w:rPr>
                <w:sz w:val="20"/>
                <w:szCs w:val="20"/>
                <w:color w:val="auto"/>
              </w:rPr>
            </w:pPr>
            <w:r>
              <w:rPr>
                <w:rFonts w:ascii="Arial" w:cs="Arial" w:eastAsia="Arial" w:hAnsi="Arial"/>
                <w:sz w:val="20"/>
                <w:szCs w:val="20"/>
                <w:color w:val="auto"/>
              </w:rPr>
              <w:t>OGE</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CMS Energy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CMS</w:t>
            </w:r>
          </w:p>
        </w:tc>
        <w:tc>
          <w:tcPr>
            <w:tcW w:w="3700" w:type="dxa"/>
            <w:vAlign w:val="bottom"/>
          </w:tcPr>
          <w:p>
            <w:pPr>
              <w:ind w:left="320"/>
              <w:spacing w:after="0"/>
              <w:rPr>
                <w:sz w:val="20"/>
                <w:szCs w:val="20"/>
                <w:color w:val="auto"/>
              </w:rPr>
            </w:pPr>
            <w:r>
              <w:rPr>
                <w:rFonts w:ascii="Arial" w:cs="Arial" w:eastAsia="Arial" w:hAnsi="Arial"/>
                <w:sz w:val="20"/>
                <w:szCs w:val="20"/>
                <w:color w:val="auto"/>
              </w:rPr>
              <w:t>Otter Tail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w w:val="99"/>
              </w:rPr>
              <w:t>OTTR</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Consolidated Edison, Inc.</w:t>
            </w:r>
          </w:p>
        </w:tc>
        <w:tc>
          <w:tcPr>
            <w:tcW w:w="1160" w:type="dxa"/>
            <w:vAlign w:val="bottom"/>
          </w:tcPr>
          <w:p>
            <w:pPr>
              <w:ind w:left="560"/>
              <w:spacing w:after="0"/>
              <w:rPr>
                <w:sz w:val="20"/>
                <w:szCs w:val="20"/>
                <w:color w:val="auto"/>
              </w:rPr>
            </w:pPr>
            <w:r>
              <w:rPr>
                <w:rFonts w:ascii="Arial" w:cs="Arial" w:eastAsia="Arial" w:hAnsi="Arial"/>
                <w:sz w:val="20"/>
                <w:szCs w:val="20"/>
                <w:color w:val="auto"/>
              </w:rPr>
              <w:t>ED</w:t>
            </w:r>
          </w:p>
        </w:tc>
        <w:tc>
          <w:tcPr>
            <w:tcW w:w="3700" w:type="dxa"/>
            <w:vAlign w:val="bottom"/>
          </w:tcPr>
          <w:p>
            <w:pPr>
              <w:ind w:left="320"/>
              <w:spacing w:after="0"/>
              <w:rPr>
                <w:sz w:val="20"/>
                <w:szCs w:val="20"/>
                <w:color w:val="auto"/>
              </w:rPr>
            </w:pPr>
            <w:r>
              <w:rPr>
                <w:rFonts w:ascii="Arial" w:cs="Arial" w:eastAsia="Arial" w:hAnsi="Arial"/>
                <w:sz w:val="20"/>
                <w:szCs w:val="20"/>
                <w:color w:val="auto"/>
              </w:rPr>
              <w:t>PG&amp;E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rPr>
              <w:t>PCG</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Dominion Energy, Inc.</w:t>
            </w:r>
          </w:p>
        </w:tc>
        <w:tc>
          <w:tcPr>
            <w:tcW w:w="1160" w:type="dxa"/>
            <w:vAlign w:val="bottom"/>
          </w:tcPr>
          <w:p>
            <w:pPr>
              <w:ind w:left="560"/>
              <w:spacing w:after="0"/>
              <w:rPr>
                <w:sz w:val="20"/>
                <w:szCs w:val="20"/>
                <w:color w:val="auto"/>
              </w:rPr>
            </w:pPr>
            <w:r>
              <w:rPr>
                <w:rFonts w:ascii="Arial" w:cs="Arial" w:eastAsia="Arial" w:hAnsi="Arial"/>
                <w:sz w:val="20"/>
                <w:szCs w:val="20"/>
                <w:color w:val="auto"/>
              </w:rPr>
              <w:t>D</w:t>
            </w:r>
          </w:p>
        </w:tc>
        <w:tc>
          <w:tcPr>
            <w:tcW w:w="3700" w:type="dxa"/>
            <w:vAlign w:val="bottom"/>
          </w:tcPr>
          <w:p>
            <w:pPr>
              <w:ind w:left="320"/>
              <w:spacing w:after="0"/>
              <w:rPr>
                <w:sz w:val="20"/>
                <w:szCs w:val="20"/>
                <w:color w:val="auto"/>
              </w:rPr>
            </w:pPr>
            <w:r>
              <w:rPr>
                <w:rFonts w:ascii="Arial" w:cs="Arial" w:eastAsia="Arial" w:hAnsi="Arial"/>
                <w:sz w:val="20"/>
                <w:szCs w:val="20"/>
                <w:color w:val="auto"/>
              </w:rPr>
              <w:t>Pinnacle West Capital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rPr>
              <w:t>PNW</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DTE Energy Company</w:t>
            </w:r>
          </w:p>
        </w:tc>
        <w:tc>
          <w:tcPr>
            <w:tcW w:w="1160" w:type="dxa"/>
            <w:vAlign w:val="bottom"/>
          </w:tcPr>
          <w:p>
            <w:pPr>
              <w:ind w:left="560"/>
              <w:spacing w:after="0"/>
              <w:rPr>
                <w:sz w:val="20"/>
                <w:szCs w:val="20"/>
                <w:color w:val="auto"/>
              </w:rPr>
            </w:pPr>
            <w:r>
              <w:rPr>
                <w:rFonts w:ascii="Arial" w:cs="Arial" w:eastAsia="Arial" w:hAnsi="Arial"/>
                <w:sz w:val="20"/>
                <w:szCs w:val="20"/>
                <w:color w:val="auto"/>
              </w:rPr>
              <w:t>DTE</w:t>
            </w:r>
          </w:p>
        </w:tc>
        <w:tc>
          <w:tcPr>
            <w:tcW w:w="3700" w:type="dxa"/>
            <w:vAlign w:val="bottom"/>
          </w:tcPr>
          <w:p>
            <w:pPr>
              <w:ind w:left="320"/>
              <w:spacing w:after="0"/>
              <w:rPr>
                <w:sz w:val="20"/>
                <w:szCs w:val="20"/>
                <w:color w:val="auto"/>
              </w:rPr>
            </w:pPr>
            <w:r>
              <w:rPr>
                <w:rFonts w:ascii="Arial" w:cs="Arial" w:eastAsia="Arial" w:hAnsi="Arial"/>
                <w:sz w:val="20"/>
                <w:szCs w:val="20"/>
                <w:color w:val="auto"/>
              </w:rPr>
              <w:t>PNM Resources, Inc.</w:t>
            </w:r>
          </w:p>
        </w:tc>
        <w:tc>
          <w:tcPr>
            <w:tcW w:w="1000" w:type="dxa"/>
            <w:vAlign w:val="bottom"/>
          </w:tcPr>
          <w:p>
            <w:pPr>
              <w:ind w:left="440"/>
              <w:spacing w:after="0"/>
              <w:rPr>
                <w:sz w:val="20"/>
                <w:szCs w:val="20"/>
                <w:color w:val="auto"/>
              </w:rPr>
            </w:pPr>
            <w:r>
              <w:rPr>
                <w:rFonts w:ascii="Arial" w:cs="Arial" w:eastAsia="Arial" w:hAnsi="Arial"/>
                <w:sz w:val="20"/>
                <w:szCs w:val="20"/>
                <w:color w:val="auto"/>
              </w:rPr>
              <w:t>PNM</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Duke Energy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DUK</w:t>
            </w:r>
          </w:p>
        </w:tc>
        <w:tc>
          <w:tcPr>
            <w:tcW w:w="3700" w:type="dxa"/>
            <w:vAlign w:val="bottom"/>
          </w:tcPr>
          <w:p>
            <w:pPr>
              <w:ind w:left="320"/>
              <w:spacing w:after="0"/>
              <w:rPr>
                <w:sz w:val="20"/>
                <w:szCs w:val="20"/>
                <w:color w:val="auto"/>
              </w:rPr>
            </w:pPr>
            <w:r>
              <w:rPr>
                <w:rFonts w:ascii="Arial" w:cs="Arial" w:eastAsia="Arial" w:hAnsi="Arial"/>
                <w:sz w:val="20"/>
                <w:szCs w:val="20"/>
                <w:color w:val="auto"/>
              </w:rPr>
              <w:t>Portland General Electric Company</w:t>
            </w:r>
          </w:p>
        </w:tc>
        <w:tc>
          <w:tcPr>
            <w:tcW w:w="1000" w:type="dxa"/>
            <w:vAlign w:val="bottom"/>
          </w:tcPr>
          <w:p>
            <w:pPr>
              <w:ind w:left="440"/>
              <w:spacing w:after="0"/>
              <w:rPr>
                <w:sz w:val="20"/>
                <w:szCs w:val="20"/>
                <w:color w:val="auto"/>
              </w:rPr>
            </w:pPr>
            <w:r>
              <w:rPr>
                <w:rFonts w:ascii="Arial" w:cs="Arial" w:eastAsia="Arial" w:hAnsi="Arial"/>
                <w:sz w:val="20"/>
                <w:szCs w:val="20"/>
                <w:color w:val="auto"/>
              </w:rPr>
              <w:t>POR</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Edison International</w:t>
            </w:r>
          </w:p>
        </w:tc>
        <w:tc>
          <w:tcPr>
            <w:tcW w:w="1160" w:type="dxa"/>
            <w:vAlign w:val="bottom"/>
          </w:tcPr>
          <w:p>
            <w:pPr>
              <w:ind w:left="560"/>
              <w:spacing w:after="0"/>
              <w:rPr>
                <w:sz w:val="20"/>
                <w:szCs w:val="20"/>
                <w:color w:val="auto"/>
              </w:rPr>
            </w:pPr>
            <w:r>
              <w:rPr>
                <w:rFonts w:ascii="Arial" w:cs="Arial" w:eastAsia="Arial" w:hAnsi="Arial"/>
                <w:sz w:val="20"/>
                <w:szCs w:val="20"/>
                <w:color w:val="auto"/>
              </w:rPr>
              <w:t>EIX</w:t>
            </w:r>
          </w:p>
        </w:tc>
        <w:tc>
          <w:tcPr>
            <w:tcW w:w="3700" w:type="dxa"/>
            <w:vAlign w:val="bottom"/>
          </w:tcPr>
          <w:p>
            <w:pPr>
              <w:ind w:left="320"/>
              <w:spacing w:after="0"/>
              <w:rPr>
                <w:sz w:val="20"/>
                <w:szCs w:val="20"/>
                <w:color w:val="auto"/>
              </w:rPr>
            </w:pPr>
            <w:r>
              <w:rPr>
                <w:rFonts w:ascii="Arial" w:cs="Arial" w:eastAsia="Arial" w:hAnsi="Arial"/>
                <w:sz w:val="20"/>
                <w:szCs w:val="20"/>
                <w:color w:val="auto"/>
              </w:rPr>
              <w:t>PPL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rPr>
              <w:t>PPL</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El Paso Electric Company</w:t>
            </w:r>
          </w:p>
        </w:tc>
        <w:tc>
          <w:tcPr>
            <w:tcW w:w="1160" w:type="dxa"/>
            <w:vAlign w:val="bottom"/>
          </w:tcPr>
          <w:p>
            <w:pPr>
              <w:ind w:left="560"/>
              <w:spacing w:after="0"/>
              <w:rPr>
                <w:sz w:val="20"/>
                <w:szCs w:val="20"/>
                <w:color w:val="auto"/>
              </w:rPr>
            </w:pPr>
            <w:r>
              <w:rPr>
                <w:rFonts w:ascii="Arial" w:cs="Arial" w:eastAsia="Arial" w:hAnsi="Arial"/>
                <w:sz w:val="20"/>
                <w:szCs w:val="20"/>
                <w:color w:val="auto"/>
              </w:rPr>
              <w:t>EE</w:t>
            </w:r>
          </w:p>
        </w:tc>
        <w:tc>
          <w:tcPr>
            <w:tcW w:w="3700" w:type="dxa"/>
            <w:vAlign w:val="bottom"/>
          </w:tcPr>
          <w:p>
            <w:pPr>
              <w:ind w:left="320"/>
              <w:spacing w:after="0"/>
              <w:rPr>
                <w:sz w:val="20"/>
                <w:szCs w:val="20"/>
                <w:color w:val="auto"/>
              </w:rPr>
            </w:pPr>
            <w:r>
              <w:rPr>
                <w:rFonts w:ascii="Arial" w:cs="Arial" w:eastAsia="Arial" w:hAnsi="Arial"/>
                <w:sz w:val="20"/>
                <w:szCs w:val="20"/>
                <w:color w:val="auto"/>
              </w:rPr>
              <w:t>Public Service Enterprise Group Inc.</w:t>
            </w:r>
          </w:p>
        </w:tc>
        <w:tc>
          <w:tcPr>
            <w:tcW w:w="1000" w:type="dxa"/>
            <w:vAlign w:val="bottom"/>
          </w:tcPr>
          <w:p>
            <w:pPr>
              <w:ind w:left="440"/>
              <w:spacing w:after="0"/>
              <w:rPr>
                <w:sz w:val="20"/>
                <w:szCs w:val="20"/>
                <w:color w:val="auto"/>
              </w:rPr>
            </w:pPr>
            <w:r>
              <w:rPr>
                <w:rFonts w:ascii="Arial" w:cs="Arial" w:eastAsia="Arial" w:hAnsi="Arial"/>
                <w:sz w:val="20"/>
                <w:szCs w:val="20"/>
                <w:color w:val="auto"/>
              </w:rPr>
              <w:t>PEG</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Entergy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ETR</w:t>
            </w:r>
          </w:p>
        </w:tc>
        <w:tc>
          <w:tcPr>
            <w:tcW w:w="3700" w:type="dxa"/>
            <w:vAlign w:val="bottom"/>
          </w:tcPr>
          <w:p>
            <w:pPr>
              <w:ind w:left="320"/>
              <w:spacing w:after="0"/>
              <w:rPr>
                <w:sz w:val="20"/>
                <w:szCs w:val="20"/>
                <w:color w:val="auto"/>
              </w:rPr>
            </w:pPr>
            <w:r>
              <w:rPr>
                <w:rFonts w:ascii="Arial" w:cs="Arial" w:eastAsia="Arial" w:hAnsi="Arial"/>
                <w:sz w:val="20"/>
                <w:szCs w:val="20"/>
                <w:color w:val="auto"/>
              </w:rPr>
              <w:t>Sempra Energy</w:t>
            </w:r>
          </w:p>
        </w:tc>
        <w:tc>
          <w:tcPr>
            <w:tcW w:w="1000" w:type="dxa"/>
            <w:vAlign w:val="bottom"/>
          </w:tcPr>
          <w:p>
            <w:pPr>
              <w:ind w:left="440"/>
              <w:spacing w:after="0"/>
              <w:rPr>
                <w:sz w:val="20"/>
                <w:szCs w:val="20"/>
                <w:color w:val="auto"/>
              </w:rPr>
            </w:pPr>
            <w:r>
              <w:rPr>
                <w:rFonts w:ascii="Arial" w:cs="Arial" w:eastAsia="Arial" w:hAnsi="Arial"/>
                <w:sz w:val="20"/>
                <w:szCs w:val="20"/>
                <w:color w:val="auto"/>
              </w:rPr>
              <w:t>SRE</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Evergy, Inc.</w:t>
            </w:r>
          </w:p>
        </w:tc>
        <w:tc>
          <w:tcPr>
            <w:tcW w:w="1160" w:type="dxa"/>
            <w:vAlign w:val="bottom"/>
          </w:tcPr>
          <w:p>
            <w:pPr>
              <w:ind w:left="560"/>
              <w:spacing w:after="0"/>
              <w:rPr>
                <w:sz w:val="20"/>
                <w:szCs w:val="20"/>
                <w:color w:val="auto"/>
              </w:rPr>
            </w:pPr>
            <w:r>
              <w:rPr>
                <w:rFonts w:ascii="Arial" w:cs="Arial" w:eastAsia="Arial" w:hAnsi="Arial"/>
                <w:sz w:val="20"/>
                <w:szCs w:val="20"/>
                <w:color w:val="auto"/>
              </w:rPr>
              <w:t>EVRG</w:t>
            </w:r>
          </w:p>
        </w:tc>
        <w:tc>
          <w:tcPr>
            <w:tcW w:w="3700" w:type="dxa"/>
            <w:vAlign w:val="bottom"/>
          </w:tcPr>
          <w:p>
            <w:pPr>
              <w:ind w:left="320"/>
              <w:spacing w:after="0"/>
              <w:rPr>
                <w:sz w:val="20"/>
                <w:szCs w:val="20"/>
                <w:color w:val="auto"/>
              </w:rPr>
            </w:pPr>
            <w:r>
              <w:rPr>
                <w:rFonts w:ascii="Arial" w:cs="Arial" w:eastAsia="Arial" w:hAnsi="Arial"/>
                <w:sz w:val="20"/>
                <w:szCs w:val="20"/>
                <w:color w:val="auto"/>
              </w:rPr>
              <w:t>The Southern Company</w:t>
            </w:r>
          </w:p>
        </w:tc>
        <w:tc>
          <w:tcPr>
            <w:tcW w:w="1000" w:type="dxa"/>
            <w:vAlign w:val="bottom"/>
          </w:tcPr>
          <w:p>
            <w:pPr>
              <w:ind w:left="440"/>
              <w:spacing w:after="0"/>
              <w:rPr>
                <w:sz w:val="20"/>
                <w:szCs w:val="20"/>
                <w:color w:val="auto"/>
              </w:rPr>
            </w:pPr>
            <w:r>
              <w:rPr>
                <w:rFonts w:ascii="Arial" w:cs="Arial" w:eastAsia="Arial" w:hAnsi="Arial"/>
                <w:sz w:val="20"/>
                <w:szCs w:val="20"/>
                <w:color w:val="auto"/>
              </w:rPr>
              <w:t>SO</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Eversource Energy</w:t>
            </w:r>
          </w:p>
        </w:tc>
        <w:tc>
          <w:tcPr>
            <w:tcW w:w="1160" w:type="dxa"/>
            <w:vAlign w:val="bottom"/>
          </w:tcPr>
          <w:p>
            <w:pPr>
              <w:ind w:left="560"/>
              <w:spacing w:after="0"/>
              <w:rPr>
                <w:sz w:val="20"/>
                <w:szCs w:val="20"/>
                <w:color w:val="auto"/>
              </w:rPr>
            </w:pPr>
            <w:r>
              <w:rPr>
                <w:rFonts w:ascii="Arial" w:cs="Arial" w:eastAsia="Arial" w:hAnsi="Arial"/>
                <w:sz w:val="20"/>
                <w:szCs w:val="20"/>
                <w:color w:val="auto"/>
              </w:rPr>
              <w:t>ES</w:t>
            </w:r>
          </w:p>
        </w:tc>
        <w:tc>
          <w:tcPr>
            <w:tcW w:w="3700" w:type="dxa"/>
            <w:vAlign w:val="bottom"/>
          </w:tcPr>
          <w:p>
            <w:pPr>
              <w:ind w:left="320"/>
              <w:spacing w:after="0"/>
              <w:rPr>
                <w:sz w:val="20"/>
                <w:szCs w:val="20"/>
                <w:color w:val="auto"/>
              </w:rPr>
            </w:pPr>
            <w:r>
              <w:rPr>
                <w:rFonts w:ascii="Arial" w:cs="Arial" w:eastAsia="Arial" w:hAnsi="Arial"/>
                <w:sz w:val="20"/>
                <w:szCs w:val="20"/>
                <w:color w:val="auto"/>
              </w:rPr>
              <w:t>Unitil Corporation</w:t>
            </w:r>
          </w:p>
        </w:tc>
        <w:tc>
          <w:tcPr>
            <w:tcW w:w="1000" w:type="dxa"/>
            <w:vAlign w:val="bottom"/>
          </w:tcPr>
          <w:p>
            <w:pPr>
              <w:ind w:left="440"/>
              <w:spacing w:after="0"/>
              <w:rPr>
                <w:sz w:val="20"/>
                <w:szCs w:val="20"/>
                <w:color w:val="auto"/>
              </w:rPr>
            </w:pPr>
            <w:r>
              <w:rPr>
                <w:rFonts w:ascii="Arial" w:cs="Arial" w:eastAsia="Arial" w:hAnsi="Arial"/>
                <w:sz w:val="20"/>
                <w:szCs w:val="20"/>
                <w:color w:val="auto"/>
              </w:rPr>
              <w:t>UTL</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Exelon Corporation</w:t>
            </w:r>
          </w:p>
        </w:tc>
        <w:tc>
          <w:tcPr>
            <w:tcW w:w="1160" w:type="dxa"/>
            <w:vAlign w:val="bottom"/>
          </w:tcPr>
          <w:p>
            <w:pPr>
              <w:ind w:left="560"/>
              <w:spacing w:after="0"/>
              <w:rPr>
                <w:sz w:val="20"/>
                <w:szCs w:val="20"/>
                <w:color w:val="auto"/>
              </w:rPr>
            </w:pPr>
            <w:r>
              <w:rPr>
                <w:rFonts w:ascii="Arial" w:cs="Arial" w:eastAsia="Arial" w:hAnsi="Arial"/>
                <w:sz w:val="20"/>
                <w:szCs w:val="20"/>
                <w:color w:val="auto"/>
              </w:rPr>
              <w:t>EXC</w:t>
            </w:r>
          </w:p>
        </w:tc>
        <w:tc>
          <w:tcPr>
            <w:tcW w:w="3700" w:type="dxa"/>
            <w:vAlign w:val="bottom"/>
          </w:tcPr>
          <w:p>
            <w:pPr>
              <w:ind w:left="320"/>
              <w:spacing w:after="0"/>
              <w:rPr>
                <w:sz w:val="20"/>
                <w:szCs w:val="20"/>
                <w:color w:val="auto"/>
              </w:rPr>
            </w:pPr>
            <w:r>
              <w:rPr>
                <w:rFonts w:ascii="Arial" w:cs="Arial" w:eastAsia="Arial" w:hAnsi="Arial"/>
                <w:sz w:val="20"/>
                <w:szCs w:val="20"/>
                <w:color w:val="auto"/>
              </w:rPr>
              <w:t>WEC Energy Group, Inc.</w:t>
            </w:r>
          </w:p>
        </w:tc>
        <w:tc>
          <w:tcPr>
            <w:tcW w:w="1000" w:type="dxa"/>
            <w:vAlign w:val="bottom"/>
          </w:tcPr>
          <w:p>
            <w:pPr>
              <w:ind w:left="440"/>
              <w:spacing w:after="0"/>
              <w:rPr>
                <w:sz w:val="20"/>
                <w:szCs w:val="20"/>
                <w:color w:val="auto"/>
              </w:rPr>
            </w:pPr>
            <w:r>
              <w:rPr>
                <w:rFonts w:ascii="Arial" w:cs="Arial" w:eastAsia="Arial" w:hAnsi="Arial"/>
                <w:sz w:val="20"/>
                <w:szCs w:val="20"/>
                <w:color w:val="auto"/>
              </w:rPr>
              <w:t>WEC</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FirstEnergy Corp.</w:t>
            </w:r>
          </w:p>
        </w:tc>
        <w:tc>
          <w:tcPr>
            <w:tcW w:w="1160" w:type="dxa"/>
            <w:vAlign w:val="bottom"/>
          </w:tcPr>
          <w:p>
            <w:pPr>
              <w:ind w:left="560"/>
              <w:spacing w:after="0"/>
              <w:rPr>
                <w:sz w:val="20"/>
                <w:szCs w:val="20"/>
                <w:color w:val="auto"/>
              </w:rPr>
            </w:pPr>
            <w:r>
              <w:rPr>
                <w:rFonts w:ascii="Arial" w:cs="Arial" w:eastAsia="Arial" w:hAnsi="Arial"/>
                <w:sz w:val="20"/>
                <w:szCs w:val="20"/>
                <w:color w:val="auto"/>
              </w:rPr>
              <w:t>FE</w:t>
            </w:r>
          </w:p>
        </w:tc>
        <w:tc>
          <w:tcPr>
            <w:tcW w:w="3700" w:type="dxa"/>
            <w:vAlign w:val="bottom"/>
          </w:tcPr>
          <w:p>
            <w:pPr>
              <w:ind w:left="320"/>
              <w:spacing w:after="0"/>
              <w:rPr>
                <w:sz w:val="20"/>
                <w:szCs w:val="20"/>
                <w:color w:val="auto"/>
              </w:rPr>
            </w:pPr>
            <w:r>
              <w:rPr>
                <w:rFonts w:ascii="Arial" w:cs="Arial" w:eastAsia="Arial" w:hAnsi="Arial"/>
                <w:sz w:val="20"/>
                <w:szCs w:val="20"/>
                <w:color w:val="auto"/>
              </w:rPr>
              <w:t>Xcel Energy Inc.</w:t>
            </w:r>
          </w:p>
        </w:tc>
        <w:tc>
          <w:tcPr>
            <w:tcW w:w="1000" w:type="dxa"/>
            <w:vAlign w:val="bottom"/>
          </w:tcPr>
          <w:p>
            <w:pPr>
              <w:ind w:left="440"/>
              <w:spacing w:after="0"/>
              <w:rPr>
                <w:sz w:val="20"/>
                <w:szCs w:val="20"/>
                <w:color w:val="auto"/>
              </w:rPr>
            </w:pPr>
            <w:r>
              <w:rPr>
                <w:rFonts w:ascii="Arial" w:cs="Arial" w:eastAsia="Arial" w:hAnsi="Arial"/>
                <w:sz w:val="20"/>
                <w:szCs w:val="20"/>
                <w:color w:val="auto"/>
              </w:rPr>
              <w:t>XEL</w:t>
            </w:r>
          </w:p>
        </w:tc>
      </w:tr>
      <w:tr>
        <w:trPr>
          <w:trHeight w:val="284"/>
        </w:trPr>
        <w:tc>
          <w:tcPr>
            <w:tcW w:w="3780" w:type="dxa"/>
            <w:vAlign w:val="bottom"/>
          </w:tcPr>
          <w:p>
            <w:pPr>
              <w:spacing w:after="0"/>
              <w:rPr>
                <w:sz w:val="20"/>
                <w:szCs w:val="20"/>
                <w:color w:val="auto"/>
              </w:rPr>
            </w:pPr>
            <w:r>
              <w:rPr>
                <w:rFonts w:ascii="Arial" w:cs="Arial" w:eastAsia="Arial" w:hAnsi="Arial"/>
                <w:sz w:val="20"/>
                <w:szCs w:val="20"/>
                <w:color w:val="auto"/>
              </w:rPr>
              <w:t>Hawaiian Electric Industries, Inc.</w:t>
            </w:r>
          </w:p>
        </w:tc>
        <w:tc>
          <w:tcPr>
            <w:tcW w:w="1160" w:type="dxa"/>
            <w:vAlign w:val="bottom"/>
          </w:tcPr>
          <w:p>
            <w:pPr>
              <w:ind w:left="560"/>
              <w:spacing w:after="0"/>
              <w:rPr>
                <w:sz w:val="20"/>
                <w:szCs w:val="20"/>
                <w:color w:val="auto"/>
              </w:rPr>
            </w:pPr>
            <w:r>
              <w:rPr>
                <w:rFonts w:ascii="Arial" w:cs="Arial" w:eastAsia="Arial" w:hAnsi="Arial"/>
                <w:sz w:val="20"/>
                <w:szCs w:val="20"/>
                <w:color w:val="auto"/>
              </w:rPr>
              <w:t>HE</w:t>
            </w:r>
          </w:p>
        </w:tc>
        <w:tc>
          <w:tcPr>
            <w:tcW w:w="37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671"/>
        </w:trPr>
        <w:tc>
          <w:tcPr>
            <w:tcW w:w="37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00" w:type="dxa"/>
            <w:vAlign w:val="bottom"/>
          </w:tcPr>
          <w:p>
            <w:pPr>
              <w:ind w:left="40"/>
              <w:spacing w:after="0"/>
              <w:rPr>
                <w:sz w:val="20"/>
                <w:szCs w:val="20"/>
                <w:color w:val="auto"/>
              </w:rPr>
            </w:pPr>
            <w:r>
              <w:rPr>
                <w:rFonts w:ascii="Arial" w:cs="Arial" w:eastAsia="Arial" w:hAnsi="Arial"/>
                <w:sz w:val="18"/>
                <w:szCs w:val="18"/>
                <w:color w:val="auto"/>
              </w:rPr>
              <w:t>i</w:t>
            </w: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58" w:right="239" w:bottom="1440" w:gutter="0" w:footer="0" w:header="0"/>
        </w:sectPr>
      </w:pPr>
    </w:p>
    <w:bookmarkStart w:id="164" w:name="page165"/>
    <w:bookmarkEnd w:id="164"/>
    <w:p>
      <w:pPr>
        <w:ind w:left="2530"/>
        <w:spacing w:after="0"/>
        <w:rPr>
          <w:sz w:val="20"/>
          <w:szCs w:val="20"/>
          <w:color w:val="auto"/>
        </w:rPr>
      </w:pPr>
      <w:r>
        <w:rPr>
          <w:rFonts w:ascii="Arial" w:cs="Arial" w:eastAsia="Arial" w:hAnsi="Arial"/>
          <w:sz w:val="20"/>
          <w:szCs w:val="20"/>
          <w:b w:val="1"/>
          <w:bCs w:val="1"/>
          <w:u w:val="single" w:color="auto"/>
          <w:color w:val="auto"/>
        </w:rPr>
        <w:t>CHANGE IN CONTROL AGREEMENT</w:t>
      </w:r>
    </w:p>
    <w:p>
      <w:pPr>
        <w:spacing w:after="0" w:line="270" w:lineRule="exact"/>
        <w:rPr>
          <w:sz w:val="20"/>
          <w:szCs w:val="20"/>
          <w:color w:val="auto"/>
        </w:rPr>
      </w:pPr>
    </w:p>
    <w:p>
      <w:pPr>
        <w:ind w:left="570" w:right="380" w:firstLine="648"/>
        <w:spacing w:after="0" w:line="267" w:lineRule="auto"/>
        <w:rPr>
          <w:sz w:val="20"/>
          <w:szCs w:val="20"/>
          <w:color w:val="auto"/>
        </w:rPr>
      </w:pPr>
      <w:r>
        <w:rPr>
          <w:rFonts w:ascii="Arial" w:cs="Arial" w:eastAsia="Arial" w:hAnsi="Arial"/>
          <w:sz w:val="20"/>
          <w:szCs w:val="20"/>
          <w:color w:val="auto"/>
        </w:rPr>
        <w:t>This Change in Control Agreement (“</w:t>
      </w:r>
      <w:r>
        <w:rPr>
          <w:rFonts w:ascii="Arial" w:cs="Arial" w:eastAsia="Arial" w:hAnsi="Arial"/>
          <w:sz w:val="20"/>
          <w:szCs w:val="20"/>
          <w:b w:val="1"/>
          <w:bCs w:val="1"/>
          <w:color w:val="auto"/>
        </w:rPr>
        <w:t>Agreement</w:t>
      </w:r>
      <w:r>
        <w:rPr>
          <w:rFonts w:ascii="Arial" w:cs="Arial" w:eastAsia="Arial" w:hAnsi="Arial"/>
          <w:sz w:val="20"/>
          <w:szCs w:val="20"/>
          <w:color w:val="auto"/>
        </w:rPr>
        <w:t>”) dated as of November 15, 2019, is entered into by and between Black Hills Corporation (“</w:t>
      </w:r>
      <w:r>
        <w:rPr>
          <w:rFonts w:ascii="Arial" w:cs="Arial" w:eastAsia="Arial" w:hAnsi="Arial"/>
          <w:sz w:val="20"/>
          <w:szCs w:val="20"/>
          <w:b w:val="1"/>
          <w:bCs w:val="1"/>
          <w:color w:val="auto"/>
        </w:rPr>
        <w:t>Company</w:t>
      </w:r>
      <w:r>
        <w:rPr>
          <w:rFonts w:ascii="Arial" w:cs="Arial" w:eastAsia="Arial" w:hAnsi="Arial"/>
          <w:sz w:val="20"/>
          <w:szCs w:val="20"/>
          <w:color w:val="auto"/>
        </w:rPr>
        <w:t>”) and Linden R. Evans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64" w:lineRule="exact"/>
        <w:rPr>
          <w:sz w:val="20"/>
          <w:szCs w:val="20"/>
          <w:color w:val="auto"/>
        </w:rPr>
      </w:pPr>
    </w:p>
    <w:p>
      <w:pPr>
        <w:ind w:left="650" w:hanging="650"/>
        <w:spacing w:after="0"/>
        <w:tabs>
          <w:tab w:leader="none" w:pos="650" w:val="left"/>
        </w:tabs>
        <w:numPr>
          <w:ilvl w:val="0"/>
          <w:numId w:val="119"/>
        </w:numPr>
        <w:rPr>
          <w:rFonts w:ascii="Arial" w:cs="Arial" w:eastAsia="Arial" w:hAnsi="Arial"/>
          <w:sz w:val="18"/>
          <w:szCs w:val="18"/>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70" w:lineRule="exact"/>
        <w:rPr>
          <w:sz w:val="20"/>
          <w:szCs w:val="20"/>
          <w:color w:val="auto"/>
        </w:rPr>
      </w:pPr>
    </w:p>
    <w:p>
      <w:pPr>
        <w:ind w:left="590" w:firstLine="621"/>
        <w:spacing w:after="0" w:line="248" w:lineRule="auto"/>
        <w:rPr>
          <w:sz w:val="20"/>
          <w:szCs w:val="20"/>
          <w:color w:val="auto"/>
        </w:rPr>
      </w:pPr>
      <w:r>
        <w:rPr>
          <w:rFonts w:ascii="Arial" w:cs="Arial" w:eastAsia="Arial" w:hAnsi="Arial"/>
          <w:sz w:val="20"/>
          <w:szCs w:val="20"/>
          <w:color w:val="auto"/>
        </w:rPr>
        <w:t>The Board of Directors of the Company (“</w:t>
      </w:r>
      <w:r>
        <w:rPr>
          <w:rFonts w:ascii="Arial" w:cs="Arial" w:eastAsia="Arial" w:hAnsi="Arial"/>
          <w:sz w:val="20"/>
          <w:szCs w:val="20"/>
          <w:b w:val="1"/>
          <w:bCs w:val="1"/>
          <w:color w:val="auto"/>
        </w:rPr>
        <w:t>Board</w:t>
      </w:r>
      <w:r>
        <w:rPr>
          <w:rFonts w:ascii="Arial" w:cs="Arial" w:eastAsia="Arial" w:hAnsi="Arial"/>
          <w:sz w:val="20"/>
          <w:szCs w:val="20"/>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84" w:lineRule="exact"/>
        <w:rPr>
          <w:sz w:val="20"/>
          <w:szCs w:val="20"/>
          <w:color w:val="auto"/>
        </w:rPr>
      </w:pPr>
    </w:p>
    <w:p>
      <w:pPr>
        <w:ind w:left="650" w:hanging="650"/>
        <w:spacing w:after="0"/>
        <w:tabs>
          <w:tab w:leader="none" w:pos="650" w:val="left"/>
        </w:tabs>
        <w:numPr>
          <w:ilvl w:val="0"/>
          <w:numId w:val="120"/>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70" w:lineRule="exact"/>
        <w:rPr>
          <w:sz w:val="20"/>
          <w:szCs w:val="20"/>
          <w:color w:val="auto"/>
        </w:rPr>
      </w:pPr>
    </w:p>
    <w:p>
      <w:pPr>
        <w:ind w:left="1250" w:right="5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ascribed to such term in rule 12b-2 of the General Rules and Regulations of the Exchange Act.</w:t>
      </w:r>
    </w:p>
    <w:p>
      <w:pPr>
        <w:spacing w:after="0" w:line="272" w:lineRule="exact"/>
        <w:rPr>
          <w:sz w:val="20"/>
          <w:szCs w:val="20"/>
          <w:color w:val="auto"/>
        </w:rPr>
      </w:pPr>
    </w:p>
    <w:p>
      <w:pPr>
        <w:ind w:left="1250" w:right="220"/>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COMPENSATION</w:t>
      </w:r>
      <w:r>
        <w:rPr>
          <w:rFonts w:ascii="Arial" w:cs="Arial" w:eastAsia="Arial" w:hAnsi="Arial"/>
          <w:sz w:val="18"/>
          <w:szCs w:val="18"/>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160" w:lineRule="exact"/>
        <w:rPr>
          <w:sz w:val="20"/>
          <w:szCs w:val="20"/>
          <w:color w:val="auto"/>
        </w:rPr>
      </w:pPr>
    </w:p>
    <w:p>
      <w:pPr>
        <w:ind w:left="1250" w:right="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or “</w:t>
      </w:r>
      <w:r>
        <w:rPr>
          <w:rFonts w:ascii="Arial" w:cs="Arial" w:eastAsia="Arial" w:hAnsi="Arial"/>
          <w:sz w:val="20"/>
          <w:szCs w:val="20"/>
          <w:b w:val="1"/>
          <w:bCs w:val="1"/>
          <w:color w:val="auto"/>
        </w:rPr>
        <w:t>BENEFICIAL OWNERSHIP</w:t>
      </w:r>
      <w:r>
        <w:rPr>
          <w:rFonts w:ascii="Arial" w:cs="Arial" w:eastAsia="Arial" w:hAnsi="Arial"/>
          <w:sz w:val="20"/>
          <w:szCs w:val="20"/>
          <w:color w:val="auto"/>
        </w:rPr>
        <w:t>” shall have the meaning ascribed to such term in Rule 13d-3 of the General Rules and Regulations under the Exchange Act.</w:t>
      </w:r>
    </w:p>
    <w:p>
      <w:pPr>
        <w:spacing w:after="0" w:line="164" w:lineRule="exact"/>
        <w:rPr>
          <w:sz w:val="20"/>
          <w:szCs w:val="20"/>
          <w:color w:val="auto"/>
        </w:rPr>
      </w:pPr>
    </w:p>
    <w:p>
      <w:pPr>
        <w:ind w:left="125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xml:space="preserve">” means those events or conditions described in </w:t>
      </w:r>
      <w:r>
        <w:rPr>
          <w:rFonts w:ascii="Arial" w:cs="Arial" w:eastAsia="Arial" w:hAnsi="Arial"/>
          <w:sz w:val="20"/>
          <w:szCs w:val="20"/>
          <w:u w:val="single" w:color="auto"/>
          <w:color w:val="auto"/>
        </w:rPr>
        <w:t>subsections 9(a)</w:t>
      </w:r>
      <w:r>
        <w:rPr>
          <w:rFonts w:ascii="Arial" w:cs="Arial" w:eastAsia="Arial" w:hAnsi="Arial"/>
          <w:sz w:val="20"/>
          <w:szCs w:val="20"/>
          <w:color w:val="auto"/>
        </w:rPr>
        <w:t>.</w:t>
      </w:r>
    </w:p>
    <w:p>
      <w:pPr>
        <w:spacing w:after="0" w:line="270" w:lineRule="exact"/>
        <w:rPr>
          <w:sz w:val="20"/>
          <w:szCs w:val="20"/>
          <w:color w:val="auto"/>
        </w:rPr>
      </w:pPr>
    </w:p>
    <w:p>
      <w:pPr>
        <w:ind w:left="125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shall mean any of the following events:</w:t>
      </w:r>
    </w:p>
    <w:p>
      <w:pPr>
        <w:spacing w:after="0" w:line="222" w:lineRule="exact"/>
        <w:rPr>
          <w:sz w:val="20"/>
          <w:szCs w:val="20"/>
          <w:color w:val="auto"/>
        </w:rPr>
      </w:pPr>
    </w:p>
    <w:p>
      <w:pPr>
        <w:ind w:left="1250" w:right="260" w:hanging="7"/>
        <w:spacing w:after="0" w:line="247" w:lineRule="auto"/>
        <w:tabs>
          <w:tab w:leader="none" w:pos="1990" w:val="left"/>
        </w:tabs>
        <w:numPr>
          <w:ilvl w:val="1"/>
          <w:numId w:val="121"/>
        </w:numPr>
        <w:rPr>
          <w:rFonts w:ascii="Arial" w:cs="Arial" w:eastAsia="Arial" w:hAnsi="Arial"/>
          <w:sz w:val="17"/>
          <w:szCs w:val="17"/>
          <w:color w:val="auto"/>
        </w:rPr>
      </w:pPr>
      <w:r>
        <w:rPr>
          <w:rFonts w:ascii="Arial" w:cs="Arial" w:eastAsia="Arial" w:hAnsi="Arial"/>
          <w:sz w:val="19"/>
          <w:szCs w:val="19"/>
          <w:color w:val="auto"/>
        </w:rPr>
        <w:t xml:space="preserve">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 (B) any acquisition of common stock of the Company by an underwriter holding securities of the Company in connection with a public offering thereof; and (C) any acquisition by any Person pursuant to a transaction which complies with </w:t>
      </w:r>
      <w:r>
        <w:rPr>
          <w:rFonts w:ascii="Arial" w:cs="Arial" w:eastAsia="Arial" w:hAnsi="Arial"/>
          <w:sz w:val="19"/>
          <w:szCs w:val="19"/>
          <w:u w:val="single" w:color="auto"/>
          <w:color w:val="auto"/>
        </w:rPr>
        <w:t>subsections (c)(i), (ii) and (iii)</w:t>
      </w:r>
      <w:r>
        <w:rPr>
          <w:rFonts w:ascii="Arial" w:cs="Arial" w:eastAsia="Arial" w:hAnsi="Arial"/>
          <w:sz w:val="19"/>
          <w:szCs w:val="19"/>
          <w:color w:val="auto"/>
        </w:rPr>
        <w:t>;</w:t>
      </w:r>
    </w:p>
    <w:p>
      <w:pPr>
        <w:spacing w:after="0" w:line="170" w:lineRule="exact"/>
        <w:rPr>
          <w:rFonts w:ascii="Arial" w:cs="Arial" w:eastAsia="Arial" w:hAnsi="Arial"/>
          <w:sz w:val="17"/>
          <w:szCs w:val="17"/>
          <w:color w:val="auto"/>
        </w:rPr>
      </w:pPr>
    </w:p>
    <w:p>
      <w:pPr>
        <w:ind w:left="1210" w:right="80" w:firstLine="6"/>
        <w:spacing w:after="0" w:line="234" w:lineRule="auto"/>
        <w:tabs>
          <w:tab w:leader="none" w:pos="1973" w:val="left"/>
        </w:tabs>
        <w:numPr>
          <w:ilvl w:val="0"/>
          <w:numId w:val="122"/>
        </w:numPr>
        <w:rPr>
          <w:rFonts w:ascii="Arial" w:cs="Arial" w:eastAsia="Arial" w:hAnsi="Arial"/>
          <w:sz w:val="18"/>
          <w:szCs w:val="18"/>
          <w:color w:val="auto"/>
        </w:rPr>
      </w:pPr>
      <w:r>
        <w:rPr>
          <w:rFonts w:ascii="Arial" w:cs="Arial" w:eastAsia="Arial" w:hAnsi="Arial"/>
          <w:sz w:val="20"/>
          <w:szCs w:val="20"/>
          <w:color w:val="auto"/>
        </w:rPr>
        <w:t>Individuals who, as of December 31, 2018 are members of the Board (the “</w:t>
      </w:r>
      <w:r>
        <w:rPr>
          <w:rFonts w:ascii="Arial" w:cs="Arial" w:eastAsia="Arial" w:hAnsi="Arial"/>
          <w:sz w:val="20"/>
          <w:szCs w:val="20"/>
          <w:b w:val="1"/>
          <w:bCs w:val="1"/>
          <w:color w:val="auto"/>
        </w:rPr>
        <w:t>Incumbent Board</w:t>
      </w:r>
      <w:r>
        <w:rPr>
          <w:rFonts w:ascii="Arial" w:cs="Arial" w:eastAsia="Arial" w:hAnsi="Arial"/>
          <w:sz w:val="20"/>
          <w:szCs w:val="20"/>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w:t>
      </w:r>
    </w:p>
    <w:p>
      <w:pPr>
        <w:sectPr>
          <w:pgSz w:w="11900" w:h="16838" w:orient="portrait"/>
          <w:cols w:equalWidth="0" w:num="1">
            <w:col w:w="11230"/>
          </w:cols>
          <w:pgMar w:left="410" w:top="778" w:right="259" w:bottom="1440" w:gutter="0" w:footer="0" w:header="0"/>
        </w:sectPr>
      </w:pPr>
    </w:p>
    <w:bookmarkStart w:id="165" w:name="page166"/>
    <w:bookmarkEnd w:id="165"/>
    <w:p>
      <w:pPr>
        <w:ind w:left="180" w:right="120"/>
        <w:spacing w:after="0" w:line="275" w:lineRule="auto"/>
        <w:rPr>
          <w:sz w:val="20"/>
          <w:szCs w:val="20"/>
          <w:color w:val="auto"/>
        </w:rPr>
      </w:pPr>
      <w:r>
        <w:rPr>
          <w:rFonts w:ascii="Arial" w:cs="Arial" w:eastAsia="Arial" w:hAnsi="Arial"/>
          <w:sz w:val="18"/>
          <w:szCs w:val="18"/>
          <w:color w:val="auto"/>
        </w:rPr>
        <w:t>an actual or threatened “Election Contest” (as described in Rule 14a-11 promulgated under the Exchange Act) or other actual or threatened solicitation of proxies or consents by or on behalf of a Person other than the Board (a “</w:t>
      </w:r>
      <w:r>
        <w:rPr>
          <w:rFonts w:ascii="Arial" w:cs="Arial" w:eastAsia="Arial" w:hAnsi="Arial"/>
          <w:sz w:val="18"/>
          <w:szCs w:val="18"/>
          <w:b w:val="1"/>
          <w:bCs w:val="1"/>
          <w:color w:val="auto"/>
        </w:rPr>
        <w:t>Proxy Contest</w:t>
      </w:r>
      <w:r>
        <w:rPr>
          <w:rFonts w:ascii="Arial" w:cs="Arial" w:eastAsia="Arial" w:hAnsi="Arial"/>
          <w:sz w:val="18"/>
          <w:szCs w:val="18"/>
          <w:color w:val="auto"/>
        </w:rPr>
        <w:t>”) including by reason of any agreement intended to avoid or settle any Election Contest or Proxy Contest;</w:t>
      </w:r>
    </w:p>
    <w:p>
      <w:pPr>
        <w:spacing w:after="0" w:line="153" w:lineRule="exact"/>
        <w:rPr>
          <w:sz w:val="20"/>
          <w:szCs w:val="20"/>
          <w:color w:val="auto"/>
        </w:rPr>
      </w:pPr>
    </w:p>
    <w:p>
      <w:pPr>
        <w:ind w:left="180" w:right="80" w:firstLine="6"/>
        <w:spacing w:after="0" w:line="255" w:lineRule="auto"/>
        <w:tabs>
          <w:tab w:leader="none" w:pos="933" w:val="left"/>
        </w:tabs>
        <w:numPr>
          <w:ilvl w:val="0"/>
          <w:numId w:val="123"/>
        </w:numPr>
        <w:rPr>
          <w:rFonts w:ascii="Arial" w:cs="Arial" w:eastAsia="Arial" w:hAnsi="Arial"/>
          <w:sz w:val="16"/>
          <w:szCs w:val="16"/>
          <w:color w:val="auto"/>
        </w:rPr>
      </w:pPr>
      <w:r>
        <w:rPr>
          <w:rFonts w:ascii="Arial" w:cs="Arial" w:eastAsia="Arial" w:hAnsi="Arial"/>
          <w:sz w:val="18"/>
          <w:szCs w:val="18"/>
          <w:color w:val="auto"/>
        </w:rPr>
        <w:t>Consummation, following shareholder approval, of a reorganization, merger, or consolidation of the Company, or a sale or other disposition of all or substantially all of the assets of the Company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Arial" w:cs="Arial" w:eastAsia="Arial" w:hAnsi="Arial"/>
          <w:sz w:val="18"/>
          <w:szCs w:val="18"/>
          <w:b w:val="1"/>
          <w:bCs w:val="1"/>
          <w:color w:val="auto"/>
        </w:rPr>
        <w:t>Successor Entity</w:t>
      </w:r>
      <w:r>
        <w:rPr>
          <w:rFonts w:ascii="Arial" w:cs="Arial" w:eastAsia="Arial" w:hAnsi="Arial"/>
          <w:sz w:val="18"/>
          <w:szCs w:val="18"/>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175" w:lineRule="exact"/>
        <w:rPr>
          <w:rFonts w:ascii="Arial" w:cs="Arial" w:eastAsia="Arial" w:hAnsi="Arial"/>
          <w:sz w:val="16"/>
          <w:szCs w:val="16"/>
          <w:color w:val="auto"/>
        </w:rPr>
      </w:pPr>
    </w:p>
    <w:p>
      <w:pPr>
        <w:ind w:left="180" w:right="520" w:firstLine="6"/>
        <w:spacing w:after="0" w:line="287" w:lineRule="auto"/>
        <w:tabs>
          <w:tab w:leader="none" w:pos="943" w:val="left"/>
        </w:tabs>
        <w:numPr>
          <w:ilvl w:val="0"/>
          <w:numId w:val="123"/>
        </w:numPr>
        <w:rPr>
          <w:rFonts w:ascii="Arial" w:cs="Arial" w:eastAsia="Arial" w:hAnsi="Arial"/>
          <w:sz w:val="17"/>
          <w:szCs w:val="17"/>
          <w:color w:val="auto"/>
        </w:rPr>
      </w:pPr>
      <w:r>
        <w:rPr>
          <w:rFonts w:ascii="Arial" w:cs="Arial" w:eastAsia="Arial" w:hAnsi="Arial"/>
          <w:sz w:val="19"/>
          <w:szCs w:val="19"/>
          <w:color w:val="auto"/>
        </w:rPr>
        <w:t xml:space="preserve">Approval by the shareholders of the Company of a complete liquidation or dissolution of the Company, except pursuant to a Business Combination that complies with </w:t>
      </w:r>
      <w:r>
        <w:rPr>
          <w:rFonts w:ascii="Arial" w:cs="Arial" w:eastAsia="Arial" w:hAnsi="Arial"/>
          <w:sz w:val="19"/>
          <w:szCs w:val="19"/>
          <w:u w:val="single" w:color="auto"/>
          <w:color w:val="auto"/>
        </w:rPr>
        <w:t>subsections (c)(i), (ii), and (iii)</w:t>
      </w:r>
      <w:r>
        <w:rPr>
          <w:rFonts w:ascii="Arial" w:cs="Arial" w:eastAsia="Arial" w:hAnsi="Arial"/>
          <w:sz w:val="19"/>
          <w:szCs w:val="19"/>
          <w:color w:val="auto"/>
        </w:rPr>
        <w:t xml:space="preserve"> above.</w:t>
      </w:r>
    </w:p>
    <w:p>
      <w:pPr>
        <w:spacing w:after="0" w:line="133" w:lineRule="exact"/>
        <w:rPr>
          <w:rFonts w:ascii="Arial" w:cs="Arial" w:eastAsia="Arial" w:hAnsi="Arial"/>
          <w:sz w:val="17"/>
          <w:szCs w:val="17"/>
          <w:color w:val="auto"/>
        </w:rPr>
      </w:pPr>
    </w:p>
    <w:p>
      <w:pPr>
        <w:ind w:left="180" w:firstLine="6"/>
        <w:spacing w:after="0" w:line="245" w:lineRule="auto"/>
        <w:tabs>
          <w:tab w:leader="none" w:pos="933" w:val="left"/>
        </w:tabs>
        <w:numPr>
          <w:ilvl w:val="0"/>
          <w:numId w:val="123"/>
        </w:numPr>
        <w:rPr>
          <w:rFonts w:ascii="Arial" w:cs="Arial" w:eastAsia="Arial" w:hAnsi="Arial"/>
          <w:sz w:val="17"/>
          <w:szCs w:val="17"/>
          <w:color w:val="auto"/>
        </w:rPr>
      </w:pPr>
      <w:r>
        <w:rPr>
          <w:rFonts w:ascii="Arial" w:cs="Arial" w:eastAsia="Arial" w:hAnsi="Arial"/>
          <w:sz w:val="19"/>
          <w:szCs w:val="19"/>
          <w:color w:val="auto"/>
        </w:rPr>
        <w:t>A Change in Control shall not be deemed to occur solely because any Person (the “</w:t>
      </w:r>
      <w:r>
        <w:rPr>
          <w:rFonts w:ascii="Arial" w:cs="Arial" w:eastAsia="Arial" w:hAnsi="Arial"/>
          <w:sz w:val="19"/>
          <w:szCs w:val="19"/>
          <w:b w:val="1"/>
          <w:bCs w:val="1"/>
          <w:color w:val="auto"/>
        </w:rPr>
        <w:t>Subject Person</w:t>
      </w:r>
      <w:r>
        <w:rPr>
          <w:rFonts w:ascii="Arial" w:cs="Arial" w:eastAsia="Arial" w:hAnsi="Arial"/>
          <w:sz w:val="19"/>
          <w:szCs w:val="19"/>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79" w:lineRule="exact"/>
        <w:rPr>
          <w:rFonts w:ascii="Arial" w:cs="Arial" w:eastAsia="Arial" w:hAnsi="Arial"/>
          <w:sz w:val="17"/>
          <w:szCs w:val="17"/>
          <w:color w:val="auto"/>
        </w:rPr>
      </w:pPr>
    </w:p>
    <w:p>
      <w:pPr>
        <w:ind w:left="180" w:right="60" w:firstLine="6"/>
        <w:spacing w:after="0" w:line="243" w:lineRule="auto"/>
        <w:tabs>
          <w:tab w:leader="none" w:pos="913" w:val="left"/>
        </w:tabs>
        <w:numPr>
          <w:ilvl w:val="0"/>
          <w:numId w:val="123"/>
        </w:numPr>
        <w:rPr>
          <w:rFonts w:ascii="Arial" w:cs="Arial" w:eastAsia="Arial" w:hAnsi="Arial"/>
          <w:sz w:val="18"/>
          <w:szCs w:val="18"/>
          <w:color w:val="auto"/>
        </w:rPr>
      </w:pPr>
      <w:r>
        <w:rPr>
          <w:rFonts w:ascii="Arial" w:cs="Arial" w:eastAsia="Arial" w:hAnsi="Arial"/>
          <w:sz w:val="20"/>
          <w:szCs w:val="20"/>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73" w:lineRule="exact"/>
        <w:rPr>
          <w:sz w:val="20"/>
          <w:szCs w:val="20"/>
          <w:color w:val="auto"/>
        </w:rPr>
      </w:pPr>
    </w:p>
    <w:p>
      <w:pPr>
        <w:ind w:left="220" w:right="120"/>
        <w:spacing w:after="0" w:line="267" w:lineRule="auto"/>
        <w:rPr>
          <w:sz w:val="20"/>
          <w:szCs w:val="20"/>
          <w:color w:val="auto"/>
        </w:rPr>
      </w:pPr>
      <w:r>
        <w:rPr>
          <w:rFonts w:ascii="Arial" w:cs="Arial" w:eastAsia="Arial" w:hAnsi="Arial"/>
          <w:sz w:val="20"/>
          <w:szCs w:val="20"/>
          <w:b w:val="1"/>
          <w:bCs w:val="1"/>
          <w:color w:val="auto"/>
        </w:rPr>
        <w:t xml:space="preserve">“CODE” </w:t>
      </w:r>
      <w:r>
        <w:rPr>
          <w:rFonts w:ascii="Arial" w:cs="Arial" w:eastAsia="Arial" w:hAnsi="Arial"/>
          <w:sz w:val="20"/>
          <w:szCs w:val="20"/>
          <w:color w:val="auto"/>
        </w:rPr>
        <w:t>means the Internal Revenue Code of 1986, as amended from time to time, and applicable regulations and guidance</w:t>
      </w:r>
      <w:r>
        <w:rPr>
          <w:rFonts w:ascii="Arial" w:cs="Arial" w:eastAsia="Arial" w:hAnsi="Arial"/>
          <w:sz w:val="20"/>
          <w:szCs w:val="20"/>
          <w:b w:val="1"/>
          <w:bCs w:val="1"/>
          <w:color w:val="auto"/>
        </w:rPr>
        <w:t xml:space="preserve"> </w:t>
      </w:r>
      <w:r>
        <w:rPr>
          <w:rFonts w:ascii="Arial" w:cs="Arial" w:eastAsia="Arial" w:hAnsi="Arial"/>
          <w:sz w:val="20"/>
          <w:szCs w:val="20"/>
          <w:color w:val="auto"/>
        </w:rPr>
        <w:t>thereunder.</w:t>
      </w:r>
    </w:p>
    <w:p>
      <w:pPr>
        <w:spacing w:after="0" w:line="164" w:lineRule="exact"/>
        <w:rPr>
          <w:sz w:val="20"/>
          <w:szCs w:val="20"/>
          <w:color w:val="auto"/>
        </w:rPr>
      </w:pPr>
    </w:p>
    <w:p>
      <w:pPr>
        <w:ind w:left="220" w:right="20"/>
        <w:spacing w:after="0" w:line="253" w:lineRule="auto"/>
        <w:rPr>
          <w:sz w:val="20"/>
          <w:szCs w:val="20"/>
          <w:color w:val="auto"/>
        </w:rPr>
      </w:pPr>
      <w:r>
        <w:rPr>
          <w:rFonts w:ascii="Arial" w:cs="Arial" w:eastAsia="Arial" w:hAnsi="Arial"/>
          <w:sz w:val="20"/>
          <w:szCs w:val="20"/>
          <w:b w:val="1"/>
          <w:bCs w:val="1"/>
          <w:color w:val="auto"/>
        </w:rPr>
        <w:t xml:space="preserve">“DISABILITY” </w:t>
      </w:r>
      <w:r>
        <w:rPr>
          <w:rFonts w:ascii="Arial" w:cs="Arial" w:eastAsia="Arial" w:hAnsi="Arial"/>
          <w:sz w:val="20"/>
          <w:szCs w:val="20"/>
          <w:color w:val="auto"/>
        </w:rPr>
        <w:t>means a physical or mental infirmity that can be expected to result in death or to last for a continuous period</w:t>
      </w:r>
      <w:r>
        <w:rPr>
          <w:rFonts w:ascii="Arial" w:cs="Arial" w:eastAsia="Arial" w:hAnsi="Arial"/>
          <w:sz w:val="20"/>
          <w:szCs w:val="20"/>
          <w:b w:val="1"/>
          <w:bCs w:val="1"/>
          <w:color w:val="auto"/>
        </w:rPr>
        <w:t xml:space="preserve"> </w:t>
      </w:r>
      <w:r>
        <w:rPr>
          <w:rFonts w:ascii="Arial" w:cs="Arial" w:eastAsia="Arial" w:hAnsi="Arial"/>
          <w:sz w:val="20"/>
          <w:szCs w:val="20"/>
          <w:color w:val="auto"/>
        </w:rPr>
        <w:t>of not less than 12 months, because of which Employee is receiving benefits under the Company sponsored group long-term disability plan in which the Employee participates.</w:t>
      </w:r>
    </w:p>
    <w:p>
      <w:pPr>
        <w:spacing w:after="0" w:line="178" w:lineRule="exact"/>
        <w:rPr>
          <w:sz w:val="20"/>
          <w:szCs w:val="20"/>
          <w:color w:val="auto"/>
        </w:rPr>
      </w:pPr>
    </w:p>
    <w:p>
      <w:pPr>
        <w:ind w:left="220" w:right="240"/>
        <w:spacing w:after="0" w:line="267" w:lineRule="auto"/>
        <w:rPr>
          <w:sz w:val="20"/>
          <w:szCs w:val="20"/>
          <w:color w:val="auto"/>
        </w:rPr>
      </w:pPr>
      <w:r>
        <w:rPr>
          <w:rFonts w:ascii="Arial" w:cs="Arial" w:eastAsia="Arial" w:hAnsi="Arial"/>
          <w:sz w:val="20"/>
          <w:szCs w:val="20"/>
          <w:b w:val="1"/>
          <w:bCs w:val="1"/>
          <w:color w:val="auto"/>
        </w:rPr>
        <w:t xml:space="preserve">“DISABILITY DATE” </w:t>
      </w:r>
      <w:r>
        <w:rPr>
          <w:rFonts w:ascii="Arial" w:cs="Arial" w:eastAsia="Arial" w:hAnsi="Arial"/>
          <w:sz w:val="20"/>
          <w:szCs w:val="20"/>
          <w:color w:val="auto"/>
        </w:rPr>
        <w:t>means the date subsequent to a Change in Control on which the Employee is determined to have a</w:t>
      </w:r>
      <w:r>
        <w:rPr>
          <w:rFonts w:ascii="Arial" w:cs="Arial" w:eastAsia="Arial" w:hAnsi="Arial"/>
          <w:sz w:val="20"/>
          <w:szCs w:val="20"/>
          <w:b w:val="1"/>
          <w:bCs w:val="1"/>
          <w:color w:val="auto"/>
        </w:rPr>
        <w:t xml:space="preserve"> </w:t>
      </w:r>
      <w:r>
        <w:rPr>
          <w:rFonts w:ascii="Arial" w:cs="Arial" w:eastAsia="Arial" w:hAnsi="Arial"/>
          <w:sz w:val="20"/>
          <w:szCs w:val="20"/>
          <w:color w:val="auto"/>
        </w:rPr>
        <w:t>Disability.</w:t>
      </w:r>
    </w:p>
    <w:p>
      <w:pPr>
        <w:sectPr>
          <w:pgSz w:w="11900" w:h="16838" w:orient="portrait"/>
          <w:cols w:equalWidth="0" w:num="1">
            <w:col w:w="10220"/>
          </w:cols>
          <w:pgMar w:left="1440" w:top="555" w:right="239" w:bottom="1440" w:gutter="0" w:footer="0" w:header="0"/>
        </w:sectPr>
      </w:pPr>
    </w:p>
    <w:bookmarkStart w:id="166" w:name="page167"/>
    <w:bookmarkEnd w:id="166"/>
    <w:p>
      <w:pPr>
        <w:ind w:left="220" w:right="14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78"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“ERISA” </w:t>
      </w:r>
      <w:r>
        <w:rPr>
          <w:rFonts w:ascii="Arial" w:cs="Arial" w:eastAsia="Arial" w:hAnsi="Arial"/>
          <w:sz w:val="20"/>
          <w:szCs w:val="20"/>
          <w:color w:val="auto"/>
        </w:rPr>
        <w:t>means the Employee Retirement Income Security Act of 1974, as amended.</w:t>
      </w:r>
    </w:p>
    <w:p>
      <w:pPr>
        <w:spacing w:after="0" w:line="216" w:lineRule="exact"/>
        <w:rPr>
          <w:sz w:val="20"/>
          <w:szCs w:val="20"/>
          <w:color w:val="auto"/>
        </w:rPr>
      </w:pPr>
    </w:p>
    <w:p>
      <w:pPr>
        <w:ind w:left="220" w:right="600" w:hanging="26"/>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 or any successor act thereto.</w:t>
      </w:r>
    </w:p>
    <w:p>
      <w:pPr>
        <w:spacing w:after="0" w:line="164" w:lineRule="exact"/>
        <w:rPr>
          <w:sz w:val="20"/>
          <w:szCs w:val="20"/>
          <w:color w:val="auto"/>
        </w:rPr>
      </w:pPr>
    </w:p>
    <w:p>
      <w:pPr>
        <w:ind w:left="22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xml:space="preserve">” means those events or conditions described in </w:t>
      </w:r>
      <w:r>
        <w:rPr>
          <w:rFonts w:ascii="Arial" w:cs="Arial" w:eastAsia="Arial" w:hAnsi="Arial"/>
          <w:sz w:val="20"/>
          <w:szCs w:val="20"/>
          <w:u w:val="single" w:color="auto"/>
          <w:color w:val="auto"/>
        </w:rPr>
        <w:t>subsections 9(c)</w:t>
      </w:r>
      <w:r>
        <w:rPr>
          <w:rFonts w:ascii="Arial" w:cs="Arial" w:eastAsia="Arial" w:hAnsi="Arial"/>
          <w:sz w:val="20"/>
          <w:szCs w:val="20"/>
          <w:color w:val="auto"/>
        </w:rPr>
        <w:t xml:space="preserve"> below.</w:t>
      </w:r>
    </w:p>
    <w:p>
      <w:pPr>
        <w:spacing w:after="0" w:line="27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“NONQUALIFIED DEFERRED COMPENSATION PLAN” </w:t>
      </w:r>
      <w:r>
        <w:rPr>
          <w:rFonts w:ascii="Arial" w:cs="Arial" w:eastAsia="Arial" w:hAnsi="Arial"/>
          <w:sz w:val="20"/>
          <w:szCs w:val="20"/>
          <w:color w:val="auto"/>
        </w:rPr>
        <w:t>means the Company’s</w:t>
      </w:r>
    </w:p>
    <w:p>
      <w:pPr>
        <w:spacing w:after="0" w:line="22" w:lineRule="exact"/>
        <w:rPr>
          <w:sz w:val="20"/>
          <w:szCs w:val="20"/>
          <w:color w:val="auto"/>
        </w:rPr>
      </w:pPr>
    </w:p>
    <w:p>
      <w:pPr>
        <w:ind w:left="220" w:right="300"/>
        <w:spacing w:after="0" w:line="244" w:lineRule="auto"/>
        <w:rPr>
          <w:sz w:val="20"/>
          <w:szCs w:val="20"/>
          <w:color w:val="auto"/>
        </w:rPr>
      </w:pPr>
      <w:r>
        <w:rPr>
          <w:rFonts w:ascii="Arial" w:cs="Arial" w:eastAsia="Arial" w:hAnsi="Arial"/>
          <w:sz w:val="20"/>
          <w:szCs w:val="20"/>
          <w:color w:val="auto"/>
        </w:rPr>
        <w:t>Nonqualified Deferred Compensation Plan as amended and restated effective January 1, 2011, and as amended or replaced from time to time thereafter prior to the Effective Date.</w:t>
      </w:r>
    </w:p>
    <w:p>
      <w:pPr>
        <w:spacing w:after="0" w:line="186" w:lineRule="exact"/>
        <w:rPr>
          <w:sz w:val="20"/>
          <w:szCs w:val="20"/>
          <w:color w:val="auto"/>
        </w:rPr>
      </w:pPr>
    </w:p>
    <w:p>
      <w:pPr>
        <w:ind w:left="220" w:right="8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TERMINATION</w:t>
      </w:r>
      <w:r>
        <w:rPr>
          <w:rFonts w:ascii="Arial" w:cs="Arial" w:eastAsia="Arial" w:hAnsi="Arial"/>
          <w:sz w:val="20"/>
          <w:szCs w:val="20"/>
          <w:color w:val="auto"/>
        </w:rPr>
        <w:t>” means a notice which indicates the specific termination provision in this Agreement, if any, relied upon and shall set forth in reasonable detail the facts and circumstances claimed to provide a basis for termination of Employee’s employment under the provisions so indicated. Any purported termination by the Company or Employee shall be communicated by written notice of termination to the other.</w:t>
      </w:r>
    </w:p>
    <w:p>
      <w:pPr>
        <w:spacing w:after="0" w:line="184" w:lineRule="exact"/>
        <w:rPr>
          <w:sz w:val="20"/>
          <w:szCs w:val="20"/>
          <w:color w:val="auto"/>
        </w:rPr>
      </w:pPr>
    </w:p>
    <w:p>
      <w:pPr>
        <w:ind w:left="220" w:right="4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OMNIBUS INCENTIVE COMPENSATION PLANS</w:t>
      </w:r>
      <w:r>
        <w:rPr>
          <w:rFonts w:ascii="Arial" w:cs="Arial" w:eastAsia="Arial" w:hAnsi="Arial"/>
          <w:sz w:val="20"/>
          <w:szCs w:val="20"/>
          <w:color w:val="auto"/>
        </w:rPr>
        <w:t>” means the incentive compensation plans known as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184" w:lineRule="exact"/>
        <w:rPr>
          <w:sz w:val="20"/>
          <w:szCs w:val="20"/>
          <w:color w:val="auto"/>
        </w:rPr>
      </w:pPr>
    </w:p>
    <w:p>
      <w:pPr>
        <w:ind w:left="220" w:right="100"/>
        <w:spacing w:after="0" w:line="267" w:lineRule="auto"/>
        <w:rPr>
          <w:sz w:val="20"/>
          <w:szCs w:val="20"/>
          <w:color w:val="auto"/>
        </w:rPr>
      </w:pPr>
      <w:r>
        <w:rPr>
          <w:rFonts w:ascii="Arial" w:cs="Arial" w:eastAsia="Arial" w:hAnsi="Arial"/>
          <w:sz w:val="20"/>
          <w:szCs w:val="20"/>
          <w:b w:val="1"/>
          <w:bCs w:val="1"/>
          <w:color w:val="auto"/>
        </w:rPr>
        <w:t xml:space="preserve">“2005 PENSION EQUALIZATION PLAN” </w:t>
      </w:r>
      <w:r>
        <w:rPr>
          <w:rFonts w:ascii="Arial" w:cs="Arial" w:eastAsia="Arial" w:hAnsi="Arial"/>
          <w:sz w:val="20"/>
          <w:szCs w:val="20"/>
          <w:color w:val="auto"/>
        </w:rPr>
        <w:t>means the Company’s 2005 Pension Equalization Plan as in effect on January</w:t>
      </w:r>
      <w:r>
        <w:rPr>
          <w:rFonts w:ascii="Arial" w:cs="Arial" w:eastAsia="Arial" w:hAnsi="Arial"/>
          <w:sz w:val="20"/>
          <w:szCs w:val="20"/>
          <w:b w:val="1"/>
          <w:bCs w:val="1"/>
          <w:color w:val="auto"/>
        </w:rPr>
        <w:t xml:space="preserve"> </w:t>
      </w:r>
      <w:r>
        <w:rPr>
          <w:rFonts w:ascii="Arial" w:cs="Arial" w:eastAsia="Arial" w:hAnsi="Arial"/>
          <w:sz w:val="20"/>
          <w:szCs w:val="20"/>
          <w:color w:val="auto"/>
        </w:rPr>
        <w:t>1, 2008 and as amended or replaced from time to time thereafter prior to the Effective Date.</w:t>
      </w:r>
    </w:p>
    <w:p>
      <w:pPr>
        <w:spacing w:after="0" w:line="164" w:lineRule="exact"/>
        <w:rPr>
          <w:sz w:val="20"/>
          <w:szCs w:val="20"/>
          <w:color w:val="auto"/>
        </w:rPr>
      </w:pPr>
    </w:p>
    <w:p>
      <w:pPr>
        <w:ind w:left="220" w:right="50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means the Company’s tax qualified defined benefit pension plan as amended and restated effective October 1, 2000, and as amended from time to time thereafter prior to the Effective Date.</w:t>
      </w:r>
    </w:p>
    <w:p>
      <w:pPr>
        <w:spacing w:after="0" w:line="164" w:lineRule="exact"/>
        <w:rPr>
          <w:sz w:val="20"/>
          <w:szCs w:val="20"/>
          <w:color w:val="auto"/>
        </w:rPr>
      </w:pPr>
    </w:p>
    <w:p>
      <w:pPr>
        <w:ind w:left="2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have the meaning ascribed to such term in Section 3(a)(9) of the Exchange Act and used in Sections 13(d) and 14(d) thereof, including a “group” as defined in Section 13(d).</w:t>
      </w:r>
    </w:p>
    <w:p>
      <w:pPr>
        <w:spacing w:after="0" w:line="164" w:lineRule="exact"/>
        <w:rPr>
          <w:sz w:val="20"/>
          <w:szCs w:val="20"/>
          <w:color w:val="auto"/>
        </w:rPr>
      </w:pPr>
    </w:p>
    <w:p>
      <w:pPr>
        <w:ind w:left="220" w:right="2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PROTECTION PERIOD</w:t>
      </w:r>
      <w:r>
        <w:rPr>
          <w:rFonts w:ascii="Arial" w:cs="Arial" w:eastAsia="Arial" w:hAnsi="Arial"/>
          <w:sz w:val="20"/>
          <w:szCs w:val="20"/>
          <w:color w:val="auto"/>
        </w:rPr>
        <w:t>” means the time period beginning on the Effective Date and ending on the third anniversary of the Effective Date.</w:t>
      </w:r>
    </w:p>
    <w:p>
      <w:pPr>
        <w:spacing w:after="0" w:line="164" w:lineRule="exact"/>
        <w:rPr>
          <w:sz w:val="20"/>
          <w:szCs w:val="20"/>
          <w:color w:val="auto"/>
        </w:rPr>
      </w:pPr>
    </w:p>
    <w:p>
      <w:pPr>
        <w:ind w:left="220" w:right="140" w:hanging="26"/>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RELATED COMPANY</w:t>
      </w:r>
      <w:r>
        <w:rPr>
          <w:rFonts w:ascii="Arial" w:cs="Arial" w:eastAsia="Arial" w:hAnsi="Arial"/>
          <w:sz w:val="18"/>
          <w:szCs w:val="18"/>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160" w:lineRule="exact"/>
        <w:rPr>
          <w:sz w:val="20"/>
          <w:szCs w:val="20"/>
          <w:color w:val="auto"/>
        </w:rPr>
      </w:pPr>
    </w:p>
    <w:p>
      <w:pPr>
        <w:ind w:left="220"/>
        <w:spacing w:after="0"/>
        <w:rPr>
          <w:sz w:val="20"/>
          <w:szCs w:val="20"/>
          <w:color w:val="auto"/>
        </w:rPr>
      </w:pPr>
      <w:r>
        <w:rPr>
          <w:rFonts w:ascii="Arial" w:cs="Arial" w:eastAsia="Arial" w:hAnsi="Arial"/>
          <w:sz w:val="20"/>
          <w:szCs w:val="20"/>
          <w:b w:val="1"/>
          <w:bCs w:val="1"/>
          <w:color w:val="auto"/>
        </w:rPr>
        <w:t xml:space="preserve">“RESTORATION PLAN” </w:t>
      </w:r>
      <w:r>
        <w:rPr>
          <w:rFonts w:ascii="Arial" w:cs="Arial" w:eastAsia="Arial" w:hAnsi="Arial"/>
          <w:sz w:val="20"/>
          <w:szCs w:val="20"/>
          <w:color w:val="auto"/>
        </w:rPr>
        <w:t>means the Company’s Restoration Plan as in effect on January 1,</w:t>
      </w:r>
    </w:p>
    <w:p>
      <w:pPr>
        <w:sectPr>
          <w:pgSz w:w="11900" w:h="16838" w:orient="portrait"/>
          <w:cols w:equalWidth="0" w:num="1">
            <w:col w:w="10220"/>
          </w:cols>
          <w:pgMar w:left="1440" w:top="859" w:right="239" w:bottom="1440" w:gutter="0" w:footer="0" w:header="0"/>
        </w:sectPr>
      </w:pPr>
    </w:p>
    <w:bookmarkStart w:id="167" w:name="page168"/>
    <w:bookmarkEnd w:id="167"/>
    <w:p>
      <w:pPr>
        <w:ind w:left="1340"/>
        <w:spacing w:after="0"/>
        <w:rPr>
          <w:sz w:val="20"/>
          <w:szCs w:val="20"/>
          <w:color w:val="auto"/>
        </w:rPr>
      </w:pPr>
      <w:r>
        <w:rPr>
          <w:rFonts w:ascii="Arial" w:cs="Arial" w:eastAsia="Arial" w:hAnsi="Arial"/>
          <w:sz w:val="20"/>
          <w:szCs w:val="20"/>
          <w:color w:val="auto"/>
        </w:rPr>
        <w:t>2008 and as amended or replaced from time to time thereafter prior to the Effective Date.</w:t>
      </w:r>
    </w:p>
    <w:p>
      <w:pPr>
        <w:spacing w:after="0" w:line="210" w:lineRule="exact"/>
        <w:rPr>
          <w:sz w:val="20"/>
          <w:szCs w:val="20"/>
          <w:color w:val="auto"/>
        </w:rPr>
      </w:pPr>
    </w:p>
    <w:p>
      <w:pPr>
        <w:ind w:left="1300" w:right="440"/>
        <w:spacing w:after="0" w:line="293" w:lineRule="auto"/>
        <w:rPr>
          <w:sz w:val="20"/>
          <w:szCs w:val="20"/>
          <w:color w:val="auto"/>
        </w:rPr>
      </w:pPr>
      <w:r>
        <w:rPr>
          <w:rFonts w:ascii="Arial" w:cs="Arial" w:eastAsia="Arial" w:hAnsi="Arial"/>
          <w:sz w:val="19"/>
          <w:szCs w:val="19"/>
          <w:b w:val="1"/>
          <w:bCs w:val="1"/>
          <w:color w:val="auto"/>
        </w:rPr>
        <w:t xml:space="preserve">“RETIREE HEALTHCARE PLAN” </w:t>
      </w:r>
      <w:r>
        <w:rPr>
          <w:rFonts w:ascii="Arial" w:cs="Arial" w:eastAsia="Arial" w:hAnsi="Arial"/>
          <w:sz w:val="19"/>
          <w:szCs w:val="19"/>
          <w:color w:val="auto"/>
        </w:rPr>
        <w:t>means the Company’s Retiree Healthcare Plan as amended and restated effective</w:t>
      </w:r>
      <w:r>
        <w:rPr>
          <w:rFonts w:ascii="Arial" w:cs="Arial" w:eastAsia="Arial" w:hAnsi="Arial"/>
          <w:sz w:val="19"/>
          <w:szCs w:val="19"/>
          <w:b w:val="1"/>
          <w:bCs w:val="1"/>
          <w:color w:val="auto"/>
        </w:rPr>
        <w:t xml:space="preserve"> </w:t>
      </w:r>
      <w:r>
        <w:rPr>
          <w:rFonts w:ascii="Arial" w:cs="Arial" w:eastAsia="Arial" w:hAnsi="Arial"/>
          <w:sz w:val="19"/>
          <w:szCs w:val="19"/>
          <w:color w:val="auto"/>
        </w:rPr>
        <w:t>January 1, 2015, and as further amended from time to time thereafter prior to the Effective Date.</w:t>
      </w:r>
    </w:p>
    <w:p>
      <w:pPr>
        <w:spacing w:after="0" w:line="142" w:lineRule="exact"/>
        <w:rPr>
          <w:sz w:val="20"/>
          <w:szCs w:val="20"/>
          <w:color w:val="auto"/>
        </w:rPr>
      </w:pPr>
    </w:p>
    <w:p>
      <w:pPr>
        <w:ind w:left="1340" w:right="200"/>
        <w:spacing w:after="0" w:line="323"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RETIREMENT SAVINGS PLAN</w:t>
      </w:r>
      <w:r>
        <w:rPr>
          <w:rFonts w:ascii="Arial" w:cs="Arial" w:eastAsia="Arial" w:hAnsi="Arial"/>
          <w:sz w:val="18"/>
          <w:szCs w:val="18"/>
          <w:color w:val="auto"/>
        </w:rPr>
        <w:t>” means the Black Hills Corporation Retirement Savings Plan (401K) as amended and restated effective January 1, 2016, and as further amended from time to time thereafter prior to the Effective Date.</w:t>
      </w:r>
    </w:p>
    <w:p>
      <w:pPr>
        <w:spacing w:after="0" w:line="118" w:lineRule="exact"/>
        <w:rPr>
          <w:sz w:val="20"/>
          <w:szCs w:val="20"/>
          <w:color w:val="auto"/>
        </w:rPr>
      </w:pPr>
    </w:p>
    <w:p>
      <w:pPr>
        <w:ind w:left="1340" w:right="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SEVERANCE COMPENSATION</w:t>
      </w:r>
      <w:r>
        <w:rPr>
          <w:rFonts w:ascii="Arial" w:cs="Arial" w:eastAsia="Arial" w:hAnsi="Arial"/>
          <w:sz w:val="20"/>
          <w:szCs w:val="20"/>
          <w:color w:val="auto"/>
        </w:rPr>
        <w:t>” means the Employee’s base salary and annual incentive target on the day immediately prior to the Effective Date.</w:t>
      </w:r>
    </w:p>
    <w:p>
      <w:pPr>
        <w:spacing w:after="0" w:line="164" w:lineRule="exact"/>
        <w:rPr>
          <w:sz w:val="20"/>
          <w:szCs w:val="20"/>
          <w:color w:val="auto"/>
        </w:rPr>
      </w:pPr>
    </w:p>
    <w:p>
      <w:pPr>
        <w:ind w:left="1340" w:right="30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partnership, limited liability company, joint venture, or other entity in which the Company has a majority voting interest.</w:t>
      </w:r>
    </w:p>
    <w:p>
      <w:pPr>
        <w:spacing w:after="0" w:line="164" w:lineRule="exact"/>
        <w:rPr>
          <w:sz w:val="20"/>
          <w:szCs w:val="20"/>
          <w:color w:val="auto"/>
        </w:rPr>
      </w:pPr>
    </w:p>
    <w:p>
      <w:pPr>
        <w:jc w:val="both"/>
        <w:ind w:left="1340" w:right="1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EMPLOYER</w:t>
      </w:r>
      <w:r>
        <w:rPr>
          <w:rFonts w:ascii="Arial" w:cs="Arial" w:eastAsia="Arial" w:hAnsi="Arial"/>
          <w:sz w:val="20"/>
          <w:szCs w:val="20"/>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78" w:lineRule="exact"/>
        <w:rPr>
          <w:sz w:val="20"/>
          <w:szCs w:val="20"/>
          <w:color w:val="auto"/>
        </w:rPr>
      </w:pPr>
    </w:p>
    <w:p>
      <w:pPr>
        <w:ind w:left="1300" w:right="1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subsequent to the Effective Date, of the Employee’s separation from service (as defined for purposes of Code Section 409A) with the Company and all Related Companies.</w:t>
      </w:r>
    </w:p>
    <w:p>
      <w:pPr>
        <w:spacing w:after="0" w:line="164" w:lineRule="exact"/>
        <w:rPr>
          <w:sz w:val="20"/>
          <w:szCs w:val="20"/>
          <w:color w:val="auto"/>
        </w:rPr>
      </w:pPr>
    </w:p>
    <w:p>
      <w:pPr>
        <w:ind w:left="1300"/>
        <w:spacing w:after="0" w:line="28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WELFARE BENEFITS</w:t>
      </w:r>
      <w:r>
        <w:rPr>
          <w:rFonts w:ascii="Arial" w:cs="Arial" w:eastAsia="Arial" w:hAnsi="Arial"/>
          <w:sz w:val="18"/>
          <w:szCs w:val="18"/>
          <w:color w:val="auto"/>
        </w:rPr>
        <w:t>” means the Black Hills Corporation Medical and Dental Plan, the Black Hills Corporation Flexible Benefit Plan, and the Black Hills Corporation Employee Life and Long-Term Disability Plan, and the Short-Term Disability Plan, as the plans and the terms and conditions thereof exist on the day immediately prior to the Effective Date. Following the Employee’s Termination Date, the term Welfare Benefits shall not include a “flexible spending arrangement” (within the meaning of Proposed Regulation Section 1.125-5(a) or subsequent authoritative guidance).</w:t>
      </w:r>
    </w:p>
    <w:p>
      <w:pPr>
        <w:spacing w:after="0" w:line="157" w:lineRule="exact"/>
        <w:rPr>
          <w:sz w:val="20"/>
          <w:szCs w:val="20"/>
          <w:color w:val="auto"/>
        </w:rPr>
      </w:pPr>
    </w:p>
    <w:p>
      <w:pPr>
        <w:ind w:left="680" w:hanging="644"/>
        <w:spacing w:after="0"/>
        <w:tabs>
          <w:tab w:leader="none" w:pos="680" w:val="left"/>
        </w:tabs>
        <w:numPr>
          <w:ilvl w:val="0"/>
          <w:numId w:val="124"/>
        </w:numPr>
        <w:rPr>
          <w:rFonts w:ascii="Arial" w:cs="Arial" w:eastAsia="Arial" w:hAnsi="Arial"/>
          <w:sz w:val="18"/>
          <w:szCs w:val="18"/>
          <w:color w:val="auto"/>
        </w:rPr>
      </w:pPr>
      <w:r>
        <w:rPr>
          <w:rFonts w:ascii="Arial" w:cs="Arial" w:eastAsia="Arial" w:hAnsi="Arial"/>
          <w:sz w:val="20"/>
          <w:szCs w:val="20"/>
          <w:b w:val="1"/>
          <w:bCs w:val="1"/>
          <w:u w:val="single" w:color="auto"/>
          <w:color w:val="auto"/>
        </w:rPr>
        <w:t>TERM OF AGREEMENT</w:t>
      </w:r>
      <w:r>
        <w:rPr>
          <w:rFonts w:ascii="Arial" w:cs="Arial" w:eastAsia="Arial" w:hAnsi="Arial"/>
          <w:sz w:val="20"/>
          <w:szCs w:val="20"/>
          <w:b w:val="1"/>
          <w:bCs w:val="1"/>
          <w:color w:val="auto"/>
        </w:rPr>
        <w:t>.</w:t>
      </w:r>
    </w:p>
    <w:p>
      <w:pPr>
        <w:spacing w:after="0" w:line="276"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The Term of this Agreement shall commence on the date of execution and shall continue in effect until November 15, 2022. If no Change in Control shall have occurred during the Term, this Agreement shall expire. If a Change in Control occurs during the Term, this Agreement shall remain in effect for full performance according to its terms. Upon expiration of the Term prior to a Change in Control, the Company, by action of its Board of Directors, may elect to renew or not renew this Agreement, or may offer to renew the Agreement subject to modifications of any term or condition, at its discretion. The Board of Directors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187" w:lineRule="exact"/>
        <w:rPr>
          <w:sz w:val="20"/>
          <w:szCs w:val="20"/>
          <w:color w:val="auto"/>
        </w:rPr>
      </w:pPr>
    </w:p>
    <w:p>
      <w:pPr>
        <w:ind w:left="680" w:hanging="644"/>
        <w:spacing w:after="0"/>
        <w:tabs>
          <w:tab w:leader="none" w:pos="680" w:val="left"/>
        </w:tabs>
        <w:numPr>
          <w:ilvl w:val="0"/>
          <w:numId w:val="125"/>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76" w:lineRule="exact"/>
        <w:rPr>
          <w:sz w:val="20"/>
          <w:szCs w:val="20"/>
          <w:color w:val="auto"/>
        </w:rPr>
      </w:pPr>
    </w:p>
    <w:p>
      <w:pPr>
        <w:ind w:right="180" w:firstLine="648"/>
        <w:spacing w:after="0" w:line="278" w:lineRule="auto"/>
        <w:rPr>
          <w:sz w:val="20"/>
          <w:szCs w:val="20"/>
          <w:color w:val="auto"/>
        </w:rPr>
      </w:pPr>
      <w:r>
        <w:rPr>
          <w:rFonts w:ascii="Arial" w:cs="Arial" w:eastAsia="Arial" w:hAnsi="Arial"/>
          <w:sz w:val="18"/>
          <w:szCs w:val="18"/>
          <w:color w:val="auto"/>
        </w:rPr>
        <w:t>Subject to the provisions of this Agreement, during the Protection Period the Company or Successor Employer agrees to continue to employ the Employee and the Employee agrees to remain in the employ of the Company or Successor Employer.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ectPr>
          <w:pgSz w:w="11900" w:h="16838" w:orient="portrait"/>
          <w:cols w:equalWidth="0" w:num="1">
            <w:col w:w="11300"/>
          </w:cols>
          <w:pgMar w:left="320" w:top="555" w:right="279" w:bottom="1440" w:gutter="0" w:footer="0" w:header="0"/>
        </w:sectPr>
      </w:pPr>
    </w:p>
    <w:bookmarkStart w:id="168" w:name="page169"/>
    <w:bookmarkEnd w:id="168"/>
    <w:p>
      <w:pPr>
        <w:ind w:left="40" w:firstLine="648"/>
        <w:spacing w:after="0" w:line="274" w:lineRule="auto"/>
        <w:rPr>
          <w:sz w:val="20"/>
          <w:szCs w:val="20"/>
          <w:color w:val="auto"/>
        </w:rPr>
      </w:pPr>
      <w:r>
        <w:rPr>
          <w:rFonts w:ascii="Arial" w:cs="Arial" w:eastAsia="Arial" w:hAnsi="Arial"/>
          <w:sz w:val="18"/>
          <w:szCs w:val="18"/>
          <w:color w:val="auto"/>
        </w:rPr>
        <w:t>During the Protection Period, excluding periods of vacation, sick leave or another approved leave of absence, Employee agrees to devote full attention and time to the business and affairs of the Company or Successor Employer to the extent necessary to discharge the responsibilities assigned to Employee hereunder.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or Successor Employer. In addition, if Employee serves on a public Board of Directors prior to the Effective Date, the Employee shall retain the right to continue to serve on that particular Board.</w:t>
      </w:r>
    </w:p>
    <w:p>
      <w:pPr>
        <w:spacing w:after="0" w:line="163" w:lineRule="exact"/>
        <w:rPr>
          <w:sz w:val="20"/>
          <w:szCs w:val="20"/>
          <w:color w:val="auto"/>
        </w:rPr>
      </w:pPr>
    </w:p>
    <w:p>
      <w:pPr>
        <w:ind w:left="680" w:hanging="644"/>
        <w:spacing w:after="0"/>
        <w:tabs>
          <w:tab w:leader="none" w:pos="680" w:val="left"/>
        </w:tabs>
        <w:numPr>
          <w:ilvl w:val="0"/>
          <w:numId w:val="126"/>
        </w:numPr>
        <w:rPr>
          <w:rFonts w:ascii="Arial" w:cs="Arial" w:eastAsia="Arial" w:hAnsi="Arial"/>
          <w:sz w:val="18"/>
          <w:szCs w:val="18"/>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76" w:lineRule="exact"/>
        <w:rPr>
          <w:sz w:val="20"/>
          <w:szCs w:val="20"/>
          <w:color w:val="auto"/>
        </w:rPr>
      </w:pPr>
    </w:p>
    <w:p>
      <w:pPr>
        <w:ind w:left="40" w:right="80" w:firstLine="648"/>
        <w:spacing w:after="0" w:line="246" w:lineRule="auto"/>
        <w:rPr>
          <w:sz w:val="20"/>
          <w:szCs w:val="20"/>
          <w:color w:val="auto"/>
        </w:rPr>
      </w:pPr>
      <w:r>
        <w:rPr>
          <w:rFonts w:ascii="Arial" w:cs="Arial" w:eastAsia="Arial" w:hAnsi="Arial"/>
          <w:sz w:val="20"/>
          <w:szCs w:val="20"/>
          <w:color w:val="auto"/>
        </w:rPr>
        <w:t>During the Protection Period, the Company or Successor Employer agrees to pay or cause to be paid to 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186" w:lineRule="exact"/>
        <w:rPr>
          <w:sz w:val="20"/>
          <w:szCs w:val="20"/>
          <w:color w:val="auto"/>
        </w:rPr>
      </w:pPr>
    </w:p>
    <w:p>
      <w:pPr>
        <w:ind w:left="680" w:hanging="644"/>
        <w:spacing w:after="0"/>
        <w:tabs>
          <w:tab w:leader="none" w:pos="680" w:val="left"/>
        </w:tabs>
        <w:numPr>
          <w:ilvl w:val="0"/>
          <w:numId w:val="127"/>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EMPLOYEE WELFARE AND PENSION BENEFITS</w:t>
      </w:r>
      <w:r>
        <w:rPr>
          <w:rFonts w:ascii="Arial" w:cs="Arial" w:eastAsia="Arial" w:hAnsi="Arial"/>
          <w:sz w:val="20"/>
          <w:szCs w:val="20"/>
          <w:b w:val="1"/>
          <w:bCs w:val="1"/>
          <w:color w:val="auto"/>
        </w:rPr>
        <w:t>.</w:t>
      </w:r>
    </w:p>
    <w:p>
      <w:pPr>
        <w:spacing w:after="0" w:line="276" w:lineRule="exact"/>
        <w:rPr>
          <w:sz w:val="20"/>
          <w:szCs w:val="20"/>
          <w:color w:val="auto"/>
        </w:rPr>
      </w:pPr>
    </w:p>
    <w:p>
      <w:pPr>
        <w:ind w:right="20" w:firstLine="648"/>
        <w:spacing w:after="0" w:line="256" w:lineRule="auto"/>
        <w:rPr>
          <w:sz w:val="20"/>
          <w:szCs w:val="20"/>
          <w:color w:val="auto"/>
        </w:rPr>
      </w:pPr>
      <w:r>
        <w:rPr>
          <w:rFonts w:ascii="Arial" w:cs="Arial" w:eastAsia="Arial" w:hAnsi="Arial"/>
          <w:sz w:val="19"/>
          <w:szCs w:val="19"/>
          <w:color w:val="auto"/>
        </w:rPr>
        <w:t xml:space="preserve">During the Protection Period, the Company or the Successor Employer shall provide to the Employee the Welfare Benefits (including Retiree Healthcare Plan credits for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and the Pension Plan, including supplemental medical insurance, travel accident insurance, short-term disability, long-term disability or life insurance benefits, or other substantially similar employee welfare and pension benefits,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179" w:lineRule="exact"/>
        <w:rPr>
          <w:sz w:val="20"/>
          <w:szCs w:val="20"/>
          <w:color w:val="auto"/>
        </w:rPr>
      </w:pPr>
    </w:p>
    <w:p>
      <w:pPr>
        <w:ind w:left="680" w:hanging="644"/>
        <w:spacing w:after="0"/>
        <w:tabs>
          <w:tab w:leader="none" w:pos="680" w:val="left"/>
        </w:tabs>
        <w:numPr>
          <w:ilvl w:val="0"/>
          <w:numId w:val="128"/>
        </w:numPr>
        <w:rPr>
          <w:rFonts w:ascii="Arial" w:cs="Arial" w:eastAsia="Arial" w:hAnsi="Arial"/>
          <w:sz w:val="18"/>
          <w:szCs w:val="18"/>
          <w:color w:val="auto"/>
        </w:rPr>
      </w:pPr>
      <w:r>
        <w:rPr>
          <w:rFonts w:ascii="Arial" w:cs="Arial" w:eastAsia="Arial" w:hAnsi="Arial"/>
          <w:sz w:val="20"/>
          <w:szCs w:val="20"/>
          <w:b w:val="1"/>
          <w:bCs w:val="1"/>
          <w:u w:val="single" w:color="auto"/>
          <w:color w:val="auto"/>
        </w:rPr>
        <w:t>2005 PENSION EQUALIZATION PLAN; RESTORATION PLAN</w:t>
      </w:r>
      <w:r>
        <w:rPr>
          <w:rFonts w:ascii="Arial" w:cs="Arial" w:eastAsia="Arial" w:hAnsi="Arial"/>
          <w:sz w:val="20"/>
          <w:szCs w:val="20"/>
          <w:b w:val="1"/>
          <w:bCs w:val="1"/>
          <w:color w:val="auto"/>
        </w:rPr>
        <w:t>.</w:t>
      </w:r>
    </w:p>
    <w:p>
      <w:pPr>
        <w:spacing w:after="0" w:line="276" w:lineRule="exact"/>
        <w:rPr>
          <w:sz w:val="20"/>
          <w:szCs w:val="20"/>
          <w:color w:val="auto"/>
        </w:rPr>
      </w:pPr>
    </w:p>
    <w:p>
      <w:pPr>
        <w:ind w:right="20" w:firstLine="648"/>
        <w:spacing w:after="0" w:line="250" w:lineRule="auto"/>
        <w:rPr>
          <w:sz w:val="20"/>
          <w:szCs w:val="20"/>
          <w:color w:val="auto"/>
        </w:rPr>
      </w:pPr>
      <w:r>
        <w:rPr>
          <w:rFonts w:ascii="Arial" w:cs="Arial" w:eastAsia="Arial" w:hAnsi="Arial"/>
          <w:sz w:val="20"/>
          <w:szCs w:val="20"/>
          <w:color w:val="auto"/>
        </w:rPr>
        <w:t>If Employee was a participant in the 2005 Pension Equalization Plan prior to the Effective Date, then during the Protection Period, the Company or Successor Employer shall continue to provide Employee with coverage and participation under the 2005 Pension Equalization Plan or a substantially similar supplemental retirement plan.</w:t>
      </w:r>
    </w:p>
    <w:p>
      <w:pPr>
        <w:spacing w:after="0" w:line="186" w:lineRule="exact"/>
        <w:rPr>
          <w:sz w:val="20"/>
          <w:szCs w:val="20"/>
          <w:color w:val="auto"/>
        </w:rPr>
      </w:pPr>
    </w:p>
    <w:p>
      <w:pPr>
        <w:ind w:right="100" w:firstLine="648"/>
        <w:spacing w:after="0" w:line="244" w:lineRule="auto"/>
        <w:rPr>
          <w:sz w:val="20"/>
          <w:szCs w:val="20"/>
          <w:color w:val="auto"/>
        </w:rPr>
      </w:pPr>
      <w:r>
        <w:rPr>
          <w:rFonts w:ascii="Arial" w:cs="Arial" w:eastAsia="Arial" w:hAnsi="Arial"/>
          <w:sz w:val="20"/>
          <w:szCs w:val="20"/>
          <w:color w:val="auto"/>
        </w:rPr>
        <w:t xml:space="preserve">If Employee was a participant in the Restoration Plan prior to the Effective Date, then during the Protection Period, the Company or Successor Employer shall continue to provide Employee with coverage and participation under the Restoration Plan or a substantially similar supplemental retirement plan. For purposes of this </w:t>
      </w:r>
      <w:r>
        <w:rPr>
          <w:rFonts w:ascii="Arial" w:cs="Arial" w:eastAsia="Arial" w:hAnsi="Arial"/>
          <w:sz w:val="20"/>
          <w:szCs w:val="20"/>
          <w:u w:val="single" w:color="auto"/>
          <w:color w:val="auto"/>
        </w:rPr>
        <w:t>Section 7</w:t>
      </w:r>
      <w:r>
        <w:rPr>
          <w:rFonts w:ascii="Arial" w:cs="Arial" w:eastAsia="Arial" w:hAnsi="Arial"/>
          <w:sz w:val="20"/>
          <w:szCs w:val="20"/>
          <w:color w:val="auto"/>
        </w:rPr>
        <w:t>, if the Employee is not entitled to any future benefit accruals in the Restoration Plan as of the Effective Date the Employee shall not be treated as a participant in the Restoration Plan for purposes of accruing benefits under the Restoration Plan.</w:t>
      </w:r>
    </w:p>
    <w:p>
      <w:pPr>
        <w:spacing w:after="0" w:line="195" w:lineRule="exact"/>
        <w:rPr>
          <w:sz w:val="20"/>
          <w:szCs w:val="20"/>
          <w:color w:val="auto"/>
        </w:rPr>
      </w:pPr>
    </w:p>
    <w:p>
      <w:pPr>
        <w:ind w:right="300" w:firstLine="648"/>
        <w:spacing w:after="0" w:line="260" w:lineRule="auto"/>
        <w:rPr>
          <w:sz w:val="20"/>
          <w:szCs w:val="20"/>
          <w:color w:val="auto"/>
        </w:rPr>
      </w:pPr>
      <w:r>
        <w:rPr>
          <w:rFonts w:ascii="Arial" w:cs="Arial" w:eastAsia="Arial" w:hAnsi="Arial"/>
          <w:sz w:val="20"/>
          <w:szCs w:val="20"/>
          <w:color w:val="auto"/>
        </w:rPr>
        <w:t>In no event shall coverage during the Protection Period be on a basis less favorable in terms of benefit levels and coverage than the 2005 Pension Equalization Plan and the Restoration Plan.</w:t>
      </w:r>
    </w:p>
    <w:p>
      <w:pPr>
        <w:spacing w:after="0" w:line="171" w:lineRule="exact"/>
        <w:rPr>
          <w:sz w:val="20"/>
          <w:szCs w:val="20"/>
          <w:color w:val="auto"/>
        </w:rPr>
      </w:pPr>
    </w:p>
    <w:p>
      <w:pPr>
        <w:ind w:left="660" w:hanging="651"/>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20"/>
          <w:szCs w:val="20"/>
          <w:b w:val="1"/>
          <w:bCs w:val="1"/>
          <w:u w:val="single" w:color="auto"/>
          <w:color w:val="auto"/>
        </w:rPr>
        <w:t>OTHER BENEFITS</w:t>
      </w:r>
      <w:r>
        <w:rPr>
          <w:rFonts w:ascii="Arial" w:cs="Arial" w:eastAsia="Arial" w:hAnsi="Arial"/>
          <w:sz w:val="20"/>
          <w:szCs w:val="20"/>
          <w:b w:val="1"/>
          <w:bCs w:val="1"/>
          <w:color w:val="auto"/>
        </w:rPr>
        <w:t>.</w:t>
      </w:r>
    </w:p>
    <w:p>
      <w:pPr>
        <w:spacing w:after="0" w:line="221" w:lineRule="exact"/>
        <w:rPr>
          <w:rFonts w:ascii="Arial" w:cs="Arial" w:eastAsia="Arial" w:hAnsi="Arial"/>
          <w:sz w:val="18"/>
          <w:szCs w:val="18"/>
          <w:color w:val="auto"/>
        </w:rPr>
      </w:pPr>
    </w:p>
    <w:p>
      <w:pPr>
        <w:ind w:left="680" w:right="100" w:firstLine="4"/>
        <w:spacing w:after="0" w:line="260" w:lineRule="auto"/>
        <w:tabs>
          <w:tab w:leader="none" w:pos="1420" w:val="left"/>
        </w:tabs>
        <w:numPr>
          <w:ilvl w:val="1"/>
          <w:numId w:val="129"/>
        </w:numPr>
        <w:rPr>
          <w:rFonts w:ascii="Arial" w:cs="Arial" w:eastAsia="Arial" w:hAnsi="Arial"/>
          <w:sz w:val="18"/>
          <w:szCs w:val="18"/>
          <w:color w:val="auto"/>
        </w:rPr>
      </w:pPr>
      <w:r>
        <w:rPr>
          <w:rFonts w:ascii="Arial" w:cs="Arial" w:eastAsia="Arial" w:hAnsi="Arial"/>
          <w:sz w:val="20"/>
          <w:szCs w:val="20"/>
          <w:u w:val="single" w:color="auto"/>
          <w:color w:val="auto"/>
        </w:rPr>
        <w:t>Executive and Fringe Benefits and Paid-Time-Off</w:t>
      </w:r>
      <w:r>
        <w:rPr>
          <w:rFonts w:ascii="Arial" w:cs="Arial" w:eastAsia="Arial" w:hAnsi="Arial"/>
          <w:sz w:val="20"/>
          <w:szCs w:val="20"/>
          <w:color w:val="auto"/>
        </w:rPr>
        <w:t>. During the Protection Period, Employee shall be entitled to all executive and fringe benefits and paid-time-off generally made available by the</w:t>
      </w:r>
    </w:p>
    <w:p>
      <w:pPr>
        <w:sectPr>
          <w:pgSz w:w="11900" w:h="16838" w:orient="portrait"/>
          <w:cols w:equalWidth="0" w:num="1">
            <w:col w:w="11320"/>
          </w:cols>
          <w:pgMar w:left="320" w:top="555" w:right="259" w:bottom="1440" w:gutter="0" w:footer="0" w:header="0"/>
        </w:sectPr>
      </w:pPr>
    </w:p>
    <w:bookmarkStart w:id="169" w:name="page170"/>
    <w:bookmarkEnd w:id="169"/>
    <w:p>
      <w:pPr>
        <w:jc w:val="both"/>
        <w:ind w:left="671" w:right="20"/>
        <w:spacing w:after="0" w:line="310" w:lineRule="auto"/>
        <w:rPr>
          <w:sz w:val="20"/>
          <w:szCs w:val="20"/>
          <w:color w:val="auto"/>
        </w:rPr>
      </w:pPr>
      <w:r>
        <w:rPr>
          <w:rFonts w:ascii="Arial" w:cs="Arial" w:eastAsia="Arial" w:hAnsi="Arial"/>
          <w:sz w:val="16"/>
          <w:szCs w:val="16"/>
          <w:color w:val="auto"/>
        </w:rPr>
        <w:t>Company or Successor Employer, as applicable, to its executives or other employees. Unless otherwise provided herein, the executive and fringe benefits and paid-time-off provided to Employee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130" w:lineRule="exact"/>
        <w:rPr>
          <w:sz w:val="20"/>
          <w:szCs w:val="20"/>
          <w:color w:val="auto"/>
        </w:rPr>
      </w:pPr>
    </w:p>
    <w:p>
      <w:pPr>
        <w:ind w:left="1211" w:right="320" w:hanging="563"/>
        <w:spacing w:after="0" w:line="251" w:lineRule="auto"/>
        <w:tabs>
          <w:tab w:leader="none" w:pos="1211" w:val="left"/>
        </w:tabs>
        <w:numPr>
          <w:ilvl w:val="1"/>
          <w:numId w:val="130"/>
        </w:numPr>
        <w:rPr>
          <w:rFonts w:ascii="Arial" w:cs="Arial" w:eastAsia="Arial" w:hAnsi="Arial"/>
          <w:sz w:val="18"/>
          <w:szCs w:val="18"/>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or Successor Employer. All reimbursements under this </w:t>
      </w:r>
      <w:r>
        <w:rPr>
          <w:rFonts w:ascii="Arial" w:cs="Arial" w:eastAsia="Arial" w:hAnsi="Arial"/>
          <w:sz w:val="20"/>
          <w:szCs w:val="20"/>
          <w:u w:val="single" w:color="auto"/>
          <w:color w:val="auto"/>
        </w:rPr>
        <w:t>Section 8(b)</w:t>
      </w:r>
      <w:r>
        <w:rPr>
          <w:rFonts w:ascii="Arial" w:cs="Arial" w:eastAsia="Arial" w:hAnsi="Arial"/>
          <w:sz w:val="20"/>
          <w:szCs w:val="20"/>
          <w:color w:val="auto"/>
        </w:rPr>
        <w:t xml:space="preserve"> will be paid as promptly as administratively practicable, but in no event later than by December 31</w:t>
      </w:r>
      <w:r>
        <w:rPr>
          <w:rFonts w:ascii="Arial" w:cs="Arial" w:eastAsia="Arial" w:hAnsi="Arial"/>
          <w:sz w:val="12"/>
          <w:szCs w:val="12"/>
          <w:color w:val="auto"/>
        </w:rPr>
        <w:t>st</w:t>
      </w:r>
      <w:r>
        <w:rPr>
          <w:rFonts w:ascii="Arial" w:cs="Arial" w:eastAsia="Arial" w:hAnsi="Arial"/>
          <w:sz w:val="20"/>
          <w:szCs w:val="20"/>
          <w:color w:val="auto"/>
        </w:rPr>
        <w:t xml:space="preserve"> of the year next following the calendar year in which the expense was incurred.</w:t>
      </w:r>
    </w:p>
    <w:p>
      <w:pPr>
        <w:spacing w:after="0" w:line="188" w:lineRule="exact"/>
        <w:rPr>
          <w:rFonts w:ascii="Arial" w:cs="Arial" w:eastAsia="Arial" w:hAnsi="Arial"/>
          <w:sz w:val="18"/>
          <w:szCs w:val="18"/>
          <w:color w:val="auto"/>
        </w:rPr>
      </w:pPr>
    </w:p>
    <w:p>
      <w:pPr>
        <w:ind w:left="651" w:right="60" w:hanging="3"/>
        <w:spacing w:after="0" w:line="247" w:lineRule="auto"/>
        <w:tabs>
          <w:tab w:leader="none" w:pos="1404" w:val="left"/>
        </w:tabs>
        <w:numPr>
          <w:ilvl w:val="1"/>
          <w:numId w:val="130"/>
        </w:numPr>
        <w:rPr>
          <w:rFonts w:ascii="Arial" w:cs="Arial" w:eastAsia="Arial" w:hAnsi="Arial"/>
          <w:sz w:val="17"/>
          <w:szCs w:val="17"/>
          <w:color w:val="auto"/>
        </w:rPr>
      </w:pPr>
      <w:r>
        <w:rPr>
          <w:rFonts w:ascii="Arial" w:cs="Arial" w:eastAsia="Arial" w:hAnsi="Arial"/>
          <w:sz w:val="19"/>
          <w:szCs w:val="19"/>
          <w:u w:val="single" w:color="auto"/>
          <w:color w:val="auto"/>
        </w:rPr>
        <w:t>Indemnity</w:t>
      </w:r>
      <w:r>
        <w:rPr>
          <w:rFonts w:ascii="Arial" w:cs="Arial" w:eastAsia="Arial" w:hAnsi="Arial"/>
          <w:sz w:val="19"/>
          <w:szCs w:val="19"/>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Arial" w:cs="Arial" w:eastAsia="Arial" w:hAnsi="Arial"/>
          <w:sz w:val="19"/>
          <w:szCs w:val="19"/>
          <w:u w:val="single" w:color="auto"/>
          <w:color w:val="auto"/>
        </w:rPr>
        <w:t>Section 8(c)</w:t>
      </w:r>
      <w:r>
        <w:rPr>
          <w:rFonts w:ascii="Arial" w:cs="Arial" w:eastAsia="Arial" w:hAnsi="Arial"/>
          <w:sz w:val="19"/>
          <w:szCs w:val="19"/>
          <w:color w:val="auto"/>
        </w:rPr>
        <w:t xml:space="preserve"> shall be made in accordance with the time specified under the Indemnity Agreement or D &amp; O coverage, but in no event later than by December 31</w:t>
      </w:r>
      <w:r>
        <w:rPr>
          <w:rFonts w:ascii="Arial" w:cs="Arial" w:eastAsia="Arial" w:hAnsi="Arial"/>
          <w:sz w:val="11"/>
          <w:szCs w:val="11"/>
          <w:color w:val="auto"/>
        </w:rPr>
        <w:t>st</w:t>
      </w:r>
      <w:r>
        <w:rPr>
          <w:rFonts w:ascii="Arial" w:cs="Arial" w:eastAsia="Arial" w:hAnsi="Arial"/>
          <w:sz w:val="19"/>
          <w:szCs w:val="19"/>
          <w:color w:val="auto"/>
        </w:rPr>
        <w:t xml:space="preserve"> of the year next following the year in which the expense was incurred.</w:t>
      </w:r>
    </w:p>
    <w:p>
      <w:pPr>
        <w:spacing w:after="0" w:line="171" w:lineRule="exact"/>
        <w:rPr>
          <w:rFonts w:ascii="Arial" w:cs="Arial" w:eastAsia="Arial" w:hAnsi="Arial"/>
          <w:sz w:val="17"/>
          <w:szCs w:val="17"/>
          <w:color w:val="auto"/>
        </w:rPr>
      </w:pPr>
    </w:p>
    <w:p>
      <w:pPr>
        <w:ind w:left="651" w:hanging="651"/>
        <w:spacing w:after="0"/>
        <w:tabs>
          <w:tab w:leader="none" w:pos="651" w:val="left"/>
        </w:tabs>
        <w:numPr>
          <w:ilvl w:val="0"/>
          <w:numId w:val="131"/>
        </w:numPr>
        <w:rPr>
          <w:rFonts w:ascii="Arial" w:cs="Arial" w:eastAsia="Arial" w:hAnsi="Arial"/>
          <w:sz w:val="18"/>
          <w:szCs w:val="18"/>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75" w:lineRule="exact"/>
        <w:rPr>
          <w:rFonts w:ascii="Arial" w:cs="Arial" w:eastAsia="Arial" w:hAnsi="Arial"/>
          <w:sz w:val="18"/>
          <w:szCs w:val="18"/>
          <w:color w:val="auto"/>
        </w:rPr>
      </w:pPr>
    </w:p>
    <w:p>
      <w:pPr>
        <w:ind w:left="651"/>
        <w:spacing w:after="0"/>
        <w:rPr>
          <w:rFonts w:ascii="Arial" w:cs="Arial" w:eastAsia="Arial" w:hAnsi="Arial"/>
          <w:sz w:val="18"/>
          <w:szCs w:val="18"/>
          <w:color w:val="auto"/>
        </w:rPr>
      </w:pPr>
      <w:r>
        <w:rPr>
          <w:rFonts w:ascii="Arial" w:cs="Arial" w:eastAsia="Arial" w:hAnsi="Arial"/>
          <w:sz w:val="20"/>
          <w:szCs w:val="20"/>
          <w:color w:val="auto"/>
        </w:rPr>
        <w:t>During the Protection Period, Employee’s employment hereunder may be terminated under the following circumstances:</w:t>
      </w:r>
    </w:p>
    <w:p>
      <w:pPr>
        <w:spacing w:after="0" w:line="215" w:lineRule="exact"/>
        <w:rPr>
          <w:rFonts w:ascii="Arial" w:cs="Arial" w:eastAsia="Arial" w:hAnsi="Arial"/>
          <w:sz w:val="18"/>
          <w:szCs w:val="18"/>
          <w:color w:val="auto"/>
        </w:rPr>
      </w:pPr>
    </w:p>
    <w:p>
      <w:pPr>
        <w:ind w:left="651" w:hanging="3"/>
        <w:spacing w:after="0" w:line="256" w:lineRule="auto"/>
        <w:tabs>
          <w:tab w:leader="none" w:pos="1404" w:val="left"/>
        </w:tabs>
        <w:numPr>
          <w:ilvl w:val="1"/>
          <w:numId w:val="131"/>
        </w:numPr>
        <w:rPr>
          <w:rFonts w:ascii="Arial" w:cs="Arial" w:eastAsia="Arial" w:hAnsi="Arial"/>
          <w:sz w:val="16"/>
          <w:szCs w:val="16"/>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The Company may terminate Employee’s employment for “Cause.” A termination of employment is for “Cause” if Employee (1) enters a guilty plea, pleads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or is convicted of a felony offense that is demonstrably injurious to the Company; (2) engages in misconduct which is demonstrably injurious to the Company, monetarily or otherwise; or (3)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168" w:lineRule="exact"/>
        <w:rPr>
          <w:rFonts w:ascii="Arial" w:cs="Arial" w:eastAsia="Arial" w:hAnsi="Arial"/>
          <w:sz w:val="16"/>
          <w:szCs w:val="16"/>
          <w:color w:val="auto"/>
        </w:rPr>
      </w:pPr>
    </w:p>
    <w:p>
      <w:pPr>
        <w:jc w:val="both"/>
        <w:ind w:left="651" w:right="200" w:hanging="3"/>
        <w:spacing w:after="0" w:line="237" w:lineRule="auto"/>
        <w:tabs>
          <w:tab w:leader="none" w:pos="1414" w:val="left"/>
        </w:tabs>
        <w:numPr>
          <w:ilvl w:val="1"/>
          <w:numId w:val="131"/>
        </w:numPr>
        <w:rPr>
          <w:rFonts w:ascii="Arial" w:cs="Arial" w:eastAsia="Arial" w:hAnsi="Arial"/>
          <w:sz w:val="18"/>
          <w:szCs w:val="18"/>
          <w:color w:val="auto"/>
        </w:rPr>
      </w:pPr>
      <w:r>
        <w:rPr>
          <w:rFonts w:ascii="Arial" w:cs="Arial" w:eastAsia="Arial" w:hAnsi="Arial"/>
          <w:sz w:val="20"/>
          <w:szCs w:val="20"/>
          <w:u w:val="single" w:color="auto"/>
          <w:color w:val="auto"/>
        </w:rPr>
        <w:t>Disability</w:t>
      </w:r>
      <w:r>
        <w:rPr>
          <w:rFonts w:ascii="Arial" w:cs="Arial" w:eastAsia="Arial" w:hAnsi="Arial"/>
          <w:sz w:val="20"/>
          <w:szCs w:val="20"/>
          <w:color w:val="auto"/>
        </w:rPr>
        <w:t>. The Company may terminate Employee’s employment after the Employee’s Disability Date. Employee shall be entitled to the compensation and benefits provided for under this Agreement for any period during the Protection Period and prior to the Employee’s Disability Date, during which Employee is unable to work due to a physical or mental infirmity, and up to the Employee’s Disability</w:t>
      </w:r>
    </w:p>
    <w:p>
      <w:pPr>
        <w:sectPr>
          <w:pgSz w:w="11900" w:h="16838" w:orient="portrait"/>
          <w:cols w:equalWidth="0" w:num="1">
            <w:col w:w="11331"/>
          </w:cols>
          <w:pgMar w:left="329" w:top="555" w:right="239" w:bottom="1440" w:gutter="0" w:footer="0" w:header="0"/>
        </w:sectPr>
      </w:pPr>
    </w:p>
    <w:bookmarkStart w:id="170" w:name="page171"/>
    <w:bookmarkEnd w:id="170"/>
    <w:p>
      <w:pPr>
        <w:ind w:left="660" w:right="240"/>
        <w:spacing w:after="0" w:line="234" w:lineRule="auto"/>
        <w:rPr>
          <w:sz w:val="20"/>
          <w:szCs w:val="20"/>
          <w:color w:val="auto"/>
        </w:rPr>
      </w:pPr>
      <w:r>
        <w:rPr>
          <w:rFonts w:ascii="Arial" w:cs="Arial" w:eastAsia="Arial" w:hAnsi="Arial"/>
          <w:sz w:val="20"/>
          <w:szCs w:val="20"/>
          <w:color w:val="auto"/>
        </w:rPr>
        <w:t>Date. Notwithstanding anything contained in this Agreement to the contrary, and subject to applicable law and the provisions of the Company’s long-term disability policy, until the Termination Date specified in a Notice of Termination relating to Employee’s Disability, Employee shall be entitled to return to Employee’s position with the Company as set forth in this Agreement, in which event no Disability Date will be deemed to have occurred.</w:t>
      </w:r>
    </w:p>
    <w:p>
      <w:pPr>
        <w:spacing w:after="0" w:line="184" w:lineRule="exact"/>
        <w:rPr>
          <w:sz w:val="20"/>
          <w:szCs w:val="20"/>
          <w:color w:val="auto"/>
        </w:rPr>
      </w:pPr>
    </w:p>
    <w:p>
      <w:pPr>
        <w:ind w:left="660" w:right="20" w:hanging="3"/>
        <w:spacing w:after="0" w:line="243" w:lineRule="auto"/>
        <w:tabs>
          <w:tab w:leader="none" w:pos="1413" w:val="left"/>
        </w:tabs>
        <w:numPr>
          <w:ilvl w:val="0"/>
          <w:numId w:val="132"/>
        </w:numPr>
        <w:rPr>
          <w:rFonts w:ascii="Arial" w:cs="Arial" w:eastAsia="Arial" w:hAnsi="Arial"/>
          <w:sz w:val="18"/>
          <w:szCs w:val="18"/>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During the Protection Period, the Employee may terminate employment for “Good Reason.” For purposes of this Agreement, “Good Reason” shall mean the occurrence after the Effective Date of any of the events or conditions described below, without Employee’s consent.</w:t>
      </w:r>
    </w:p>
    <w:p>
      <w:pPr>
        <w:spacing w:after="0" w:line="179" w:lineRule="exact"/>
        <w:rPr>
          <w:rFonts w:ascii="Arial" w:cs="Arial" w:eastAsia="Arial" w:hAnsi="Arial"/>
          <w:sz w:val="18"/>
          <w:szCs w:val="18"/>
          <w:color w:val="auto"/>
        </w:rPr>
      </w:pPr>
    </w:p>
    <w:p>
      <w:pPr>
        <w:jc w:val="both"/>
        <w:ind w:left="1300" w:right="60" w:hanging="8"/>
        <w:spacing w:after="0" w:line="262" w:lineRule="auto"/>
        <w:tabs>
          <w:tab w:leader="none" w:pos="2037" w:val="left"/>
        </w:tabs>
        <w:numPr>
          <w:ilvl w:val="1"/>
          <w:numId w:val="132"/>
        </w:numPr>
        <w:rPr>
          <w:rFonts w:ascii="Arial" w:cs="Arial" w:eastAsia="Arial" w:hAnsi="Arial"/>
          <w:sz w:val="17"/>
          <w:szCs w:val="17"/>
          <w:color w:val="auto"/>
        </w:rPr>
      </w:pPr>
      <w:r>
        <w:rPr>
          <w:rFonts w:ascii="Arial" w:cs="Arial" w:eastAsia="Arial" w:hAnsi="Arial"/>
          <w:sz w:val="19"/>
          <w:szCs w:val="19"/>
          <w:color w:val="auto"/>
        </w:rPr>
        <w:t>A material reduction of the Employee’s authority, duties, or responsibilities from those in effect immediately prior to the Effective Date, including a requirement that the Employee is required to report to a corporate officer or employee, instead of reporting directly to a board of directors of a publicly-traded corporation;</w:t>
      </w:r>
    </w:p>
    <w:p>
      <w:pPr>
        <w:spacing w:after="0" w:line="162" w:lineRule="exact"/>
        <w:rPr>
          <w:sz w:val="20"/>
          <w:szCs w:val="20"/>
          <w:color w:val="auto"/>
        </w:rPr>
      </w:pPr>
    </w:p>
    <w:p>
      <w:pPr>
        <w:ind w:left="2100" w:hanging="821"/>
        <w:spacing w:after="0"/>
        <w:tabs>
          <w:tab w:leader="none" w:pos="2100" w:val="left"/>
        </w:tabs>
        <w:numPr>
          <w:ilvl w:val="0"/>
          <w:numId w:val="133"/>
        </w:numPr>
        <w:rPr>
          <w:rFonts w:ascii="Arial" w:cs="Arial" w:eastAsia="Arial" w:hAnsi="Arial"/>
          <w:sz w:val="18"/>
          <w:szCs w:val="18"/>
          <w:color w:val="auto"/>
        </w:rPr>
      </w:pPr>
      <w:r>
        <w:rPr>
          <w:rFonts w:ascii="Arial" w:cs="Arial" w:eastAsia="Arial" w:hAnsi="Arial"/>
          <w:sz w:val="20"/>
          <w:szCs w:val="20"/>
          <w:color w:val="auto"/>
        </w:rPr>
        <w:t>A material reduction in the Employee’s base salary or annual incentive target opportunity;</w:t>
      </w:r>
    </w:p>
    <w:p>
      <w:pPr>
        <w:spacing w:after="0" w:line="215" w:lineRule="exact"/>
        <w:rPr>
          <w:rFonts w:ascii="Arial" w:cs="Arial" w:eastAsia="Arial" w:hAnsi="Arial"/>
          <w:sz w:val="18"/>
          <w:szCs w:val="18"/>
          <w:color w:val="auto"/>
        </w:rPr>
      </w:pPr>
    </w:p>
    <w:p>
      <w:pPr>
        <w:ind w:left="1300" w:hanging="8"/>
        <w:spacing w:after="0" w:line="334" w:lineRule="auto"/>
        <w:tabs>
          <w:tab w:leader="none" w:pos="2137" w:val="left"/>
        </w:tabs>
        <w:numPr>
          <w:ilvl w:val="1"/>
          <w:numId w:val="133"/>
        </w:numPr>
        <w:rPr>
          <w:rFonts w:ascii="Arial" w:cs="Arial" w:eastAsia="Arial" w:hAnsi="Arial"/>
          <w:sz w:val="15"/>
          <w:szCs w:val="15"/>
          <w:color w:val="auto"/>
        </w:rPr>
      </w:pPr>
      <w:r>
        <w:rPr>
          <w:rFonts w:ascii="Arial" w:cs="Arial" w:eastAsia="Arial" w:hAnsi="Arial"/>
          <w:sz w:val="16"/>
          <w:szCs w:val="16"/>
          <w:color w:val="auto"/>
        </w:rPr>
        <w:t xml:space="preserve">Any material breach by the Company of any provision of this Agreement, including, but not limited to, the Company’s failure to provide the Employee Welfare and Pension Benefits or the Pension Equalization Plan or Restoration Plan benefits, as set forth in </w:t>
      </w:r>
      <w:r>
        <w:rPr>
          <w:rFonts w:ascii="Arial" w:cs="Arial" w:eastAsia="Arial" w:hAnsi="Arial"/>
          <w:sz w:val="16"/>
          <w:szCs w:val="16"/>
          <w:u w:val="single" w:color="auto"/>
          <w:color w:val="auto"/>
        </w:rPr>
        <w:t>Sections 6 and 7</w:t>
      </w:r>
      <w:r>
        <w:rPr>
          <w:rFonts w:ascii="Arial" w:cs="Arial" w:eastAsia="Arial" w:hAnsi="Arial"/>
          <w:sz w:val="16"/>
          <w:szCs w:val="16"/>
          <w:color w:val="auto"/>
        </w:rPr>
        <w:t xml:space="preserve">, provided that such failure constitutes a material breach under </w:t>
      </w:r>
      <w:r>
        <w:rPr>
          <w:rFonts w:ascii="Arial" w:cs="Arial" w:eastAsia="Arial" w:hAnsi="Arial"/>
          <w:sz w:val="16"/>
          <w:szCs w:val="16"/>
          <w:u w:val="single" w:color="auto"/>
          <w:color w:val="auto"/>
        </w:rPr>
        <w:t>subsection 9(c)(v)</w:t>
      </w:r>
      <w:r>
        <w:rPr>
          <w:rFonts w:ascii="Arial" w:cs="Arial" w:eastAsia="Arial" w:hAnsi="Arial"/>
          <w:sz w:val="16"/>
          <w:szCs w:val="16"/>
          <w:color w:val="auto"/>
        </w:rPr>
        <w:t>;</w:t>
      </w:r>
    </w:p>
    <w:p>
      <w:pPr>
        <w:spacing w:after="0" w:line="109" w:lineRule="exact"/>
        <w:rPr>
          <w:rFonts w:ascii="Arial" w:cs="Arial" w:eastAsia="Arial" w:hAnsi="Arial"/>
          <w:sz w:val="15"/>
          <w:szCs w:val="15"/>
          <w:color w:val="auto"/>
        </w:rPr>
      </w:pPr>
    </w:p>
    <w:p>
      <w:pPr>
        <w:ind w:left="1300" w:right="300" w:hanging="8"/>
        <w:spacing w:after="0" w:line="243" w:lineRule="auto"/>
        <w:tabs>
          <w:tab w:leader="none" w:pos="2127" w:val="left"/>
        </w:tabs>
        <w:numPr>
          <w:ilvl w:val="1"/>
          <w:numId w:val="133"/>
        </w:numPr>
        <w:rPr>
          <w:rFonts w:ascii="Arial" w:cs="Arial" w:eastAsia="Arial" w:hAnsi="Arial"/>
          <w:sz w:val="18"/>
          <w:szCs w:val="18"/>
          <w:color w:val="auto"/>
        </w:rPr>
      </w:pPr>
      <w:r>
        <w:rPr>
          <w:rFonts w:ascii="Arial" w:cs="Arial" w:eastAsia="Arial" w:hAnsi="Arial"/>
          <w:sz w:val="20"/>
          <w:szCs w:val="20"/>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179" w:lineRule="exact"/>
        <w:rPr>
          <w:sz w:val="20"/>
          <w:szCs w:val="20"/>
          <w:color w:val="auto"/>
        </w:rPr>
      </w:pPr>
    </w:p>
    <w:p>
      <w:pPr>
        <w:ind w:left="1280" w:right="40" w:hanging="1"/>
        <w:spacing w:after="0" w:line="235" w:lineRule="auto"/>
        <w:tabs>
          <w:tab w:leader="none" w:pos="2084" w:val="left"/>
        </w:tabs>
        <w:numPr>
          <w:ilvl w:val="0"/>
          <w:numId w:val="134"/>
        </w:numPr>
        <w:rPr>
          <w:rFonts w:ascii="Arial" w:cs="Arial" w:eastAsia="Arial" w:hAnsi="Arial"/>
          <w:sz w:val="18"/>
          <w:szCs w:val="18"/>
          <w:color w:val="auto"/>
        </w:rPr>
      </w:pPr>
      <w:r>
        <w:rPr>
          <w:rFonts w:ascii="Arial" w:cs="Arial" w:eastAsia="Arial" w:hAnsi="Arial"/>
          <w:sz w:val="20"/>
          <w:szCs w:val="20"/>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238" w:lineRule="exact"/>
        <w:rPr>
          <w:sz w:val="20"/>
          <w:szCs w:val="20"/>
          <w:color w:val="auto"/>
        </w:rPr>
      </w:pPr>
    </w:p>
    <w:p>
      <w:pPr>
        <w:ind w:left="640" w:right="40" w:firstLine="648"/>
        <w:spacing w:after="0" w:line="244" w:lineRule="auto"/>
        <w:rPr>
          <w:sz w:val="20"/>
          <w:szCs w:val="20"/>
          <w:color w:val="auto"/>
        </w:rPr>
      </w:pPr>
      <w:r>
        <w:rPr>
          <w:rFonts w:ascii="Arial" w:cs="Arial" w:eastAsia="Arial" w:hAnsi="Arial"/>
          <w:sz w:val="20"/>
          <w:szCs w:val="20"/>
          <w:color w:val="auto"/>
        </w:rPr>
        <w:t xml:space="preserve">In order to effectuate a termination for Good Reason under this </w:t>
      </w:r>
      <w:r>
        <w:rPr>
          <w:rFonts w:ascii="Arial" w:cs="Arial" w:eastAsia="Arial" w:hAnsi="Arial"/>
          <w:sz w:val="20"/>
          <w:szCs w:val="20"/>
          <w:u w:val="single" w:color="auto"/>
          <w:color w:val="auto"/>
        </w:rPr>
        <w:t>Section 9(c)</w:t>
      </w:r>
      <w:r>
        <w:rPr>
          <w:rFonts w:ascii="Arial" w:cs="Arial" w:eastAsia="Arial" w:hAnsi="Arial"/>
          <w:sz w:val="20"/>
          <w:szCs w:val="20"/>
          <w:color w:val="auto"/>
        </w:rPr>
        <w:t>, the Employee shall, within ninety (90) days after the initial existence of the condition, deliver written Notice of Termination to the Company stating the grounds for Good Reason in support of termination and specifying the Termination Date, which shall be (A) not earlier than thirty (30) days after giving the Notice of Termination, and (B) not later than one hundred eighty (180) days after giving the Notice of Termination or the last day of the Protection Period.</w:t>
      </w:r>
    </w:p>
    <w:p>
      <w:pPr>
        <w:spacing w:after="0" w:line="33"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p>
    <w:p>
      <w:pPr>
        <w:spacing w:after="0" w:line="16" w:lineRule="exact"/>
        <w:rPr>
          <w:sz w:val="20"/>
          <w:szCs w:val="20"/>
          <w:color w:val="auto"/>
        </w:rPr>
      </w:pPr>
    </w:p>
    <w:p>
      <w:pPr>
        <w:ind w:left="640" w:right="60" w:firstLine="567"/>
        <w:spacing w:after="0" w:line="241" w:lineRule="auto"/>
        <w:rPr>
          <w:sz w:val="20"/>
          <w:szCs w:val="20"/>
          <w:color w:val="auto"/>
        </w:rPr>
      </w:pPr>
      <w:r>
        <w:rPr>
          <w:rFonts w:ascii="Arial" w:cs="Arial" w:eastAsia="Arial" w:hAnsi="Arial"/>
          <w:sz w:val="20"/>
          <w:szCs w:val="20"/>
          <w:color w:val="auto"/>
        </w:rPr>
        <w:t xml:space="preserve">The Company may, within thirty (30) days after receipt of such Notice of Termination, remedy the condition, in which case the Good Reason for termination shall be deemed not to have occurred. For purposes of determining the amount of any cash payment payable to the Employee in accordance with </w:t>
      </w:r>
      <w:r>
        <w:rPr>
          <w:rFonts w:ascii="Arial" w:cs="Arial" w:eastAsia="Arial" w:hAnsi="Arial"/>
          <w:sz w:val="20"/>
          <w:szCs w:val="20"/>
          <w:u w:val="single" w:color="auto"/>
          <w:color w:val="auto"/>
        </w:rPr>
        <w:t>Section 10</w:t>
      </w:r>
      <w:r>
        <w:rPr>
          <w:rFonts w:ascii="Arial" w:cs="Arial" w:eastAsia="Arial" w:hAnsi="Arial"/>
          <w:sz w:val="20"/>
          <w:szCs w:val="20"/>
          <w:color w:val="auto"/>
        </w:rPr>
        <w:t>, any reduction in compensation or benefit that would constitute Good Reason hereunder shall be deemed not to have occurred.</w:t>
      </w:r>
    </w:p>
    <w:p>
      <w:pPr>
        <w:spacing w:after="0" w:line="189" w:lineRule="exact"/>
        <w:rPr>
          <w:sz w:val="20"/>
          <w:szCs w:val="20"/>
          <w:color w:val="auto"/>
        </w:rPr>
      </w:pPr>
    </w:p>
    <w:p>
      <w:pPr>
        <w:ind w:left="660" w:hanging="651"/>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20"/>
          <w:szCs w:val="20"/>
          <w:b w:val="1"/>
          <w:bCs w:val="1"/>
          <w:u w:val="single" w:color="auto"/>
          <w:color w:val="auto"/>
        </w:rPr>
        <w:t>COMPENSATION UPON TERMINATION.</w:t>
      </w:r>
    </w:p>
    <w:p>
      <w:pPr>
        <w:spacing w:after="0" w:line="276" w:lineRule="exact"/>
        <w:rPr>
          <w:sz w:val="20"/>
          <w:szCs w:val="20"/>
          <w:color w:val="auto"/>
        </w:rPr>
      </w:pPr>
    </w:p>
    <w:p>
      <w:pPr>
        <w:ind w:right="480" w:firstLine="648"/>
        <w:spacing w:after="0" w:line="260" w:lineRule="auto"/>
        <w:rPr>
          <w:sz w:val="20"/>
          <w:szCs w:val="20"/>
          <w:color w:val="auto"/>
        </w:rPr>
      </w:pPr>
      <w:r>
        <w:rPr>
          <w:rFonts w:ascii="Arial" w:cs="Arial" w:eastAsia="Arial" w:hAnsi="Arial"/>
          <w:sz w:val="20"/>
          <w:szCs w:val="20"/>
          <w:color w:val="auto"/>
        </w:rPr>
        <w:t>Upon termination of Employee’s employment effective during the Protection Period, Employee shall be entitled to the following compensation and benefits:</w:t>
      </w:r>
    </w:p>
    <w:p>
      <w:pPr>
        <w:sectPr>
          <w:pgSz w:w="11900" w:h="16838" w:orient="portrait"/>
          <w:cols w:equalWidth="0" w:num="1">
            <w:col w:w="11320"/>
          </w:cols>
          <w:pgMar w:left="320" w:top="555" w:right="259" w:bottom="1440" w:gutter="0" w:footer="0" w:header="0"/>
        </w:sectPr>
      </w:pPr>
    </w:p>
    <w:bookmarkStart w:id="171" w:name="page172"/>
    <w:bookmarkEnd w:id="171"/>
    <w:p>
      <w:pPr>
        <w:ind w:left="3" w:hanging="3"/>
        <w:spacing w:after="0" w:line="241" w:lineRule="auto"/>
        <w:tabs>
          <w:tab w:leader="none" w:pos="756" w:val="left"/>
        </w:tabs>
        <w:numPr>
          <w:ilvl w:val="0"/>
          <w:numId w:val="136"/>
        </w:numPr>
        <w:rPr>
          <w:rFonts w:ascii="Arial" w:cs="Arial" w:eastAsia="Arial" w:hAnsi="Arial"/>
          <w:sz w:val="17"/>
          <w:szCs w:val="17"/>
          <w:color w:val="auto"/>
        </w:rPr>
      </w:pPr>
      <w:r>
        <w:rPr>
          <w:rFonts w:ascii="Arial" w:cs="Arial" w:eastAsia="Arial" w:hAnsi="Arial"/>
          <w:sz w:val="19"/>
          <w:szCs w:val="19"/>
          <w:color w:val="auto"/>
        </w:rPr>
        <w:t xml:space="preserve">If Employee’s employment with the Company shall be terminated (i) by the Company for Cause or Disability, or (ii) by reason of Employee’s death, or (iii) by Employee without “Good Reason” pursuant to </w:t>
      </w:r>
      <w:r>
        <w:rPr>
          <w:rFonts w:ascii="Arial" w:cs="Arial" w:eastAsia="Arial" w:hAnsi="Arial"/>
          <w:sz w:val="19"/>
          <w:szCs w:val="19"/>
          <w:u w:val="single" w:color="auto"/>
          <w:color w:val="auto"/>
        </w:rPr>
        <w:t>Section 9(c)</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paid-time-off (collectively “</w:t>
      </w:r>
      <w:r>
        <w:rPr>
          <w:rFonts w:ascii="Arial" w:cs="Arial" w:eastAsia="Arial" w:hAnsi="Arial"/>
          <w:sz w:val="19"/>
          <w:szCs w:val="19"/>
          <w:b w:val="1"/>
          <w:b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color w:val="auto"/>
        </w:rPr>
        <w:t>Compensation</w:t>
      </w:r>
      <w:r>
        <w:rPr>
          <w:rFonts w:ascii="Arial" w:cs="Arial" w:eastAsia="Arial" w:hAnsi="Arial"/>
          <w:sz w:val="19"/>
          <w:szCs w:val="19"/>
          <w:color w:val="auto"/>
        </w:rPr>
        <w:t>”), each in accordance with the applicable policies, plans and practices of the Company. In addition to the foregoing, if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Employee’s employment is terminated by the Company for Disability or by reason of the Employee’s death, the Company shall pay to the Employee or his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pacing w:after="0" w:line="189" w:lineRule="exact"/>
        <w:rPr>
          <w:rFonts w:ascii="Arial" w:cs="Arial" w:eastAsia="Arial" w:hAnsi="Arial"/>
          <w:sz w:val="17"/>
          <w:szCs w:val="17"/>
          <w:color w:val="auto"/>
        </w:rPr>
      </w:pPr>
    </w:p>
    <w:p>
      <w:pPr>
        <w:ind w:left="3" w:right="160" w:hanging="3"/>
        <w:spacing w:after="0" w:line="262" w:lineRule="auto"/>
        <w:tabs>
          <w:tab w:leader="none" w:pos="766" w:val="left"/>
        </w:tabs>
        <w:numPr>
          <w:ilvl w:val="0"/>
          <w:numId w:val="136"/>
        </w:numPr>
        <w:rPr>
          <w:rFonts w:ascii="Arial" w:cs="Arial" w:eastAsia="Arial" w:hAnsi="Arial"/>
          <w:sz w:val="17"/>
          <w:szCs w:val="17"/>
          <w:color w:val="auto"/>
        </w:rPr>
      </w:pPr>
      <w:r>
        <w:rPr>
          <w:rFonts w:ascii="Arial" w:cs="Arial" w:eastAsia="Arial" w:hAnsi="Arial"/>
          <w:sz w:val="19"/>
          <w:szCs w:val="19"/>
          <w:color w:val="auto"/>
        </w:rPr>
        <w:t>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162" w:lineRule="exact"/>
        <w:rPr>
          <w:rFonts w:ascii="Arial" w:cs="Arial" w:eastAsia="Arial" w:hAnsi="Arial"/>
          <w:sz w:val="17"/>
          <w:szCs w:val="17"/>
          <w:color w:val="auto"/>
        </w:rPr>
      </w:pPr>
    </w:p>
    <w:p>
      <w:pPr>
        <w:jc w:val="both"/>
        <w:ind w:left="643" w:right="260" w:hanging="8"/>
        <w:spacing w:after="0" w:line="386" w:lineRule="auto"/>
        <w:tabs>
          <w:tab w:leader="none" w:pos="1380" w:val="left"/>
        </w:tabs>
        <w:numPr>
          <w:ilvl w:val="2"/>
          <w:numId w:val="136"/>
        </w:numPr>
        <w:rPr>
          <w:rFonts w:ascii="Arial" w:cs="Arial" w:eastAsia="Arial" w:hAnsi="Arial"/>
          <w:sz w:val="15"/>
          <w:szCs w:val="15"/>
          <w:color w:val="auto"/>
        </w:rPr>
      </w:pPr>
      <w:r>
        <w:rPr>
          <w:rFonts w:ascii="Arial" w:cs="Arial" w:eastAsia="Arial" w:hAnsi="Arial"/>
          <w:sz w:val="16"/>
          <w:szCs w:val="16"/>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69" w:lineRule="exact"/>
        <w:rPr>
          <w:rFonts w:ascii="Arial" w:cs="Arial" w:eastAsia="Arial" w:hAnsi="Arial"/>
          <w:sz w:val="15"/>
          <w:szCs w:val="15"/>
          <w:color w:val="auto"/>
        </w:rPr>
      </w:pPr>
    </w:p>
    <w:p>
      <w:pPr>
        <w:ind w:left="643" w:right="260" w:hanging="8"/>
        <w:spacing w:after="0" w:line="237" w:lineRule="auto"/>
        <w:tabs>
          <w:tab w:leader="none" w:pos="1430" w:val="left"/>
        </w:tabs>
        <w:numPr>
          <w:ilvl w:val="2"/>
          <w:numId w:val="136"/>
        </w:numPr>
        <w:rPr>
          <w:rFonts w:ascii="Arial" w:cs="Arial" w:eastAsia="Arial" w:hAnsi="Arial"/>
          <w:sz w:val="18"/>
          <w:szCs w:val="18"/>
          <w:color w:val="auto"/>
        </w:rPr>
      </w:pPr>
      <w:r>
        <w:rPr>
          <w:rFonts w:ascii="Arial" w:cs="Arial" w:eastAsia="Arial" w:hAnsi="Arial"/>
          <w:sz w:val="20"/>
          <w:szCs w:val="20"/>
          <w:color w:val="auto"/>
        </w:rPr>
        <w:t>The Company shall pay Employee, in lieu of any further compensation for periods subsequent to the Termination Date, a lump sum severance payment, in cash, in an amount equal to 2.99 times (2.99x) the Employee’s Severance Compensation. The lump sum severance payment described in this paragraph shall be paid within sixty (60) days after the Termination Date.</w:t>
      </w:r>
    </w:p>
    <w:p>
      <w:pPr>
        <w:spacing w:after="0" w:line="185" w:lineRule="exact"/>
        <w:rPr>
          <w:rFonts w:ascii="Arial" w:cs="Arial" w:eastAsia="Arial" w:hAnsi="Arial"/>
          <w:sz w:val="18"/>
          <w:szCs w:val="18"/>
          <w:color w:val="auto"/>
        </w:rPr>
      </w:pPr>
    </w:p>
    <w:p>
      <w:pPr>
        <w:ind w:left="643" w:right="80" w:hanging="8"/>
        <w:spacing w:after="0" w:line="263" w:lineRule="auto"/>
        <w:tabs>
          <w:tab w:leader="none" w:pos="1480" w:val="left"/>
        </w:tabs>
        <w:numPr>
          <w:ilvl w:val="2"/>
          <w:numId w:val="136"/>
        </w:numPr>
        <w:rPr>
          <w:rFonts w:ascii="Arial" w:cs="Arial" w:eastAsia="Arial" w:hAnsi="Arial"/>
          <w:sz w:val="16"/>
          <w:szCs w:val="16"/>
          <w:color w:val="auto"/>
        </w:rPr>
      </w:pPr>
      <w:r>
        <w:rPr>
          <w:rFonts w:ascii="Arial" w:cs="Arial" w:eastAsia="Arial" w:hAnsi="Arial"/>
          <w:sz w:val="18"/>
          <w:szCs w:val="18"/>
          <w:color w:val="auto"/>
        </w:rPr>
        <w:t xml:space="preserve">As a condition of receiving payments and benefits provided in this </w:t>
      </w:r>
      <w:r>
        <w:rPr>
          <w:rFonts w:ascii="Arial" w:cs="Arial" w:eastAsia="Arial" w:hAnsi="Arial"/>
          <w:sz w:val="18"/>
          <w:szCs w:val="18"/>
          <w:u w:val="single" w:color="auto"/>
          <w:color w:val="auto"/>
        </w:rPr>
        <w:t>subsection 10(b)</w:t>
      </w:r>
      <w:r>
        <w:rPr>
          <w:rFonts w:ascii="Arial" w:cs="Arial" w:eastAsia="Arial" w:hAnsi="Arial"/>
          <w:sz w:val="18"/>
          <w:szCs w:val="18"/>
          <w:color w:val="auto"/>
        </w:rPr>
        <w:t>, Employee shall execute and deliver to Company or Successor Employer the Waiver and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in substantially the same form as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165" w:lineRule="exact"/>
        <w:rPr>
          <w:rFonts w:ascii="Arial" w:cs="Arial" w:eastAsia="Arial" w:hAnsi="Arial"/>
          <w:sz w:val="16"/>
          <w:szCs w:val="16"/>
          <w:color w:val="auto"/>
        </w:rPr>
      </w:pPr>
    </w:p>
    <w:p>
      <w:pPr>
        <w:ind w:left="623" w:right="20" w:hanging="1"/>
        <w:spacing w:after="0" w:line="257" w:lineRule="auto"/>
        <w:tabs>
          <w:tab w:leader="none" w:pos="1477" w:val="left"/>
        </w:tabs>
        <w:numPr>
          <w:ilvl w:val="1"/>
          <w:numId w:val="136"/>
        </w:numPr>
        <w:rPr>
          <w:rFonts w:ascii="Arial" w:cs="Arial" w:eastAsia="Arial" w:hAnsi="Arial"/>
          <w:sz w:val="16"/>
          <w:szCs w:val="16"/>
          <w:color w:val="auto"/>
        </w:rPr>
      </w:pPr>
      <w:r>
        <w:rPr>
          <w:rFonts w:ascii="Arial" w:cs="Arial" w:eastAsia="Arial" w:hAnsi="Arial"/>
          <w:sz w:val="18"/>
          <w:szCs w:val="18"/>
          <w:color w:val="auto"/>
        </w:rPr>
        <w:t>If Employee, prior to the Termination Date, was a participant in any Welfare Benefits, the Company or the Successor Employer, or any affiliate of the Successor Employer as determined under the rules of Code Sections 414(b) and (c), shall at its expense continue on behalf of Employee and Employee’s dependents and beneficiaries, for a period of three (3) years following the Termination Date, the Welfare Benefits or similar benefits no less favorable than the benefit levels and coverage provided to Employee prior to the Termination Date. Employee shall pay the employee portion of applicable premiums required to be paid by similarly-situated active employees (or retired employees in the case that the Employee is retired) of the Company. At its election, the Company may provide Employee and Employee’s dependents with equivalent benefits outside the Welfare Benefits plans (though not by method of direct cash payment). The Company’s obligation with respect to the foregoing benefit shall be discontinued in the event that Employee becomes covered under the health insurance coverage of a subsequent employer, other than the Successor Employer or any affiliate thereof, which does not contain any exclusion or limitation with respect to any preexisting condition of the Employee and Employee’s dependents.</w:t>
      </w:r>
    </w:p>
    <w:p>
      <w:pPr>
        <w:sectPr>
          <w:pgSz w:w="11900" w:h="16838" w:orient="portrait"/>
          <w:cols w:equalWidth="0" w:num="1">
            <w:col w:w="10663"/>
          </w:cols>
          <w:pgMar w:left="977" w:top="555" w:right="259" w:bottom="1440" w:gutter="0" w:footer="0" w:header="0"/>
        </w:sectPr>
      </w:pPr>
    </w:p>
    <w:bookmarkStart w:id="172" w:name="page173"/>
    <w:bookmarkEnd w:id="172"/>
    <w:p>
      <w:pPr>
        <w:ind w:left="160" w:right="20"/>
        <w:spacing w:after="0"/>
        <w:rPr>
          <w:sz w:val="20"/>
          <w:szCs w:val="20"/>
          <w:color w:val="auto"/>
        </w:rPr>
      </w:pPr>
      <w:r>
        <w:rPr>
          <w:rFonts w:ascii="Arial" w:cs="Arial" w:eastAsia="Arial" w:hAnsi="Arial"/>
          <w:sz w:val="19"/>
          <w:szCs w:val="19"/>
          <w:color w:val="auto"/>
        </w:rPr>
        <w:t xml:space="preserve">For purposes of this provision, Employee shall have a duty to inform Company as to the terms and conditions of any subsequent employment and the corresponding benefits earned from such employment. The continued coverage or provision of equivalent benefits under this </w:t>
      </w:r>
      <w:r>
        <w:rPr>
          <w:rFonts w:ascii="Arial" w:cs="Arial" w:eastAsia="Arial" w:hAnsi="Arial"/>
          <w:sz w:val="19"/>
          <w:szCs w:val="19"/>
          <w:u w:val="single" w:color="auto"/>
          <w:color w:val="auto"/>
        </w:rPr>
        <w:t>subsection 10(b)(iv)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subsection 10(b)(v)</w:t>
      </w:r>
      <w:r>
        <w:rPr>
          <w:rFonts w:ascii="Arial" w:cs="Arial" w:eastAsia="Arial" w:hAnsi="Arial"/>
          <w:sz w:val="19"/>
          <w:szCs w:val="19"/>
          <w:color w:val="auto"/>
        </w:rPr>
        <w:t xml:space="preserve"> shall be provided in a manner that is intended to satisfy an exception to Code Section 409A, and therefore not treated as an arrangement providing for nonqualified deferred compensation that is subject to taxation under Code Section 409A, including (i) providing such benefits on a nontaxable basis to Employee, (ii) providing for the reimbursement of medical expenses incurred during the time period during which Employee would be entitled to continuation coverage under a group health plan of the Company pursuant to Code Section 4980B (</w:t>
      </w:r>
      <w:r>
        <w:rPr>
          <w:rFonts w:ascii="Arial" w:cs="Arial" w:eastAsia="Arial" w:hAnsi="Arial"/>
          <w:sz w:val="19"/>
          <w:szCs w:val="19"/>
          <w:i w:val="1"/>
          <w:iCs w:val="1"/>
          <w:color w:val="auto"/>
        </w:rPr>
        <w:t>i.e.,</w:t>
      </w:r>
      <w:r>
        <w:rPr>
          <w:rFonts w:ascii="Arial" w:cs="Arial" w:eastAsia="Arial" w:hAnsi="Arial"/>
          <w:sz w:val="19"/>
          <w:szCs w:val="19"/>
          <w:color w:val="auto"/>
        </w:rPr>
        <w:t xml:space="preserve"> COBRA continuation coverage), (iii) providing that such benefits constitute the reimbursement or provision of in-kind benefits payable at a specified time or pursuant to a fixed schedule as permitted under Code Section 409A, or (4) such other manner as determined to be in compliance with an exception from being treated as nonqualified deferred compensation that is subject to taxation under Code Section 409A.</w:t>
      </w:r>
    </w:p>
    <w:p>
      <w:pPr>
        <w:spacing w:after="0" w:line="190" w:lineRule="exact"/>
        <w:rPr>
          <w:sz w:val="20"/>
          <w:szCs w:val="20"/>
          <w:color w:val="auto"/>
        </w:rPr>
      </w:pPr>
    </w:p>
    <w:p>
      <w:pPr>
        <w:ind w:left="180" w:right="240" w:hanging="8"/>
        <w:spacing w:after="0" w:line="294" w:lineRule="auto"/>
        <w:tabs>
          <w:tab w:leader="none" w:pos="957" w:val="left"/>
        </w:tabs>
        <w:numPr>
          <w:ilvl w:val="0"/>
          <w:numId w:val="137"/>
        </w:numPr>
        <w:rPr>
          <w:rFonts w:ascii="Arial" w:cs="Arial" w:eastAsia="Arial" w:hAnsi="Arial"/>
          <w:sz w:val="15"/>
          <w:szCs w:val="15"/>
          <w:color w:val="auto"/>
        </w:rPr>
      </w:pPr>
      <w:r>
        <w:rPr>
          <w:rFonts w:ascii="Arial" w:cs="Arial" w:eastAsia="Arial" w:hAnsi="Arial"/>
          <w:sz w:val="16"/>
          <w:szCs w:val="16"/>
          <w:color w:val="auto"/>
        </w:rPr>
        <w:t>If Employee was a participant in the Retiree Healthcare Plan immediately prior to a Change in Control, then as of Employee’s Termination Date, the Employee’s benefit under the Retiree Healthcare Plan shall be determined as if (i) Employee had completed an additional three (3) Years of Plan Participation (as defined in the Retiree Healthcare Plan), and</w:t>
      </w:r>
    </w:p>
    <w:p>
      <w:pPr>
        <w:spacing w:after="0" w:line="1" w:lineRule="exact"/>
        <w:rPr>
          <w:rFonts w:ascii="Arial" w:cs="Arial" w:eastAsia="Arial" w:hAnsi="Arial"/>
          <w:sz w:val="15"/>
          <w:szCs w:val="15"/>
          <w:color w:val="auto"/>
        </w:rPr>
      </w:pPr>
    </w:p>
    <w:p>
      <w:pPr>
        <w:ind w:left="180" w:hanging="8"/>
        <w:spacing w:after="0"/>
        <w:tabs>
          <w:tab w:leader="none" w:pos="471" w:val="left"/>
        </w:tabs>
        <w:numPr>
          <w:ilvl w:val="0"/>
          <w:numId w:val="138"/>
        </w:numPr>
        <w:rPr>
          <w:rFonts w:ascii="Arial" w:cs="Arial" w:eastAsia="Arial" w:hAnsi="Arial"/>
          <w:sz w:val="19"/>
          <w:szCs w:val="19"/>
          <w:color w:val="auto"/>
        </w:rPr>
      </w:pPr>
      <w:r>
        <w:rPr>
          <w:rFonts w:ascii="Arial" w:cs="Arial" w:eastAsia="Arial" w:hAnsi="Arial"/>
          <w:sz w:val="19"/>
          <w:szCs w:val="19"/>
          <w:color w:val="auto"/>
        </w:rPr>
        <w:t>Employee were three (3) years older for determining eligibility for plan benefits. Furthermore, if the Employee is not eligible for benefits after the age and participation adjustment, then the Retirement Medical Savings Account (after adjustment for three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 (though not by method of direct cash payment).</w:t>
      </w:r>
    </w:p>
    <w:p>
      <w:pPr>
        <w:spacing w:after="0" w:line="185" w:lineRule="exact"/>
        <w:rPr>
          <w:rFonts w:ascii="Arial" w:cs="Arial" w:eastAsia="Arial" w:hAnsi="Arial"/>
          <w:sz w:val="19"/>
          <w:szCs w:val="19"/>
          <w:color w:val="auto"/>
        </w:rPr>
      </w:pPr>
    </w:p>
    <w:p>
      <w:pPr>
        <w:ind w:left="180" w:firstLine="19"/>
        <w:spacing w:after="0" w:line="235" w:lineRule="auto"/>
        <w:tabs>
          <w:tab w:leader="none" w:pos="1007" w:val="left"/>
        </w:tabs>
        <w:numPr>
          <w:ilvl w:val="1"/>
          <w:numId w:val="138"/>
        </w:numPr>
        <w:rPr>
          <w:rFonts w:ascii="Arial" w:cs="Arial" w:eastAsia="Arial" w:hAnsi="Arial"/>
          <w:sz w:val="18"/>
          <w:szCs w:val="18"/>
          <w:color w:val="auto"/>
        </w:rPr>
      </w:pPr>
      <w:r>
        <w:rPr>
          <w:rFonts w:ascii="Arial" w:cs="Arial" w:eastAsia="Arial" w:hAnsi="Arial"/>
          <w:sz w:val="20"/>
          <w:szCs w:val="20"/>
          <w:color w:val="auto"/>
        </w:rPr>
        <w:t xml:space="preserve">If Employee was a participant in the 2005 Pension Equalization Plan immediately prior to a Change in Control, then as of Employee’s Termination Date, the Employee’s benefit under the 2005 Pension Equalization Plan shall be determined as if (i) Employee had completed an additional three (3) Years of Plan Participation (as defined in the 2005 Pension Equalization Plan), and (ii) Employee received Annual Compensation (as defined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during each additional Year of Plan Participation.</w:t>
      </w:r>
    </w:p>
    <w:p>
      <w:pPr>
        <w:spacing w:after="0" w:line="184" w:lineRule="exact"/>
        <w:rPr>
          <w:sz w:val="20"/>
          <w:szCs w:val="20"/>
          <w:color w:val="auto"/>
        </w:rPr>
      </w:pPr>
    </w:p>
    <w:p>
      <w:pPr>
        <w:ind w:left="180" w:right="60" w:firstLine="648"/>
        <w:spacing w:after="0" w:line="243" w:lineRule="auto"/>
        <w:rPr>
          <w:sz w:val="20"/>
          <w:szCs w:val="20"/>
          <w:color w:val="auto"/>
        </w:rPr>
      </w:pPr>
      <w:r>
        <w:rPr>
          <w:rFonts w:ascii="Arial" w:cs="Arial" w:eastAsia="Arial" w:hAnsi="Arial"/>
          <w:sz w:val="20"/>
          <w:szCs w:val="20"/>
          <w:color w:val="auto"/>
        </w:rPr>
        <w:t xml:space="preserve">If Employee was a participant in the Restoration Plan and the Pension Plan immediately prior to a Change in Control, then as of Employee’s Termination Date, Employee’s Restoration Plan benefit shall be determined as if (i) Employee completed three (3) additional years of Credited Service under the Pension Plan, and (ii) the Employee received Annual Compensation (as define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during each additional year of Credited Service. For purposes of this </w:t>
      </w:r>
      <w:r>
        <w:rPr>
          <w:rFonts w:ascii="Arial" w:cs="Arial" w:eastAsia="Arial" w:hAnsi="Arial"/>
          <w:sz w:val="20"/>
          <w:szCs w:val="20"/>
          <w:u w:val="single" w:color="auto"/>
          <w:color w:val="auto"/>
        </w:rPr>
        <w:t>subsection 10(b)</w:t>
      </w:r>
      <w:r>
        <w:rPr>
          <w:rFonts w:ascii="Arial" w:cs="Arial" w:eastAsia="Arial" w:hAnsi="Arial"/>
          <w:sz w:val="20"/>
          <w:szCs w:val="20"/>
          <w:color w:val="auto"/>
        </w:rPr>
        <w:t xml:space="preserve"> </w:t>
      </w:r>
      <w:r>
        <w:rPr>
          <w:rFonts w:ascii="Arial" w:cs="Arial" w:eastAsia="Arial" w:hAnsi="Arial"/>
          <w:sz w:val="20"/>
          <w:szCs w:val="20"/>
          <w:u w:val="single" w:color="auto"/>
          <w:color w:val="auto"/>
        </w:rPr>
        <w:t>(vi)</w:t>
      </w:r>
      <w:r>
        <w:rPr>
          <w:rFonts w:ascii="Arial" w:cs="Arial" w:eastAsia="Arial" w:hAnsi="Arial"/>
          <w:sz w:val="20"/>
          <w:szCs w:val="20"/>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193" w:lineRule="exact"/>
        <w:rPr>
          <w:sz w:val="20"/>
          <w:szCs w:val="20"/>
          <w:color w:val="auto"/>
        </w:rPr>
      </w:pPr>
    </w:p>
    <w:p>
      <w:pPr>
        <w:ind w:left="180" w:right="140" w:firstLine="648"/>
        <w:spacing w:after="0" w:line="250" w:lineRule="auto"/>
        <w:rPr>
          <w:sz w:val="20"/>
          <w:szCs w:val="20"/>
          <w:color w:val="auto"/>
        </w:rPr>
      </w:pPr>
      <w:r>
        <w:rPr>
          <w:rFonts w:ascii="Arial" w:cs="Arial" w:eastAsia="Arial" w:hAnsi="Arial"/>
          <w:sz w:val="20"/>
          <w:szCs w:val="20"/>
          <w:color w:val="auto"/>
        </w:rPr>
        <w:t>Furthermore, the Employee shall be made 100% vested for purposes of both the 2005 Pension Equalization Plan and Restoration Plan, if the Employee is a participant in such plans (for purposes of this subsection) and is not already fully vested.</w:t>
      </w:r>
    </w:p>
    <w:p>
      <w:pPr>
        <w:spacing w:after="0" w:line="186" w:lineRule="exact"/>
        <w:rPr>
          <w:sz w:val="20"/>
          <w:szCs w:val="20"/>
          <w:color w:val="auto"/>
        </w:rPr>
      </w:pPr>
    </w:p>
    <w:p>
      <w:pPr>
        <w:ind w:left="160" w:right="60" w:hanging="1"/>
        <w:spacing w:after="0" w:line="249" w:lineRule="auto"/>
        <w:tabs>
          <w:tab w:leader="none" w:pos="924" w:val="left"/>
        </w:tabs>
        <w:numPr>
          <w:ilvl w:val="0"/>
          <w:numId w:val="139"/>
        </w:numPr>
        <w:rPr>
          <w:rFonts w:ascii="Arial" w:cs="Arial" w:eastAsia="Arial" w:hAnsi="Arial"/>
          <w:sz w:val="17"/>
          <w:szCs w:val="17"/>
          <w:color w:val="auto"/>
        </w:rPr>
      </w:pPr>
      <w:r>
        <w:rPr>
          <w:rFonts w:ascii="Arial" w:cs="Arial" w:eastAsia="Arial" w:hAnsi="Arial"/>
          <w:sz w:val="19"/>
          <w:szCs w:val="19"/>
          <w:color w:val="auto"/>
        </w:rPr>
        <w:t>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three (3) additional Plan Years of participation and earned the related Supplemental Matching Contributions, Supplemental Retirement Contributions, and Supplemental Target Contributions (all as defined</w:t>
      </w:r>
    </w:p>
    <w:p>
      <w:pPr>
        <w:sectPr>
          <w:pgSz w:w="11900" w:h="16838" w:orient="portrait"/>
          <w:cols w:equalWidth="0" w:num="1">
            <w:col w:w="10200"/>
          </w:cols>
          <w:pgMar w:left="1440" w:top="555" w:right="259" w:bottom="1440" w:gutter="0" w:footer="0" w:header="0"/>
        </w:sectPr>
      </w:pPr>
    </w:p>
    <w:bookmarkStart w:id="173" w:name="page174"/>
    <w:bookmarkEnd w:id="173"/>
    <w:p>
      <w:pPr>
        <w:ind w:left="1244" w:right="20"/>
        <w:spacing w:after="0" w:line="300" w:lineRule="auto"/>
        <w:rPr>
          <w:sz w:val="20"/>
          <w:szCs w:val="20"/>
          <w:color w:val="auto"/>
        </w:rPr>
      </w:pPr>
      <w:r>
        <w:rPr>
          <w:rFonts w:ascii="Arial" w:cs="Arial" w:eastAsia="Arial" w:hAnsi="Arial"/>
          <w:sz w:val="18"/>
          <w:szCs w:val="18"/>
          <w:color w:val="auto"/>
        </w:rPr>
        <w:t xml:space="preserve">in the Nonqualified Deferred Compensation Plan); no investment earnings shall be attributed for this additional period, and (ii) Employee received Annual Compensation (as defined in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during each additional Plan Year of participation.</w:t>
      </w:r>
    </w:p>
    <w:p>
      <w:pPr>
        <w:spacing w:after="0" w:line="131" w:lineRule="exact"/>
        <w:rPr>
          <w:sz w:val="20"/>
          <w:szCs w:val="20"/>
          <w:color w:val="auto"/>
        </w:rPr>
      </w:pPr>
    </w:p>
    <w:p>
      <w:pPr>
        <w:ind w:left="1244" w:right="20" w:firstLine="567"/>
        <w:spacing w:after="0" w:line="255"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subsection 10(b)(vii)</w:t>
      </w:r>
      <w:r>
        <w:rPr>
          <w:rFonts w:ascii="Arial" w:cs="Arial" w:eastAsia="Arial" w:hAnsi="Arial"/>
          <w:sz w:val="19"/>
          <w:szCs w:val="19"/>
          <w:color w:val="auto"/>
        </w:rPr>
        <w:t>, the additional contributions under the Nonqualified Deferred Compensation Plan (Supplemental Matching Contributions, Supplemental Retirement Contributions, and Supplemental Target Contributions) shall be determined without regard to any offsets from the Retirement Savings Plan. (This has the same effect as if the Supplemental Matching Contributions and Supplemental Retirement Contributions were determined on total pay rather than only on pay over IRS pay limits.) Notwithstanding any provision herein to the contrary, if the Employee is a “specified employee” (as defined for purposes of Code Section 409A), no payment under this Agreement shall be made before the date which is six (6) months after the date of the Employee’s Termination Date, or such earlier date upon which such amount can be paid or provided under Code Section 409A without being subject to additional taxes thereunder, if such payment constitutes deferred compensation subject to Code Section 409A. To the extent that the Agreement provides for such nonqualified deferred compensation, it is intended to be compliant with Code Section 409A, and shall be interpreted and administered accordingly.</w:t>
      </w:r>
    </w:p>
    <w:p>
      <w:pPr>
        <w:spacing w:after="0" w:line="182" w:lineRule="exact"/>
        <w:rPr>
          <w:sz w:val="20"/>
          <w:szCs w:val="20"/>
          <w:color w:val="auto"/>
        </w:rPr>
      </w:pPr>
    </w:p>
    <w:p>
      <w:pPr>
        <w:ind w:left="644" w:hanging="644"/>
        <w:spacing w:after="0"/>
        <w:tabs>
          <w:tab w:leader="none" w:pos="644" w:val="left"/>
        </w:tabs>
        <w:numPr>
          <w:ilvl w:val="0"/>
          <w:numId w:val="140"/>
        </w:numPr>
        <w:rPr>
          <w:rFonts w:ascii="Arial" w:cs="Arial" w:eastAsia="Arial" w:hAnsi="Arial"/>
          <w:sz w:val="18"/>
          <w:szCs w:val="18"/>
          <w:color w:val="auto"/>
        </w:rPr>
      </w:pPr>
      <w:r>
        <w:rPr>
          <w:rFonts w:ascii="Arial" w:cs="Arial" w:eastAsia="Arial" w:hAnsi="Arial"/>
          <w:sz w:val="20"/>
          <w:szCs w:val="20"/>
          <w:b w:val="1"/>
          <w:bCs w:val="1"/>
          <w:u w:val="single" w:color="auto"/>
          <w:color w:val="auto"/>
        </w:rPr>
        <w:t>OFFSET</w:t>
      </w:r>
      <w:r>
        <w:rPr>
          <w:rFonts w:ascii="Arial" w:cs="Arial" w:eastAsia="Arial" w:hAnsi="Arial"/>
          <w:sz w:val="20"/>
          <w:szCs w:val="20"/>
          <w:b w:val="1"/>
          <w:bCs w:val="1"/>
          <w:color w:val="auto"/>
        </w:rPr>
        <w:t>.</w:t>
      </w:r>
    </w:p>
    <w:p>
      <w:pPr>
        <w:spacing w:after="0" w:line="276" w:lineRule="exact"/>
        <w:rPr>
          <w:sz w:val="20"/>
          <w:szCs w:val="20"/>
          <w:color w:val="auto"/>
        </w:rPr>
      </w:pPr>
    </w:p>
    <w:p>
      <w:pPr>
        <w:ind w:left="4" w:right="160" w:firstLine="648"/>
        <w:spacing w:after="0" w:line="250" w:lineRule="auto"/>
        <w:rPr>
          <w:sz w:val="20"/>
          <w:szCs w:val="20"/>
          <w:color w:val="auto"/>
        </w:rPr>
      </w:pPr>
      <w:r>
        <w:rPr>
          <w:rFonts w:ascii="Arial" w:cs="Arial" w:eastAsia="Arial" w:hAnsi="Arial"/>
          <w:sz w:val="20"/>
          <w:szCs w:val="20"/>
          <w:color w:val="auto"/>
        </w:rPr>
        <w:t xml:space="preserve">Employee shall not be required to mitigate the amount of any payment provided for in this Agreement by seeking other employment or otherwise, and except as provided in </w:t>
      </w:r>
      <w:r>
        <w:rPr>
          <w:rFonts w:ascii="Arial" w:cs="Arial" w:eastAsia="Arial" w:hAnsi="Arial"/>
          <w:sz w:val="20"/>
          <w:szCs w:val="20"/>
          <w:u w:val="single" w:color="auto"/>
          <w:color w:val="auto"/>
        </w:rPr>
        <w:t>Section 10(b)(iv)</w:t>
      </w:r>
      <w:r>
        <w:rPr>
          <w:rFonts w:ascii="Arial" w:cs="Arial" w:eastAsia="Arial" w:hAnsi="Arial"/>
          <w:sz w:val="20"/>
          <w:szCs w:val="20"/>
          <w:color w:val="auto"/>
        </w:rPr>
        <w:t>, such payments shall not be reduced whether or not Employee obtains other employment.</w:t>
      </w:r>
    </w:p>
    <w:p>
      <w:pPr>
        <w:spacing w:after="0" w:line="180" w:lineRule="exact"/>
        <w:rPr>
          <w:sz w:val="20"/>
          <w:szCs w:val="20"/>
          <w:color w:val="auto"/>
        </w:rPr>
      </w:pPr>
    </w:p>
    <w:p>
      <w:pPr>
        <w:ind w:left="644" w:hanging="644"/>
        <w:spacing w:after="0"/>
        <w:tabs>
          <w:tab w:leader="none" w:pos="644" w:val="left"/>
        </w:tabs>
        <w:numPr>
          <w:ilvl w:val="0"/>
          <w:numId w:val="141"/>
        </w:numPr>
        <w:rPr>
          <w:rFonts w:ascii="Arial" w:cs="Arial" w:eastAsia="Arial" w:hAnsi="Arial"/>
          <w:sz w:val="18"/>
          <w:szCs w:val="18"/>
          <w:color w:val="auto"/>
        </w:rPr>
      </w:pPr>
      <w:r>
        <w:rPr>
          <w:rFonts w:ascii="Arial" w:cs="Arial" w:eastAsia="Arial" w:hAnsi="Arial"/>
          <w:sz w:val="20"/>
          <w:szCs w:val="20"/>
          <w:b w:val="1"/>
          <w:bCs w:val="1"/>
          <w:u w:val="single" w:color="auto"/>
          <w:color w:val="auto"/>
        </w:rPr>
        <w:t>TAX EFFECT</w:t>
      </w:r>
      <w:r>
        <w:rPr>
          <w:rFonts w:ascii="Arial" w:cs="Arial" w:eastAsia="Arial" w:hAnsi="Arial"/>
          <w:sz w:val="20"/>
          <w:szCs w:val="20"/>
          <w:b w:val="1"/>
          <w:bCs w:val="1"/>
          <w:color w:val="auto"/>
        </w:rPr>
        <w:t>.</w:t>
      </w:r>
    </w:p>
    <w:p>
      <w:pPr>
        <w:spacing w:after="0" w:line="276" w:lineRule="exact"/>
        <w:rPr>
          <w:sz w:val="20"/>
          <w:szCs w:val="20"/>
          <w:color w:val="auto"/>
        </w:rPr>
      </w:pPr>
    </w:p>
    <w:p>
      <w:pPr>
        <w:ind w:left="4" w:right="380" w:firstLine="648"/>
        <w:spacing w:after="0" w:line="250" w:lineRule="auto"/>
        <w:rPr>
          <w:sz w:val="20"/>
          <w:szCs w:val="20"/>
          <w:color w:val="auto"/>
        </w:rPr>
      </w:pPr>
      <w:r>
        <w:rPr>
          <w:rFonts w:ascii="Arial" w:cs="Arial" w:eastAsia="Arial" w:hAnsi="Arial"/>
          <w:sz w:val="20"/>
          <w:szCs w:val="20"/>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186" w:lineRule="exact"/>
        <w:rPr>
          <w:sz w:val="20"/>
          <w:szCs w:val="20"/>
          <w:color w:val="auto"/>
        </w:rPr>
      </w:pPr>
    </w:p>
    <w:p>
      <w:pPr>
        <w:jc w:val="center"/>
        <w:ind w:right="196"/>
        <w:spacing w:after="0"/>
        <w:rPr>
          <w:sz w:val="20"/>
          <w:szCs w:val="20"/>
          <w:color w:val="auto"/>
        </w:rPr>
      </w:pPr>
      <w:r>
        <w:rPr>
          <w:rFonts w:ascii="Arial" w:cs="Arial" w:eastAsia="Arial" w:hAnsi="Arial"/>
          <w:sz w:val="20"/>
          <w:szCs w:val="20"/>
          <w:color w:val="auto"/>
        </w:rPr>
        <w:t>Notwithstanding anything in this Agreement or any written or unwritten policy of the Company to the contrary, if it shall be</w:t>
      </w:r>
    </w:p>
    <w:p>
      <w:pPr>
        <w:spacing w:after="0" w:line="16" w:lineRule="exact"/>
        <w:rPr>
          <w:sz w:val="20"/>
          <w:szCs w:val="20"/>
          <w:color w:val="auto"/>
        </w:rPr>
      </w:pPr>
    </w:p>
    <w:p>
      <w:pPr>
        <w:ind w:left="4"/>
        <w:spacing w:after="0"/>
        <w:rPr>
          <w:sz w:val="20"/>
          <w:szCs w:val="20"/>
          <w:color w:val="auto"/>
        </w:rPr>
      </w:pPr>
      <w:r>
        <w:rPr>
          <w:rFonts w:ascii="Arial" w:cs="Arial" w:eastAsia="Arial" w:hAnsi="Arial"/>
          <w:sz w:val="18"/>
          <w:szCs w:val="18"/>
          <w:color w:val="auto"/>
        </w:rPr>
        <w:t>determined that any payment or distribution by the Company to or for the benefit of the Employee, whether paid or payable or distributed 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9"/>
          <w:szCs w:val="19"/>
          <w:color w:val="auto"/>
        </w:rPr>
        <w:t>distributable pursuant to the terms of this Agreement, any other agreement between the Company and the Employee or otherwise (a</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or “</w:t>
      </w:r>
      <w:r>
        <w:rPr>
          <w:rFonts w:ascii="Arial" w:cs="Arial" w:eastAsia="Arial" w:hAnsi="Arial"/>
          <w:sz w:val="18"/>
          <w:szCs w:val="18"/>
          <w:b w:val="1"/>
          <w:bCs w:val="1"/>
          <w:color w:val="auto"/>
        </w:rPr>
        <w:t>Payments</w:t>
      </w:r>
      <w:r>
        <w:rPr>
          <w:rFonts w:ascii="Arial" w:cs="Arial" w:eastAsia="Arial" w:hAnsi="Arial"/>
          <w:sz w:val="18"/>
          <w:szCs w:val="18"/>
          <w:color w:val="auto"/>
        </w:rPr>
        <w:t>”), would constitute a parachute payment (“</w:t>
      </w:r>
      <w:r>
        <w:rPr>
          <w:rFonts w:ascii="Arial" w:cs="Arial" w:eastAsia="Arial" w:hAnsi="Arial"/>
          <w:sz w:val="18"/>
          <w:szCs w:val="18"/>
          <w:b w:val="1"/>
          <w:bCs w:val="1"/>
          <w:color w:val="auto"/>
        </w:rPr>
        <w:t>Parachute Payment</w:t>
      </w:r>
      <w:r>
        <w:rPr>
          <w:rFonts w:ascii="Arial" w:cs="Arial" w:eastAsia="Arial" w:hAnsi="Arial"/>
          <w:sz w:val="18"/>
          <w:szCs w:val="18"/>
          <w:color w:val="auto"/>
        </w:rPr>
        <w:t>”) within the meaning of Section 280G of the Code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 xml:space="preserve">and would, but for this </w:t>
      </w:r>
      <w:r>
        <w:rPr>
          <w:rFonts w:ascii="Arial" w:cs="Arial" w:eastAsia="Arial" w:hAnsi="Arial"/>
          <w:sz w:val="16"/>
          <w:szCs w:val="16"/>
          <w:u w:val="single" w:color="auto"/>
          <w:color w:val="auto"/>
        </w:rPr>
        <w:t>Section 12</w:t>
      </w:r>
      <w:r>
        <w:rPr>
          <w:rFonts w:ascii="Arial" w:cs="Arial" w:eastAsia="Arial" w:hAnsi="Arial"/>
          <w:sz w:val="16"/>
          <w:szCs w:val="16"/>
          <w:color w:val="auto"/>
        </w:rPr>
        <w:t>, be subject to the excise tax imposed under Section 4999 of the Code (or any successor provision thereto) or</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8"/>
          <w:szCs w:val="18"/>
          <w:color w:val="auto"/>
        </w:rPr>
        <w:t>any similar tax imposed by state or local law or any interest or penalties with respect to such taxes (collectively, the “</w:t>
      </w:r>
      <w:r>
        <w:rPr>
          <w:rFonts w:ascii="Arial" w:cs="Arial" w:eastAsia="Arial" w:hAnsi="Arial"/>
          <w:sz w:val="18"/>
          <w:szCs w:val="18"/>
          <w:b w:val="1"/>
          <w:bCs w:val="1"/>
          <w:color w:val="auto"/>
        </w:rPr>
        <w:t>Excise Tax</w:t>
      </w:r>
      <w:r>
        <w:rPr>
          <w:rFonts w:ascii="Arial" w:cs="Arial" w:eastAsia="Arial" w:hAnsi="Arial"/>
          <w:sz w:val="18"/>
          <w:szCs w:val="18"/>
          <w:color w:val="auto"/>
        </w:rPr>
        <w:t>”), then prior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to making the Payments, a calculation shall be made comparing (i) the Net Benefit (as defined below) to the Employee of the Payments after</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payment of the Excise Tax to (ii) the Net Benefit to the Employee if the Payments are limited to the extent necessary to avoid being subject to</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Excise Tax. Only if the amount calculated under (i) above is less than the amount under (ii) above will the Payments be reduced to the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minimum extent necessary to ensure that no portion of the Payments is subject to the Excise Tax. “</w:t>
      </w:r>
      <w:r>
        <w:rPr>
          <w:rFonts w:ascii="Arial" w:cs="Arial" w:eastAsia="Arial" w:hAnsi="Arial"/>
          <w:sz w:val="18"/>
          <w:szCs w:val="18"/>
          <w:b w:val="1"/>
          <w:bCs w:val="1"/>
          <w:color w:val="auto"/>
        </w:rPr>
        <w:t>Net Benefit</w:t>
      </w:r>
      <w:r>
        <w:rPr>
          <w:rFonts w:ascii="Arial" w:cs="Arial" w:eastAsia="Arial" w:hAnsi="Arial"/>
          <w:sz w:val="18"/>
          <w:szCs w:val="18"/>
          <w:color w:val="auto"/>
        </w:rPr>
        <w:t>” shall mean the present value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6"/>
          <w:szCs w:val="16"/>
          <w:color w:val="auto"/>
        </w:rPr>
        <w:t>of the Payments net of all federal, state, local, foreign income, employment and excise taxes. The Payments shall be reduced in a manner that</w:t>
      </w:r>
    </w:p>
    <w:p>
      <w:pPr>
        <w:spacing w:after="0" w:line="46" w:lineRule="exact"/>
        <w:rPr>
          <w:sz w:val="20"/>
          <w:szCs w:val="20"/>
          <w:color w:val="auto"/>
        </w:rPr>
      </w:pPr>
    </w:p>
    <w:p>
      <w:pPr>
        <w:ind w:left="4"/>
        <w:spacing w:after="0"/>
        <w:rPr>
          <w:sz w:val="20"/>
          <w:szCs w:val="20"/>
          <w:color w:val="auto"/>
        </w:rPr>
      </w:pPr>
      <w:r>
        <w:rPr>
          <w:rFonts w:ascii="Arial" w:cs="Arial" w:eastAsia="Arial" w:hAnsi="Arial"/>
          <w:sz w:val="19"/>
          <w:szCs w:val="19"/>
          <w:color w:val="auto"/>
        </w:rPr>
        <w:t>maximizes the Employee’s economic position. In applying this principle, the reduction shall be made in a manner consistent with the</w:t>
      </w:r>
    </w:p>
    <w:p>
      <w:pPr>
        <w:spacing w:after="0" w:line="11" w:lineRule="exact"/>
        <w:rPr>
          <w:sz w:val="20"/>
          <w:szCs w:val="20"/>
          <w:color w:val="auto"/>
        </w:rPr>
      </w:pPr>
    </w:p>
    <w:p>
      <w:pPr>
        <w:ind w:left="4"/>
        <w:spacing w:after="0"/>
        <w:rPr>
          <w:sz w:val="20"/>
          <w:szCs w:val="20"/>
          <w:color w:val="auto"/>
        </w:rPr>
      </w:pPr>
      <w:r>
        <w:rPr>
          <w:rFonts w:ascii="Arial" w:cs="Arial" w:eastAsia="Arial" w:hAnsi="Arial"/>
          <w:sz w:val="18"/>
          <w:szCs w:val="18"/>
          <w:color w:val="auto"/>
        </w:rPr>
        <w:t>requirements of Section 409A of the Code, and where two economically equivalent amounts are subject to reduction but payable at different</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times, such amounts shall be reduced on a pro rata basis but not below zero. Any determination required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including</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whether any payments or benefits are parachute payments, shall be made by the Company in its sole discretion. The Employee shall provide</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color w:val="auto"/>
        </w:rPr>
        <w:t>the Company with such information and documents as the Company may reasonably request in order to make a determination under this</w:t>
      </w:r>
    </w:p>
    <w:p>
      <w:pPr>
        <w:spacing w:after="0" w:line="23"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The Company’s determination shall be final and binding on the Employee. The parties acknowledge that the Employee is solely</w:t>
      </w:r>
    </w:p>
    <w:p>
      <w:pPr>
        <w:spacing w:after="0" w:line="23" w:lineRule="exact"/>
        <w:rPr>
          <w:sz w:val="20"/>
          <w:szCs w:val="20"/>
          <w:color w:val="auto"/>
        </w:rPr>
      </w:pPr>
    </w:p>
    <w:p>
      <w:pPr>
        <w:ind w:left="4"/>
        <w:spacing w:after="0"/>
        <w:rPr>
          <w:sz w:val="20"/>
          <w:szCs w:val="20"/>
          <w:color w:val="auto"/>
        </w:rPr>
      </w:pPr>
      <w:r>
        <w:rPr>
          <w:rFonts w:ascii="Arial" w:cs="Arial" w:eastAsia="Arial" w:hAnsi="Arial"/>
          <w:sz w:val="20"/>
          <w:szCs w:val="20"/>
          <w:color w:val="auto"/>
        </w:rPr>
        <w:t>responsible for the payment of any Excise Tax that is assessed based</w:t>
      </w:r>
    </w:p>
    <w:p>
      <w:pPr>
        <w:sectPr>
          <w:pgSz w:w="11900" w:h="16838" w:orient="portrait"/>
          <w:cols w:equalWidth="0" w:num="1">
            <w:col w:w="11304"/>
          </w:cols>
          <w:pgMar w:left="356" w:top="555" w:right="239" w:bottom="1440" w:gutter="0" w:footer="0" w:header="0"/>
        </w:sectPr>
      </w:pPr>
    </w:p>
    <w:bookmarkStart w:id="174" w:name="page175"/>
    <w:bookmarkEnd w:id="174"/>
    <w:p>
      <w:pPr>
        <w:ind w:left="40"/>
        <w:spacing w:after="0"/>
        <w:rPr>
          <w:sz w:val="20"/>
          <w:szCs w:val="20"/>
          <w:color w:val="auto"/>
        </w:rPr>
      </w:pPr>
      <w:r>
        <w:rPr>
          <w:rFonts w:ascii="Arial" w:cs="Arial" w:eastAsia="Arial" w:hAnsi="Arial"/>
          <w:sz w:val="18"/>
          <w:szCs w:val="18"/>
          <w:color w:val="auto"/>
        </w:rPr>
        <w:t>upon a payment made pursuant to this Agreement or any other payment made by the Company pursuant to any other plan or obligation.</w:t>
      </w:r>
    </w:p>
    <w:p>
      <w:pPr>
        <w:spacing w:after="0" w:line="233" w:lineRule="exact"/>
        <w:rPr>
          <w:sz w:val="20"/>
          <w:szCs w:val="20"/>
          <w:color w:val="auto"/>
        </w:rPr>
      </w:pPr>
    </w:p>
    <w:p>
      <w:pPr>
        <w:ind w:left="680" w:hanging="644"/>
        <w:spacing w:after="0"/>
        <w:tabs>
          <w:tab w:leader="none" w:pos="680" w:val="left"/>
        </w:tabs>
        <w:numPr>
          <w:ilvl w:val="0"/>
          <w:numId w:val="142"/>
        </w:numPr>
        <w:rPr>
          <w:rFonts w:ascii="Arial" w:cs="Arial" w:eastAsia="Arial" w:hAnsi="Arial"/>
          <w:sz w:val="18"/>
          <w:szCs w:val="18"/>
          <w:color w:val="auto"/>
        </w:rPr>
      </w:pPr>
      <w:r>
        <w:rPr>
          <w:rFonts w:ascii="Arial" w:cs="Arial" w:eastAsia="Arial" w:hAnsi="Arial"/>
          <w:sz w:val="20"/>
          <w:szCs w:val="20"/>
          <w:b w:val="1"/>
          <w:bCs w:val="1"/>
          <w:u w:val="single" w:color="auto"/>
          <w:color w:val="auto"/>
        </w:rPr>
        <w:t>OUTPLACEMENT SERVICES</w:t>
      </w:r>
      <w:r>
        <w:rPr>
          <w:rFonts w:ascii="Arial" w:cs="Arial" w:eastAsia="Arial" w:hAnsi="Arial"/>
          <w:sz w:val="20"/>
          <w:szCs w:val="20"/>
          <w:b w:val="1"/>
          <w:bCs w:val="1"/>
          <w:color w:val="auto"/>
        </w:rPr>
        <w:t>.</w:t>
      </w:r>
    </w:p>
    <w:p>
      <w:pPr>
        <w:spacing w:after="0" w:line="276" w:lineRule="exact"/>
        <w:rPr>
          <w:sz w:val="20"/>
          <w:szCs w:val="20"/>
          <w:color w:val="auto"/>
        </w:rPr>
      </w:pPr>
    </w:p>
    <w:p>
      <w:pPr>
        <w:ind w:right="60" w:firstLine="648"/>
        <w:spacing w:after="0" w:line="309" w:lineRule="auto"/>
        <w:rPr>
          <w:sz w:val="20"/>
          <w:szCs w:val="20"/>
          <w:color w:val="auto"/>
        </w:rPr>
      </w:pPr>
      <w:r>
        <w:rPr>
          <w:rFonts w:ascii="Arial" w:cs="Arial" w:eastAsia="Arial" w:hAnsi="Arial"/>
          <w:sz w:val="16"/>
          <w:szCs w:val="16"/>
          <w:color w:val="auto"/>
        </w:rPr>
        <w:t>The Company shall, at its expense, permit the Employee to participate in outplacement assistance services, as determined by the Company, which are: (a) as to executive officers, at a level appropriate for senior management of a public company, and (b) not more than six</w:t>
      </w:r>
    </w:p>
    <w:p>
      <w:pPr>
        <w:spacing w:after="0" w:line="1" w:lineRule="exact"/>
        <w:rPr>
          <w:sz w:val="20"/>
          <w:szCs w:val="20"/>
          <w:color w:val="auto"/>
        </w:rPr>
      </w:pPr>
    </w:p>
    <w:p>
      <w:pPr>
        <w:ind w:right="120" w:firstLine="9"/>
        <w:spacing w:after="0" w:line="241" w:lineRule="auto"/>
        <w:tabs>
          <w:tab w:leader="none" w:pos="280" w:val="left"/>
        </w:tabs>
        <w:numPr>
          <w:ilvl w:val="0"/>
          <w:numId w:val="143"/>
        </w:numPr>
        <w:rPr>
          <w:rFonts w:ascii="Arial" w:cs="Arial" w:eastAsia="Arial" w:hAnsi="Arial"/>
          <w:sz w:val="20"/>
          <w:szCs w:val="20"/>
          <w:color w:val="auto"/>
        </w:rPr>
      </w:pPr>
      <w:r>
        <w:rPr>
          <w:rFonts w:ascii="Arial" w:cs="Arial" w:eastAsia="Arial" w:hAnsi="Arial"/>
          <w:sz w:val="20"/>
          <w:szCs w:val="20"/>
          <w:color w:val="auto"/>
        </w:rPr>
        <w:t>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190" w:lineRule="exact"/>
        <w:rPr>
          <w:rFonts w:ascii="Arial" w:cs="Arial" w:eastAsia="Arial" w:hAnsi="Arial"/>
          <w:sz w:val="20"/>
          <w:szCs w:val="20"/>
          <w:color w:val="auto"/>
        </w:rPr>
      </w:pPr>
    </w:p>
    <w:p>
      <w:pPr>
        <w:ind w:left="680" w:hanging="644"/>
        <w:spacing w:after="0"/>
        <w:tabs>
          <w:tab w:leader="none" w:pos="680" w:val="left"/>
        </w:tabs>
        <w:numPr>
          <w:ilvl w:val="1"/>
          <w:numId w:val="143"/>
        </w:numPr>
        <w:rPr>
          <w:rFonts w:ascii="Arial" w:cs="Arial" w:eastAsia="Arial" w:hAnsi="Arial"/>
          <w:sz w:val="18"/>
          <w:szCs w:val="18"/>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w:t>
      </w:r>
    </w:p>
    <w:p>
      <w:pPr>
        <w:spacing w:after="0" w:line="276" w:lineRule="exact"/>
        <w:rPr>
          <w:sz w:val="20"/>
          <w:szCs w:val="20"/>
          <w:color w:val="auto"/>
        </w:rPr>
      </w:pPr>
    </w:p>
    <w:p>
      <w:pPr>
        <w:ind w:right="40" w:firstLine="648"/>
        <w:spacing w:after="0" w:line="273" w:lineRule="auto"/>
        <w:rPr>
          <w:sz w:val="20"/>
          <w:szCs w:val="20"/>
          <w:color w:val="auto"/>
        </w:rPr>
      </w:pPr>
      <w:r>
        <w:rPr>
          <w:rFonts w:ascii="Arial" w:cs="Arial" w:eastAsia="Arial" w:hAnsi="Arial"/>
          <w:sz w:val="18"/>
          <w:szCs w:val="18"/>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Employer under this Agreement, in the same manner and to the same extent that the Company and each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169" w:lineRule="exact"/>
        <w:rPr>
          <w:sz w:val="20"/>
          <w:szCs w:val="20"/>
          <w:color w:val="auto"/>
        </w:rPr>
      </w:pPr>
    </w:p>
    <w:p>
      <w:pPr>
        <w:ind w:right="280" w:firstLine="648"/>
        <w:spacing w:after="0" w:line="250" w:lineRule="auto"/>
        <w:rPr>
          <w:sz w:val="20"/>
          <w:szCs w:val="20"/>
          <w:color w:val="auto"/>
        </w:rPr>
      </w:pPr>
      <w:r>
        <w:rPr>
          <w:rFonts w:ascii="Arial" w:cs="Arial" w:eastAsia="Arial" w:hAnsi="Arial"/>
          <w:sz w:val="20"/>
          <w:szCs w:val="20"/>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180" w:lineRule="exact"/>
        <w:rPr>
          <w:sz w:val="20"/>
          <w:szCs w:val="20"/>
          <w:color w:val="auto"/>
        </w:rPr>
      </w:pPr>
    </w:p>
    <w:p>
      <w:pPr>
        <w:ind w:left="660" w:hanging="651"/>
        <w:spacing w:after="0"/>
        <w:tabs>
          <w:tab w:leader="none" w:pos="660" w:val="left"/>
        </w:tabs>
        <w:numPr>
          <w:ilvl w:val="0"/>
          <w:numId w:val="144"/>
        </w:numPr>
        <w:rPr>
          <w:rFonts w:ascii="Arial" w:cs="Arial" w:eastAsia="Arial" w:hAnsi="Arial"/>
          <w:sz w:val="18"/>
          <w:szCs w:val="18"/>
          <w:color w:val="auto"/>
        </w:rPr>
      </w:pPr>
      <w:r>
        <w:rPr>
          <w:rFonts w:ascii="Arial" w:cs="Arial" w:eastAsia="Arial" w:hAnsi="Arial"/>
          <w:sz w:val="20"/>
          <w:szCs w:val="20"/>
          <w:b w:val="1"/>
          <w:bCs w:val="1"/>
          <w:u w:val="single" w:color="auto"/>
          <w:color w:val="auto"/>
        </w:rPr>
        <w:t>FEES AND EXPENSES</w:t>
      </w:r>
      <w:r>
        <w:rPr>
          <w:rFonts w:ascii="Arial" w:cs="Arial" w:eastAsia="Arial" w:hAnsi="Arial"/>
          <w:sz w:val="20"/>
          <w:szCs w:val="20"/>
          <w:b w:val="1"/>
          <w:bCs w:val="1"/>
          <w:color w:val="auto"/>
        </w:rPr>
        <w:t>.</w:t>
      </w:r>
    </w:p>
    <w:p>
      <w:pPr>
        <w:spacing w:after="0" w:line="222" w:lineRule="exact"/>
        <w:rPr>
          <w:sz w:val="20"/>
          <w:szCs w:val="20"/>
          <w:color w:val="auto"/>
        </w:rPr>
      </w:pPr>
    </w:p>
    <w:p>
      <w:pPr>
        <w:ind w:firstLine="648"/>
        <w:spacing w:after="0" w:line="250" w:lineRule="auto"/>
        <w:rPr>
          <w:sz w:val="20"/>
          <w:szCs w:val="20"/>
          <w:color w:val="auto"/>
        </w:rPr>
      </w:pPr>
      <w:r>
        <w:rPr>
          <w:rFonts w:ascii="Arial" w:cs="Arial" w:eastAsia="Arial" w:hAnsi="Arial"/>
          <w:sz w:val="20"/>
          <w:szCs w:val="20"/>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186" w:lineRule="exact"/>
        <w:rPr>
          <w:sz w:val="20"/>
          <w:szCs w:val="20"/>
          <w:color w:val="auto"/>
        </w:rPr>
      </w:pPr>
    </w:p>
    <w:p>
      <w:pPr>
        <w:ind w:firstLine="648"/>
        <w:spacing w:after="0" w:line="258"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15</w:t>
      </w:r>
      <w:r>
        <w:rPr>
          <w:rFonts w:ascii="Arial" w:cs="Arial" w:eastAsia="Arial" w:hAnsi="Arial"/>
          <w:sz w:val="19"/>
          <w:szCs w:val="19"/>
          <w:color w:val="auto"/>
        </w:rPr>
        <w:t>, the Employee will not be deemed to have incurred legal fees or expenses reasonably or in good faith if, following resolution of a dispute under this Agreement, he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 (30) 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173" w:lineRule="exact"/>
        <w:rPr>
          <w:sz w:val="20"/>
          <w:szCs w:val="20"/>
          <w:color w:val="auto"/>
        </w:rPr>
      </w:pPr>
    </w:p>
    <w:p>
      <w:pPr>
        <w:ind w:left="680" w:hanging="644"/>
        <w:spacing w:after="0"/>
        <w:tabs>
          <w:tab w:leader="none" w:pos="680" w:val="left"/>
        </w:tabs>
        <w:numPr>
          <w:ilvl w:val="0"/>
          <w:numId w:val="145"/>
        </w:numPr>
        <w:rPr>
          <w:rFonts w:ascii="Arial" w:cs="Arial" w:eastAsia="Arial" w:hAnsi="Arial"/>
          <w:sz w:val="18"/>
          <w:szCs w:val="18"/>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w:t>
      </w:r>
    </w:p>
    <w:p>
      <w:pPr>
        <w:spacing w:after="0" w:line="276" w:lineRule="exact"/>
        <w:rPr>
          <w:sz w:val="20"/>
          <w:szCs w:val="20"/>
          <w:color w:val="auto"/>
        </w:rPr>
      </w:pPr>
    </w:p>
    <w:p>
      <w:pPr>
        <w:ind w:left="40" w:right="60" w:firstLine="648"/>
        <w:spacing w:after="0" w:line="246" w:lineRule="auto"/>
        <w:rPr>
          <w:sz w:val="20"/>
          <w:szCs w:val="20"/>
          <w:color w:val="auto"/>
        </w:rPr>
      </w:pPr>
      <w:r>
        <w:rPr>
          <w:rFonts w:ascii="Arial" w:cs="Arial" w:eastAsia="Arial" w:hAnsi="Arial"/>
          <w:sz w:val="20"/>
          <w:szCs w:val="20"/>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w:t>
      </w:r>
    </w:p>
    <w:p>
      <w:pPr>
        <w:sectPr>
          <w:pgSz w:w="11900" w:h="16838" w:orient="portrait"/>
          <w:cols w:equalWidth="0" w:num="1">
            <w:col w:w="11300"/>
          </w:cols>
          <w:pgMar w:left="320" w:top="555" w:right="279" w:bottom="1440" w:gutter="0" w:footer="0" w:header="0"/>
        </w:sectPr>
      </w:pPr>
    </w:p>
    <w:bookmarkStart w:id="175" w:name="page176"/>
    <w:bookmarkEnd w:id="175"/>
    <w:p>
      <w:pPr>
        <w:ind w:left="40"/>
        <w:spacing w:after="0" w:line="250" w:lineRule="auto"/>
        <w:rPr>
          <w:sz w:val="20"/>
          <w:szCs w:val="20"/>
          <w:color w:val="auto"/>
        </w:rPr>
      </w:pPr>
      <w:r>
        <w:rPr>
          <w:rFonts w:ascii="Arial" w:cs="Arial" w:eastAsia="Arial" w:hAnsi="Arial"/>
          <w:sz w:val="20"/>
          <w:szCs w:val="20"/>
          <w:color w:val="auto"/>
        </w:rPr>
        <w:t>the Board of Directors of the Company. All 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234" w:lineRule="exact"/>
        <w:rPr>
          <w:sz w:val="20"/>
          <w:szCs w:val="20"/>
          <w:color w:val="auto"/>
        </w:rPr>
      </w:pPr>
    </w:p>
    <w:p>
      <w:pPr>
        <w:ind w:left="680" w:hanging="644"/>
        <w:spacing w:after="0"/>
        <w:tabs>
          <w:tab w:leader="none" w:pos="680" w:val="left"/>
        </w:tabs>
        <w:numPr>
          <w:ilvl w:val="0"/>
          <w:numId w:val="146"/>
        </w:numPr>
        <w:rPr>
          <w:rFonts w:ascii="Arial" w:cs="Arial" w:eastAsia="Arial" w:hAnsi="Arial"/>
          <w:sz w:val="18"/>
          <w:szCs w:val="18"/>
          <w:color w:val="auto"/>
        </w:rPr>
      </w:pP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w:t>
      </w:r>
    </w:p>
    <w:p>
      <w:pPr>
        <w:spacing w:after="0" w:line="276" w:lineRule="exact"/>
        <w:rPr>
          <w:sz w:val="20"/>
          <w:szCs w:val="20"/>
          <w:color w:val="auto"/>
        </w:rPr>
      </w:pPr>
    </w:p>
    <w:p>
      <w:pPr>
        <w:ind w:right="60" w:firstLine="648"/>
        <w:spacing w:after="0" w:line="271" w:lineRule="auto"/>
        <w:rPr>
          <w:sz w:val="20"/>
          <w:szCs w:val="20"/>
          <w:color w:val="auto"/>
        </w:rPr>
      </w:pPr>
      <w:r>
        <w:rPr>
          <w:rFonts w:ascii="Arial" w:cs="Arial" w:eastAsia="Arial" w:hAnsi="Arial"/>
          <w:sz w:val="18"/>
          <w:szCs w:val="18"/>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 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165" w:lineRule="exact"/>
        <w:rPr>
          <w:sz w:val="20"/>
          <w:szCs w:val="20"/>
          <w:color w:val="auto"/>
        </w:rPr>
      </w:pPr>
    </w:p>
    <w:p>
      <w:pPr>
        <w:ind w:left="660" w:hanging="651"/>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76" w:lineRule="exact"/>
        <w:rPr>
          <w:sz w:val="20"/>
          <w:szCs w:val="20"/>
          <w:color w:val="auto"/>
        </w:rPr>
      </w:pPr>
    </w:p>
    <w:p>
      <w:pPr>
        <w:ind w:left="40" w:right="80" w:firstLine="648"/>
        <w:spacing w:after="0" w:line="321" w:lineRule="auto"/>
        <w:rPr>
          <w:sz w:val="20"/>
          <w:szCs w:val="20"/>
          <w:color w:val="auto"/>
        </w:rPr>
      </w:pPr>
      <w:r>
        <w:rPr>
          <w:rFonts w:ascii="Arial" w:cs="Arial" w:eastAsia="Arial" w:hAnsi="Arial"/>
          <w:sz w:val="16"/>
          <w:szCs w:val="16"/>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28" w:lineRule="exact"/>
        <w:rPr>
          <w:sz w:val="20"/>
          <w:szCs w:val="20"/>
          <w:color w:val="auto"/>
        </w:rPr>
      </w:pPr>
    </w:p>
    <w:p>
      <w:pPr>
        <w:ind w:left="680" w:hanging="644"/>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w:t>
      </w:r>
    </w:p>
    <w:p>
      <w:pPr>
        <w:spacing w:after="0" w:line="275" w:lineRule="exact"/>
        <w:rPr>
          <w:rFonts w:ascii="Arial" w:cs="Arial" w:eastAsia="Arial" w:hAnsi="Arial"/>
          <w:sz w:val="18"/>
          <w:szCs w:val="18"/>
          <w:color w:val="auto"/>
        </w:rPr>
      </w:pPr>
    </w:p>
    <w:p>
      <w:pPr>
        <w:ind w:left="680"/>
        <w:spacing w:after="0"/>
        <w:rPr>
          <w:rFonts w:ascii="Arial" w:cs="Arial" w:eastAsia="Arial" w:hAnsi="Arial"/>
          <w:sz w:val="18"/>
          <w:szCs w:val="18"/>
          <w:color w:val="auto"/>
        </w:rPr>
      </w:pPr>
      <w:r>
        <w:rPr>
          <w:rFonts w:ascii="Arial" w:cs="Arial" w:eastAsia="Arial" w:hAnsi="Arial"/>
          <w:sz w:val="19"/>
          <w:szCs w:val="19"/>
          <w:color w:val="auto"/>
        </w:rPr>
        <w:t>This Agreement shall be governed by and construed and enforced in accordance with the laws of the State of South Dakota.</w:t>
      </w:r>
    </w:p>
    <w:p>
      <w:pPr>
        <w:spacing w:after="0" w:line="221" w:lineRule="exact"/>
        <w:rPr>
          <w:rFonts w:ascii="Arial" w:cs="Arial" w:eastAsia="Arial" w:hAnsi="Arial"/>
          <w:sz w:val="18"/>
          <w:szCs w:val="18"/>
          <w:color w:val="auto"/>
        </w:rPr>
      </w:pPr>
    </w:p>
    <w:p>
      <w:pPr>
        <w:ind w:left="680" w:hanging="644"/>
        <w:spacing w:after="0"/>
        <w:tabs>
          <w:tab w:leader="none" w:pos="680" w:val="left"/>
        </w:tabs>
        <w:numPr>
          <w:ilvl w:val="0"/>
          <w:numId w:val="148"/>
        </w:numPr>
        <w:rPr>
          <w:rFonts w:ascii="Arial" w:cs="Arial" w:eastAsia="Arial" w:hAnsi="Arial"/>
          <w:sz w:val="18"/>
          <w:szCs w:val="18"/>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w:t>
      </w:r>
    </w:p>
    <w:p>
      <w:pPr>
        <w:spacing w:after="0" w:line="276" w:lineRule="exact"/>
        <w:rPr>
          <w:sz w:val="20"/>
          <w:szCs w:val="20"/>
          <w:color w:val="auto"/>
        </w:rPr>
      </w:pPr>
    </w:p>
    <w:p>
      <w:pPr>
        <w:ind w:left="40" w:firstLine="648"/>
        <w:spacing w:after="0" w:line="260" w:lineRule="auto"/>
        <w:rPr>
          <w:sz w:val="20"/>
          <w:szCs w:val="20"/>
          <w:color w:val="auto"/>
        </w:rPr>
      </w:pPr>
      <w:r>
        <w:rPr>
          <w:rFonts w:ascii="Arial" w:cs="Arial" w:eastAsia="Arial" w:hAnsi="Arial"/>
          <w:sz w:val="20"/>
          <w:szCs w:val="20"/>
          <w:color w:val="auto"/>
        </w:rPr>
        <w:t>The provisions of this Agreement shall be deemed severable and the invalidity or unenforceability of any provision shall not affect the validity or enforceability of the other provisions hereof.</w:t>
      </w:r>
    </w:p>
    <w:p>
      <w:pPr>
        <w:spacing w:after="0" w:line="171" w:lineRule="exact"/>
        <w:rPr>
          <w:sz w:val="20"/>
          <w:szCs w:val="20"/>
          <w:color w:val="auto"/>
        </w:rPr>
      </w:pPr>
    </w:p>
    <w:p>
      <w:pPr>
        <w:ind w:left="680" w:hanging="644"/>
        <w:spacing w:after="0"/>
        <w:tabs>
          <w:tab w:leader="none" w:pos="680" w:val="left"/>
        </w:tabs>
        <w:numPr>
          <w:ilvl w:val="0"/>
          <w:numId w:val="149"/>
        </w:numPr>
        <w:rPr>
          <w:rFonts w:ascii="Arial" w:cs="Arial" w:eastAsia="Arial" w:hAnsi="Arial"/>
          <w:sz w:val="18"/>
          <w:szCs w:val="18"/>
          <w:color w:val="auto"/>
        </w:rPr>
      </w:pPr>
      <w:r>
        <w:rPr>
          <w:rFonts w:ascii="Arial" w:cs="Arial" w:eastAsia="Arial" w:hAnsi="Arial"/>
          <w:sz w:val="20"/>
          <w:szCs w:val="20"/>
          <w:b w:val="1"/>
          <w:bCs w:val="1"/>
          <w:u w:val="single" w:color="auto"/>
          <w:color w:val="auto"/>
        </w:rPr>
        <w:t>NO GUARANTEED EMPLOYMENT</w:t>
      </w:r>
      <w:r>
        <w:rPr>
          <w:rFonts w:ascii="Arial" w:cs="Arial" w:eastAsia="Arial" w:hAnsi="Arial"/>
          <w:sz w:val="20"/>
          <w:szCs w:val="20"/>
          <w:b w:val="1"/>
          <w:bCs w:val="1"/>
          <w:color w:val="auto"/>
        </w:rPr>
        <w:t>.</w:t>
      </w:r>
    </w:p>
    <w:p>
      <w:pPr>
        <w:spacing w:after="0" w:line="276" w:lineRule="exact"/>
        <w:rPr>
          <w:sz w:val="20"/>
          <w:szCs w:val="20"/>
          <w:color w:val="auto"/>
        </w:rPr>
      </w:pPr>
    </w:p>
    <w:p>
      <w:pPr>
        <w:ind w:left="40" w:right="380" w:firstLine="648"/>
        <w:spacing w:after="0" w:line="328" w:lineRule="auto"/>
        <w:rPr>
          <w:sz w:val="20"/>
          <w:szCs w:val="20"/>
          <w:color w:val="auto"/>
        </w:rPr>
      </w:pPr>
      <w:r>
        <w:rPr>
          <w:rFonts w:ascii="Arial" w:cs="Arial" w:eastAsia="Arial" w:hAnsi="Arial"/>
          <w:sz w:val="16"/>
          <w:szCs w:val="16"/>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123" w:lineRule="exact"/>
        <w:rPr>
          <w:sz w:val="20"/>
          <w:szCs w:val="20"/>
          <w:color w:val="auto"/>
        </w:rPr>
      </w:pPr>
    </w:p>
    <w:p>
      <w:pPr>
        <w:ind w:left="740" w:hanging="650"/>
        <w:spacing w:after="0"/>
        <w:tabs>
          <w:tab w:leader="none" w:pos="740" w:val="left"/>
        </w:tabs>
        <w:numPr>
          <w:ilvl w:val="0"/>
          <w:numId w:val="150"/>
        </w:numPr>
        <w:rPr>
          <w:rFonts w:ascii="Arial" w:cs="Arial" w:eastAsia="Arial" w:hAnsi="Arial"/>
          <w:sz w:val="18"/>
          <w:szCs w:val="18"/>
          <w:color w:val="auto"/>
        </w:rPr>
      </w:pPr>
      <w:r>
        <w:rPr>
          <w:rFonts w:ascii="Arial" w:cs="Arial" w:eastAsia="Arial" w:hAnsi="Arial"/>
          <w:sz w:val="20"/>
          <w:szCs w:val="20"/>
          <w:b w:val="1"/>
          <w:bCs w:val="1"/>
          <w:u w:val="single" w:color="auto"/>
          <w:color w:val="auto"/>
        </w:rPr>
        <w:t>SUBSIDIARY DEEMED TO BE COMPANY FOR PORTIONS OF AGREEMENT</w:t>
      </w:r>
      <w:r>
        <w:rPr>
          <w:rFonts w:ascii="Arial" w:cs="Arial" w:eastAsia="Arial" w:hAnsi="Arial"/>
          <w:sz w:val="20"/>
          <w:szCs w:val="20"/>
          <w:b w:val="1"/>
          <w:bCs w:val="1"/>
          <w:color w:val="auto"/>
        </w:rPr>
        <w:t>.</w:t>
      </w:r>
    </w:p>
    <w:p>
      <w:pPr>
        <w:sectPr>
          <w:pgSz w:w="11900" w:h="16838" w:orient="portrait"/>
          <w:cols w:equalWidth="0" w:num="1">
            <w:col w:w="11320"/>
          </w:cols>
          <w:pgMar w:left="320" w:top="609" w:right="259" w:bottom="1440" w:gutter="0" w:footer="0" w:header="0"/>
        </w:sectPr>
      </w:pPr>
    </w:p>
    <w:bookmarkStart w:id="176" w:name="page177"/>
    <w:bookmarkEnd w:id="176"/>
    <w:p>
      <w:pPr>
        <w:ind w:left="40" w:right="60" w:firstLine="648"/>
        <w:spacing w:after="0" w:line="260" w:lineRule="auto"/>
        <w:rPr>
          <w:sz w:val="20"/>
          <w:szCs w:val="20"/>
          <w:color w:val="auto"/>
        </w:rPr>
      </w:pPr>
      <w:r>
        <w:rPr>
          <w:rFonts w:ascii="Arial" w:cs="Arial" w:eastAsia="Arial" w:hAnsi="Arial"/>
          <w:sz w:val="19"/>
          <w:szCs w:val="19"/>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175" w:lineRule="exact"/>
        <w:rPr>
          <w:sz w:val="20"/>
          <w:szCs w:val="20"/>
          <w:color w:val="auto"/>
        </w:rPr>
      </w:pPr>
    </w:p>
    <w:p>
      <w:pPr>
        <w:ind w:left="740" w:hanging="650"/>
        <w:spacing w:after="0"/>
        <w:tabs>
          <w:tab w:leader="none" w:pos="740" w:val="left"/>
        </w:tabs>
        <w:numPr>
          <w:ilvl w:val="0"/>
          <w:numId w:val="151"/>
        </w:numPr>
        <w:rPr>
          <w:rFonts w:ascii="Arial" w:cs="Arial" w:eastAsia="Arial" w:hAnsi="Arial"/>
          <w:sz w:val="18"/>
          <w:szCs w:val="18"/>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w:t>
      </w:r>
    </w:p>
    <w:p>
      <w:pPr>
        <w:spacing w:after="0" w:line="276" w:lineRule="exact"/>
        <w:rPr>
          <w:sz w:val="20"/>
          <w:szCs w:val="20"/>
          <w:color w:val="auto"/>
        </w:rPr>
      </w:pPr>
    </w:p>
    <w:p>
      <w:pPr>
        <w:ind w:left="40" w:right="1180" w:firstLine="648"/>
        <w:spacing w:after="0" w:line="316" w:lineRule="auto"/>
        <w:rPr>
          <w:sz w:val="20"/>
          <w:szCs w:val="20"/>
          <w:color w:val="auto"/>
        </w:rPr>
      </w:pPr>
      <w:r>
        <w:rPr>
          <w:rFonts w:ascii="Arial" w:cs="Arial" w:eastAsia="Arial" w:hAnsi="Arial"/>
          <w:sz w:val="18"/>
          <w:szCs w:val="18"/>
          <w:color w:val="auto"/>
        </w:rPr>
        <w:t>This Agreement constitutes the entire agreement between the parties hereto and supersedes all prior agreements, if any, understandings and arrangements, oral or written, between the parties hereto with respect to the subject matter hereof.</w:t>
      </w:r>
    </w:p>
    <w:p>
      <w:pPr>
        <w:spacing w:after="0" w:line="130" w:lineRule="exact"/>
        <w:rPr>
          <w:sz w:val="20"/>
          <w:szCs w:val="20"/>
          <w:color w:val="auto"/>
        </w:rPr>
      </w:pPr>
    </w:p>
    <w:p>
      <w:pPr>
        <w:ind w:left="1340"/>
        <w:spacing w:after="0"/>
        <w:rPr>
          <w:sz w:val="20"/>
          <w:szCs w:val="20"/>
          <w:color w:val="auto"/>
        </w:rPr>
      </w:pPr>
      <w:r>
        <w:rPr>
          <w:rFonts w:ascii="Arial" w:cs="Arial" w:eastAsia="Arial" w:hAnsi="Arial"/>
          <w:sz w:val="20"/>
          <w:szCs w:val="20"/>
          <w:color w:val="auto"/>
        </w:rPr>
        <w:t>Dated this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November, 2019.</w:t>
      </w:r>
    </w:p>
    <w:p>
      <w:pPr>
        <w:spacing w:after="0" w:line="212"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BLACK HILLS CORPORATION</w:t>
      </w:r>
    </w:p>
    <w:p>
      <w:pPr>
        <w:spacing w:after="0" w:line="200" w:lineRule="exact"/>
        <w:rPr>
          <w:sz w:val="20"/>
          <w:szCs w:val="20"/>
          <w:color w:val="auto"/>
        </w:rPr>
      </w:pPr>
    </w:p>
    <w:p>
      <w:pPr>
        <w:spacing w:after="0" w:line="232" w:lineRule="exact"/>
        <w:rPr>
          <w:sz w:val="20"/>
          <w:szCs w:val="20"/>
          <w:color w:val="auto"/>
        </w:rPr>
      </w:pPr>
    </w:p>
    <w:p>
      <w:pPr>
        <w:ind w:left="4460"/>
        <w:spacing w:after="0"/>
        <w:tabs>
          <w:tab w:leader="none" w:pos="5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Brian G. Iverson</w:t>
      </w:r>
    </w:p>
    <w:p>
      <w:pPr>
        <w:spacing w:after="0" w:line="15"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Brian G. Iverson</w:t>
      </w:r>
    </w:p>
    <w:p>
      <w:pPr>
        <w:ind w:left="4460"/>
        <w:spacing w:after="0"/>
        <w:rPr>
          <w:sz w:val="20"/>
          <w:szCs w:val="20"/>
          <w:color w:val="auto"/>
        </w:rPr>
      </w:pPr>
      <w:r>
        <w:rPr>
          <w:rFonts w:ascii="Arial" w:cs="Arial" w:eastAsia="Arial" w:hAnsi="Arial"/>
          <w:sz w:val="20"/>
          <w:szCs w:val="20"/>
          <w:color w:val="auto"/>
        </w:rPr>
        <w:t>Senior Vice President and General Counsel</w:t>
      </w:r>
    </w:p>
    <w:p>
      <w:pPr>
        <w:spacing w:after="0" w:line="200" w:lineRule="exact"/>
        <w:rPr>
          <w:sz w:val="20"/>
          <w:szCs w:val="20"/>
          <w:color w:val="auto"/>
        </w:rPr>
      </w:pPr>
    </w:p>
    <w:p>
      <w:pPr>
        <w:spacing w:after="0" w:line="216"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32" w:lineRule="exact"/>
        <w:rPr>
          <w:sz w:val="20"/>
          <w:szCs w:val="20"/>
          <w:color w:val="auto"/>
        </w:rPr>
      </w:pPr>
    </w:p>
    <w:p>
      <w:pPr>
        <w:ind w:left="4460"/>
        <w:spacing w:after="0"/>
        <w:tabs>
          <w:tab w:leader="none" w:pos="510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u w:val="single" w:color="auto"/>
          <w:color w:val="auto"/>
        </w:rPr>
        <w:t>/s/ Linden R. Evans</w:t>
      </w:r>
    </w:p>
    <w:p>
      <w:pPr>
        <w:spacing w:after="0" w:line="16" w:lineRule="exact"/>
        <w:rPr>
          <w:sz w:val="20"/>
          <w:szCs w:val="20"/>
          <w:color w:val="auto"/>
        </w:rPr>
      </w:pPr>
    </w:p>
    <w:p>
      <w:pPr>
        <w:ind w:left="4640"/>
        <w:spacing w:after="0"/>
        <w:rPr>
          <w:sz w:val="20"/>
          <w:szCs w:val="20"/>
          <w:color w:val="auto"/>
        </w:rPr>
      </w:pPr>
      <w:r>
        <w:rPr>
          <w:rFonts w:ascii="Arial" w:cs="Arial" w:eastAsia="Arial" w:hAnsi="Arial"/>
          <w:sz w:val="20"/>
          <w:szCs w:val="20"/>
          <w:color w:val="auto"/>
        </w:rPr>
        <w:t>Linden R. Evans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left="200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20"/>
          <w:szCs w:val="20"/>
          <w:b w:val="1"/>
          <w:bCs w:val="1"/>
          <w:u w:val="single" w:color="auto"/>
          <w:color w:val="auto"/>
        </w:rPr>
        <w:t>WAIVER AND RELEASE AGREEMENT</w:t>
      </w:r>
    </w:p>
    <w:p>
      <w:pPr>
        <w:spacing w:after="0" w:line="270" w:lineRule="exact"/>
        <w:rPr>
          <w:sz w:val="20"/>
          <w:szCs w:val="20"/>
          <w:color w:val="auto"/>
        </w:rPr>
      </w:pPr>
    </w:p>
    <w:p>
      <w:pPr>
        <w:ind w:right="980" w:firstLine="648"/>
        <w:spacing w:after="0" w:line="267" w:lineRule="auto"/>
        <w:rPr>
          <w:sz w:val="20"/>
          <w:szCs w:val="20"/>
          <w:color w:val="auto"/>
        </w:rPr>
      </w:pPr>
      <w:r>
        <w:rPr>
          <w:rFonts w:ascii="Arial" w:cs="Arial" w:eastAsia="Arial" w:hAnsi="Arial"/>
          <w:sz w:val="20"/>
          <w:szCs w:val="20"/>
          <w:color w:val="auto"/>
        </w:rPr>
        <w:t xml:space="preserve">This </w:t>
      </w:r>
      <w:r>
        <w:rPr>
          <w:rFonts w:ascii="Arial" w:cs="Arial" w:eastAsia="Arial" w:hAnsi="Arial"/>
          <w:sz w:val="20"/>
          <w:szCs w:val="20"/>
          <w:b w:val="1"/>
          <w:bCs w:val="1"/>
          <w:color w:val="auto"/>
        </w:rPr>
        <w:t>Waiver and Release Agreement</w:t>
      </w:r>
      <w:r>
        <w:rPr>
          <w:rFonts w:ascii="Arial" w:cs="Arial" w:eastAsia="Arial" w:hAnsi="Arial"/>
          <w:sz w:val="20"/>
          <w:szCs w:val="20"/>
          <w:color w:val="auto"/>
        </w:rPr>
        <w:t xml:space="preserve"> (the “</w:t>
      </w:r>
      <w:r>
        <w:rPr>
          <w:rFonts w:ascii="Arial" w:cs="Arial" w:eastAsia="Arial" w:hAnsi="Arial"/>
          <w:sz w:val="20"/>
          <w:szCs w:val="20"/>
          <w:b w:val="1"/>
          <w:bCs w:val="1"/>
          <w:color w:val="auto"/>
        </w:rPr>
        <w:t>Waiver and Release</w:t>
      </w:r>
      <w:r>
        <w:rPr>
          <w:rFonts w:ascii="Arial" w:cs="Arial" w:eastAsia="Arial" w:hAnsi="Arial"/>
          <w:sz w:val="20"/>
          <w:szCs w:val="20"/>
          <w:color w:val="auto"/>
        </w:rPr>
        <w:t>”) is entered into by and among Black Hills Corporation (“</w:t>
      </w:r>
      <w:r>
        <w:rPr>
          <w:rFonts w:ascii="Arial" w:cs="Arial" w:eastAsia="Arial" w:hAnsi="Arial"/>
          <w:sz w:val="20"/>
          <w:szCs w:val="20"/>
          <w:b w:val="1"/>
          <w:bCs w:val="1"/>
          <w:color w:val="auto"/>
        </w:rPr>
        <w:t>Company</w:t>
      </w:r>
      <w:r>
        <w:rPr>
          <w:rFonts w:ascii="Arial" w:cs="Arial" w:eastAsia="Arial" w:hAnsi="Arial"/>
          <w:sz w:val="20"/>
          <w:szCs w:val="20"/>
          <w:color w:val="auto"/>
        </w:rPr>
        <w:t>”) and Linden R. Evans (“</w:t>
      </w:r>
      <w:r>
        <w:rPr>
          <w:rFonts w:ascii="Arial" w:cs="Arial" w:eastAsia="Arial" w:hAnsi="Arial"/>
          <w:sz w:val="20"/>
          <w:szCs w:val="20"/>
          <w:b w:val="1"/>
          <w:bCs w:val="1"/>
          <w:color w:val="auto"/>
        </w:rPr>
        <w:t>Employee</w:t>
      </w:r>
      <w:r>
        <w:rPr>
          <w:rFonts w:ascii="Arial" w:cs="Arial" w:eastAsia="Arial" w:hAnsi="Arial"/>
          <w:sz w:val="20"/>
          <w:szCs w:val="20"/>
          <w:color w:val="auto"/>
        </w:rPr>
        <w:t>”) this day of _______________, 20___.</w:t>
      </w:r>
    </w:p>
    <w:p>
      <w:pPr>
        <w:spacing w:after="0" w:line="164" w:lineRule="exact"/>
        <w:rPr>
          <w:sz w:val="20"/>
          <w:szCs w:val="20"/>
          <w:color w:val="auto"/>
        </w:rPr>
      </w:pPr>
    </w:p>
    <w:p>
      <w:pPr>
        <w:ind w:left="640" w:firstLine="652"/>
        <w:spacing w:after="0" w:line="292" w:lineRule="auto"/>
        <w:tabs>
          <w:tab w:leader="none" w:pos="1990" w:val="left"/>
        </w:tabs>
        <w:numPr>
          <w:ilvl w:val="0"/>
          <w:numId w:val="152"/>
        </w:numPr>
        <w:rPr>
          <w:rFonts w:ascii="Arial" w:cs="Arial" w:eastAsia="Arial" w:hAnsi="Arial"/>
          <w:sz w:val="15"/>
          <w:szCs w:val="15"/>
          <w:color w:val="auto"/>
        </w:rPr>
      </w:pPr>
      <w:r>
        <w:rPr>
          <w:rFonts w:ascii="Arial" w:cs="Arial" w:eastAsia="Arial" w:hAnsi="Arial"/>
          <w:sz w:val="16"/>
          <w:szCs w:val="16"/>
          <w:b w:val="1"/>
          <w:bCs w:val="1"/>
          <w:color w:val="auto"/>
        </w:rPr>
        <w:t xml:space="preserve">General Waiver and Release. </w:t>
      </w:r>
      <w:r>
        <w:rPr>
          <w:rFonts w:ascii="Arial" w:cs="Arial" w:eastAsia="Arial" w:hAnsi="Arial"/>
          <w:sz w:val="16"/>
          <w:szCs w:val="16"/>
          <w:color w:val="auto"/>
        </w:rPr>
        <w:t>For and in consideration of the agreement of Company to provide Employee the</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benefits described in that certain Change in Control Agreement, dated as of _______________, 20___, between Employee and the Company (the “</w:t>
      </w:r>
      <w:r>
        <w:rPr>
          <w:rFonts w:ascii="Arial" w:cs="Arial" w:eastAsia="Arial" w:hAnsi="Arial"/>
          <w:sz w:val="16"/>
          <w:szCs w:val="16"/>
          <w:b w:val="1"/>
          <w:bCs w:val="1"/>
          <w:color w:val="auto"/>
        </w:rPr>
        <w:t>Agreement</w:t>
      </w:r>
      <w:r>
        <w:rPr>
          <w:rFonts w:ascii="Arial" w:cs="Arial" w:eastAsia="Arial" w:hAnsi="Arial"/>
          <w:sz w:val="16"/>
          <w:szCs w:val="16"/>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claims, charges, actions causes of action, sums of money due, suites, debts, covenants, contracts, agreements, rights, damages, promises, demands or liabilities (hereinafter collectively referred to as “</w:t>
      </w:r>
      <w:r>
        <w:rPr>
          <w:rFonts w:ascii="Arial" w:cs="Arial" w:eastAsia="Arial" w:hAnsi="Arial"/>
          <w:sz w:val="16"/>
          <w:szCs w:val="16"/>
          <w:b w:val="1"/>
          <w:bCs w:val="1"/>
          <w:color w:val="auto"/>
        </w:rPr>
        <w:t>Claims</w:t>
      </w:r>
      <w:r>
        <w:rPr>
          <w:rFonts w:ascii="Arial" w:cs="Arial" w:eastAsia="Arial" w:hAnsi="Arial"/>
          <w:sz w:val="16"/>
          <w:szCs w:val="16"/>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w:t>
      </w:r>
    </w:p>
    <w:p>
      <w:pPr>
        <w:sectPr>
          <w:pgSz w:w="11900" w:h="16838" w:orient="portrait"/>
          <w:cols w:equalWidth="0" w:num="1">
            <w:col w:w="11300"/>
          </w:cols>
          <w:pgMar w:left="320" w:top="609" w:right="279" w:bottom="1440" w:gutter="0" w:footer="0" w:header="0"/>
        </w:sectPr>
      </w:pPr>
    </w:p>
    <w:bookmarkStart w:id="177" w:name="page178"/>
    <w:bookmarkEnd w:id="177"/>
    <w:p>
      <w:pPr>
        <w:ind w:right="60"/>
        <w:spacing w:after="0" w:line="234" w:lineRule="auto"/>
        <w:rPr>
          <w:sz w:val="20"/>
          <w:szCs w:val="20"/>
          <w:color w:val="auto"/>
        </w:rPr>
      </w:pPr>
      <w:r>
        <w:rPr>
          <w:rFonts w:ascii="Arial" w:cs="Arial" w:eastAsia="Arial" w:hAnsi="Arial"/>
          <w:sz w:val="20"/>
          <w:szCs w:val="20"/>
          <w:color w:val="auto"/>
        </w:rPr>
        <w:t>way of limitation, Claims pursuant to federal, state or local statute, regulation, ordinance or common-law for (i) employment discrimination; (ii) 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184" w:lineRule="exact"/>
        <w:rPr>
          <w:sz w:val="20"/>
          <w:szCs w:val="20"/>
          <w:color w:val="auto"/>
        </w:rPr>
      </w:pPr>
    </w:p>
    <w:p>
      <w:pPr>
        <w:ind w:left="700" w:right="620" w:hanging="656"/>
        <w:spacing w:after="0" w:line="260" w:lineRule="auto"/>
        <w:tabs>
          <w:tab w:leader="none" w:pos="700" w:val="left"/>
        </w:tabs>
        <w:numPr>
          <w:ilvl w:val="0"/>
          <w:numId w:val="153"/>
        </w:numPr>
        <w:rPr>
          <w:rFonts w:ascii="Arial" w:cs="Arial" w:eastAsia="Arial" w:hAnsi="Arial"/>
          <w:sz w:val="18"/>
          <w:szCs w:val="18"/>
          <w:color w:val="auto"/>
        </w:rPr>
      </w:pPr>
      <w:r>
        <w:rPr>
          <w:rFonts w:ascii="Arial" w:cs="Arial" w:eastAsia="Arial" w:hAnsi="Arial"/>
          <w:sz w:val="20"/>
          <w:szCs w:val="20"/>
          <w:color w:val="auto"/>
        </w:rPr>
        <w:t>Those obligations of the Company and its Affiliates to pay benefits upon termination of employment as set forth in the Agreement, pursuant to which this Waiver and Release is being executed and delivered;</w:t>
      </w:r>
    </w:p>
    <w:p>
      <w:pPr>
        <w:spacing w:after="0" w:line="176" w:lineRule="exact"/>
        <w:rPr>
          <w:rFonts w:ascii="Arial" w:cs="Arial" w:eastAsia="Arial" w:hAnsi="Arial"/>
          <w:sz w:val="18"/>
          <w:szCs w:val="18"/>
          <w:color w:val="auto"/>
        </w:rPr>
      </w:pPr>
    </w:p>
    <w:p>
      <w:pPr>
        <w:ind w:left="700" w:right="20" w:hanging="656"/>
        <w:spacing w:after="0" w:line="243" w:lineRule="auto"/>
        <w:tabs>
          <w:tab w:leader="none" w:pos="700" w:val="left"/>
        </w:tabs>
        <w:numPr>
          <w:ilvl w:val="0"/>
          <w:numId w:val="153"/>
        </w:numPr>
        <w:rPr>
          <w:rFonts w:ascii="Arial" w:cs="Arial" w:eastAsia="Arial" w:hAnsi="Arial"/>
          <w:sz w:val="18"/>
          <w:szCs w:val="18"/>
          <w:color w:val="auto"/>
        </w:rPr>
      </w:pPr>
      <w:r>
        <w:rPr>
          <w:rFonts w:ascii="Arial" w:cs="Arial" w:eastAsia="Arial" w:hAnsi="Arial"/>
          <w:sz w:val="20"/>
          <w:szCs w:val="20"/>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Arial" w:cs="Arial" w:eastAsia="Arial" w:hAnsi="Arial"/>
          <w:sz w:val="20"/>
          <w:szCs w:val="20"/>
          <w:b w:val="1"/>
          <w:bCs w:val="1"/>
          <w:color w:val="auto"/>
        </w:rPr>
        <w:t>ERISA</w:t>
      </w:r>
      <w:r>
        <w:rPr>
          <w:rFonts w:ascii="Arial" w:cs="Arial" w:eastAsia="Arial" w:hAnsi="Arial"/>
          <w:sz w:val="20"/>
          <w:szCs w:val="20"/>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196" w:lineRule="exact"/>
        <w:rPr>
          <w:rFonts w:ascii="Arial" w:cs="Arial" w:eastAsia="Arial" w:hAnsi="Arial"/>
          <w:sz w:val="18"/>
          <w:szCs w:val="18"/>
          <w:color w:val="auto"/>
        </w:rPr>
      </w:pPr>
    </w:p>
    <w:p>
      <w:pPr>
        <w:ind w:left="700" w:right="80" w:hanging="656"/>
        <w:spacing w:after="0" w:line="250" w:lineRule="auto"/>
        <w:tabs>
          <w:tab w:leader="none" w:pos="700" w:val="left"/>
        </w:tabs>
        <w:numPr>
          <w:ilvl w:val="0"/>
          <w:numId w:val="153"/>
        </w:numPr>
        <w:rPr>
          <w:rFonts w:ascii="Arial" w:cs="Arial" w:eastAsia="Arial" w:hAnsi="Arial"/>
          <w:sz w:val="18"/>
          <w:szCs w:val="18"/>
          <w:color w:val="auto"/>
        </w:rPr>
      </w:pPr>
      <w:r>
        <w:rPr>
          <w:rFonts w:ascii="Arial" w:cs="Arial" w:eastAsia="Arial" w:hAnsi="Arial"/>
          <w:sz w:val="20"/>
          <w:szCs w:val="20"/>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11" w:lineRule="exact"/>
        <w:rPr>
          <w:sz w:val="20"/>
          <w:szCs w:val="20"/>
          <w:color w:val="auto"/>
        </w:rPr>
      </w:pPr>
    </w:p>
    <w:p>
      <w:pPr>
        <w:ind w:right="200" w:firstLine="648"/>
        <w:spacing w:after="0" w:line="282" w:lineRule="auto"/>
        <w:rPr>
          <w:sz w:val="20"/>
          <w:szCs w:val="20"/>
          <w:color w:val="auto"/>
        </w:rPr>
      </w:pPr>
      <w:r>
        <w:rPr>
          <w:rFonts w:ascii="Arial" w:cs="Arial" w:eastAsia="Arial" w:hAnsi="Arial"/>
          <w:sz w:val="18"/>
          <w:szCs w:val="18"/>
          <w:color w:val="auto"/>
        </w:rPr>
        <w:t>Employee further understands and agrees that, subject to the exceptions in 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pacing w:after="0" w:line="156" w:lineRule="exact"/>
        <w:rPr>
          <w:sz w:val="20"/>
          <w:szCs w:val="20"/>
          <w:color w:val="auto"/>
        </w:rPr>
      </w:pPr>
    </w:p>
    <w:p>
      <w:pPr>
        <w:ind w:firstLine="652"/>
        <w:spacing w:after="0" w:line="254" w:lineRule="auto"/>
        <w:tabs>
          <w:tab w:leader="none" w:pos="1350" w:val="left"/>
        </w:tabs>
        <w:numPr>
          <w:ilvl w:val="0"/>
          <w:numId w:val="154"/>
        </w:numPr>
        <w:rPr>
          <w:rFonts w:ascii="Arial" w:cs="Arial" w:eastAsia="Arial" w:hAnsi="Arial"/>
          <w:sz w:val="16"/>
          <w:szCs w:val="16"/>
          <w:color w:val="auto"/>
        </w:rPr>
      </w:pPr>
      <w:r>
        <w:rPr>
          <w:rFonts w:ascii="Arial" w:cs="Arial" w:eastAsia="Arial" w:hAnsi="Arial"/>
          <w:sz w:val="18"/>
          <w:szCs w:val="18"/>
          <w:b w:val="1"/>
          <w:bCs w:val="1"/>
          <w:color w:val="auto"/>
        </w:rPr>
        <w:t xml:space="preserve">Waiver and Release of ADEA Claims. </w:t>
      </w:r>
      <w:r>
        <w:rPr>
          <w:rFonts w:ascii="Arial" w:cs="Arial" w:eastAsia="Arial" w:hAnsi="Arial"/>
          <w:sz w:val="18"/>
          <w:szCs w:val="18"/>
          <w:color w:val="auto"/>
        </w:rPr>
        <w:t>Without limiting the generality of the foregoing, and also for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the Company’s agreement to provide Employee severance payments and benefits as described in the Agreement, Employee specifically acknowledges and agrees that he does hereby knowingly and voluntarily release the Company and all other Released Parties from any and all claims arising under the Age Discrimination in Employment Act, 29 U.S.C. Section 621, et seq. (“</w:t>
      </w:r>
      <w:r>
        <w:rPr>
          <w:rFonts w:ascii="Arial" w:cs="Arial" w:eastAsia="Arial" w:hAnsi="Arial"/>
          <w:sz w:val="18"/>
          <w:szCs w:val="18"/>
          <w:b w:val="1"/>
          <w:bCs w:val="1"/>
          <w:color w:val="auto"/>
        </w:rPr>
        <w:t>ADEA</w:t>
      </w:r>
      <w:r>
        <w:rPr>
          <w:rFonts w:ascii="Arial" w:cs="Arial" w:eastAsia="Arial" w:hAnsi="Arial"/>
          <w:sz w:val="18"/>
          <w:szCs w:val="18"/>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also acknowledges that he has been provided with a notice, as required by the Older Workers Benefit Protection Act of 1990, that contains (i) information about the individuals covered under the Agreement, (ii) the eligibility factors for participation in the Agreement, (iii) the time limits applicable to the Agreement, (iv) the job titles and ages of the employees designated to participate in the Agreement, (v) and the ages of the employees in the same job classification who have not been designated to participate in the Agreement.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of ADEA Claims at any time within seven (7) days following its execution and that, if Employee revokes this waiver and Release of ADEA Claims within such seven (7) day period, it shall not be effective or enforceable and Employee will not receive the above-described consideration or any payments provided for in the Agreement that have not been paid.</w:t>
      </w:r>
    </w:p>
    <w:p>
      <w:pPr>
        <w:sectPr>
          <w:pgSz w:w="11900" w:h="16838" w:orient="portrait"/>
          <w:cols w:equalWidth="0" w:num="1">
            <w:col w:w="10700"/>
          </w:cols>
          <w:pgMar w:left="960" w:top="555" w:right="239" w:bottom="1440" w:gutter="0" w:footer="0" w:header="0"/>
        </w:sectPr>
      </w:pPr>
    </w:p>
    <w:bookmarkStart w:id="178" w:name="page179"/>
    <w:bookmarkEnd w:id="178"/>
    <w:p>
      <w:pPr>
        <w:ind w:right="120" w:firstLine="639"/>
        <w:spacing w:after="0" w:line="246" w:lineRule="auto"/>
        <w:tabs>
          <w:tab w:leader="none" w:pos="1377" w:val="left"/>
        </w:tabs>
        <w:numPr>
          <w:ilvl w:val="0"/>
          <w:numId w:val="155"/>
        </w:numPr>
        <w:rPr>
          <w:rFonts w:ascii="Arial" w:cs="Arial" w:eastAsia="Arial" w:hAnsi="Arial"/>
          <w:sz w:val="18"/>
          <w:szCs w:val="18"/>
          <w:color w:val="auto"/>
        </w:rPr>
      </w:pPr>
      <w:r>
        <w:rPr>
          <w:rFonts w:ascii="Arial" w:cs="Arial" w:eastAsia="Arial" w:hAnsi="Arial"/>
          <w:sz w:val="20"/>
          <w:szCs w:val="20"/>
          <w:b w:val="1"/>
          <w:bCs w:val="1"/>
          <w:color w:val="auto"/>
        </w:rPr>
        <w:t xml:space="preserve">Denial of Liability. </w:t>
      </w:r>
      <w:r>
        <w:rPr>
          <w:rFonts w:ascii="Arial" w:cs="Arial" w:eastAsia="Arial" w:hAnsi="Arial"/>
          <w:sz w:val="20"/>
          <w:szCs w:val="20"/>
          <w:color w:val="auto"/>
        </w:rPr>
        <w:t>Employee acknowledges and agrees that neither the payment of severance payments or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Agreement nor this Waiver and Release is to be construed in any way as an admission of any liability whatsoever by Company or any of the other Released Parties, by whom liability is expressly denied.</w:t>
      </w:r>
    </w:p>
    <w:p>
      <w:pPr>
        <w:spacing w:after="0" w:line="170" w:lineRule="exact"/>
        <w:rPr>
          <w:rFonts w:ascii="Arial" w:cs="Arial" w:eastAsia="Arial" w:hAnsi="Arial"/>
          <w:sz w:val="18"/>
          <w:szCs w:val="18"/>
          <w:color w:val="auto"/>
        </w:rPr>
      </w:pPr>
    </w:p>
    <w:p>
      <w:pPr>
        <w:ind w:firstLine="652"/>
        <w:spacing w:after="0" w:line="265" w:lineRule="auto"/>
        <w:tabs>
          <w:tab w:leader="none" w:pos="1350" w:val="left"/>
        </w:tabs>
        <w:numPr>
          <w:ilvl w:val="1"/>
          <w:numId w:val="155"/>
        </w:numPr>
        <w:rPr>
          <w:rFonts w:ascii="Arial" w:cs="Arial" w:eastAsia="Arial" w:hAnsi="Arial"/>
          <w:sz w:val="16"/>
          <w:szCs w:val="16"/>
          <w:color w:val="auto"/>
        </w:rPr>
      </w:pPr>
      <w:r>
        <w:rPr>
          <w:rFonts w:ascii="Arial" w:cs="Arial" w:eastAsia="Arial" w:hAnsi="Arial"/>
          <w:sz w:val="18"/>
          <w:szCs w:val="18"/>
          <w:b w:val="1"/>
          <w:bCs w:val="1"/>
          <w:color w:val="auto"/>
        </w:rPr>
        <w:t xml:space="preserve">No Entitlement to Further Relief. </w:t>
      </w:r>
      <w:r>
        <w:rPr>
          <w:rFonts w:ascii="Arial" w:cs="Arial" w:eastAsia="Arial" w:hAnsi="Arial"/>
          <w:sz w:val="18"/>
          <w:szCs w:val="18"/>
          <w:color w:val="auto"/>
        </w:rPr>
        <w:t>Employee acknowledges and agrees that he has not,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 hereby waives any right to accept any relief or recovery, including costs and attorneys’ fees, that may arise from any charge or complaint before any federal, state or local court or administrative agency against the Released Parties.</w:t>
      </w:r>
    </w:p>
    <w:p>
      <w:pPr>
        <w:spacing w:after="0" w:line="154" w:lineRule="exact"/>
        <w:rPr>
          <w:rFonts w:ascii="Arial" w:cs="Arial" w:eastAsia="Arial" w:hAnsi="Arial"/>
          <w:sz w:val="16"/>
          <w:szCs w:val="16"/>
          <w:color w:val="auto"/>
        </w:rPr>
      </w:pPr>
    </w:p>
    <w:p>
      <w:pPr>
        <w:ind w:right="100" w:firstLine="652"/>
        <w:spacing w:after="0" w:line="262" w:lineRule="auto"/>
        <w:tabs>
          <w:tab w:leader="none" w:pos="1350" w:val="left"/>
        </w:tabs>
        <w:numPr>
          <w:ilvl w:val="1"/>
          <w:numId w:val="155"/>
        </w:numPr>
        <w:rPr>
          <w:rFonts w:ascii="Arial" w:cs="Arial" w:eastAsia="Arial" w:hAnsi="Arial"/>
          <w:sz w:val="16"/>
          <w:szCs w:val="16"/>
          <w:color w:val="auto"/>
        </w:rPr>
      </w:pPr>
      <w:r>
        <w:rPr>
          <w:rFonts w:ascii="Arial" w:cs="Arial" w:eastAsia="Arial" w:hAnsi="Arial"/>
          <w:sz w:val="18"/>
          <w:szCs w:val="18"/>
          <w:b w:val="1"/>
          <w:bCs w:val="1"/>
          <w:color w:val="auto"/>
        </w:rPr>
        <w:t xml:space="preserve">Company Property and Confidential Information. </w:t>
      </w:r>
      <w:r>
        <w:rPr>
          <w:rFonts w:ascii="Arial" w:cs="Arial" w:eastAsia="Arial" w:hAnsi="Arial"/>
          <w:sz w:val="18"/>
          <w:szCs w:val="18"/>
          <w:color w:val="auto"/>
        </w:rPr>
        <w:t>Employee agrees that Employee will not retain or destroy,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 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166" w:lineRule="exact"/>
        <w:rPr>
          <w:sz w:val="20"/>
          <w:szCs w:val="20"/>
          <w:color w:val="auto"/>
        </w:rPr>
      </w:pPr>
    </w:p>
    <w:p>
      <w:pPr>
        <w:ind w:right="100" w:firstLine="648"/>
        <w:spacing w:after="0" w:line="276" w:lineRule="auto"/>
        <w:rPr>
          <w:sz w:val="20"/>
          <w:szCs w:val="20"/>
          <w:color w:val="auto"/>
        </w:rPr>
      </w:pPr>
      <w:r>
        <w:rPr>
          <w:rFonts w:ascii="Arial" w:cs="Arial" w:eastAsia="Arial" w:hAnsi="Arial"/>
          <w:sz w:val="18"/>
          <w:szCs w:val="18"/>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 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w:t>
      </w:r>
    </w:p>
    <w:p>
      <w:pPr>
        <w:spacing w:after="0" w:line="159" w:lineRule="exact"/>
        <w:rPr>
          <w:sz w:val="20"/>
          <w:szCs w:val="20"/>
          <w:color w:val="auto"/>
        </w:rPr>
      </w:pPr>
    </w:p>
    <w:p>
      <w:pPr>
        <w:ind w:right="140" w:firstLine="652"/>
        <w:spacing w:after="0" w:line="248" w:lineRule="auto"/>
        <w:tabs>
          <w:tab w:leader="none" w:pos="1350" w:val="left"/>
        </w:tabs>
        <w:numPr>
          <w:ilvl w:val="0"/>
          <w:numId w:val="156"/>
        </w:numPr>
        <w:rPr>
          <w:rFonts w:ascii="Arial" w:cs="Arial" w:eastAsia="Arial" w:hAnsi="Arial"/>
          <w:sz w:val="17"/>
          <w:szCs w:val="17"/>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Employee agrees that for a period of one (1) -year following the Termination Date, 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171" w:lineRule="exact"/>
        <w:rPr>
          <w:rFonts w:ascii="Arial" w:cs="Arial" w:eastAsia="Arial" w:hAnsi="Arial"/>
          <w:sz w:val="17"/>
          <w:szCs w:val="17"/>
          <w:color w:val="auto"/>
        </w:rPr>
      </w:pPr>
    </w:p>
    <w:p>
      <w:pPr>
        <w:ind w:firstLine="652"/>
        <w:spacing w:after="0" w:line="236" w:lineRule="auto"/>
        <w:tabs>
          <w:tab w:leader="none" w:pos="1350" w:val="left"/>
        </w:tabs>
        <w:numPr>
          <w:ilvl w:val="0"/>
          <w:numId w:val="156"/>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w:t>
      </w:r>
      <w:r>
        <w:rPr>
          <w:rFonts w:ascii="Arial" w:cs="Arial" w:eastAsia="Arial" w:hAnsi="Arial"/>
          <w:sz w:val="20"/>
          <w:szCs w:val="20"/>
          <w:color w:val="auto"/>
        </w:rPr>
        <w:t>Employee agrees that for a period of two (2) years following the Termination Date, Employee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directly or indirectly, whether for Employee’s own benefit or on behalf of another: (i) hire or offer to hire any of the Company’s officers, employees or agents; (ii) persuade, or attempt to persuade, any officer, employee or agent of the Company to discontinue any relationship with the Company; or (iii) solicit or divert or attempt to divert any customer or supplier of the Company then doing business in the Company’s service territory.</w:t>
      </w:r>
    </w:p>
    <w:p>
      <w:pPr>
        <w:spacing w:after="0" w:line="179" w:lineRule="exact"/>
        <w:rPr>
          <w:rFonts w:ascii="Arial" w:cs="Arial" w:eastAsia="Arial" w:hAnsi="Arial"/>
          <w:sz w:val="18"/>
          <w:szCs w:val="18"/>
          <w:color w:val="auto"/>
        </w:rPr>
      </w:pPr>
    </w:p>
    <w:p>
      <w:pPr>
        <w:jc w:val="both"/>
        <w:ind w:right="80" w:firstLine="652"/>
        <w:spacing w:after="0" w:line="274" w:lineRule="auto"/>
        <w:tabs>
          <w:tab w:leader="none" w:pos="1350" w:val="left"/>
        </w:tabs>
        <w:numPr>
          <w:ilvl w:val="0"/>
          <w:numId w:val="156"/>
        </w:numPr>
        <w:rPr>
          <w:rFonts w:ascii="Arial" w:cs="Arial" w:eastAsia="Arial" w:hAnsi="Arial"/>
          <w:sz w:val="16"/>
          <w:szCs w:val="16"/>
          <w:color w:val="auto"/>
        </w:rPr>
      </w:pPr>
      <w:r>
        <w:rPr>
          <w:rFonts w:ascii="Arial" w:cs="Arial" w:eastAsia="Arial" w:hAnsi="Arial"/>
          <w:sz w:val="18"/>
          <w:szCs w:val="18"/>
          <w:b w:val="1"/>
          <w:bCs w:val="1"/>
          <w:color w:val="auto"/>
        </w:rPr>
        <w:t xml:space="preserve">Non-Disparagement. </w:t>
      </w:r>
      <w:r>
        <w:rPr>
          <w:rFonts w:ascii="Arial" w:cs="Arial" w:eastAsia="Arial" w:hAnsi="Arial"/>
          <w:sz w:val="18"/>
          <w:szCs w:val="18"/>
          <w:color w:val="auto"/>
        </w:rPr>
        <w:t>Employee agrees that for a period of two (2) years following the Termination Date, Employee</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directly or indirectly, disparage, criticize, or otherwise make derogatory statements regarding the Company or any aspect of management policies, operations, practices, or personnel of the Company. Notwithstanding the foregoing, nothing contained herein will be deemed to restrict the Employee from providing information to any governmental or regulatory agency</w:t>
      </w:r>
    </w:p>
    <w:p>
      <w:pPr>
        <w:sectPr>
          <w:pgSz w:w="11900" w:h="16838" w:orient="portrait"/>
          <w:cols w:equalWidth="0" w:num="1">
            <w:col w:w="10680"/>
          </w:cols>
          <w:pgMar w:left="960" w:top="549" w:right="259" w:bottom="1440" w:gutter="0" w:footer="0" w:header="0"/>
        </w:sectPr>
      </w:pPr>
    </w:p>
    <w:bookmarkStart w:id="179" w:name="page180"/>
    <w:bookmarkEnd w:id="179"/>
    <w:p>
      <w:pPr>
        <w:ind w:right="260"/>
        <w:spacing w:after="0" w:line="300" w:lineRule="auto"/>
        <w:rPr>
          <w:sz w:val="20"/>
          <w:szCs w:val="20"/>
          <w:color w:val="auto"/>
        </w:rPr>
      </w:pPr>
      <w:r>
        <w:rPr>
          <w:rFonts w:ascii="Arial" w:cs="Arial" w:eastAsia="Arial" w:hAnsi="Arial"/>
          <w:sz w:val="18"/>
          <w:szCs w:val="18"/>
          <w:color w:val="auto"/>
        </w:rPr>
        <w:t>(or in any way limit the content of such information) to the extent the Employee is required to provide such information pursuant to applicable law or regulation; nor will the foregoing restrict the Employee from enforcing his or her rights under this Agreement.</w:t>
      </w:r>
    </w:p>
    <w:p>
      <w:pPr>
        <w:spacing w:after="0" w:line="125" w:lineRule="exact"/>
        <w:rPr>
          <w:sz w:val="20"/>
          <w:szCs w:val="20"/>
          <w:color w:val="auto"/>
        </w:rPr>
      </w:pPr>
    </w:p>
    <w:p>
      <w:pPr>
        <w:ind w:firstLine="652"/>
        <w:spacing w:after="0" w:line="246" w:lineRule="auto"/>
        <w:tabs>
          <w:tab w:leader="none" w:pos="1350" w:val="left"/>
        </w:tabs>
        <w:numPr>
          <w:ilvl w:val="0"/>
          <w:numId w:val="157"/>
        </w:numPr>
        <w:rPr>
          <w:rFonts w:ascii="Arial" w:cs="Arial" w:eastAsia="Arial" w:hAnsi="Arial"/>
          <w:sz w:val="17"/>
          <w:szCs w:val="17"/>
          <w:color w:val="auto"/>
        </w:rPr>
      </w:pPr>
      <w:r>
        <w:rPr>
          <w:rFonts w:ascii="Arial" w:cs="Arial" w:eastAsia="Arial" w:hAnsi="Arial"/>
          <w:sz w:val="19"/>
          <w:szCs w:val="19"/>
          <w:b w:val="1"/>
          <w:bCs w:val="1"/>
          <w:color w:val="auto"/>
        </w:rPr>
        <w:t xml:space="preserve">Permitted Activities. </w:t>
      </w:r>
      <w:r>
        <w:rPr>
          <w:rFonts w:ascii="Arial" w:cs="Arial" w:eastAsia="Arial" w:hAnsi="Arial"/>
          <w:sz w:val="19"/>
          <w:szCs w:val="19"/>
          <w:color w:val="auto"/>
        </w:rPr>
        <w:t>Notwithstanding any other provision hereof, nothing contained in this Waiver and Release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174" w:lineRule="exact"/>
        <w:rPr>
          <w:rFonts w:ascii="Arial" w:cs="Arial" w:eastAsia="Arial" w:hAnsi="Arial"/>
          <w:sz w:val="17"/>
          <w:szCs w:val="17"/>
          <w:color w:val="auto"/>
        </w:rPr>
      </w:pPr>
    </w:p>
    <w:p>
      <w:pPr>
        <w:ind w:right="300" w:firstLine="652"/>
        <w:spacing w:after="0" w:line="256" w:lineRule="auto"/>
        <w:tabs>
          <w:tab w:leader="none" w:pos="1440" w:val="left"/>
        </w:tabs>
        <w:numPr>
          <w:ilvl w:val="0"/>
          <w:numId w:val="157"/>
        </w:numPr>
        <w:rPr>
          <w:rFonts w:ascii="Arial" w:cs="Arial" w:eastAsia="Arial" w:hAnsi="Arial"/>
          <w:sz w:val="17"/>
          <w:szCs w:val="17"/>
          <w:color w:val="auto"/>
        </w:rPr>
      </w:pPr>
      <w:r>
        <w:rPr>
          <w:rFonts w:ascii="Arial" w:cs="Arial" w:eastAsia="Arial" w:hAnsi="Arial"/>
          <w:sz w:val="19"/>
          <w:szCs w:val="19"/>
          <w:b w:val="1"/>
          <w:bCs w:val="1"/>
          <w:color w:val="auto"/>
        </w:rPr>
        <w:t xml:space="preserve">Supersedes All Other Non-Competition, Non-Solicitation and Non- Disparagement Agreements. </w:t>
      </w:r>
      <w:r>
        <w:rPr>
          <w:rFonts w:ascii="Arial" w:cs="Arial" w:eastAsia="Arial" w:hAnsi="Arial"/>
          <w:sz w:val="19"/>
          <w:szCs w:val="19"/>
          <w:color w:val="auto"/>
        </w:rPr>
        <w:t>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in the event of a Termination Date under the Agreement, the foregoing Section 6. Non-Competition, Section 7. Non-Solicitation and Section 8. Non-Disparagement supersedes any other non-competition, non-solicitation or non-disparagement agreements or provisions that may have been in place prior to the Termination Date.</w:t>
      </w:r>
    </w:p>
    <w:p>
      <w:pPr>
        <w:spacing w:after="0" w:line="161" w:lineRule="exact"/>
        <w:rPr>
          <w:rFonts w:ascii="Arial" w:cs="Arial" w:eastAsia="Arial" w:hAnsi="Arial"/>
          <w:sz w:val="17"/>
          <w:szCs w:val="17"/>
          <w:color w:val="auto"/>
        </w:rPr>
      </w:pPr>
    </w:p>
    <w:p>
      <w:pPr>
        <w:ind w:right="560" w:firstLine="652"/>
        <w:spacing w:after="0" w:line="287" w:lineRule="auto"/>
        <w:tabs>
          <w:tab w:leader="none" w:pos="1434" w:val="left"/>
        </w:tabs>
        <w:numPr>
          <w:ilvl w:val="0"/>
          <w:numId w:val="157"/>
        </w:numPr>
        <w:rPr>
          <w:rFonts w:ascii="Arial" w:cs="Arial" w:eastAsia="Arial" w:hAnsi="Arial"/>
          <w:sz w:val="16"/>
          <w:szCs w:val="16"/>
          <w:color w:val="auto"/>
        </w:rPr>
      </w:pPr>
      <w:r>
        <w:rPr>
          <w:rFonts w:ascii="Arial" w:cs="Arial" w:eastAsia="Arial" w:hAnsi="Arial"/>
          <w:sz w:val="18"/>
          <w:szCs w:val="18"/>
          <w:b w:val="1"/>
          <w:bCs w:val="1"/>
          <w:color w:val="auto"/>
        </w:rPr>
        <w:t xml:space="preserve">Confidentiality Agreement. </w:t>
      </w:r>
      <w:r>
        <w:rPr>
          <w:rFonts w:ascii="Arial" w:cs="Arial" w:eastAsia="Arial" w:hAnsi="Arial"/>
          <w:sz w:val="18"/>
          <w:szCs w:val="18"/>
          <w:color w:val="auto"/>
        </w:rPr>
        <w:t>Employee acknowledges that the terms of this Waiver and Release must be kept</w:t>
      </w:r>
      <w:r>
        <w:rPr>
          <w:rFonts w:ascii="Arial" w:cs="Arial" w:eastAsia="Arial" w:hAnsi="Arial"/>
          <w:sz w:val="18"/>
          <w:szCs w:val="18"/>
          <w:b w:val="1"/>
          <w:bCs w:val="1"/>
          <w:color w:val="auto"/>
        </w:rPr>
        <w:t xml:space="preserve"> </w:t>
      </w:r>
      <w:r>
        <w:rPr>
          <w:rFonts w:ascii="Arial" w:cs="Arial" w:eastAsia="Arial" w:hAnsi="Arial"/>
          <w:sz w:val="18"/>
          <w:szCs w:val="18"/>
          <w:color w:val="auto"/>
        </w:rPr>
        <w:t>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35" w:lineRule="exact"/>
        <w:rPr>
          <w:rFonts w:ascii="Arial" w:cs="Arial" w:eastAsia="Arial" w:hAnsi="Arial"/>
          <w:sz w:val="16"/>
          <w:szCs w:val="16"/>
          <w:color w:val="auto"/>
        </w:rPr>
      </w:pPr>
    </w:p>
    <w:p>
      <w:pPr>
        <w:ind w:right="180" w:firstLine="652"/>
        <w:spacing w:after="0" w:line="246" w:lineRule="auto"/>
        <w:tabs>
          <w:tab w:leader="none" w:pos="1440" w:val="left"/>
        </w:tabs>
        <w:numPr>
          <w:ilvl w:val="0"/>
          <w:numId w:val="157"/>
        </w:numPr>
        <w:rPr>
          <w:rFonts w:ascii="Arial" w:cs="Arial" w:eastAsia="Arial" w:hAnsi="Arial"/>
          <w:sz w:val="18"/>
          <w:szCs w:val="18"/>
          <w:color w:val="auto"/>
        </w:rPr>
      </w:pPr>
      <w:r>
        <w:rPr>
          <w:rFonts w:ascii="Arial" w:cs="Arial" w:eastAsia="Arial" w:hAnsi="Arial"/>
          <w:sz w:val="20"/>
          <w:szCs w:val="20"/>
          <w:b w:val="1"/>
          <w:bCs w:val="1"/>
          <w:color w:val="auto"/>
        </w:rPr>
        <w:t xml:space="preserve">Cooperation. </w:t>
      </w:r>
      <w:r>
        <w:rPr>
          <w:rFonts w:ascii="Arial" w:cs="Arial" w:eastAsia="Arial" w:hAnsi="Arial"/>
          <w:sz w:val="20"/>
          <w:szCs w:val="20"/>
          <w:color w:val="auto"/>
        </w:rPr>
        <w:t>Employee agrees to cooperate with the Company and its attorneys in connection with all lawsuits,</w:t>
      </w:r>
      <w:r>
        <w:rPr>
          <w:rFonts w:ascii="Arial" w:cs="Arial" w:eastAsia="Arial" w:hAnsi="Arial"/>
          <w:sz w:val="20"/>
          <w:szCs w:val="20"/>
          <w:b w:val="1"/>
          <w:bCs w:val="1"/>
          <w:color w:val="auto"/>
        </w:rPr>
        <w:t xml:space="preserve"> </w:t>
      </w:r>
      <w:r>
        <w:rPr>
          <w:rFonts w:ascii="Arial" w:cs="Arial" w:eastAsia="Arial" w:hAnsi="Arial"/>
          <w:sz w:val="20"/>
          <w:szCs w:val="20"/>
          <w:color w:val="auto"/>
        </w:rPr>
        <w:t>claims, investigations, or similar proceedings, including the provision of testimony as my reasonably be required, arising out of or in any way related to Employee’s employment by the Company or any of its Subsidiaries.</w:t>
      </w:r>
    </w:p>
    <w:p>
      <w:pPr>
        <w:spacing w:after="0" w:line="170" w:lineRule="exact"/>
        <w:rPr>
          <w:rFonts w:ascii="Arial" w:cs="Arial" w:eastAsia="Arial" w:hAnsi="Arial"/>
          <w:sz w:val="18"/>
          <w:szCs w:val="18"/>
          <w:color w:val="auto"/>
        </w:rPr>
      </w:pPr>
    </w:p>
    <w:p>
      <w:pPr>
        <w:ind w:right="200" w:firstLine="652"/>
        <w:spacing w:after="0" w:line="251" w:lineRule="auto"/>
        <w:tabs>
          <w:tab w:leader="none" w:pos="1440" w:val="left"/>
        </w:tabs>
        <w:numPr>
          <w:ilvl w:val="0"/>
          <w:numId w:val="157"/>
        </w:numPr>
        <w:rPr>
          <w:rFonts w:ascii="Arial" w:cs="Arial" w:eastAsia="Arial" w:hAnsi="Arial"/>
          <w:sz w:val="17"/>
          <w:szCs w:val="17"/>
          <w:color w:val="auto"/>
        </w:rPr>
      </w:pPr>
      <w:r>
        <w:rPr>
          <w:rFonts w:ascii="Arial" w:cs="Arial" w:eastAsia="Arial" w:hAnsi="Arial"/>
          <w:sz w:val="19"/>
          <w:szCs w:val="19"/>
          <w:b w:val="1"/>
          <w:bCs w:val="1"/>
          <w:color w:val="auto"/>
        </w:rPr>
        <w:t xml:space="preserve">Acknowledgement. </w:t>
      </w:r>
      <w:r>
        <w:rPr>
          <w:rFonts w:ascii="Arial" w:cs="Arial" w:eastAsia="Arial" w:hAnsi="Arial"/>
          <w:sz w:val="19"/>
          <w:szCs w:val="19"/>
          <w:color w:val="auto"/>
        </w:rPr>
        <w:t>Employee acknowledges that Employee has carefully read and fully understands the terms of</w:t>
      </w:r>
      <w:r>
        <w:rPr>
          <w:rFonts w:ascii="Arial" w:cs="Arial" w:eastAsia="Arial" w:hAnsi="Arial"/>
          <w:sz w:val="19"/>
          <w:szCs w:val="19"/>
          <w:b w:val="1"/>
          <w:bCs w:val="1"/>
          <w:color w:val="auto"/>
        </w:rPr>
        <w:t xml:space="preserve"> </w:t>
      </w:r>
      <w:r>
        <w:rPr>
          <w:rFonts w:ascii="Arial" w:cs="Arial" w:eastAsia="Arial" w:hAnsi="Arial"/>
          <w:sz w:val="19"/>
          <w:szCs w:val="19"/>
          <w:color w:val="auto"/>
        </w:rPr>
        <w:t>this Waiver and Release and the Agreement and that this Waiver and Release is executed by Employee voluntarily and is not based upon any representations or statements of any kind made by the Company or any of the other Released Parties. Employee further acknowledges that Employee has had a full and reasonable opportunity to consider this waiver Release and that Employee has not been pressured or in any way coerced into executing this Waiver and Release.</w:t>
      </w:r>
    </w:p>
    <w:p>
      <w:pPr>
        <w:spacing w:after="0" w:line="167" w:lineRule="exact"/>
        <w:rPr>
          <w:rFonts w:ascii="Arial" w:cs="Arial" w:eastAsia="Arial" w:hAnsi="Arial"/>
          <w:sz w:val="17"/>
          <w:szCs w:val="17"/>
          <w:color w:val="auto"/>
        </w:rPr>
      </w:pPr>
    </w:p>
    <w:p>
      <w:pPr>
        <w:ind w:right="140" w:firstLine="652"/>
        <w:spacing w:after="0" w:line="267" w:lineRule="auto"/>
        <w:tabs>
          <w:tab w:leader="none" w:pos="1440" w:val="left"/>
        </w:tabs>
        <w:numPr>
          <w:ilvl w:val="0"/>
          <w:numId w:val="157"/>
        </w:numPr>
        <w:rPr>
          <w:rFonts w:ascii="Arial" w:cs="Arial" w:eastAsia="Arial" w:hAnsi="Arial"/>
          <w:sz w:val="18"/>
          <w:szCs w:val="18"/>
          <w:color w:val="auto"/>
        </w:rPr>
      </w:pPr>
      <w:r>
        <w:rPr>
          <w:rFonts w:ascii="Arial" w:cs="Arial" w:eastAsia="Arial" w:hAnsi="Arial"/>
          <w:sz w:val="20"/>
          <w:szCs w:val="20"/>
          <w:b w:val="1"/>
          <w:bCs w:val="1"/>
          <w:color w:val="auto"/>
        </w:rPr>
        <w:t xml:space="preserve">Choice of Laws. </w:t>
      </w:r>
      <w:r>
        <w:rPr>
          <w:rFonts w:ascii="Arial" w:cs="Arial" w:eastAsia="Arial" w:hAnsi="Arial"/>
          <w:sz w:val="20"/>
          <w:szCs w:val="20"/>
          <w:color w:val="auto"/>
        </w:rPr>
        <w:t>This Waiver and Release and the rights and obligation so the parties hereto shall be governed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the laws of the State of South Dakota.</w:t>
      </w:r>
    </w:p>
    <w:p>
      <w:pPr>
        <w:spacing w:after="0" w:line="150" w:lineRule="exact"/>
        <w:rPr>
          <w:rFonts w:ascii="Arial" w:cs="Arial" w:eastAsia="Arial" w:hAnsi="Arial"/>
          <w:sz w:val="18"/>
          <w:szCs w:val="18"/>
          <w:color w:val="auto"/>
        </w:rPr>
      </w:pPr>
    </w:p>
    <w:p>
      <w:pPr>
        <w:ind w:right="40" w:firstLine="652"/>
        <w:spacing w:after="0" w:line="260" w:lineRule="auto"/>
        <w:tabs>
          <w:tab w:leader="none" w:pos="1440" w:val="left"/>
        </w:tabs>
        <w:numPr>
          <w:ilvl w:val="0"/>
          <w:numId w:val="157"/>
        </w:numPr>
        <w:rPr>
          <w:rFonts w:ascii="Arial" w:cs="Arial" w:eastAsia="Arial" w:hAnsi="Arial"/>
          <w:sz w:val="16"/>
          <w:szCs w:val="16"/>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With the exception of the waiver and releases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 and 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if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Arial" w:cs="Arial" w:eastAsia="Arial" w:hAnsi="Arial"/>
          <w:sz w:val="18"/>
          <w:szCs w:val="18"/>
          <w:u w:val="single" w:color="auto"/>
          <w:color w:val="auto"/>
        </w:rPr>
        <w:t>Sections 1 and 2</w:t>
      </w:r>
      <w:r>
        <w:rPr>
          <w:rFonts w:ascii="Arial" w:cs="Arial" w:eastAsia="Arial" w:hAnsi="Arial"/>
          <w:sz w:val="18"/>
          <w:szCs w:val="18"/>
          <w:color w:val="auto"/>
        </w:rPr>
        <w:t xml:space="preserve"> are unenforceable or are held to be unenforceable, the parties understand and agree that the remaining provisions of this Waiver and Release shall be rendered null and void and that neither party shall have any further obligation under any provision of this Waiver and Release.</w:t>
      </w:r>
    </w:p>
    <w:p>
      <w:pPr>
        <w:spacing w:after="0" w:line="380" w:lineRule="exact"/>
        <w:rPr>
          <w:rFonts w:ascii="Arial" w:cs="Arial" w:eastAsia="Arial" w:hAnsi="Arial"/>
          <w:sz w:val="16"/>
          <w:szCs w:val="16"/>
          <w:color w:val="auto"/>
        </w:rPr>
      </w:pPr>
    </w:p>
    <w:p>
      <w:pPr>
        <w:ind w:left="1440" w:hanging="788"/>
        <w:spacing w:after="0"/>
        <w:tabs>
          <w:tab w:leader="none" w:pos="1440" w:val="left"/>
        </w:tabs>
        <w:numPr>
          <w:ilvl w:val="0"/>
          <w:numId w:val="157"/>
        </w:numPr>
        <w:rPr>
          <w:rFonts w:ascii="Arial" w:cs="Arial" w:eastAsia="Arial" w:hAnsi="Arial"/>
          <w:sz w:val="16"/>
          <w:szCs w:val="16"/>
          <w:color w:val="auto"/>
        </w:rPr>
      </w:pPr>
      <w:r>
        <w:rPr>
          <w:rFonts w:ascii="Arial" w:cs="Arial" w:eastAsia="Arial" w:hAnsi="Arial"/>
          <w:sz w:val="18"/>
          <w:szCs w:val="18"/>
          <w:b w:val="1"/>
          <w:bCs w:val="1"/>
          <w:color w:val="auto"/>
        </w:rPr>
        <w:t xml:space="preserve">Defined Terms. </w:t>
      </w:r>
      <w:r>
        <w:rPr>
          <w:rFonts w:ascii="Arial" w:cs="Arial" w:eastAsia="Arial" w:hAnsi="Arial"/>
          <w:sz w:val="18"/>
          <w:szCs w:val="18"/>
          <w:color w:val="auto"/>
        </w:rPr>
        <w:t>Capitalized terms that are not defined in this Waiver and Release shall have the meanings set forth</w:t>
      </w:r>
    </w:p>
    <w:p>
      <w:pPr>
        <w:spacing w:after="0" w:line="44"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20"/>
          <w:szCs w:val="20"/>
          <w:color w:val="auto"/>
        </w:rPr>
        <w:t>in the Agreement.</w:t>
      </w:r>
    </w:p>
    <w:p>
      <w:pPr>
        <w:sectPr>
          <w:pgSz w:w="11900" w:h="16838" w:orient="portrait"/>
          <w:cols w:equalWidth="0" w:num="1">
            <w:col w:w="10680"/>
          </w:cols>
          <w:pgMar w:left="960" w:top="555" w:right="259" w:bottom="1440" w:gutter="0" w:footer="0" w:header="0"/>
        </w:sectPr>
      </w:pPr>
    </w:p>
    <w:bookmarkStart w:id="180" w:name="page181"/>
    <w:bookmarkEnd w:id="180"/>
    <w:p>
      <w:pPr>
        <w:jc w:val="both"/>
        <w:ind w:left="640" w:firstLine="652"/>
        <w:spacing w:after="0" w:line="246" w:lineRule="auto"/>
        <w:tabs>
          <w:tab w:leader="none" w:pos="2080" w:val="left"/>
        </w:tabs>
        <w:numPr>
          <w:ilvl w:val="0"/>
          <w:numId w:val="158"/>
        </w:numPr>
        <w:rPr>
          <w:rFonts w:ascii="Arial" w:cs="Arial" w:eastAsia="Arial" w:hAnsi="Arial"/>
          <w:sz w:val="18"/>
          <w:szCs w:val="18"/>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document contains all terms of the Waiver and Release and supersedes and invalidates any</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 agreements or contracts regarding the same subject matter. No representations, inducements, promises or agreements, oral or otherwise, which are not embodies herein shall be of any force or effect.</w:t>
      </w:r>
    </w:p>
    <w:p>
      <w:pPr>
        <w:spacing w:after="0" w:line="169" w:lineRule="exact"/>
        <w:rPr>
          <w:sz w:val="20"/>
          <w:szCs w:val="20"/>
          <w:color w:val="auto"/>
        </w:rPr>
      </w:pPr>
    </w:p>
    <w:p>
      <w:pPr>
        <w:ind w:left="2260"/>
        <w:spacing w:after="0"/>
        <w:rPr>
          <w:sz w:val="20"/>
          <w:szCs w:val="20"/>
          <w:color w:val="auto"/>
        </w:rPr>
      </w:pPr>
      <w:r>
        <w:rPr>
          <w:rFonts w:ascii="Arial" w:cs="Arial" w:eastAsia="Arial" w:hAnsi="Arial"/>
          <w:sz w:val="26"/>
          <w:szCs w:val="26"/>
          <w:b w:val="1"/>
          <w:bCs w:val="1"/>
          <w:i w:val="1"/>
          <w:iCs w:val="1"/>
          <w:color w:val="auto"/>
        </w:rPr>
        <w:t>Please read this document carefully, as it includes a release of claims.</w:t>
      </w:r>
    </w:p>
    <w:p>
      <w:pPr>
        <w:spacing w:after="0" w:line="256" w:lineRule="exact"/>
        <w:rPr>
          <w:sz w:val="20"/>
          <w:szCs w:val="20"/>
          <w:color w:val="auto"/>
        </w:rPr>
      </w:pPr>
    </w:p>
    <w:p>
      <w:pPr>
        <w:ind w:right="380" w:firstLine="621"/>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acknowledges that Employee has read this Waiver and Release Agreement and sets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hand and seal this ____ day of __________________, 20___.</w:t>
      </w:r>
    </w:p>
    <w:p>
      <w:pPr>
        <w:spacing w:after="0" w:line="39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________________________________</w:t>
      </w:r>
    </w:p>
    <w:p>
      <w:pPr>
        <w:spacing w:after="0" w:line="18"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Linden R. Evans</w:t>
      </w:r>
    </w:p>
    <w:p>
      <w:pPr>
        <w:spacing w:after="0" w:line="200" w:lineRule="exact"/>
        <w:rPr>
          <w:sz w:val="20"/>
          <w:szCs w:val="20"/>
          <w:color w:val="auto"/>
        </w:rPr>
      </w:pPr>
    </w:p>
    <w:p>
      <w:pPr>
        <w:spacing w:after="0" w:line="223"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BLACK HILLS CORPORATION</w:t>
      </w:r>
    </w:p>
    <w:p>
      <w:pPr>
        <w:spacing w:after="0" w:line="200" w:lineRule="exact"/>
        <w:rPr>
          <w:sz w:val="20"/>
          <w:szCs w:val="20"/>
          <w:color w:val="auto"/>
        </w:rPr>
      </w:pPr>
    </w:p>
    <w:p>
      <w:pPr>
        <w:spacing w:after="0" w:line="232" w:lineRule="exact"/>
        <w:rPr>
          <w:sz w:val="20"/>
          <w:szCs w:val="20"/>
          <w:color w:val="auto"/>
        </w:rPr>
      </w:pPr>
    </w:p>
    <w:p>
      <w:pPr>
        <w:ind w:left="446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w:t>
      </w:r>
    </w:p>
    <w:p>
      <w:pPr>
        <w:spacing w:after="0" w:line="16" w:lineRule="exact"/>
        <w:rPr>
          <w:sz w:val="20"/>
          <w:szCs w:val="20"/>
          <w:color w:val="auto"/>
        </w:rPr>
      </w:pPr>
    </w:p>
    <w:p>
      <w:pPr>
        <w:ind w:left="4460"/>
        <w:spacing w:after="0"/>
        <w:tabs>
          <w:tab w:leader="none" w:pos="50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ectPr>
          <w:pgSz w:w="11900" w:h="16838" w:orient="portrait"/>
          <w:cols w:equalWidth="0" w:num="1">
            <w:col w:w="11260"/>
          </w:cols>
          <w:pgMar w:left="320" w:top="765" w:right="319" w:bottom="1440" w:gutter="0" w:footer="0" w:header="0"/>
        </w:sectPr>
      </w:pPr>
    </w:p>
    <w:bookmarkStart w:id="181" w:name="page182"/>
    <w:bookmarkEnd w:id="181"/>
    <w:p>
      <w:pPr>
        <w:ind w:left="2700"/>
        <w:spacing w:after="0"/>
        <w:rPr>
          <w:sz w:val="20"/>
          <w:szCs w:val="20"/>
          <w:color w:val="auto"/>
        </w:rPr>
      </w:pPr>
      <w:r>
        <w:rPr>
          <w:rFonts w:ascii="Arial" w:cs="Arial" w:eastAsia="Arial" w:hAnsi="Arial"/>
          <w:sz w:val="20"/>
          <w:szCs w:val="20"/>
          <w:b w:val="1"/>
          <w:bCs w:val="1"/>
          <w:u w:val="single" w:color="auto"/>
          <w:color w:val="auto"/>
        </w:rPr>
        <w:t>CHANGE IN CONTROL AGREEMENT</w:t>
      </w:r>
    </w:p>
    <w:p>
      <w:pPr>
        <w:spacing w:after="0" w:line="276" w:lineRule="exact"/>
        <w:rPr>
          <w:sz w:val="20"/>
          <w:szCs w:val="20"/>
          <w:color w:val="auto"/>
        </w:rPr>
      </w:pPr>
    </w:p>
    <w:p>
      <w:pPr>
        <w:ind w:right="740" w:firstLine="648"/>
        <w:spacing w:after="0" w:line="260" w:lineRule="auto"/>
        <w:rPr>
          <w:sz w:val="20"/>
          <w:szCs w:val="20"/>
          <w:color w:val="auto"/>
        </w:rPr>
      </w:pPr>
      <w:r>
        <w:rPr>
          <w:rFonts w:ascii="Arial" w:cs="Arial" w:eastAsia="Arial" w:hAnsi="Arial"/>
          <w:sz w:val="20"/>
          <w:szCs w:val="20"/>
          <w:color w:val="auto"/>
        </w:rPr>
        <w:t>This Change in Control Agreement (“Agreement”) dated as of November 15, 2019, is entered into by and between Black Hills Corporation (“</w:t>
      </w:r>
      <w:r>
        <w:rPr>
          <w:rFonts w:ascii="Arial" w:cs="Arial" w:eastAsia="Arial" w:hAnsi="Arial"/>
          <w:sz w:val="20"/>
          <w:szCs w:val="20"/>
          <w:b w:val="1"/>
          <w:bCs w:val="1"/>
          <w:color w:val="auto"/>
        </w:rPr>
        <w:t>Company</w:t>
      </w:r>
      <w:r>
        <w:rPr>
          <w:rFonts w:ascii="Arial" w:cs="Arial" w:eastAsia="Arial" w:hAnsi="Arial"/>
          <w:sz w:val="20"/>
          <w:szCs w:val="20"/>
          <w:color w:val="auto"/>
        </w:rPr>
        <w:t>”) and ________________________ (“</w:t>
      </w:r>
      <w:r>
        <w:rPr>
          <w:rFonts w:ascii="Arial" w:cs="Arial" w:eastAsia="Arial" w:hAnsi="Arial"/>
          <w:sz w:val="20"/>
          <w:szCs w:val="20"/>
          <w:b w:val="1"/>
          <w:bCs w:val="1"/>
          <w:color w:val="auto"/>
        </w:rPr>
        <w:t>Employee</w:t>
      </w:r>
      <w:r>
        <w:rPr>
          <w:rFonts w:ascii="Arial" w:cs="Arial" w:eastAsia="Arial" w:hAnsi="Arial"/>
          <w:sz w:val="20"/>
          <w:szCs w:val="20"/>
          <w:color w:val="auto"/>
        </w:rPr>
        <w:t>”).</w:t>
      </w:r>
    </w:p>
    <w:p>
      <w:pPr>
        <w:spacing w:after="0" w:line="171" w:lineRule="exact"/>
        <w:rPr>
          <w:sz w:val="20"/>
          <w:szCs w:val="20"/>
          <w:color w:val="auto"/>
        </w:rPr>
      </w:pPr>
    </w:p>
    <w:p>
      <w:pPr>
        <w:ind w:left="1420" w:hanging="1412"/>
        <w:spacing w:after="0"/>
        <w:tabs>
          <w:tab w:leader="none" w:pos="1420" w:val="left"/>
        </w:tabs>
        <w:numPr>
          <w:ilvl w:val="0"/>
          <w:numId w:val="159"/>
        </w:numPr>
        <w:rPr>
          <w:rFonts w:ascii="Arial" w:cs="Arial" w:eastAsia="Arial" w:hAnsi="Arial"/>
          <w:sz w:val="18"/>
          <w:szCs w:val="18"/>
          <w:color w:val="auto"/>
        </w:rPr>
      </w:pPr>
      <w:r>
        <w:rPr>
          <w:rFonts w:ascii="Arial" w:cs="Arial" w:eastAsia="Arial" w:hAnsi="Arial"/>
          <w:sz w:val="20"/>
          <w:szCs w:val="20"/>
          <w:b w:val="1"/>
          <w:bCs w:val="1"/>
          <w:u w:val="single" w:color="auto"/>
          <w:color w:val="auto"/>
        </w:rPr>
        <w:t>RECITALS</w:t>
      </w:r>
      <w:r>
        <w:rPr>
          <w:rFonts w:ascii="Arial" w:cs="Arial" w:eastAsia="Arial" w:hAnsi="Arial"/>
          <w:sz w:val="20"/>
          <w:szCs w:val="20"/>
          <w:b w:val="1"/>
          <w:bCs w:val="1"/>
          <w:color w:val="auto"/>
        </w:rPr>
        <w:t>.</w:t>
      </w:r>
    </w:p>
    <w:p>
      <w:pPr>
        <w:spacing w:after="0" w:line="270" w:lineRule="exact"/>
        <w:rPr>
          <w:sz w:val="20"/>
          <w:szCs w:val="20"/>
          <w:color w:val="auto"/>
        </w:rPr>
      </w:pPr>
    </w:p>
    <w:p>
      <w:pPr>
        <w:ind w:right="20" w:firstLine="648"/>
        <w:spacing w:after="0" w:line="346" w:lineRule="auto"/>
        <w:rPr>
          <w:sz w:val="20"/>
          <w:szCs w:val="20"/>
          <w:color w:val="auto"/>
        </w:rPr>
      </w:pPr>
      <w:r>
        <w:rPr>
          <w:rFonts w:ascii="Arial" w:cs="Arial" w:eastAsia="Arial" w:hAnsi="Arial"/>
          <w:sz w:val="16"/>
          <w:szCs w:val="16"/>
          <w:color w:val="auto"/>
        </w:rPr>
        <w:t>The Board of Directors of the Company (“</w:t>
      </w:r>
      <w:r>
        <w:rPr>
          <w:rFonts w:ascii="Arial" w:cs="Arial" w:eastAsia="Arial" w:hAnsi="Arial"/>
          <w:sz w:val="16"/>
          <w:szCs w:val="16"/>
          <w:b w:val="1"/>
          <w:bCs w:val="1"/>
          <w:color w:val="auto"/>
        </w:rPr>
        <w:t>Board</w:t>
      </w:r>
      <w:r>
        <w:rPr>
          <w:rFonts w:ascii="Arial" w:cs="Arial" w:eastAsia="Arial" w:hAnsi="Arial"/>
          <w:sz w:val="16"/>
          <w:szCs w:val="16"/>
          <w:color w:val="auto"/>
        </w:rPr>
        <w:t>”) has determined that it is in the best interests of the Company and its shareholders to encourage the Employee’s full attention and dedication to the Company currently and in the event of any threatened or pending Change in Control (as defined below). Therefore, in order to accomplish these objectives, the Board has caused the Company to enter into this Agreement.</w:t>
      </w:r>
    </w:p>
    <w:p>
      <w:pPr>
        <w:spacing w:after="0" w:line="109" w:lineRule="exact"/>
        <w:rPr>
          <w:sz w:val="20"/>
          <w:szCs w:val="20"/>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20"/>
          <w:szCs w:val="20"/>
          <w:b w:val="1"/>
          <w:bCs w:val="1"/>
          <w:u w:val="single" w:color="auto"/>
          <w:color w:val="auto"/>
        </w:rPr>
        <w:t>DEFINITIONS</w:t>
      </w:r>
      <w:r>
        <w:rPr>
          <w:rFonts w:ascii="Arial" w:cs="Arial" w:eastAsia="Arial" w:hAnsi="Arial"/>
          <w:sz w:val="20"/>
          <w:szCs w:val="20"/>
          <w:b w:val="1"/>
          <w:bCs w:val="1"/>
          <w:color w:val="auto"/>
        </w:rPr>
        <w:t>.</w:t>
      </w:r>
    </w:p>
    <w:p>
      <w:pPr>
        <w:spacing w:after="0" w:line="270" w:lineRule="exact"/>
        <w:rPr>
          <w:sz w:val="20"/>
          <w:szCs w:val="20"/>
          <w:color w:val="auto"/>
        </w:rPr>
      </w:pPr>
    </w:p>
    <w:p>
      <w:pPr>
        <w:ind w:left="660" w:right="68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AFFILIATE</w:t>
      </w:r>
      <w:r>
        <w:rPr>
          <w:rFonts w:ascii="Arial" w:cs="Arial" w:eastAsia="Arial" w:hAnsi="Arial"/>
          <w:sz w:val="20"/>
          <w:szCs w:val="20"/>
          <w:color w:val="auto"/>
        </w:rPr>
        <w:t>” shall have the meaning ascribed to such term in rule 12b-2 of the General Rules and Regulations of the Exchange Act.</w:t>
      </w:r>
    </w:p>
    <w:p>
      <w:pPr>
        <w:spacing w:after="0" w:line="218" w:lineRule="exact"/>
        <w:rPr>
          <w:sz w:val="20"/>
          <w:szCs w:val="20"/>
          <w:color w:val="auto"/>
        </w:rPr>
      </w:pPr>
    </w:p>
    <w:p>
      <w:pPr>
        <w:ind w:left="660" w:right="220"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ANNUAL COMPENSATION</w:t>
      </w:r>
      <w:r>
        <w:rPr>
          <w:rFonts w:ascii="Arial" w:cs="Arial" w:eastAsia="Arial" w:hAnsi="Arial"/>
          <w:sz w:val="19"/>
          <w:szCs w:val="19"/>
          <w:color w:val="auto"/>
        </w:rPr>
        <w:t>” shall mean, with respect to any calendar year, all of the following compensation paid or payable, as applicable, to or on behalf of the Employee by the Company during a calendar year including: (a) base salary, targeted annual incentive bonus, targeted long-term incentive grants and awards; and (b) Company Matching Contributions and Company Retirement Contributions or other benefits payable under the Retirement Savings Plan and Supplemental Matching Contributions, Supplemental Retirement Contributions and Supplemental Target Contributions under the Nonqualified Deferred Compensation Plan (as such terms are defined in the applicable plans).</w:t>
      </w:r>
    </w:p>
    <w:p>
      <w:pPr>
        <w:spacing w:after="0" w:line="281" w:lineRule="exact"/>
        <w:rPr>
          <w:sz w:val="20"/>
          <w:szCs w:val="20"/>
          <w:color w:val="auto"/>
        </w:rPr>
      </w:pPr>
    </w:p>
    <w:p>
      <w:pPr>
        <w:ind w:left="660" w:right="20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BENEFICIAL OWNER</w:t>
      </w:r>
      <w:r>
        <w:rPr>
          <w:rFonts w:ascii="Arial" w:cs="Arial" w:eastAsia="Arial" w:hAnsi="Arial"/>
          <w:sz w:val="20"/>
          <w:szCs w:val="20"/>
          <w:color w:val="auto"/>
        </w:rPr>
        <w:t>” or “</w:t>
      </w:r>
      <w:r>
        <w:rPr>
          <w:rFonts w:ascii="Arial" w:cs="Arial" w:eastAsia="Arial" w:hAnsi="Arial"/>
          <w:sz w:val="20"/>
          <w:szCs w:val="20"/>
          <w:b w:val="1"/>
          <w:bCs w:val="1"/>
          <w:color w:val="auto"/>
        </w:rPr>
        <w:t>BENEFICIAL OWNERSHIP</w:t>
      </w:r>
      <w:r>
        <w:rPr>
          <w:rFonts w:ascii="Arial" w:cs="Arial" w:eastAsia="Arial" w:hAnsi="Arial"/>
          <w:sz w:val="20"/>
          <w:szCs w:val="20"/>
          <w:color w:val="auto"/>
        </w:rPr>
        <w:t>” shall have the meaning ascribed to such term in Rule 13d-3 of the General Rules and Regulations under the Exchange Act.</w:t>
      </w:r>
    </w:p>
    <w:p>
      <w:pPr>
        <w:spacing w:after="0" w:line="218"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CAUSE</w:t>
      </w:r>
      <w:r>
        <w:rPr>
          <w:rFonts w:ascii="Arial" w:cs="Arial" w:eastAsia="Arial" w:hAnsi="Arial"/>
          <w:sz w:val="20"/>
          <w:szCs w:val="20"/>
          <w:color w:val="auto"/>
        </w:rPr>
        <w:t xml:space="preserve">” means those events or conditions described in </w:t>
      </w:r>
      <w:r>
        <w:rPr>
          <w:rFonts w:ascii="Arial" w:cs="Arial" w:eastAsia="Arial" w:hAnsi="Arial"/>
          <w:sz w:val="20"/>
          <w:szCs w:val="20"/>
          <w:u w:val="single" w:color="auto"/>
          <w:color w:val="auto"/>
        </w:rPr>
        <w:t>subsections 9(a)</w:t>
      </w:r>
      <w:r>
        <w:rPr>
          <w:rFonts w:ascii="Arial" w:cs="Arial" w:eastAsia="Arial" w:hAnsi="Arial"/>
          <w:sz w:val="20"/>
          <w:szCs w:val="20"/>
          <w:color w:val="auto"/>
        </w:rPr>
        <w:t>.</w:t>
      </w:r>
    </w:p>
    <w:p>
      <w:pPr>
        <w:spacing w:after="0" w:line="270"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CHANGE IN CONTROL</w:t>
      </w:r>
      <w:r>
        <w:rPr>
          <w:rFonts w:ascii="Arial" w:cs="Arial" w:eastAsia="Arial" w:hAnsi="Arial"/>
          <w:sz w:val="20"/>
          <w:szCs w:val="20"/>
          <w:color w:val="auto"/>
        </w:rPr>
        <w:t>” shall mean any of the following events:</w:t>
      </w:r>
    </w:p>
    <w:p>
      <w:pPr>
        <w:spacing w:after="0" w:line="222" w:lineRule="exact"/>
        <w:rPr>
          <w:sz w:val="20"/>
          <w:szCs w:val="20"/>
          <w:color w:val="auto"/>
        </w:rPr>
      </w:pPr>
    </w:p>
    <w:p>
      <w:pPr>
        <w:ind w:left="660" w:right="260" w:hanging="4"/>
        <w:spacing w:after="0" w:line="261" w:lineRule="auto"/>
        <w:tabs>
          <w:tab w:leader="none" w:pos="1508" w:val="left"/>
        </w:tabs>
        <w:numPr>
          <w:ilvl w:val="0"/>
          <w:numId w:val="161"/>
        </w:numPr>
        <w:rPr>
          <w:rFonts w:ascii="Arial" w:cs="Arial" w:eastAsia="Arial" w:hAnsi="Arial"/>
          <w:sz w:val="16"/>
          <w:szCs w:val="16"/>
          <w:color w:val="auto"/>
        </w:rPr>
      </w:pPr>
      <w:r>
        <w:rPr>
          <w:rFonts w:ascii="Arial" w:cs="Arial" w:eastAsia="Arial" w:hAnsi="Arial"/>
          <w:sz w:val="18"/>
          <w:szCs w:val="18"/>
          <w:color w:val="auto"/>
        </w:rPr>
        <w:t>The acquisition in a transaction or series of transactions by any Person of Beneficial Ownership of thirty percent (30%) or more of the combined voting power of the then outstanding shares of common stock of the Company; provided, however, that for purposes of this Agreement, the following acquisitions will not constitute a Change in Control: (A) any acquisition by the Company;</w:t>
      </w:r>
    </w:p>
    <w:p>
      <w:pPr>
        <w:spacing w:after="0" w:line="2" w:lineRule="exact"/>
        <w:rPr>
          <w:rFonts w:ascii="Arial" w:cs="Arial" w:eastAsia="Arial" w:hAnsi="Arial"/>
          <w:sz w:val="16"/>
          <w:szCs w:val="16"/>
          <w:color w:val="auto"/>
        </w:rPr>
      </w:pPr>
    </w:p>
    <w:p>
      <w:pPr>
        <w:ind w:left="660" w:right="60"/>
        <w:spacing w:after="0" w:line="282" w:lineRule="auto"/>
        <w:rPr>
          <w:rFonts w:ascii="Arial" w:cs="Arial" w:eastAsia="Arial" w:hAnsi="Arial"/>
          <w:sz w:val="16"/>
          <w:szCs w:val="16"/>
          <w:color w:val="auto"/>
        </w:rPr>
      </w:pPr>
      <w:r>
        <w:rPr>
          <w:rFonts w:ascii="Arial" w:cs="Arial" w:eastAsia="Arial" w:hAnsi="Arial"/>
          <w:sz w:val="18"/>
          <w:szCs w:val="18"/>
          <w:color w:val="auto"/>
        </w:rPr>
        <w:t>(B) any acquisition of common stock of the Company by an underwriter holding securities of the Company in connection with a public offering thereof; and (C) any acquisition by any Person pursuant to a transaction which complies with subsections (c)(i), (ii) and (iii);</w:t>
      </w:r>
    </w:p>
    <w:p>
      <w:pPr>
        <w:spacing w:after="0" w:line="139" w:lineRule="exact"/>
        <w:rPr>
          <w:rFonts w:ascii="Arial" w:cs="Arial" w:eastAsia="Arial" w:hAnsi="Arial"/>
          <w:sz w:val="16"/>
          <w:szCs w:val="16"/>
          <w:color w:val="auto"/>
        </w:rPr>
      </w:pPr>
    </w:p>
    <w:p>
      <w:pPr>
        <w:ind w:left="660" w:hanging="4"/>
        <w:spacing w:after="0" w:line="260" w:lineRule="auto"/>
        <w:tabs>
          <w:tab w:leader="none" w:pos="1518" w:val="left"/>
        </w:tabs>
        <w:numPr>
          <w:ilvl w:val="0"/>
          <w:numId w:val="161"/>
        </w:numPr>
        <w:rPr>
          <w:rFonts w:ascii="Arial" w:cs="Arial" w:eastAsia="Arial" w:hAnsi="Arial"/>
          <w:sz w:val="16"/>
          <w:szCs w:val="16"/>
          <w:color w:val="auto"/>
        </w:rPr>
      </w:pPr>
      <w:r>
        <w:rPr>
          <w:rFonts w:ascii="Arial" w:cs="Arial" w:eastAsia="Arial" w:hAnsi="Arial"/>
          <w:sz w:val="18"/>
          <w:szCs w:val="18"/>
          <w:color w:val="auto"/>
        </w:rPr>
        <w:t>Individuals who, as of December 31, 2018, are members of the Board (the “</w:t>
      </w:r>
      <w:r>
        <w:rPr>
          <w:rFonts w:ascii="Arial" w:cs="Arial" w:eastAsia="Arial" w:hAnsi="Arial"/>
          <w:sz w:val="18"/>
          <w:szCs w:val="18"/>
          <w:b w:val="1"/>
          <w:bCs w:val="1"/>
          <w:color w:val="auto"/>
        </w:rPr>
        <w:t>Incumbent Board</w:t>
      </w:r>
      <w:r>
        <w:rPr>
          <w:rFonts w:ascii="Arial" w:cs="Arial" w:eastAsia="Arial" w:hAnsi="Arial"/>
          <w:sz w:val="18"/>
          <w:szCs w:val="18"/>
          <w:color w:val="auto"/>
        </w:rPr>
        <w:t>”), cease for any reason to constitute at least a majority of the members of the Board; provided, however, that if the election, or nomination for election by the Company’s common shareholders, of any new director was approved by a vote of at least two-thirds of the Incumbent Board, such new director shall, for purposes of this Agreement, be considered as a member of the Incumbent Board; provided further, however, that no individual shall be considered a member of the Incumbent Board if such individual initially assumed office as a result of either an actual or threatened “Election Contest” (as described in Rule 14a-11 promulgated under the Exchange Act) or other actual or threatened solicitation of proxies or consents by or on behalf of a Person other than the Board (a “</w:t>
      </w:r>
      <w:r>
        <w:rPr>
          <w:rFonts w:ascii="Arial" w:cs="Arial" w:eastAsia="Arial" w:hAnsi="Arial"/>
          <w:sz w:val="18"/>
          <w:szCs w:val="18"/>
          <w:b w:val="1"/>
          <w:bCs w:val="1"/>
          <w:color w:val="auto"/>
        </w:rPr>
        <w:t>Proxy Contest</w:t>
      </w:r>
      <w:r>
        <w:rPr>
          <w:rFonts w:ascii="Arial" w:cs="Arial" w:eastAsia="Arial" w:hAnsi="Arial"/>
          <w:sz w:val="18"/>
          <w:szCs w:val="18"/>
          <w:color w:val="auto"/>
        </w:rPr>
        <w:t>”) including by reason of any agreement intended to avoid or settle any Election Contest or Proxy Contest;</w:t>
      </w:r>
    </w:p>
    <w:p>
      <w:pPr>
        <w:sectPr>
          <w:pgSz w:w="11900" w:h="16838" w:orient="portrait"/>
          <w:cols w:equalWidth="0" w:num="1">
            <w:col w:w="11420"/>
          </w:cols>
          <w:pgMar w:left="240" w:top="765" w:right="239" w:bottom="1440" w:gutter="0" w:footer="0" w:header="0"/>
        </w:sectPr>
      </w:pPr>
    </w:p>
    <w:bookmarkStart w:id="182" w:name="page183"/>
    <w:bookmarkEnd w:id="182"/>
    <w:p>
      <w:pPr>
        <w:ind w:left="4" w:hanging="4"/>
        <w:spacing w:after="0" w:line="256" w:lineRule="auto"/>
        <w:tabs>
          <w:tab w:leader="none" w:pos="852" w:val="left"/>
        </w:tabs>
        <w:numPr>
          <w:ilvl w:val="0"/>
          <w:numId w:val="162"/>
        </w:numPr>
        <w:rPr>
          <w:rFonts w:ascii="Arial" w:cs="Arial" w:eastAsia="Arial" w:hAnsi="Arial"/>
          <w:sz w:val="16"/>
          <w:szCs w:val="16"/>
          <w:color w:val="auto"/>
        </w:rPr>
      </w:pPr>
      <w:r>
        <w:rPr>
          <w:rFonts w:ascii="Arial" w:cs="Arial" w:eastAsia="Arial" w:hAnsi="Arial"/>
          <w:sz w:val="18"/>
          <w:szCs w:val="18"/>
          <w:color w:val="auto"/>
        </w:rPr>
        <w:t>Consummation, following shareholder approval, of a reorganization, merger, or consolidation of the Company, or a sale or other disposition of all or substantially all of the assets of the Company (each a “</w:t>
      </w:r>
      <w:r>
        <w:rPr>
          <w:rFonts w:ascii="Arial" w:cs="Arial" w:eastAsia="Arial" w:hAnsi="Arial"/>
          <w:sz w:val="18"/>
          <w:szCs w:val="18"/>
          <w:b w:val="1"/>
          <w:bCs w:val="1"/>
          <w:color w:val="auto"/>
        </w:rPr>
        <w:t>Business Combination</w:t>
      </w:r>
      <w:r>
        <w:rPr>
          <w:rFonts w:ascii="Arial" w:cs="Arial" w:eastAsia="Arial" w:hAnsi="Arial"/>
          <w:sz w:val="18"/>
          <w:szCs w:val="18"/>
          <w:color w:val="auto"/>
        </w:rPr>
        <w:t>”), unless, in each case, immediately following such Business Combination, all of the following have occurred: (i) all or substantially all of the individuals and entities who were beneficial owners of shares of the common stock of the Company immediately prior to such Business Combination beneficially own, directly or indirectly, more than fifty percent (50%) of the combined voting power of the then outstanding shares of the entity resulting from the Business Combination or any direct or indirect parent corporation thereof (including, without limitation, an entity which as a result of such transaction owns the Company or all or substantially all of the Company’s assets either directly or through one (1) or more subsidiaries) (the “</w:t>
      </w:r>
      <w:r>
        <w:rPr>
          <w:rFonts w:ascii="Arial" w:cs="Arial" w:eastAsia="Arial" w:hAnsi="Arial"/>
          <w:sz w:val="18"/>
          <w:szCs w:val="18"/>
          <w:b w:val="1"/>
          <w:bCs w:val="1"/>
          <w:color w:val="auto"/>
        </w:rPr>
        <w:t>Successor Entity</w:t>
      </w:r>
      <w:r>
        <w:rPr>
          <w:rFonts w:ascii="Arial" w:cs="Arial" w:eastAsia="Arial" w:hAnsi="Arial"/>
          <w:sz w:val="18"/>
          <w:szCs w:val="18"/>
          <w:color w:val="auto"/>
        </w:rPr>
        <w:t>”); (ii) no Person (excluding any Successor Entity or any employee benefit plan or related trust, of the Company or such Successor Entity) owns, directly or indirectly, thirty percent (30%) or more of the combined voting power of the then outstanding shares of common stock of the Successor Entity, except to the extent that such ownership existed prior to such Business Combination; and (iii) at least a majority of the members of the Board of Directors of the entity resulting from such Business Combination or any direct or indirect parent corporation thereof were members of the Incumbent Board at the time of the execution of the initial agreement or action of the Board providing for such Business Combination; or</w:t>
      </w:r>
    </w:p>
    <w:p>
      <w:pPr>
        <w:spacing w:after="0" w:line="168" w:lineRule="exact"/>
        <w:rPr>
          <w:rFonts w:ascii="Arial" w:cs="Arial" w:eastAsia="Arial" w:hAnsi="Arial"/>
          <w:sz w:val="16"/>
          <w:szCs w:val="16"/>
          <w:color w:val="auto"/>
        </w:rPr>
      </w:pPr>
    </w:p>
    <w:p>
      <w:pPr>
        <w:ind w:left="4" w:right="80" w:hanging="4"/>
        <w:spacing w:after="0" w:line="260" w:lineRule="auto"/>
        <w:tabs>
          <w:tab w:leader="none" w:pos="862" w:val="left"/>
        </w:tabs>
        <w:numPr>
          <w:ilvl w:val="0"/>
          <w:numId w:val="162"/>
        </w:numPr>
        <w:rPr>
          <w:rFonts w:ascii="Arial" w:cs="Arial" w:eastAsia="Arial" w:hAnsi="Arial"/>
          <w:sz w:val="18"/>
          <w:szCs w:val="18"/>
          <w:color w:val="auto"/>
        </w:rPr>
      </w:pPr>
      <w:r>
        <w:rPr>
          <w:rFonts w:ascii="Arial" w:cs="Arial" w:eastAsia="Arial" w:hAnsi="Arial"/>
          <w:sz w:val="20"/>
          <w:szCs w:val="20"/>
          <w:color w:val="auto"/>
        </w:rPr>
        <w:t xml:space="preserve">Approval by the shareholders of the Company of a complete liquidation or dissolution of the Company, except pursuant to a Business Combination that complies with </w:t>
      </w:r>
      <w:r>
        <w:rPr>
          <w:rFonts w:ascii="Arial" w:cs="Arial" w:eastAsia="Arial" w:hAnsi="Arial"/>
          <w:sz w:val="20"/>
          <w:szCs w:val="20"/>
          <w:u w:val="single" w:color="auto"/>
          <w:color w:val="auto"/>
        </w:rPr>
        <w:t>subsections (c)(i), (ii), and (iii)</w:t>
      </w:r>
      <w:r>
        <w:rPr>
          <w:rFonts w:ascii="Arial" w:cs="Arial" w:eastAsia="Arial" w:hAnsi="Arial"/>
          <w:sz w:val="20"/>
          <w:szCs w:val="20"/>
          <w:color w:val="auto"/>
        </w:rPr>
        <w:t xml:space="preserve"> above.</w:t>
      </w:r>
    </w:p>
    <w:p>
      <w:pPr>
        <w:spacing w:after="0" w:line="157" w:lineRule="exact"/>
        <w:rPr>
          <w:rFonts w:ascii="Arial" w:cs="Arial" w:eastAsia="Arial" w:hAnsi="Arial"/>
          <w:sz w:val="18"/>
          <w:szCs w:val="18"/>
          <w:color w:val="auto"/>
        </w:rPr>
      </w:pPr>
    </w:p>
    <w:p>
      <w:pPr>
        <w:ind w:left="4" w:right="40" w:hanging="4"/>
        <w:spacing w:after="0" w:line="262" w:lineRule="auto"/>
        <w:tabs>
          <w:tab w:leader="none" w:pos="852" w:val="left"/>
        </w:tabs>
        <w:numPr>
          <w:ilvl w:val="0"/>
          <w:numId w:val="162"/>
        </w:numPr>
        <w:rPr>
          <w:rFonts w:ascii="Arial" w:cs="Arial" w:eastAsia="Arial" w:hAnsi="Arial"/>
          <w:sz w:val="16"/>
          <w:szCs w:val="16"/>
          <w:color w:val="auto"/>
        </w:rPr>
      </w:pPr>
      <w:r>
        <w:rPr>
          <w:rFonts w:ascii="Arial" w:cs="Arial" w:eastAsia="Arial" w:hAnsi="Arial"/>
          <w:sz w:val="18"/>
          <w:szCs w:val="18"/>
          <w:color w:val="auto"/>
        </w:rPr>
        <w:t>A Change in Control shall not be deemed to occur solely because any Person (the “</w:t>
      </w:r>
      <w:r>
        <w:rPr>
          <w:rFonts w:ascii="Arial" w:cs="Arial" w:eastAsia="Arial" w:hAnsi="Arial"/>
          <w:sz w:val="18"/>
          <w:szCs w:val="18"/>
          <w:b w:val="1"/>
          <w:bCs w:val="1"/>
          <w:color w:val="auto"/>
        </w:rPr>
        <w:t>Subject Person</w:t>
      </w:r>
      <w:r>
        <w:rPr>
          <w:rFonts w:ascii="Arial" w:cs="Arial" w:eastAsia="Arial" w:hAnsi="Arial"/>
          <w:sz w:val="18"/>
          <w:szCs w:val="18"/>
          <w:color w:val="auto"/>
        </w:rPr>
        <w:t>”) acquired Beneficial Ownership of more than the permitted amount of the then outstanding Common Stock as a result of the acquisition of Common Stock by the Company which, by reducing the number of shares of Common stock then outstanding, increases the proportional number of shares Beneficially Owned by the Subject Persons, provided that if a Change in Control would occur (but for the operation of this sentence) as a result of the acquisition of Common Stock by the Company, and after such stock acquisition by the Company, the Subject Person becomes the Beneficial Owner of any additional Common Stock which increases the percentage of the then outstanding Common Stock Beneficially Owned by the Subject Person, then a Change in Control shall occur.</w:t>
      </w:r>
    </w:p>
    <w:p>
      <w:pPr>
        <w:spacing w:after="0" w:line="166" w:lineRule="exact"/>
        <w:rPr>
          <w:rFonts w:ascii="Arial" w:cs="Arial" w:eastAsia="Arial" w:hAnsi="Arial"/>
          <w:sz w:val="16"/>
          <w:szCs w:val="16"/>
          <w:color w:val="auto"/>
        </w:rPr>
      </w:pPr>
    </w:p>
    <w:p>
      <w:pPr>
        <w:jc w:val="both"/>
        <w:ind w:left="4" w:right="140" w:hanging="4"/>
        <w:spacing w:after="0" w:line="386" w:lineRule="auto"/>
        <w:tabs>
          <w:tab w:leader="none" w:pos="832" w:val="left"/>
        </w:tabs>
        <w:numPr>
          <w:ilvl w:val="0"/>
          <w:numId w:val="162"/>
        </w:numPr>
        <w:rPr>
          <w:rFonts w:ascii="Arial" w:cs="Arial" w:eastAsia="Arial" w:hAnsi="Arial"/>
          <w:sz w:val="15"/>
          <w:szCs w:val="15"/>
          <w:color w:val="auto"/>
        </w:rPr>
      </w:pPr>
      <w:r>
        <w:rPr>
          <w:rFonts w:ascii="Arial" w:cs="Arial" w:eastAsia="Arial" w:hAnsi="Arial"/>
          <w:sz w:val="16"/>
          <w:szCs w:val="16"/>
          <w:color w:val="auto"/>
        </w:rPr>
        <w:t>A Change in Control shall not be deemed to occur unless and until all regulatory approvals required in order to effectuate a Change in Control of the Company have been obtained and the transaction constituting the Change in Control has been consummated.</w:t>
      </w:r>
    </w:p>
    <w:p>
      <w:pPr>
        <w:spacing w:after="0" w:line="118" w:lineRule="exact"/>
        <w:rPr>
          <w:sz w:val="20"/>
          <w:szCs w:val="20"/>
          <w:color w:val="auto"/>
        </w:rPr>
      </w:pPr>
    </w:p>
    <w:p>
      <w:pPr>
        <w:ind w:left="4" w:right="240" w:firstLine="648"/>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CODE</w:t>
      </w:r>
      <w:r>
        <w:rPr>
          <w:rFonts w:ascii="Arial" w:cs="Arial" w:eastAsia="Arial" w:hAnsi="Arial"/>
          <w:sz w:val="20"/>
          <w:szCs w:val="20"/>
          <w:color w:val="auto"/>
        </w:rPr>
        <w:t>” means the Internal Revenue Code of 1986, as amended from time to time, and applicable regulations and guidance thereunder.</w:t>
      </w:r>
    </w:p>
    <w:p>
      <w:pPr>
        <w:spacing w:after="0" w:line="218" w:lineRule="exact"/>
        <w:rPr>
          <w:sz w:val="20"/>
          <w:szCs w:val="20"/>
          <w:color w:val="auto"/>
        </w:rPr>
      </w:pPr>
    </w:p>
    <w:p>
      <w:pPr>
        <w:jc w:val="both"/>
        <w:ind w:left="4" w:right="120" w:firstLine="648"/>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DISABILITY</w:t>
      </w:r>
      <w:r>
        <w:rPr>
          <w:rFonts w:ascii="Arial" w:cs="Arial" w:eastAsia="Arial" w:hAnsi="Arial"/>
          <w:sz w:val="20"/>
          <w:szCs w:val="20"/>
          <w:color w:val="auto"/>
        </w:rPr>
        <w:t>” means a physical or mental infirmity that can be expected to result in death or to last for a continuous period of not less than 12 months, because of which Employee is receiving benefits under the Company sponsored group long-term disability plan in which the Employee participates.</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DISABILITY DATE</w:t>
      </w:r>
      <w:r>
        <w:rPr>
          <w:rFonts w:ascii="Arial" w:cs="Arial" w:eastAsia="Arial" w:hAnsi="Arial"/>
          <w:sz w:val="18"/>
          <w:szCs w:val="18"/>
          <w:color w:val="auto"/>
        </w:rPr>
        <w:t>” means the date subsequent to a Change in Control on which the Employee is determined to have a Disability.</w:t>
      </w:r>
    </w:p>
    <w:p>
      <w:pPr>
        <w:spacing w:after="0" w:line="279" w:lineRule="exact"/>
        <w:rPr>
          <w:sz w:val="20"/>
          <w:szCs w:val="20"/>
          <w:color w:val="auto"/>
        </w:rPr>
      </w:pPr>
    </w:p>
    <w:p>
      <w:pPr>
        <w:ind w:left="4" w:right="8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EFFECTIVE DATE</w:t>
      </w:r>
      <w:r>
        <w:rPr>
          <w:rFonts w:ascii="Arial" w:cs="Arial" w:eastAsia="Arial" w:hAnsi="Arial"/>
          <w:sz w:val="20"/>
          <w:szCs w:val="20"/>
          <w:color w:val="auto"/>
        </w:rPr>
        <w:t>” means the first date on which a Change in Control occurs. The Effective Date does not occur and no benefits shall be paid under this Agreement if for any reason the Employee is not an employee of the Company on the day immediately prior to the Effective Date.</w:t>
      </w:r>
    </w:p>
    <w:p>
      <w:pPr>
        <w:spacing w:after="0" w:line="178" w:lineRule="exact"/>
        <w:rPr>
          <w:sz w:val="20"/>
          <w:szCs w:val="20"/>
          <w:color w:val="auto"/>
        </w:rPr>
      </w:pPr>
    </w:p>
    <w:p>
      <w:pPr>
        <w:ind w:left="4"/>
        <w:spacing w:after="0"/>
        <w:rPr>
          <w:sz w:val="20"/>
          <w:szCs w:val="20"/>
          <w:color w:val="auto"/>
        </w:rPr>
      </w:pPr>
      <w:r>
        <w:rPr>
          <w:rFonts w:ascii="Arial" w:cs="Arial" w:eastAsia="Arial" w:hAnsi="Arial"/>
          <w:sz w:val="20"/>
          <w:szCs w:val="20"/>
          <w:b w:val="1"/>
          <w:bCs w:val="1"/>
          <w:color w:val="auto"/>
        </w:rPr>
        <w:t xml:space="preserve">“ERISA” </w:t>
      </w:r>
      <w:r>
        <w:rPr>
          <w:rFonts w:ascii="Arial" w:cs="Arial" w:eastAsia="Arial" w:hAnsi="Arial"/>
          <w:sz w:val="20"/>
          <w:szCs w:val="20"/>
          <w:color w:val="auto"/>
        </w:rPr>
        <w:t>means the Employee Retirement Income Security Act of 1974, as amended.</w:t>
      </w:r>
    </w:p>
    <w:p>
      <w:pPr>
        <w:spacing w:after="0" w:line="216" w:lineRule="exact"/>
        <w:rPr>
          <w:sz w:val="20"/>
          <w:szCs w:val="20"/>
          <w:color w:val="auto"/>
        </w:rPr>
      </w:pPr>
    </w:p>
    <w:p>
      <w:pPr>
        <w:ind w:left="4"/>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Securities Exchange Act of 1934, as amended from time to time, or any</w:t>
      </w:r>
    </w:p>
    <w:p>
      <w:pPr>
        <w:sectPr>
          <w:pgSz w:w="11900" w:h="16838" w:orient="portrait"/>
          <w:cols w:equalWidth="0" w:num="1">
            <w:col w:w="10764"/>
          </w:cols>
          <w:pgMar w:left="896" w:top="555" w:right="239" w:bottom="1440" w:gutter="0" w:footer="0" w:header="0"/>
        </w:sectPr>
      </w:pPr>
    </w:p>
    <w:bookmarkStart w:id="183" w:name="page184"/>
    <w:bookmarkEnd w:id="183"/>
    <w:p>
      <w:pPr>
        <w:spacing w:after="0"/>
        <w:rPr>
          <w:sz w:val="20"/>
          <w:szCs w:val="20"/>
          <w:color w:val="auto"/>
        </w:rPr>
      </w:pPr>
      <w:r>
        <w:rPr>
          <w:rFonts w:ascii="Arial" w:cs="Arial" w:eastAsia="Arial" w:hAnsi="Arial"/>
          <w:sz w:val="20"/>
          <w:szCs w:val="20"/>
          <w:color w:val="auto"/>
        </w:rPr>
        <w:t>successor act thereto.</w:t>
      </w:r>
    </w:p>
    <w:p>
      <w:pPr>
        <w:spacing w:after="0" w:line="21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GOOD REASON</w:t>
      </w:r>
      <w:r>
        <w:rPr>
          <w:rFonts w:ascii="Arial" w:cs="Arial" w:eastAsia="Arial" w:hAnsi="Arial"/>
          <w:sz w:val="20"/>
          <w:szCs w:val="20"/>
          <w:color w:val="auto"/>
        </w:rPr>
        <w:t xml:space="preserve">” means those events or conditions described in </w:t>
      </w:r>
      <w:r>
        <w:rPr>
          <w:rFonts w:ascii="Arial" w:cs="Arial" w:eastAsia="Arial" w:hAnsi="Arial"/>
          <w:sz w:val="20"/>
          <w:szCs w:val="20"/>
          <w:u w:val="single" w:color="auto"/>
          <w:color w:val="auto"/>
        </w:rPr>
        <w:t>subsections 9(c)</w:t>
      </w:r>
      <w:r>
        <w:rPr>
          <w:rFonts w:ascii="Arial" w:cs="Arial" w:eastAsia="Arial" w:hAnsi="Arial"/>
          <w:sz w:val="20"/>
          <w:szCs w:val="20"/>
          <w:color w:val="auto"/>
        </w:rPr>
        <w:t xml:space="preserve"> below.</w:t>
      </w:r>
    </w:p>
    <w:p>
      <w:pPr>
        <w:spacing w:after="0" w:line="270"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NONQUALIFIED DEFERRED COMPENSATION PLAN</w:t>
      </w:r>
      <w:r>
        <w:rPr>
          <w:rFonts w:ascii="Arial" w:cs="Arial" w:eastAsia="Arial" w:hAnsi="Arial"/>
          <w:sz w:val="20"/>
          <w:szCs w:val="20"/>
          <w:color w:val="auto"/>
        </w:rPr>
        <w:t>” means the Company’s</w:t>
      </w:r>
    </w:p>
    <w:p>
      <w:pPr>
        <w:spacing w:after="0" w:line="22" w:lineRule="exact"/>
        <w:rPr>
          <w:sz w:val="20"/>
          <w:szCs w:val="20"/>
          <w:color w:val="auto"/>
        </w:rPr>
      </w:pPr>
    </w:p>
    <w:p>
      <w:pPr>
        <w:ind w:right="20"/>
        <w:spacing w:after="0" w:line="244" w:lineRule="auto"/>
        <w:rPr>
          <w:sz w:val="20"/>
          <w:szCs w:val="20"/>
          <w:color w:val="auto"/>
        </w:rPr>
      </w:pPr>
      <w:r>
        <w:rPr>
          <w:rFonts w:ascii="Arial" w:cs="Arial" w:eastAsia="Arial" w:hAnsi="Arial"/>
          <w:sz w:val="20"/>
          <w:szCs w:val="20"/>
          <w:color w:val="auto"/>
        </w:rPr>
        <w:t>Nonqualified Deferred Compensation Plan as amended and restated effective January 1, 2011, and as amended or replaced from time to time thereafter prior to the Effective Date.</w:t>
      </w:r>
    </w:p>
    <w:p>
      <w:pPr>
        <w:spacing w:after="0" w:line="186" w:lineRule="exact"/>
        <w:rPr>
          <w:sz w:val="20"/>
          <w:szCs w:val="20"/>
          <w:color w:val="auto"/>
        </w:rPr>
      </w:pPr>
    </w:p>
    <w:p>
      <w:pPr>
        <w:ind w:right="20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NOTICE OF TERMINATION</w:t>
      </w:r>
      <w:r>
        <w:rPr>
          <w:rFonts w:ascii="Arial" w:cs="Arial" w:eastAsia="Arial" w:hAnsi="Arial"/>
          <w:sz w:val="20"/>
          <w:szCs w:val="20"/>
          <w:color w:val="auto"/>
        </w:rPr>
        <w:t>” means a notice which indicates the specific termination provision in this Agreement, if any, relied upon and shall set forth in reasonable detail the facts and circumstances claimed to provide a basis for termination of Employee’s employment under the provisions so indicated. Any purported termination by the Company or Employee shall be communicated by written notice of termination to the other.</w:t>
      </w:r>
    </w:p>
    <w:p>
      <w:pPr>
        <w:spacing w:after="0" w:line="184" w:lineRule="exact"/>
        <w:rPr>
          <w:sz w:val="20"/>
          <w:szCs w:val="20"/>
          <w:color w:val="auto"/>
        </w:rPr>
      </w:pPr>
    </w:p>
    <w:p>
      <w:pPr>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OMNIBUS INCENTIVE COMPENSATION PLANS</w:t>
      </w:r>
      <w:r>
        <w:rPr>
          <w:rFonts w:ascii="Arial" w:cs="Arial" w:eastAsia="Arial" w:hAnsi="Arial"/>
          <w:sz w:val="20"/>
          <w:szCs w:val="20"/>
          <w:color w:val="auto"/>
        </w:rPr>
        <w:t>” means the incentive compensation plans known as the “Black Hills Corporation 2015 Omnibus Incentive Compensation Plan” as effective April 28, 2015, and the “Black Hills Corporation 2005 Omnibus Incentive Compensation Plan” as effective May 25, 2005, and as the plans are amended or replaced from time to time thereafter prior to the Effective Date.</w:t>
      </w:r>
    </w:p>
    <w:p>
      <w:pPr>
        <w:spacing w:after="0" w:line="184"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2005 PENSION EQUALIZATION PLAN</w:t>
      </w:r>
      <w:r>
        <w:rPr>
          <w:rFonts w:ascii="Arial" w:cs="Arial" w:eastAsia="Arial" w:hAnsi="Arial"/>
          <w:sz w:val="20"/>
          <w:szCs w:val="20"/>
          <w:color w:val="auto"/>
        </w:rPr>
        <w:t>” means the Company’s 2005 Pension Equalization Plan as in effect on January 1, 2008 and as amended or replaced from time to time thereafter prior to the Effective Date.</w:t>
      </w:r>
    </w:p>
    <w:p>
      <w:pPr>
        <w:spacing w:after="0" w:line="164" w:lineRule="exact"/>
        <w:rPr>
          <w:sz w:val="20"/>
          <w:szCs w:val="20"/>
          <w:color w:val="auto"/>
        </w:rPr>
      </w:pPr>
    </w:p>
    <w:p>
      <w:pPr>
        <w:ind w:right="38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PENSION PLAN</w:t>
      </w:r>
      <w:r>
        <w:rPr>
          <w:rFonts w:ascii="Arial" w:cs="Arial" w:eastAsia="Arial" w:hAnsi="Arial"/>
          <w:sz w:val="20"/>
          <w:szCs w:val="20"/>
          <w:color w:val="auto"/>
        </w:rPr>
        <w:t>” means the Company’s tax qualified defined benefit pension plan as amended and restated effective October 1, 2000, and as amended from time to time thereafter prior to the Effective Date.</w:t>
      </w:r>
    </w:p>
    <w:p>
      <w:pPr>
        <w:spacing w:after="0" w:line="164" w:lineRule="exact"/>
        <w:rPr>
          <w:sz w:val="20"/>
          <w:szCs w:val="20"/>
          <w:color w:val="auto"/>
        </w:rPr>
      </w:pPr>
    </w:p>
    <w:p>
      <w:pPr>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PERSON</w:t>
      </w:r>
      <w:r>
        <w:rPr>
          <w:rFonts w:ascii="Arial" w:cs="Arial" w:eastAsia="Arial" w:hAnsi="Arial"/>
          <w:sz w:val="20"/>
          <w:szCs w:val="20"/>
          <w:color w:val="auto"/>
        </w:rPr>
        <w:t>” shall have the meaning ascribed to such term in Section 3(a)(9) of the Exchange Act and used in Sections 13(d) and 14(d) thereof, including a “group” as defined in Section 13(d).</w:t>
      </w:r>
    </w:p>
    <w:p>
      <w:pPr>
        <w:spacing w:after="0" w:line="164" w:lineRule="exact"/>
        <w:rPr>
          <w:sz w:val="20"/>
          <w:szCs w:val="20"/>
          <w:color w:val="auto"/>
        </w:rPr>
      </w:pPr>
    </w:p>
    <w:p>
      <w:pPr>
        <w:ind w:right="52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PROTECTION PERIOD</w:t>
      </w:r>
      <w:r>
        <w:rPr>
          <w:rFonts w:ascii="Arial" w:cs="Arial" w:eastAsia="Arial" w:hAnsi="Arial"/>
          <w:sz w:val="20"/>
          <w:szCs w:val="20"/>
          <w:color w:val="auto"/>
        </w:rPr>
        <w:t>” means the time period beginning on the Effective Date and ending on the second anniversary of the Effective Date.</w:t>
      </w:r>
    </w:p>
    <w:p>
      <w:pPr>
        <w:spacing w:after="0" w:line="164" w:lineRule="exact"/>
        <w:rPr>
          <w:sz w:val="20"/>
          <w:szCs w:val="20"/>
          <w:color w:val="auto"/>
        </w:rPr>
      </w:pPr>
    </w:p>
    <w:p>
      <w:pPr>
        <w:ind w:right="100"/>
        <w:spacing w:after="0" w:line="245"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RELATED COMPANY</w:t>
      </w:r>
      <w:r>
        <w:rPr>
          <w:rFonts w:ascii="Arial" w:cs="Arial" w:eastAsia="Arial" w:hAnsi="Arial"/>
          <w:sz w:val="20"/>
          <w:szCs w:val="20"/>
          <w:color w:val="auto"/>
        </w:rPr>
        <w:t>” means any business organization or legal entity that directly or indirectly, controls, is controlled by or is under common control with the Company. For purposes of this definition, the term “control” (including the terms “controlling”, “controlled by”, and “under common control with”) includes the possession, direct or indirect, of the power to vote 50 percent or more of the voting equity securities, membership interest, or other voting interest, or to direct or cause the direction of the management and policies of such business organization or other legal entity, whether through the ownership of voting equity securities, membership interest, by contract, or otherwise.</w:t>
      </w:r>
    </w:p>
    <w:p>
      <w:pPr>
        <w:spacing w:after="0" w:line="185" w:lineRule="exact"/>
        <w:rPr>
          <w:sz w:val="20"/>
          <w:szCs w:val="20"/>
          <w:color w:val="auto"/>
        </w:rPr>
      </w:pPr>
    </w:p>
    <w:p>
      <w:pPr>
        <w:ind w:right="24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RESTORATION PLAN</w:t>
      </w:r>
      <w:r>
        <w:rPr>
          <w:rFonts w:ascii="Arial" w:cs="Arial" w:eastAsia="Arial" w:hAnsi="Arial"/>
          <w:sz w:val="20"/>
          <w:szCs w:val="20"/>
          <w:color w:val="auto"/>
        </w:rPr>
        <w:t>” means the Company’s Restoration Plan as in effect on January 1, 2008 and as amended or replaced from time to time thereafter prior to the Effective Date.</w:t>
      </w:r>
    </w:p>
    <w:p>
      <w:pPr>
        <w:spacing w:after="0" w:line="164" w:lineRule="exact"/>
        <w:rPr>
          <w:sz w:val="20"/>
          <w:szCs w:val="20"/>
          <w:color w:val="auto"/>
        </w:rPr>
      </w:pPr>
    </w:p>
    <w:p>
      <w:pPr>
        <w:ind w:right="3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RETIREE HEALTHCARE PLAN</w:t>
      </w:r>
      <w:r>
        <w:rPr>
          <w:rFonts w:ascii="Arial" w:cs="Arial" w:eastAsia="Arial" w:hAnsi="Arial"/>
          <w:sz w:val="20"/>
          <w:szCs w:val="20"/>
          <w:color w:val="auto"/>
        </w:rPr>
        <w:t>” means the Company’s Retiree Healthcare Plan as amended and restated effective January 1, 2015, and as further amended from time to time thereafter prior to the Effective Date.</w:t>
      </w:r>
    </w:p>
    <w:p>
      <w:pPr>
        <w:spacing w:after="0" w:line="164" w:lineRule="exact"/>
        <w:rPr>
          <w:sz w:val="20"/>
          <w:szCs w:val="20"/>
          <w:color w:val="auto"/>
        </w:rPr>
      </w:pPr>
    </w:p>
    <w:p>
      <w:pPr>
        <w:ind w:right="340"/>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RETIREMENT SAVINGS PLAN</w:t>
      </w:r>
      <w:r>
        <w:rPr>
          <w:rFonts w:ascii="Arial" w:cs="Arial" w:eastAsia="Arial" w:hAnsi="Arial"/>
          <w:sz w:val="19"/>
          <w:szCs w:val="19"/>
          <w:color w:val="auto"/>
        </w:rPr>
        <w:t>” means the Black Hills Corporation Retirement Savings Plan (401K) as amended and restated effective January 1, 2016, and as further amended from time to time thereafter prior to the Effective Date.</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SEVERANCE COMPENSATION</w:t>
      </w:r>
      <w:r>
        <w:rPr>
          <w:rFonts w:ascii="Arial" w:cs="Arial" w:eastAsia="Arial" w:hAnsi="Arial"/>
          <w:sz w:val="20"/>
          <w:szCs w:val="20"/>
          <w:color w:val="auto"/>
        </w:rPr>
        <w:t>” means the Employee’s base salary and annual incentive target on</w:t>
      </w:r>
    </w:p>
    <w:p>
      <w:pPr>
        <w:sectPr>
          <w:pgSz w:w="11900" w:h="16838" w:orient="portrait"/>
          <w:cols w:equalWidth="0" w:num="1">
            <w:col w:w="10760"/>
          </w:cols>
          <w:pgMar w:left="900" w:top="555" w:right="239" w:bottom="1440" w:gutter="0" w:footer="0" w:header="0"/>
        </w:sectPr>
      </w:pPr>
    </w:p>
    <w:bookmarkStart w:id="184" w:name="page185"/>
    <w:bookmarkEnd w:id="184"/>
    <w:p>
      <w:pPr>
        <w:ind w:left="660"/>
        <w:spacing w:after="0"/>
        <w:rPr>
          <w:sz w:val="20"/>
          <w:szCs w:val="20"/>
          <w:color w:val="auto"/>
        </w:rPr>
      </w:pPr>
      <w:r>
        <w:rPr>
          <w:rFonts w:ascii="Arial" w:cs="Arial" w:eastAsia="Arial" w:hAnsi="Arial"/>
          <w:sz w:val="20"/>
          <w:szCs w:val="20"/>
          <w:color w:val="auto"/>
        </w:rPr>
        <w:t>the day immediately prior to the Effective Date.</w:t>
      </w:r>
    </w:p>
    <w:p>
      <w:pPr>
        <w:spacing w:after="0" w:line="210" w:lineRule="exact"/>
        <w:rPr>
          <w:sz w:val="20"/>
          <w:szCs w:val="20"/>
          <w:color w:val="auto"/>
        </w:rPr>
      </w:pPr>
    </w:p>
    <w:p>
      <w:pPr>
        <w:ind w:left="660" w:right="2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means any corporation, partnership, limited liability company, joint venture, or other entity in which the Company has a majority voting interest.</w:t>
      </w:r>
    </w:p>
    <w:p>
      <w:pPr>
        <w:spacing w:after="0" w:line="164" w:lineRule="exact"/>
        <w:rPr>
          <w:sz w:val="20"/>
          <w:szCs w:val="20"/>
          <w:color w:val="auto"/>
        </w:rPr>
      </w:pPr>
    </w:p>
    <w:p>
      <w:pPr>
        <w:ind w:left="660" w:right="2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SUCCESSOR EMPLOYER</w:t>
      </w:r>
      <w:r>
        <w:rPr>
          <w:rFonts w:ascii="Arial" w:cs="Arial" w:eastAsia="Arial" w:hAnsi="Arial"/>
          <w:sz w:val="20"/>
          <w:szCs w:val="20"/>
          <w:color w:val="auto"/>
        </w:rPr>
        <w:t>” means any Successor Entity (as defined in the definition of “Change in Control” herein) or any other successor in interest or assign (whether direct or indirect, by purchase, merger, consolidation or otherwise) of the business and/or assets of the Company.</w:t>
      </w:r>
    </w:p>
    <w:p>
      <w:pPr>
        <w:spacing w:after="0" w:line="178" w:lineRule="exact"/>
        <w:rPr>
          <w:sz w:val="20"/>
          <w:szCs w:val="20"/>
          <w:color w:val="auto"/>
        </w:rPr>
      </w:pPr>
    </w:p>
    <w:p>
      <w:pPr>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TERMINATION DATE</w:t>
      </w:r>
      <w:r>
        <w:rPr>
          <w:rFonts w:ascii="Arial" w:cs="Arial" w:eastAsia="Arial" w:hAnsi="Arial"/>
          <w:sz w:val="20"/>
          <w:szCs w:val="20"/>
          <w:color w:val="auto"/>
        </w:rPr>
        <w:t>” means the date, subsequent to the Effective Date, of the Employee’s separation from service (as defined for purposes of Code Section 409A) with the Company and all Related Companies.</w:t>
      </w:r>
    </w:p>
    <w:p>
      <w:pPr>
        <w:spacing w:after="0" w:line="164" w:lineRule="exact"/>
        <w:rPr>
          <w:sz w:val="20"/>
          <w:szCs w:val="20"/>
          <w:color w:val="auto"/>
        </w:rPr>
      </w:pPr>
    </w:p>
    <w:p>
      <w:pPr>
        <w:ind w:left="660" w:right="120"/>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WELFARE BENEFITS</w:t>
      </w:r>
      <w:r>
        <w:rPr>
          <w:rFonts w:ascii="Arial" w:cs="Arial" w:eastAsia="Arial" w:hAnsi="Arial"/>
          <w:sz w:val="20"/>
          <w:szCs w:val="20"/>
          <w:color w:val="auto"/>
        </w:rPr>
        <w:t>” means the Black Hills Corporation Medical and Dental Plan, the Black Hills Corporation Flexible Benefit Plan, and the Black Hills Corporation Employee Life and Long-Term Disability Plan, and the Short-Term Disability Plan, as the plans and the terms and conditions thereof exist on the day immediately prior to the Effective Date. Following the Employee’s Termination Date, the term Welfare Benefits shall not include a “flexible spending arrangement” (within the meaning of Proposed Regulation Section 1.125-5(a) or subsequent authoritative guidance).</w:t>
      </w:r>
    </w:p>
    <w:p>
      <w:pPr>
        <w:spacing w:after="0" w:line="185"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20"/>
          <w:szCs w:val="20"/>
          <w:b w:val="1"/>
          <w:bCs w:val="1"/>
          <w:u w:val="single" w:color="auto"/>
          <w:color w:val="auto"/>
        </w:rPr>
        <w:t>TERM OF AGREEMENT</w:t>
      </w:r>
      <w:r>
        <w:rPr>
          <w:rFonts w:ascii="Arial" w:cs="Arial" w:eastAsia="Arial" w:hAnsi="Arial"/>
          <w:sz w:val="20"/>
          <w:szCs w:val="20"/>
          <w:b w:val="1"/>
          <w:bCs w:val="1"/>
          <w:color w:val="auto"/>
        </w:rPr>
        <w:t>.</w:t>
      </w:r>
    </w:p>
    <w:p>
      <w:pPr>
        <w:spacing w:after="0" w:line="276" w:lineRule="exact"/>
        <w:rPr>
          <w:sz w:val="20"/>
          <w:szCs w:val="20"/>
          <w:color w:val="auto"/>
        </w:rPr>
      </w:pPr>
    </w:p>
    <w:p>
      <w:pPr>
        <w:ind w:right="60" w:firstLine="648"/>
        <w:spacing w:after="0" w:line="243" w:lineRule="auto"/>
        <w:rPr>
          <w:sz w:val="20"/>
          <w:szCs w:val="20"/>
          <w:color w:val="auto"/>
        </w:rPr>
      </w:pPr>
      <w:r>
        <w:rPr>
          <w:rFonts w:ascii="Arial" w:cs="Arial" w:eastAsia="Arial" w:hAnsi="Arial"/>
          <w:sz w:val="20"/>
          <w:szCs w:val="20"/>
          <w:color w:val="auto"/>
        </w:rPr>
        <w:t>The Term of this Agreement shall commence on the date of execution and shall continue in effect until November 15, 2022. If no Change in Control shall have occurred during the Term, this Agreement shall expire. If a Change in Control occurs during the Term, this Agreement shall remain in effect for full performance according to its terms. Upon expiration of the Term prior to a Change in Control, the Company, by action of its Board of Directors, may elect to renew or not renew this Agreement, or may offer to renew the Agreement subject to modifications of any term or condition, at its discretion. The Board of Directors may, in its discretion, terminate this Agreement prior to the expiration of the Term, in the event that Employee, for any reason, ceases to be employed with the Company in a position as an executive officer within the meaning of the Exchange Act.</w:t>
      </w:r>
    </w:p>
    <w:p>
      <w:pPr>
        <w:spacing w:after="0" w:line="187" w:lineRule="exact"/>
        <w:rPr>
          <w:sz w:val="20"/>
          <w:szCs w:val="20"/>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EMPLOYMENT</w:t>
      </w:r>
      <w:r>
        <w:rPr>
          <w:rFonts w:ascii="Arial" w:cs="Arial" w:eastAsia="Arial" w:hAnsi="Arial"/>
          <w:sz w:val="20"/>
          <w:szCs w:val="20"/>
          <w:b w:val="1"/>
          <w:bCs w:val="1"/>
          <w:color w:val="auto"/>
        </w:rPr>
        <w:t>.</w:t>
      </w:r>
    </w:p>
    <w:p>
      <w:pPr>
        <w:spacing w:after="0" w:line="276" w:lineRule="exact"/>
        <w:rPr>
          <w:sz w:val="20"/>
          <w:szCs w:val="20"/>
          <w:color w:val="auto"/>
        </w:rPr>
      </w:pPr>
    </w:p>
    <w:p>
      <w:pPr>
        <w:ind w:right="60" w:firstLine="648"/>
        <w:spacing w:after="0" w:line="278" w:lineRule="auto"/>
        <w:rPr>
          <w:sz w:val="20"/>
          <w:szCs w:val="20"/>
          <w:color w:val="auto"/>
        </w:rPr>
      </w:pPr>
      <w:r>
        <w:rPr>
          <w:rFonts w:ascii="Arial" w:cs="Arial" w:eastAsia="Arial" w:hAnsi="Arial"/>
          <w:sz w:val="18"/>
          <w:szCs w:val="18"/>
          <w:color w:val="auto"/>
        </w:rPr>
        <w:t>Subject to the provisions of this Agreement, during the Protection Period the Company or Successor Employer agrees to continue to employ the Employee and the Employee agrees to remain in the employ of the Company or Successor Employer. During the Protection Period, the Employee shall be employed in a position substantially similar to Employee’s position prior to the Change in Control or in such other capacity as may be mutually agreed to in writing by the parties. Employee shall perform the duties, undertake the responsibilities and exercise the authority customarily performed, undertaken and exercised by persons situated in a similar capacity.</w:t>
      </w:r>
    </w:p>
    <w:p>
      <w:pPr>
        <w:spacing w:after="0" w:line="219" w:lineRule="exact"/>
        <w:rPr>
          <w:sz w:val="20"/>
          <w:szCs w:val="20"/>
          <w:color w:val="auto"/>
        </w:rPr>
      </w:pPr>
    </w:p>
    <w:p>
      <w:pPr>
        <w:ind w:right="120" w:firstLine="648"/>
        <w:spacing w:after="0" w:line="274" w:lineRule="auto"/>
        <w:rPr>
          <w:sz w:val="20"/>
          <w:szCs w:val="20"/>
          <w:color w:val="auto"/>
        </w:rPr>
      </w:pPr>
      <w:r>
        <w:rPr>
          <w:rFonts w:ascii="Arial" w:cs="Arial" w:eastAsia="Arial" w:hAnsi="Arial"/>
          <w:sz w:val="18"/>
          <w:szCs w:val="18"/>
          <w:color w:val="auto"/>
        </w:rPr>
        <w:t>During the Protection Period, excluding periods of vacation, sick leave or another approved leave of absence, Employee agrees to devote full attention and time to the business and affairs of the Company or Successor Employer to the extent necessary to discharge the responsibilities assigned to Employee hereunder. It is expressly understood and agreed that to the extent that any civic, charitable or industry-related activities have been conducted by Employee prior to the Effective Date, the continued conduct of such activities (or the conduct of activities similar in nature and scope thereto) subsequent to the Effective Date shall not thereafter be deemed to interfere with the performance of Employee’s responsibilities to the Company or Successor Employer. In addition, if Employee serves on a public Board of Directors prior to the Effective Date, the Employee shall retain the right to continue to serve on that particular Board.</w:t>
      </w:r>
    </w:p>
    <w:p>
      <w:pPr>
        <w:spacing w:after="0" w:line="163"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20"/>
          <w:szCs w:val="20"/>
          <w:b w:val="1"/>
          <w:bCs w:val="1"/>
          <w:u w:val="single" w:color="auto"/>
          <w:color w:val="auto"/>
        </w:rPr>
        <w:t>COMPENSATION</w:t>
      </w:r>
      <w:r>
        <w:rPr>
          <w:rFonts w:ascii="Arial" w:cs="Arial" w:eastAsia="Arial" w:hAnsi="Arial"/>
          <w:sz w:val="20"/>
          <w:szCs w:val="20"/>
          <w:b w:val="1"/>
          <w:bCs w:val="1"/>
          <w:color w:val="auto"/>
        </w:rPr>
        <w:t>.</w:t>
      </w:r>
    </w:p>
    <w:p>
      <w:pPr>
        <w:spacing w:after="0" w:line="2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During the Protection Period, the Company or Successor Employer agrees to pay or cause to be paid to</w:t>
      </w:r>
    </w:p>
    <w:p>
      <w:pPr>
        <w:sectPr>
          <w:pgSz w:w="11900" w:h="16838" w:orient="portrait"/>
          <w:cols w:equalWidth="0" w:num="1">
            <w:col w:w="11400"/>
          </w:cols>
          <w:pgMar w:left="240" w:top="555" w:right="259" w:bottom="1440" w:gutter="0" w:footer="0" w:header="0"/>
        </w:sectPr>
      </w:pPr>
    </w:p>
    <w:bookmarkStart w:id="185" w:name="page186"/>
    <w:bookmarkEnd w:id="185"/>
    <w:p>
      <w:pPr>
        <w:ind w:right="380"/>
        <w:spacing w:after="0" w:line="269" w:lineRule="auto"/>
        <w:rPr>
          <w:sz w:val="20"/>
          <w:szCs w:val="20"/>
          <w:color w:val="auto"/>
        </w:rPr>
      </w:pPr>
      <w:r>
        <w:rPr>
          <w:rFonts w:ascii="Arial" w:cs="Arial" w:eastAsia="Arial" w:hAnsi="Arial"/>
          <w:sz w:val="19"/>
          <w:szCs w:val="19"/>
          <w:color w:val="auto"/>
        </w:rPr>
        <w:t>Employee Annual Compensation at a rate at least equal to the highest rate of the Employee’s Annual Compensation as in effect at any time within one year preceding the Effective Date, and as may be increased from time to time. Such Annual Compensation shall be payable in accordance with the Company’s customary practices applicable to its officers and employees.</w:t>
      </w:r>
    </w:p>
    <w:p>
      <w:pPr>
        <w:spacing w:after="0" w:line="164"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20"/>
          <w:szCs w:val="20"/>
          <w:b w:val="1"/>
          <w:bCs w:val="1"/>
          <w:u w:val="single" w:color="auto"/>
          <w:color w:val="auto"/>
        </w:rPr>
        <w:t>EMPLOYEE WELFARE AND PENSION BENEFITS</w:t>
      </w:r>
      <w:r>
        <w:rPr>
          <w:rFonts w:ascii="Arial" w:cs="Arial" w:eastAsia="Arial" w:hAnsi="Arial"/>
          <w:sz w:val="20"/>
          <w:szCs w:val="20"/>
          <w:b w:val="1"/>
          <w:bCs w:val="1"/>
          <w:color w:val="auto"/>
        </w:rPr>
        <w:t>.</w:t>
      </w:r>
    </w:p>
    <w:p>
      <w:pPr>
        <w:spacing w:after="0" w:line="276" w:lineRule="exact"/>
        <w:rPr>
          <w:sz w:val="20"/>
          <w:szCs w:val="20"/>
          <w:color w:val="auto"/>
        </w:rPr>
      </w:pPr>
    </w:p>
    <w:p>
      <w:pPr>
        <w:ind w:firstLine="648"/>
        <w:spacing w:after="0" w:line="256" w:lineRule="auto"/>
        <w:rPr>
          <w:sz w:val="20"/>
          <w:szCs w:val="20"/>
          <w:color w:val="auto"/>
        </w:rPr>
      </w:pPr>
      <w:r>
        <w:rPr>
          <w:rFonts w:ascii="Arial" w:cs="Arial" w:eastAsia="Arial" w:hAnsi="Arial"/>
          <w:sz w:val="19"/>
          <w:szCs w:val="19"/>
          <w:color w:val="auto"/>
        </w:rPr>
        <w:t xml:space="preserve">During the Protection Period, the Company or the Successor Employer shall provide to the Employee the Welfare Benefits (including Retiree Healthcare Plan credits for purposes of this Section 6) and the Pension Plan, including supplemental medical insurance, travel accident insurance, short-term disability, long-term disability or life insurance benefits, or other substantially similar employee welfare and pension benefits, but in no event on a basis less favorable in the aggregate in terms of benefit levels and coverage than the Welfare Benefits and the Pension Plan. In the event Employee is not a participant in a Welfare Benefits plan or the Pension Plan prior to the Effective Date, then Company shall have no obligation to provide that Welfare Benefits plan or the Pension Plan or other substantially similar employee welfare and pension benefits as provided in this </w:t>
      </w:r>
      <w:r>
        <w:rPr>
          <w:rFonts w:ascii="Arial" w:cs="Arial" w:eastAsia="Arial" w:hAnsi="Arial"/>
          <w:sz w:val="19"/>
          <w:szCs w:val="19"/>
          <w:u w:val="single" w:color="auto"/>
          <w:color w:val="auto"/>
        </w:rPr>
        <w:t>Section 6</w:t>
      </w:r>
      <w:r>
        <w:rPr>
          <w:rFonts w:ascii="Arial" w:cs="Arial" w:eastAsia="Arial" w:hAnsi="Arial"/>
          <w:sz w:val="19"/>
          <w:szCs w:val="19"/>
          <w:color w:val="auto"/>
        </w:rPr>
        <w:t xml:space="preserve">. For purposes of this </w:t>
      </w:r>
      <w:r>
        <w:rPr>
          <w:rFonts w:ascii="Arial" w:cs="Arial" w:eastAsia="Arial" w:hAnsi="Arial"/>
          <w:sz w:val="19"/>
          <w:szCs w:val="19"/>
          <w:u w:val="single" w:color="auto"/>
          <w:color w:val="auto"/>
        </w:rPr>
        <w:t>Section 6</w:t>
      </w:r>
      <w:r>
        <w:rPr>
          <w:rFonts w:ascii="Arial" w:cs="Arial" w:eastAsia="Arial" w:hAnsi="Arial"/>
          <w:sz w:val="19"/>
          <w:szCs w:val="19"/>
          <w:color w:val="auto"/>
        </w:rPr>
        <w:t>, if the Employee is not entitled to any future benefit accruals in the Pension Plan as of the Effective Date the Employee shall not be treated as a participant in the Pension Plan for purposes of accruing benefits under the Pension Plan.</w:t>
      </w:r>
    </w:p>
    <w:p>
      <w:pPr>
        <w:spacing w:after="0" w:line="179"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20"/>
          <w:szCs w:val="20"/>
          <w:b w:val="1"/>
          <w:bCs w:val="1"/>
          <w:u w:val="single" w:color="auto"/>
          <w:color w:val="auto"/>
        </w:rPr>
        <w:t>2005 PENSION EQUALIZATION PLAN; RESTORATION PLAN</w:t>
      </w:r>
      <w:r>
        <w:rPr>
          <w:rFonts w:ascii="Arial" w:cs="Arial" w:eastAsia="Arial" w:hAnsi="Arial"/>
          <w:sz w:val="20"/>
          <w:szCs w:val="20"/>
          <w:b w:val="1"/>
          <w:bCs w:val="1"/>
          <w:color w:val="auto"/>
        </w:rPr>
        <w:t>.</w:t>
      </w:r>
    </w:p>
    <w:p>
      <w:pPr>
        <w:spacing w:after="0" w:line="276" w:lineRule="exact"/>
        <w:rPr>
          <w:sz w:val="20"/>
          <w:szCs w:val="20"/>
          <w:color w:val="auto"/>
        </w:rPr>
      </w:pPr>
    </w:p>
    <w:p>
      <w:pPr>
        <w:ind w:right="120" w:firstLine="648"/>
        <w:spacing w:after="0" w:line="250" w:lineRule="auto"/>
        <w:rPr>
          <w:sz w:val="20"/>
          <w:szCs w:val="20"/>
          <w:color w:val="auto"/>
        </w:rPr>
      </w:pPr>
      <w:r>
        <w:rPr>
          <w:rFonts w:ascii="Arial" w:cs="Arial" w:eastAsia="Arial" w:hAnsi="Arial"/>
          <w:sz w:val="20"/>
          <w:szCs w:val="20"/>
          <w:color w:val="auto"/>
        </w:rPr>
        <w:t>If Employee was a participant in the 2005 Pension Equalization Plan prior to the Effective Date, then during the Protection Period, the Company or Successor Employer shall continue to provide Employee with coverage and participation under the 2005 Pension Equalization Plan or a substantially similar supplemental retirement plan.</w:t>
      </w:r>
    </w:p>
    <w:p>
      <w:pPr>
        <w:spacing w:after="0" w:line="240" w:lineRule="exact"/>
        <w:rPr>
          <w:sz w:val="20"/>
          <w:szCs w:val="20"/>
          <w:color w:val="auto"/>
        </w:rPr>
      </w:pPr>
    </w:p>
    <w:p>
      <w:pPr>
        <w:ind w:right="180" w:firstLine="648"/>
        <w:spacing w:after="0" w:line="244" w:lineRule="auto"/>
        <w:rPr>
          <w:sz w:val="20"/>
          <w:szCs w:val="20"/>
          <w:color w:val="auto"/>
        </w:rPr>
      </w:pPr>
      <w:r>
        <w:rPr>
          <w:rFonts w:ascii="Arial" w:cs="Arial" w:eastAsia="Arial" w:hAnsi="Arial"/>
          <w:sz w:val="20"/>
          <w:szCs w:val="20"/>
          <w:color w:val="auto"/>
        </w:rPr>
        <w:t xml:space="preserve">If Employee was a participant in the Restoration Plan prior to the Effective Date, then during the Protection Period, the Company or Successor Employer shall continue to provide Employee with coverage and participation under the Restoration Plan or a substantially similar supplemental retirement plan. For purposes of this </w:t>
      </w:r>
      <w:r>
        <w:rPr>
          <w:rFonts w:ascii="Arial" w:cs="Arial" w:eastAsia="Arial" w:hAnsi="Arial"/>
          <w:sz w:val="20"/>
          <w:szCs w:val="20"/>
          <w:u w:val="single" w:color="auto"/>
          <w:color w:val="auto"/>
        </w:rPr>
        <w:t>Section 7</w:t>
      </w:r>
      <w:r>
        <w:rPr>
          <w:rFonts w:ascii="Arial" w:cs="Arial" w:eastAsia="Arial" w:hAnsi="Arial"/>
          <w:sz w:val="20"/>
          <w:szCs w:val="20"/>
          <w:color w:val="auto"/>
        </w:rPr>
        <w:t>, if the Employee is not entitled to any future benefit accruals in the Restoration Plan as of the Effective Date the Employee shall not be treated as a participant in the Restoration Plan for purposes of accruing benefits under the Restoration Plan.</w:t>
      </w:r>
    </w:p>
    <w:p>
      <w:pPr>
        <w:spacing w:after="0" w:line="249" w:lineRule="exact"/>
        <w:rPr>
          <w:sz w:val="20"/>
          <w:szCs w:val="20"/>
          <w:color w:val="auto"/>
        </w:rPr>
      </w:pPr>
    </w:p>
    <w:p>
      <w:pPr>
        <w:ind w:right="380" w:firstLine="648"/>
        <w:spacing w:after="0" w:line="260" w:lineRule="auto"/>
        <w:rPr>
          <w:sz w:val="20"/>
          <w:szCs w:val="20"/>
          <w:color w:val="auto"/>
        </w:rPr>
      </w:pPr>
      <w:r>
        <w:rPr>
          <w:rFonts w:ascii="Arial" w:cs="Arial" w:eastAsia="Arial" w:hAnsi="Arial"/>
          <w:sz w:val="20"/>
          <w:szCs w:val="20"/>
          <w:color w:val="auto"/>
        </w:rPr>
        <w:t>In no event shall coverage during the Protection Period be on a basis less favorable in terms of benefit levels and coverage than the 2005 Pension Equalization Plan and the Restoration Plan.</w:t>
      </w:r>
    </w:p>
    <w:p>
      <w:pPr>
        <w:spacing w:after="0" w:line="225" w:lineRule="exact"/>
        <w:rPr>
          <w:sz w:val="20"/>
          <w:szCs w:val="20"/>
          <w:color w:val="auto"/>
        </w:rPr>
      </w:pPr>
    </w:p>
    <w:p>
      <w:pPr>
        <w:ind w:left="760" w:hanging="644"/>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20"/>
          <w:szCs w:val="20"/>
          <w:b w:val="1"/>
          <w:bCs w:val="1"/>
          <w:u w:val="single" w:color="auto"/>
          <w:color w:val="auto"/>
        </w:rPr>
        <w:t>OTHER BENEFITS</w:t>
      </w:r>
      <w:r>
        <w:rPr>
          <w:rFonts w:ascii="Arial" w:cs="Arial" w:eastAsia="Arial" w:hAnsi="Arial"/>
          <w:sz w:val="20"/>
          <w:szCs w:val="20"/>
          <w:b w:val="1"/>
          <w:bCs w:val="1"/>
          <w:color w:val="auto"/>
        </w:rPr>
        <w:t>.</w:t>
      </w:r>
    </w:p>
    <w:p>
      <w:pPr>
        <w:spacing w:after="0" w:line="221" w:lineRule="exact"/>
        <w:rPr>
          <w:rFonts w:ascii="Arial" w:cs="Arial" w:eastAsia="Arial" w:hAnsi="Arial"/>
          <w:sz w:val="18"/>
          <w:szCs w:val="18"/>
          <w:color w:val="auto"/>
        </w:rPr>
      </w:pPr>
    </w:p>
    <w:p>
      <w:pPr>
        <w:ind w:left="760" w:right="100" w:firstLine="4"/>
        <w:spacing w:after="0" w:line="263" w:lineRule="auto"/>
        <w:tabs>
          <w:tab w:leader="none" w:pos="1500" w:val="left"/>
        </w:tabs>
        <w:numPr>
          <w:ilvl w:val="2"/>
          <w:numId w:val="168"/>
        </w:numPr>
        <w:rPr>
          <w:rFonts w:ascii="Arial" w:cs="Arial" w:eastAsia="Arial" w:hAnsi="Arial"/>
          <w:sz w:val="16"/>
          <w:szCs w:val="16"/>
          <w:color w:val="auto"/>
        </w:rPr>
      </w:pPr>
      <w:r>
        <w:rPr>
          <w:rFonts w:ascii="Arial" w:cs="Arial" w:eastAsia="Arial" w:hAnsi="Arial"/>
          <w:sz w:val="18"/>
          <w:szCs w:val="18"/>
          <w:u w:val="single" w:color="auto"/>
          <w:color w:val="auto"/>
        </w:rPr>
        <w:t>Executive and Fringe Benefits and Paid-Time-Off</w:t>
      </w:r>
      <w:r>
        <w:rPr>
          <w:rFonts w:ascii="Arial" w:cs="Arial" w:eastAsia="Arial" w:hAnsi="Arial"/>
          <w:sz w:val="18"/>
          <w:szCs w:val="18"/>
          <w:color w:val="auto"/>
        </w:rPr>
        <w:t>. During the Protection Period, Employee shall be entitled to all executive and fringe benefits and paid-time-off generally made available by the Company or Successor Employer, as applicable, to its executives or other employees. Unless otherwise provided herein, the executive and fringe benefits and paid-time-off provided to Employee shall be on the same basis and terms as other similarly situated employees of the Company, but in no event shall be less favorable in the aggregate than the most favorable executive and fringe benefits or paid-time-off to Employee at any time within one year period preceding the Effective Date, or if more favorable, at any time thereafter.</w:t>
      </w:r>
    </w:p>
    <w:p>
      <w:pPr>
        <w:spacing w:after="0" w:line="165" w:lineRule="exact"/>
        <w:rPr>
          <w:rFonts w:ascii="Arial" w:cs="Arial" w:eastAsia="Arial" w:hAnsi="Arial"/>
          <w:sz w:val="16"/>
          <w:szCs w:val="16"/>
          <w:color w:val="auto"/>
        </w:rPr>
      </w:pPr>
    </w:p>
    <w:p>
      <w:pPr>
        <w:ind w:left="740" w:right="120" w:hanging="3"/>
        <w:spacing w:after="0" w:line="241" w:lineRule="auto"/>
        <w:tabs>
          <w:tab w:leader="none" w:pos="1503" w:val="left"/>
        </w:tabs>
        <w:numPr>
          <w:ilvl w:val="1"/>
          <w:numId w:val="168"/>
        </w:numPr>
        <w:rPr>
          <w:rFonts w:ascii="Arial" w:cs="Arial" w:eastAsia="Arial" w:hAnsi="Arial"/>
          <w:sz w:val="18"/>
          <w:szCs w:val="18"/>
          <w:color w:val="auto"/>
        </w:rPr>
      </w:pPr>
      <w:r>
        <w:rPr>
          <w:rFonts w:ascii="Arial" w:cs="Arial" w:eastAsia="Arial" w:hAnsi="Arial"/>
          <w:sz w:val="20"/>
          <w:szCs w:val="20"/>
          <w:u w:val="single" w:color="auto"/>
          <w:color w:val="auto"/>
        </w:rPr>
        <w:t>Expenses</w:t>
      </w:r>
      <w:r>
        <w:rPr>
          <w:rFonts w:ascii="Arial" w:cs="Arial" w:eastAsia="Arial" w:hAnsi="Arial"/>
          <w:sz w:val="20"/>
          <w:szCs w:val="20"/>
          <w:color w:val="auto"/>
        </w:rPr>
        <w:t xml:space="preserve">. Employee shall be entitled to receive prompt reimbursement of all expenses reasonably incurred by Employee in connection with the performance of Employee’s duties hereunder or for promoting, pursuing or otherwise furthering the business or interests of the Company or Successor Employer. All reimbursements under this </w:t>
      </w:r>
      <w:r>
        <w:rPr>
          <w:rFonts w:ascii="Arial" w:cs="Arial" w:eastAsia="Arial" w:hAnsi="Arial"/>
          <w:sz w:val="20"/>
          <w:szCs w:val="20"/>
          <w:u w:val="single" w:color="auto"/>
          <w:color w:val="auto"/>
        </w:rPr>
        <w:t>Section 8(b)</w:t>
      </w:r>
      <w:r>
        <w:rPr>
          <w:rFonts w:ascii="Arial" w:cs="Arial" w:eastAsia="Arial" w:hAnsi="Arial"/>
          <w:sz w:val="20"/>
          <w:szCs w:val="20"/>
          <w:color w:val="auto"/>
        </w:rPr>
        <w:t xml:space="preserve"> will be paid as promptly as administratively practicable, but in no event later than by December 31</w:t>
      </w:r>
      <w:r>
        <w:rPr>
          <w:rFonts w:ascii="Arial" w:cs="Arial" w:eastAsia="Arial" w:hAnsi="Arial"/>
          <w:sz w:val="12"/>
          <w:szCs w:val="12"/>
          <w:color w:val="auto"/>
        </w:rPr>
        <w:t>st</w:t>
      </w:r>
      <w:r>
        <w:rPr>
          <w:rFonts w:ascii="Arial" w:cs="Arial" w:eastAsia="Arial" w:hAnsi="Arial"/>
          <w:sz w:val="20"/>
          <w:szCs w:val="20"/>
          <w:color w:val="auto"/>
        </w:rPr>
        <w:t xml:space="preserve"> of the year next following the calendar year in which the expense was incurred.</w:t>
      </w:r>
    </w:p>
    <w:p>
      <w:pPr>
        <w:sectPr>
          <w:pgSz w:w="11900" w:h="16838" w:orient="portrait"/>
          <w:cols w:equalWidth="0" w:num="1">
            <w:col w:w="11400"/>
          </w:cols>
          <w:pgMar w:left="240" w:top="609" w:right="259" w:bottom="1440" w:gutter="0" w:footer="0" w:header="0"/>
        </w:sectPr>
      </w:pPr>
    </w:p>
    <w:bookmarkStart w:id="186" w:name="page187"/>
    <w:bookmarkEnd w:id="186"/>
    <w:p>
      <w:pPr>
        <w:ind w:left="1211" w:right="20" w:hanging="576"/>
        <w:spacing w:after="0" w:line="272" w:lineRule="auto"/>
        <w:tabs>
          <w:tab w:leader="none" w:pos="1211" w:val="left"/>
        </w:tabs>
        <w:numPr>
          <w:ilvl w:val="1"/>
          <w:numId w:val="169"/>
        </w:numPr>
        <w:rPr>
          <w:rFonts w:ascii="Arial" w:cs="Arial" w:eastAsia="Arial" w:hAnsi="Arial"/>
          <w:sz w:val="16"/>
          <w:szCs w:val="16"/>
          <w:color w:val="auto"/>
        </w:rPr>
      </w:pPr>
      <w:r>
        <w:rPr>
          <w:rFonts w:ascii="Arial" w:cs="Arial" w:eastAsia="Arial" w:hAnsi="Arial"/>
          <w:sz w:val="18"/>
          <w:szCs w:val="18"/>
          <w:u w:val="single" w:color="auto"/>
          <w:color w:val="auto"/>
        </w:rPr>
        <w:t>Indemnity</w:t>
      </w:r>
      <w:r>
        <w:rPr>
          <w:rFonts w:ascii="Arial" w:cs="Arial" w:eastAsia="Arial" w:hAnsi="Arial"/>
          <w:sz w:val="18"/>
          <w:szCs w:val="18"/>
          <w:color w:val="auto"/>
        </w:rPr>
        <w:t xml:space="preserve">. If, at the time of a Change in Control, the Employee was covered by an Indemnity Agreement and/or Directors’ and Officers’ Insurance (D &amp; O) coverage, then the Indemnity Agreement and D &amp; O coverage shall continue in full force and effect throughout the Protection Period, and beyond the Protection Period, with respect to claims arising out of acts or omissions of the Employee prior to a Change in Control. If, following a Change in Control, Company or the Successor Employer adopts substitute Indemnity Agreements, and/or D &amp; O coverage, for employees having substantially the same authority, duties, and responsibilities as Employee, then Employee shall be entitled to receive the benefit of such protection with respect to claims arising from acts or omissions of Employee following a Change in Control. Payment for expenses to be reimbursed under this </w:t>
      </w:r>
      <w:r>
        <w:rPr>
          <w:rFonts w:ascii="Arial" w:cs="Arial" w:eastAsia="Arial" w:hAnsi="Arial"/>
          <w:sz w:val="18"/>
          <w:szCs w:val="18"/>
          <w:u w:val="single" w:color="auto"/>
          <w:color w:val="auto"/>
        </w:rPr>
        <w:t>Section 8(c)</w:t>
      </w:r>
      <w:r>
        <w:rPr>
          <w:rFonts w:ascii="Arial" w:cs="Arial" w:eastAsia="Arial" w:hAnsi="Arial"/>
          <w:sz w:val="18"/>
          <w:szCs w:val="18"/>
          <w:color w:val="auto"/>
        </w:rPr>
        <w:t xml:space="preserve"> shall be made in accordance with the time specified under the Indemnity Agreement or D &amp; O coverage, but in no event later than by December 31</w:t>
      </w:r>
      <w:r>
        <w:rPr>
          <w:rFonts w:ascii="Arial" w:cs="Arial" w:eastAsia="Arial" w:hAnsi="Arial"/>
          <w:sz w:val="11"/>
          <w:szCs w:val="11"/>
          <w:color w:val="auto"/>
        </w:rPr>
        <w:t>st</w:t>
      </w:r>
      <w:r>
        <w:rPr>
          <w:rFonts w:ascii="Arial" w:cs="Arial" w:eastAsia="Arial" w:hAnsi="Arial"/>
          <w:sz w:val="18"/>
          <w:szCs w:val="18"/>
          <w:color w:val="auto"/>
        </w:rPr>
        <w:t xml:space="preserve"> of the year next following the year in which the expense was incurred.</w:t>
      </w:r>
    </w:p>
    <w:p>
      <w:pPr>
        <w:spacing w:after="0" w:line="192" w:lineRule="exact"/>
        <w:rPr>
          <w:rFonts w:ascii="Arial" w:cs="Arial" w:eastAsia="Arial" w:hAnsi="Arial"/>
          <w:sz w:val="16"/>
          <w:szCs w:val="16"/>
          <w:color w:val="auto"/>
        </w:rPr>
      </w:pPr>
    </w:p>
    <w:p>
      <w:pPr>
        <w:ind w:left="651" w:hanging="651"/>
        <w:spacing w:after="0"/>
        <w:tabs>
          <w:tab w:leader="none" w:pos="651" w:val="left"/>
        </w:tabs>
        <w:numPr>
          <w:ilvl w:val="0"/>
          <w:numId w:val="170"/>
        </w:numPr>
        <w:rPr>
          <w:rFonts w:ascii="Arial" w:cs="Arial" w:eastAsia="Arial" w:hAnsi="Arial"/>
          <w:sz w:val="18"/>
          <w:szCs w:val="18"/>
          <w:color w:val="auto"/>
        </w:rPr>
      </w:pPr>
      <w:r>
        <w:rPr>
          <w:rFonts w:ascii="Arial" w:cs="Arial" w:eastAsia="Arial" w:hAnsi="Arial"/>
          <w:sz w:val="20"/>
          <w:szCs w:val="20"/>
          <w:b w:val="1"/>
          <w:bCs w:val="1"/>
          <w:u w:val="single" w:color="auto"/>
          <w:color w:val="auto"/>
        </w:rPr>
        <w:t>TERMINATION</w:t>
      </w:r>
      <w:r>
        <w:rPr>
          <w:rFonts w:ascii="Arial" w:cs="Arial" w:eastAsia="Arial" w:hAnsi="Arial"/>
          <w:sz w:val="20"/>
          <w:szCs w:val="20"/>
          <w:b w:val="1"/>
          <w:bCs w:val="1"/>
          <w:color w:val="auto"/>
        </w:rPr>
        <w:t>.</w:t>
      </w:r>
    </w:p>
    <w:p>
      <w:pPr>
        <w:spacing w:after="0" w:line="275" w:lineRule="exact"/>
        <w:rPr>
          <w:rFonts w:ascii="Arial" w:cs="Arial" w:eastAsia="Arial" w:hAnsi="Arial"/>
          <w:sz w:val="18"/>
          <w:szCs w:val="18"/>
          <w:color w:val="auto"/>
        </w:rPr>
      </w:pPr>
    </w:p>
    <w:p>
      <w:pPr>
        <w:ind w:left="651"/>
        <w:spacing w:after="0"/>
        <w:rPr>
          <w:rFonts w:ascii="Arial" w:cs="Arial" w:eastAsia="Arial" w:hAnsi="Arial"/>
          <w:sz w:val="18"/>
          <w:szCs w:val="18"/>
          <w:color w:val="auto"/>
        </w:rPr>
      </w:pPr>
      <w:r>
        <w:rPr>
          <w:rFonts w:ascii="Arial" w:cs="Arial" w:eastAsia="Arial" w:hAnsi="Arial"/>
          <w:sz w:val="20"/>
          <w:szCs w:val="20"/>
          <w:color w:val="auto"/>
        </w:rPr>
        <w:t>During the Protection Period, Employee’s employment hereunder may be terminated under the following circumstances:</w:t>
      </w:r>
    </w:p>
    <w:p>
      <w:pPr>
        <w:spacing w:after="0" w:line="215" w:lineRule="exact"/>
        <w:rPr>
          <w:rFonts w:ascii="Arial" w:cs="Arial" w:eastAsia="Arial" w:hAnsi="Arial"/>
          <w:sz w:val="18"/>
          <w:szCs w:val="18"/>
          <w:color w:val="auto"/>
        </w:rPr>
      </w:pPr>
    </w:p>
    <w:p>
      <w:pPr>
        <w:ind w:left="651" w:hanging="3"/>
        <w:spacing w:after="0" w:line="256" w:lineRule="auto"/>
        <w:tabs>
          <w:tab w:leader="none" w:pos="1404" w:val="left"/>
        </w:tabs>
        <w:numPr>
          <w:ilvl w:val="2"/>
          <w:numId w:val="170"/>
        </w:numPr>
        <w:rPr>
          <w:rFonts w:ascii="Arial" w:cs="Arial" w:eastAsia="Arial" w:hAnsi="Arial"/>
          <w:sz w:val="16"/>
          <w:szCs w:val="16"/>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The Company may terminate Employee’s employment for “Cause.” A termination of employment is for “Cause” if Employee (1) enters a guilty plea, pleads </w:t>
      </w:r>
      <w:r>
        <w:rPr>
          <w:rFonts w:ascii="Arial" w:cs="Arial" w:eastAsia="Arial" w:hAnsi="Arial"/>
          <w:sz w:val="18"/>
          <w:szCs w:val="18"/>
          <w:i w:val="1"/>
          <w:iCs w:val="1"/>
          <w:color w:val="auto"/>
        </w:rPr>
        <w:t>nolo contendre</w:t>
      </w:r>
      <w:r>
        <w:rPr>
          <w:rFonts w:ascii="Arial" w:cs="Arial" w:eastAsia="Arial" w:hAnsi="Arial"/>
          <w:sz w:val="18"/>
          <w:szCs w:val="18"/>
          <w:color w:val="auto"/>
        </w:rPr>
        <w:t xml:space="preserve"> to, or is convicted of a felony offense that is demonstrably injurious to the Company; (2) engages in misconduct which is demonstrably injurious to the Company, monetarily or otherwise; (3) fails to perform Employee’s material duties and responsibilities or to satisfy Employee’s material obligations as an officer or employee of the Company, or other material breach of any terms or conditions of any material written policy of the Company or any written agreement between Employee and the Company, or (4) fails, after reasonable request, to cooperate with the Company or governmental authorities in connection with a civil or criminal regulatory investigation or proceeding, or other civil litigation involving the company; provided, however, that no termination of Employee’s employment shall be for Cause as set forth in clauses (2), (3) or (4), unless (i) there shall have been delivered to Employee a copy of a written Notice of Termination, at least thirty (30) days in advance of the Termination Date, setting forth that Employee was guilty of the conduct set forth in such applicable clause and specifying the particulars thereof in detail; and (ii) Employee shall have been provided an opportunity to be heard by the Board (with the assistance of Employee’s counsel if Employee so desires). Notwithstanding anything contained in this Agreement to the contrary, no failure to perform by Employee after a Notice of Termination is given to the Employee shall constitute Cause for purposes of this Agreement.</w:t>
      </w:r>
    </w:p>
    <w:p>
      <w:pPr>
        <w:spacing w:after="0" w:line="168" w:lineRule="exact"/>
        <w:rPr>
          <w:rFonts w:ascii="Arial" w:cs="Arial" w:eastAsia="Arial" w:hAnsi="Arial"/>
          <w:sz w:val="16"/>
          <w:szCs w:val="16"/>
          <w:color w:val="auto"/>
        </w:rPr>
      </w:pPr>
    </w:p>
    <w:p>
      <w:pPr>
        <w:ind w:left="651" w:hanging="3"/>
        <w:spacing w:after="0" w:line="245" w:lineRule="auto"/>
        <w:tabs>
          <w:tab w:leader="none" w:pos="1414" w:val="left"/>
        </w:tabs>
        <w:numPr>
          <w:ilvl w:val="2"/>
          <w:numId w:val="170"/>
        </w:numPr>
        <w:rPr>
          <w:rFonts w:ascii="Arial" w:cs="Arial" w:eastAsia="Arial" w:hAnsi="Arial"/>
          <w:sz w:val="17"/>
          <w:szCs w:val="17"/>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Employee’s employment after the Employee’s Disability Date. Employee shall be entitled to the compensation and benefits provided for under this Agreement for any period during the Protection Period and prior to the Employee’s Disability Date, during which Employee is unable to work due to a physical or mental infirmity, and up to the Employee’s Disability Date. Notwithstanding anything contained in this Agreement to the contrary, and subject to applicable law and the provisions of the Company’s long-term disability policy, until the Termination Date specified in a Notice of Termination relating to Employee’s Disability, Employee shall be entitled to return to Employee’s position with the Company as set forth in this Agreement, in which event no Disability Date will be deemed to have occurred.</w:t>
      </w:r>
    </w:p>
    <w:p>
      <w:pPr>
        <w:spacing w:after="0" w:line="180" w:lineRule="exact"/>
        <w:rPr>
          <w:rFonts w:ascii="Arial" w:cs="Arial" w:eastAsia="Arial" w:hAnsi="Arial"/>
          <w:sz w:val="17"/>
          <w:szCs w:val="17"/>
          <w:color w:val="auto"/>
        </w:rPr>
      </w:pPr>
    </w:p>
    <w:p>
      <w:pPr>
        <w:ind w:left="651" w:right="40" w:hanging="3"/>
        <w:spacing w:after="0" w:line="243" w:lineRule="auto"/>
        <w:tabs>
          <w:tab w:leader="none" w:pos="1404" w:val="left"/>
        </w:tabs>
        <w:numPr>
          <w:ilvl w:val="2"/>
          <w:numId w:val="170"/>
        </w:numPr>
        <w:rPr>
          <w:rFonts w:ascii="Arial" w:cs="Arial" w:eastAsia="Arial" w:hAnsi="Arial"/>
          <w:sz w:val="18"/>
          <w:szCs w:val="18"/>
          <w:color w:val="auto"/>
        </w:rPr>
      </w:pPr>
      <w:r>
        <w:rPr>
          <w:rFonts w:ascii="Arial" w:cs="Arial" w:eastAsia="Arial" w:hAnsi="Arial"/>
          <w:sz w:val="20"/>
          <w:szCs w:val="20"/>
          <w:u w:val="single" w:color="auto"/>
          <w:color w:val="auto"/>
        </w:rPr>
        <w:t>Good Reason</w:t>
      </w:r>
      <w:r>
        <w:rPr>
          <w:rFonts w:ascii="Arial" w:cs="Arial" w:eastAsia="Arial" w:hAnsi="Arial"/>
          <w:sz w:val="20"/>
          <w:szCs w:val="20"/>
          <w:color w:val="auto"/>
        </w:rPr>
        <w:t>. During the Protection Period, the Employee may terminate employment for “Good Reason.” For purposes of this Agreement, “Good Reason” shall mean the occurrence after the Effective Date of any of the events or conditions described below, without Employee’s consent.</w:t>
      </w:r>
    </w:p>
    <w:p>
      <w:pPr>
        <w:spacing w:after="0" w:line="179" w:lineRule="exact"/>
        <w:rPr>
          <w:rFonts w:ascii="Arial" w:cs="Arial" w:eastAsia="Arial" w:hAnsi="Arial"/>
          <w:sz w:val="18"/>
          <w:szCs w:val="18"/>
          <w:color w:val="auto"/>
        </w:rPr>
      </w:pPr>
    </w:p>
    <w:p>
      <w:pPr>
        <w:ind w:left="1271" w:right="60" w:hanging="1"/>
        <w:spacing w:after="0" w:line="260" w:lineRule="auto"/>
        <w:tabs>
          <w:tab w:leader="none" w:pos="2035" w:val="left"/>
        </w:tabs>
        <w:numPr>
          <w:ilvl w:val="3"/>
          <w:numId w:val="170"/>
        </w:numPr>
        <w:rPr>
          <w:rFonts w:ascii="Arial" w:cs="Arial" w:eastAsia="Arial" w:hAnsi="Arial"/>
          <w:sz w:val="18"/>
          <w:szCs w:val="18"/>
          <w:color w:val="auto"/>
        </w:rPr>
      </w:pPr>
      <w:r>
        <w:rPr>
          <w:rFonts w:ascii="Arial" w:cs="Arial" w:eastAsia="Arial" w:hAnsi="Arial"/>
          <w:sz w:val="20"/>
          <w:szCs w:val="20"/>
          <w:color w:val="auto"/>
        </w:rPr>
        <w:t>A material reduction of the Employee’s authority, duties, or responsibilities from those in effect immediately prior to the Effective Date;</w:t>
      </w:r>
    </w:p>
    <w:p>
      <w:pPr>
        <w:spacing w:after="0" w:line="163" w:lineRule="exact"/>
        <w:rPr>
          <w:rFonts w:ascii="Arial" w:cs="Arial" w:eastAsia="Arial" w:hAnsi="Arial"/>
          <w:sz w:val="18"/>
          <w:szCs w:val="18"/>
          <w:color w:val="auto"/>
        </w:rPr>
      </w:pPr>
    </w:p>
    <w:p>
      <w:pPr>
        <w:ind w:left="2091" w:hanging="821"/>
        <w:spacing w:after="0"/>
        <w:tabs>
          <w:tab w:leader="none" w:pos="2091" w:val="left"/>
        </w:tabs>
        <w:numPr>
          <w:ilvl w:val="3"/>
          <w:numId w:val="170"/>
        </w:numPr>
        <w:rPr>
          <w:rFonts w:ascii="Arial" w:cs="Arial" w:eastAsia="Arial" w:hAnsi="Arial"/>
          <w:sz w:val="18"/>
          <w:szCs w:val="18"/>
          <w:color w:val="auto"/>
        </w:rPr>
      </w:pPr>
      <w:r>
        <w:rPr>
          <w:rFonts w:ascii="Arial" w:cs="Arial" w:eastAsia="Arial" w:hAnsi="Arial"/>
          <w:sz w:val="20"/>
          <w:szCs w:val="20"/>
          <w:color w:val="auto"/>
        </w:rPr>
        <w:t>A material reduction in the Employee’s base salary or annual incentive target</w:t>
      </w:r>
    </w:p>
    <w:p>
      <w:pPr>
        <w:sectPr>
          <w:pgSz w:w="11900" w:h="16838" w:orient="portrait"/>
          <w:cols w:equalWidth="0" w:num="1">
            <w:col w:w="11331"/>
          </w:cols>
          <w:pgMar w:left="329" w:top="771" w:right="239" w:bottom="1440" w:gutter="0" w:footer="0" w:header="0"/>
        </w:sectPr>
      </w:pPr>
    </w:p>
    <w:bookmarkStart w:id="187" w:name="page188"/>
    <w:bookmarkEnd w:id="187"/>
    <w:p>
      <w:pPr>
        <w:ind w:left="1352"/>
        <w:spacing w:after="0"/>
        <w:rPr>
          <w:sz w:val="20"/>
          <w:szCs w:val="20"/>
          <w:color w:val="auto"/>
        </w:rPr>
      </w:pPr>
      <w:r>
        <w:rPr>
          <w:rFonts w:ascii="Arial" w:cs="Arial" w:eastAsia="Arial" w:hAnsi="Arial"/>
          <w:sz w:val="20"/>
          <w:szCs w:val="20"/>
          <w:color w:val="auto"/>
        </w:rPr>
        <w:t>opportunity;</w:t>
      </w:r>
    </w:p>
    <w:p>
      <w:pPr>
        <w:spacing w:after="0" w:line="202" w:lineRule="exact"/>
        <w:rPr>
          <w:sz w:val="20"/>
          <w:szCs w:val="20"/>
          <w:color w:val="auto"/>
        </w:rPr>
      </w:pPr>
    </w:p>
    <w:p>
      <w:pPr>
        <w:ind w:left="1372" w:right="20" w:hanging="8"/>
        <w:spacing w:after="0" w:line="334" w:lineRule="auto"/>
        <w:tabs>
          <w:tab w:leader="none" w:pos="2209" w:val="left"/>
        </w:tabs>
        <w:numPr>
          <w:ilvl w:val="0"/>
          <w:numId w:val="171"/>
        </w:numPr>
        <w:rPr>
          <w:rFonts w:ascii="Arial" w:cs="Arial" w:eastAsia="Arial" w:hAnsi="Arial"/>
          <w:sz w:val="15"/>
          <w:szCs w:val="15"/>
          <w:color w:val="auto"/>
        </w:rPr>
      </w:pPr>
      <w:r>
        <w:rPr>
          <w:rFonts w:ascii="Arial" w:cs="Arial" w:eastAsia="Arial" w:hAnsi="Arial"/>
          <w:sz w:val="16"/>
          <w:szCs w:val="16"/>
          <w:color w:val="auto"/>
        </w:rPr>
        <w:t xml:space="preserve">Any material breach by the Company of any provision of this Agreement, including, but not limited to, the Company’s failure to provide the Employee Welfare and Pension Benefits or the Pension Equalization Plan or Restoration Plan benefits, as set forth in </w:t>
      </w:r>
      <w:r>
        <w:rPr>
          <w:rFonts w:ascii="Arial" w:cs="Arial" w:eastAsia="Arial" w:hAnsi="Arial"/>
          <w:sz w:val="16"/>
          <w:szCs w:val="16"/>
          <w:u w:val="single" w:color="auto"/>
          <w:color w:val="auto"/>
        </w:rPr>
        <w:t>Sections 6 and 7</w:t>
      </w:r>
      <w:r>
        <w:rPr>
          <w:rFonts w:ascii="Arial" w:cs="Arial" w:eastAsia="Arial" w:hAnsi="Arial"/>
          <w:sz w:val="16"/>
          <w:szCs w:val="16"/>
          <w:color w:val="auto"/>
        </w:rPr>
        <w:t xml:space="preserve">, provided that such failure constitutes a material breach under </w:t>
      </w:r>
      <w:r>
        <w:rPr>
          <w:rFonts w:ascii="Arial" w:cs="Arial" w:eastAsia="Arial" w:hAnsi="Arial"/>
          <w:sz w:val="16"/>
          <w:szCs w:val="16"/>
          <w:u w:val="single" w:color="auto"/>
          <w:color w:val="auto"/>
        </w:rPr>
        <w:t>subsection 9(c)(v)</w:t>
      </w:r>
      <w:r>
        <w:rPr>
          <w:rFonts w:ascii="Arial" w:cs="Arial" w:eastAsia="Arial" w:hAnsi="Arial"/>
          <w:sz w:val="16"/>
          <w:szCs w:val="16"/>
          <w:color w:val="auto"/>
        </w:rPr>
        <w:t>;</w:t>
      </w:r>
    </w:p>
    <w:p>
      <w:pPr>
        <w:spacing w:after="0" w:line="109" w:lineRule="exact"/>
        <w:rPr>
          <w:rFonts w:ascii="Arial" w:cs="Arial" w:eastAsia="Arial" w:hAnsi="Arial"/>
          <w:sz w:val="15"/>
          <w:szCs w:val="15"/>
          <w:color w:val="auto"/>
        </w:rPr>
      </w:pPr>
    </w:p>
    <w:p>
      <w:pPr>
        <w:ind w:left="1372" w:right="320" w:hanging="8"/>
        <w:spacing w:after="0" w:line="243" w:lineRule="auto"/>
        <w:tabs>
          <w:tab w:leader="none" w:pos="2199" w:val="left"/>
        </w:tabs>
        <w:numPr>
          <w:ilvl w:val="0"/>
          <w:numId w:val="171"/>
        </w:numPr>
        <w:rPr>
          <w:rFonts w:ascii="Arial" w:cs="Arial" w:eastAsia="Arial" w:hAnsi="Arial"/>
          <w:sz w:val="18"/>
          <w:szCs w:val="18"/>
          <w:color w:val="auto"/>
        </w:rPr>
      </w:pPr>
      <w:r>
        <w:rPr>
          <w:rFonts w:ascii="Arial" w:cs="Arial" w:eastAsia="Arial" w:hAnsi="Arial"/>
          <w:sz w:val="20"/>
          <w:szCs w:val="20"/>
          <w:color w:val="auto"/>
        </w:rPr>
        <w:t>The Company’s requiring the Employee to be based outside a 50-mile radius from Employee’s usual and normal place of work prior to the Effective Date, except for reasonably required travel on the Company’s business which is not substantially greater than such travel requirements prior to the Effective Date; or</w:t>
      </w:r>
    </w:p>
    <w:p>
      <w:pPr>
        <w:spacing w:after="0" w:line="179" w:lineRule="exact"/>
        <w:rPr>
          <w:rFonts w:ascii="Arial" w:cs="Arial" w:eastAsia="Arial" w:hAnsi="Arial"/>
          <w:sz w:val="18"/>
          <w:szCs w:val="18"/>
          <w:color w:val="auto"/>
        </w:rPr>
      </w:pPr>
    </w:p>
    <w:p>
      <w:pPr>
        <w:ind w:left="1372" w:right="40" w:hanging="8"/>
        <w:spacing w:after="0" w:line="235" w:lineRule="auto"/>
        <w:tabs>
          <w:tab w:leader="none" w:pos="2149" w:val="left"/>
        </w:tabs>
        <w:numPr>
          <w:ilvl w:val="0"/>
          <w:numId w:val="171"/>
        </w:numPr>
        <w:rPr>
          <w:rFonts w:ascii="Arial" w:cs="Arial" w:eastAsia="Arial" w:hAnsi="Arial"/>
          <w:sz w:val="18"/>
          <w:szCs w:val="18"/>
          <w:color w:val="auto"/>
        </w:rPr>
      </w:pPr>
      <w:r>
        <w:rPr>
          <w:rFonts w:ascii="Arial" w:cs="Arial" w:eastAsia="Arial" w:hAnsi="Arial"/>
          <w:sz w:val="20"/>
          <w:szCs w:val="20"/>
          <w:color w:val="auto"/>
        </w:rPr>
        <w:t xml:space="preserve">Any other action or inaction that constitutes a material breach by the Company of the agreements under which the Employee provides services including, but not limited to, the failure of the Company to obtain an agreement, satisfactory to the Employee, from any Successor Employer or assign of the Company, to assume and agree to perform this Agreement in the same manner and to the same extent that the Company would be obligated to perform under this Agreement, as contemplated in </w:t>
      </w:r>
      <w:r>
        <w:rPr>
          <w:rFonts w:ascii="Arial" w:cs="Arial" w:eastAsia="Arial" w:hAnsi="Arial"/>
          <w:sz w:val="20"/>
          <w:szCs w:val="20"/>
          <w:u w:val="single" w:color="auto"/>
          <w:color w:val="auto"/>
        </w:rPr>
        <w:t>Section 14</w:t>
      </w:r>
      <w:r>
        <w:rPr>
          <w:rFonts w:ascii="Arial" w:cs="Arial" w:eastAsia="Arial" w:hAnsi="Arial"/>
          <w:sz w:val="20"/>
          <w:szCs w:val="20"/>
          <w:color w:val="auto"/>
        </w:rPr>
        <w:t>.</w:t>
      </w:r>
    </w:p>
    <w:p>
      <w:pPr>
        <w:spacing w:after="0" w:line="238" w:lineRule="exact"/>
        <w:rPr>
          <w:sz w:val="20"/>
          <w:szCs w:val="20"/>
          <w:color w:val="auto"/>
        </w:rPr>
      </w:pPr>
    </w:p>
    <w:p>
      <w:pPr>
        <w:jc w:val="both"/>
        <w:ind w:left="712" w:firstLine="648"/>
        <w:spacing w:after="0" w:line="291" w:lineRule="auto"/>
        <w:rPr>
          <w:sz w:val="20"/>
          <w:szCs w:val="20"/>
          <w:color w:val="auto"/>
        </w:rPr>
      </w:pPr>
      <w:r>
        <w:rPr>
          <w:rFonts w:ascii="Arial" w:cs="Arial" w:eastAsia="Arial" w:hAnsi="Arial"/>
          <w:sz w:val="18"/>
          <w:szCs w:val="18"/>
          <w:color w:val="auto"/>
        </w:rPr>
        <w:t xml:space="preserve">In order to effectuate a termination for Good Reason under this </w:t>
      </w:r>
      <w:r>
        <w:rPr>
          <w:rFonts w:ascii="Arial" w:cs="Arial" w:eastAsia="Arial" w:hAnsi="Arial"/>
          <w:sz w:val="18"/>
          <w:szCs w:val="18"/>
          <w:u w:val="single" w:color="auto"/>
          <w:color w:val="auto"/>
        </w:rPr>
        <w:t>Section 9(c)</w:t>
      </w:r>
      <w:r>
        <w:rPr>
          <w:rFonts w:ascii="Arial" w:cs="Arial" w:eastAsia="Arial" w:hAnsi="Arial"/>
          <w:sz w:val="18"/>
          <w:szCs w:val="18"/>
          <w:color w:val="auto"/>
        </w:rPr>
        <w:t>, the Employee shall, within ninety (90) days after the initial existence of the condition, deliver written Notice of Termination to the Company stating the grounds for Good Reason in support of termination and specifying the Termination Date, which shall be (A) not earlier than thirty (30) days after giving the</w:t>
      </w:r>
    </w:p>
    <w:p>
      <w:pPr>
        <w:spacing w:after="0" w:line="206" w:lineRule="exact"/>
        <w:rPr>
          <w:sz w:val="20"/>
          <w:szCs w:val="20"/>
          <w:color w:val="auto"/>
        </w:rPr>
      </w:pPr>
    </w:p>
    <w:p>
      <w:pPr>
        <w:ind w:left="652" w:right="20"/>
        <w:spacing w:after="0" w:line="260" w:lineRule="auto"/>
        <w:rPr>
          <w:sz w:val="20"/>
          <w:szCs w:val="20"/>
          <w:color w:val="auto"/>
        </w:rPr>
      </w:pPr>
      <w:r>
        <w:rPr>
          <w:rFonts w:ascii="Arial" w:cs="Arial" w:eastAsia="Arial" w:hAnsi="Arial"/>
          <w:sz w:val="20"/>
          <w:szCs w:val="20"/>
          <w:color w:val="auto"/>
        </w:rPr>
        <w:t>Notice of Termination, and (B) not later than one hundred eighty (180) days after giving the Notice of Termination or the last day of the Protection Period.</w:t>
      </w:r>
    </w:p>
    <w:p>
      <w:pPr>
        <w:spacing w:after="0" w:line="177" w:lineRule="exact"/>
        <w:rPr>
          <w:sz w:val="20"/>
          <w:szCs w:val="20"/>
          <w:color w:val="auto"/>
        </w:rPr>
      </w:pPr>
    </w:p>
    <w:p>
      <w:pPr>
        <w:jc w:val="both"/>
        <w:ind w:left="712" w:firstLine="648"/>
        <w:spacing w:after="0" w:line="246" w:lineRule="auto"/>
        <w:rPr>
          <w:sz w:val="20"/>
          <w:szCs w:val="20"/>
          <w:color w:val="auto"/>
        </w:rPr>
      </w:pPr>
      <w:r>
        <w:rPr>
          <w:rFonts w:ascii="Arial" w:cs="Arial" w:eastAsia="Arial" w:hAnsi="Arial"/>
          <w:sz w:val="20"/>
          <w:szCs w:val="20"/>
          <w:color w:val="auto"/>
        </w:rPr>
        <w:t xml:space="preserve">The Company may, within thirty (30) days after receipt of such Notice of Termination, remedy the condition, in which case the Good Reason for termination shall be deemed not to have occurred. For purposes of determining the amount of any cash payment payable to the Employee in accordance with </w:t>
      </w:r>
      <w:r>
        <w:rPr>
          <w:rFonts w:ascii="Arial" w:cs="Arial" w:eastAsia="Arial" w:hAnsi="Arial"/>
          <w:sz w:val="20"/>
          <w:szCs w:val="20"/>
          <w:u w:val="single" w:color="auto"/>
          <w:color w:val="auto"/>
        </w:rPr>
        <w:t>Section 10</w:t>
      </w:r>
      <w:r>
        <w:rPr>
          <w:rFonts w:ascii="Arial" w:cs="Arial" w:eastAsia="Arial" w:hAnsi="Arial"/>
          <w:sz w:val="20"/>
          <w:szCs w:val="20"/>
          <w:color w:val="auto"/>
        </w:rPr>
        <w:t>, any reduction in compensation or benefit that would constitute Good Reason hereunder shall be deemed not to have occurred.</w:t>
      </w:r>
    </w:p>
    <w:p>
      <w:pPr>
        <w:spacing w:after="0" w:line="186" w:lineRule="exact"/>
        <w:rPr>
          <w:sz w:val="20"/>
          <w:szCs w:val="20"/>
          <w:color w:val="auto"/>
        </w:rPr>
      </w:pPr>
    </w:p>
    <w:p>
      <w:pPr>
        <w:ind w:left="652" w:hanging="652"/>
        <w:spacing w:after="0"/>
        <w:tabs>
          <w:tab w:leader="none" w:pos="652" w:val="left"/>
        </w:tabs>
        <w:numPr>
          <w:ilvl w:val="0"/>
          <w:numId w:val="172"/>
        </w:numPr>
        <w:rPr>
          <w:rFonts w:ascii="Arial" w:cs="Arial" w:eastAsia="Arial" w:hAnsi="Arial"/>
          <w:sz w:val="18"/>
          <w:szCs w:val="18"/>
          <w:color w:val="auto"/>
        </w:rPr>
      </w:pPr>
      <w:r>
        <w:rPr>
          <w:rFonts w:ascii="Arial" w:cs="Arial" w:eastAsia="Arial" w:hAnsi="Arial"/>
          <w:sz w:val="20"/>
          <w:szCs w:val="20"/>
          <w:b w:val="1"/>
          <w:bCs w:val="1"/>
          <w:u w:val="single" w:color="auto"/>
          <w:color w:val="auto"/>
        </w:rPr>
        <w:t>COMPENSATION UPON TERMINATION</w:t>
      </w:r>
      <w:r>
        <w:rPr>
          <w:rFonts w:ascii="Arial" w:cs="Arial" w:eastAsia="Arial" w:hAnsi="Arial"/>
          <w:sz w:val="20"/>
          <w:szCs w:val="20"/>
          <w:b w:val="1"/>
          <w:bCs w:val="1"/>
          <w:color w:val="auto"/>
        </w:rPr>
        <w:t>.</w:t>
      </w:r>
    </w:p>
    <w:p>
      <w:pPr>
        <w:spacing w:after="0" w:line="276" w:lineRule="exact"/>
        <w:rPr>
          <w:sz w:val="20"/>
          <w:szCs w:val="20"/>
          <w:color w:val="auto"/>
        </w:rPr>
      </w:pPr>
    </w:p>
    <w:p>
      <w:pPr>
        <w:ind w:left="72" w:right="500" w:firstLine="648"/>
        <w:spacing w:after="0" w:line="260" w:lineRule="auto"/>
        <w:rPr>
          <w:sz w:val="20"/>
          <w:szCs w:val="20"/>
          <w:color w:val="auto"/>
        </w:rPr>
      </w:pPr>
      <w:r>
        <w:rPr>
          <w:rFonts w:ascii="Arial" w:cs="Arial" w:eastAsia="Arial" w:hAnsi="Arial"/>
          <w:sz w:val="20"/>
          <w:szCs w:val="20"/>
          <w:color w:val="auto"/>
        </w:rPr>
        <w:t>Upon termination of Employee’s employment effective during the Protection Period, Employee shall be entitled to the following compensation and benefits:</w:t>
      </w:r>
    </w:p>
    <w:p>
      <w:pPr>
        <w:spacing w:after="0" w:line="177" w:lineRule="exact"/>
        <w:rPr>
          <w:sz w:val="20"/>
          <w:szCs w:val="20"/>
          <w:color w:val="auto"/>
        </w:rPr>
      </w:pPr>
    </w:p>
    <w:p>
      <w:pPr>
        <w:ind w:left="732" w:right="80" w:hanging="3"/>
        <w:spacing w:after="0" w:line="241" w:lineRule="auto"/>
        <w:tabs>
          <w:tab w:leader="none" w:pos="1485" w:val="left"/>
        </w:tabs>
        <w:numPr>
          <w:ilvl w:val="0"/>
          <w:numId w:val="173"/>
        </w:numPr>
        <w:rPr>
          <w:rFonts w:ascii="Arial" w:cs="Arial" w:eastAsia="Arial" w:hAnsi="Arial"/>
          <w:sz w:val="17"/>
          <w:szCs w:val="17"/>
          <w:color w:val="auto"/>
        </w:rPr>
      </w:pPr>
      <w:r>
        <w:rPr>
          <w:rFonts w:ascii="Arial" w:cs="Arial" w:eastAsia="Arial" w:hAnsi="Arial"/>
          <w:sz w:val="19"/>
          <w:szCs w:val="19"/>
          <w:color w:val="auto"/>
        </w:rPr>
        <w:t xml:space="preserve">If Employee’s employment with the Company shall be terminated (i) by the Company for Cause or Disability, or (ii) by reason of Employee’s death, or (iii) by Employee without “Good Reason” pursuant to </w:t>
      </w:r>
      <w:r>
        <w:rPr>
          <w:rFonts w:ascii="Arial" w:cs="Arial" w:eastAsia="Arial" w:hAnsi="Arial"/>
          <w:sz w:val="19"/>
          <w:szCs w:val="19"/>
          <w:u w:val="single" w:color="auto"/>
          <w:color w:val="auto"/>
        </w:rPr>
        <w:t>Section 9(c)</w:t>
      </w:r>
      <w:r>
        <w:rPr>
          <w:rFonts w:ascii="Arial" w:cs="Arial" w:eastAsia="Arial" w:hAnsi="Arial"/>
          <w:sz w:val="19"/>
          <w:szCs w:val="19"/>
          <w:b w:val="1"/>
          <w:bCs w:val="1"/>
          <w:color w:val="auto"/>
        </w:rPr>
        <w:t>,</w:t>
      </w:r>
      <w:r>
        <w:rPr>
          <w:rFonts w:ascii="Arial" w:cs="Arial" w:eastAsia="Arial" w:hAnsi="Arial"/>
          <w:sz w:val="19"/>
          <w:szCs w:val="19"/>
          <w:color w:val="auto"/>
        </w:rPr>
        <w:t xml:space="preserve"> the Company shall pay Employee all amounts earned or accrued through the Termination Date, but not paid as of the Termination Date, including all Annual Compensation, reimbursement for reasonable and necessary expenses incurred by Employee on behalf of the Company during the period ending on the Termination Date, together with accrued vacation pay, and paid time off (collectively “</w:t>
      </w:r>
      <w:r>
        <w:rPr>
          <w:rFonts w:ascii="Arial" w:cs="Arial" w:eastAsia="Arial" w:hAnsi="Arial"/>
          <w:sz w:val="19"/>
          <w:szCs w:val="19"/>
          <w:b w:val="1"/>
          <w:bCs w:val="1"/>
          <w:color w:val="auto"/>
        </w:rPr>
        <w:t>Accrued</w:t>
      </w:r>
      <w:r>
        <w:rPr>
          <w:rFonts w:ascii="Arial" w:cs="Arial" w:eastAsia="Arial" w:hAnsi="Arial"/>
          <w:sz w:val="19"/>
          <w:szCs w:val="19"/>
          <w:color w:val="auto"/>
        </w:rPr>
        <w:t xml:space="preserve"> </w:t>
      </w:r>
      <w:r>
        <w:rPr>
          <w:rFonts w:ascii="Arial" w:cs="Arial" w:eastAsia="Arial" w:hAnsi="Arial"/>
          <w:sz w:val="19"/>
          <w:szCs w:val="19"/>
          <w:b w:val="1"/>
          <w:bCs w:val="1"/>
          <w:color w:val="auto"/>
        </w:rPr>
        <w:t>Compensation</w:t>
      </w:r>
      <w:r>
        <w:rPr>
          <w:rFonts w:ascii="Arial" w:cs="Arial" w:eastAsia="Arial" w:hAnsi="Arial"/>
          <w:sz w:val="19"/>
          <w:szCs w:val="19"/>
          <w:color w:val="auto"/>
        </w:rPr>
        <w:t>”), each in accordance with the applicable policies, plans and practices of the Company. In addition to the foregoing, if</w:t>
      </w:r>
      <w:r>
        <w:rPr>
          <w:rFonts w:ascii="Arial" w:cs="Arial" w:eastAsia="Arial" w:hAnsi="Arial"/>
          <w:sz w:val="19"/>
          <w:szCs w:val="19"/>
          <w:b w:val="1"/>
          <w:bCs w:val="1"/>
          <w:color w:val="auto"/>
        </w:rPr>
        <w:t xml:space="preserve"> </w:t>
      </w:r>
      <w:r>
        <w:rPr>
          <w:rFonts w:ascii="Arial" w:cs="Arial" w:eastAsia="Arial" w:hAnsi="Arial"/>
          <w:sz w:val="19"/>
          <w:szCs w:val="19"/>
          <w:color w:val="auto"/>
        </w:rPr>
        <w:t>the Employee’s employment is terminated by the Company for Disability or by reason of the Employee’s death, the Company shall pay to the Employee or Employee’s beneficiaries an amount equal to the “Pro Rata Bonus” which shall mean an amount equal to 100% of the annual incentive bonus target that the Employee would have been eligible to receive for the Company’s fiscal year in which the Employee’s employment terminates, multiplied by a fraction, the numerator of which is the number of days in such fiscal year through the Termination Date and the denominator of which is 365. The Pro Rata Bonus shall be paid in a lump sum within sixty (60) days following the Termination Date.</w:t>
      </w:r>
    </w:p>
    <w:p>
      <w:pPr>
        <w:sectPr>
          <w:pgSz w:w="11900" w:h="16838" w:orient="portrait"/>
          <w:cols w:equalWidth="0" w:num="1">
            <w:col w:w="11412"/>
          </w:cols>
          <w:pgMar w:left="248" w:top="555" w:right="239" w:bottom="1440" w:gutter="0" w:footer="0" w:header="0"/>
        </w:sectPr>
      </w:pPr>
    </w:p>
    <w:bookmarkStart w:id="188" w:name="page189"/>
    <w:bookmarkEnd w:id="188"/>
    <w:p>
      <w:pPr>
        <w:ind w:left="3" w:right="140" w:hanging="3"/>
        <w:spacing w:after="0" w:line="262" w:lineRule="auto"/>
        <w:tabs>
          <w:tab w:leader="none" w:pos="766" w:val="left"/>
        </w:tabs>
        <w:numPr>
          <w:ilvl w:val="0"/>
          <w:numId w:val="174"/>
        </w:numPr>
        <w:rPr>
          <w:rFonts w:ascii="Arial" w:cs="Arial" w:eastAsia="Arial" w:hAnsi="Arial"/>
          <w:sz w:val="17"/>
          <w:szCs w:val="17"/>
          <w:color w:val="auto"/>
        </w:rPr>
      </w:pPr>
      <w:r>
        <w:rPr>
          <w:rFonts w:ascii="Arial" w:cs="Arial" w:eastAsia="Arial" w:hAnsi="Arial"/>
          <w:sz w:val="19"/>
          <w:szCs w:val="19"/>
          <w:color w:val="auto"/>
        </w:rPr>
        <w:t>If during the Protection Period the Employee’s employment with the Company shall be terminated (other than by reason of death) (i) by the Company other than for Cause or Disability, or (ii) by Employee for Good Reason, then following the Termination Date, subject to the conditions specified below, the Employee shall be entitled to the following:</w:t>
      </w:r>
    </w:p>
    <w:p>
      <w:pPr>
        <w:spacing w:after="0" w:line="162" w:lineRule="exact"/>
        <w:rPr>
          <w:rFonts w:ascii="Arial" w:cs="Arial" w:eastAsia="Arial" w:hAnsi="Arial"/>
          <w:sz w:val="17"/>
          <w:szCs w:val="17"/>
          <w:color w:val="auto"/>
        </w:rPr>
      </w:pPr>
    </w:p>
    <w:p>
      <w:pPr>
        <w:jc w:val="both"/>
        <w:ind w:left="643" w:right="240" w:hanging="8"/>
        <w:spacing w:after="0" w:line="386" w:lineRule="auto"/>
        <w:tabs>
          <w:tab w:leader="none" w:pos="1380" w:val="left"/>
        </w:tabs>
        <w:numPr>
          <w:ilvl w:val="2"/>
          <w:numId w:val="174"/>
        </w:numPr>
        <w:rPr>
          <w:rFonts w:ascii="Arial" w:cs="Arial" w:eastAsia="Arial" w:hAnsi="Arial"/>
          <w:sz w:val="15"/>
          <w:szCs w:val="15"/>
          <w:color w:val="auto"/>
        </w:rPr>
      </w:pPr>
      <w:r>
        <w:rPr>
          <w:rFonts w:ascii="Arial" w:cs="Arial" w:eastAsia="Arial" w:hAnsi="Arial"/>
          <w:sz w:val="16"/>
          <w:szCs w:val="16"/>
          <w:color w:val="auto"/>
        </w:rPr>
        <w:t>The Company shall pay Employee all Accrued Compensation, payable in accordance with the applicable policies, plans and practices of the Company, and a Pro Rata Bonus, payable within sixty (60) days following the Termination Date.</w:t>
      </w:r>
    </w:p>
    <w:p>
      <w:pPr>
        <w:spacing w:after="0" w:line="69" w:lineRule="exact"/>
        <w:rPr>
          <w:rFonts w:ascii="Arial" w:cs="Arial" w:eastAsia="Arial" w:hAnsi="Arial"/>
          <w:sz w:val="15"/>
          <w:szCs w:val="15"/>
          <w:color w:val="auto"/>
        </w:rPr>
      </w:pPr>
    </w:p>
    <w:p>
      <w:pPr>
        <w:ind w:left="643" w:hanging="8"/>
        <w:spacing w:after="0" w:line="333" w:lineRule="auto"/>
        <w:tabs>
          <w:tab w:leader="none" w:pos="1430" w:val="left"/>
        </w:tabs>
        <w:numPr>
          <w:ilvl w:val="2"/>
          <w:numId w:val="174"/>
        </w:numPr>
        <w:rPr>
          <w:rFonts w:ascii="Arial" w:cs="Arial" w:eastAsia="Arial" w:hAnsi="Arial"/>
          <w:sz w:val="15"/>
          <w:szCs w:val="15"/>
          <w:color w:val="auto"/>
        </w:rPr>
      </w:pPr>
      <w:r>
        <w:rPr>
          <w:rFonts w:ascii="Arial" w:cs="Arial" w:eastAsia="Arial" w:hAnsi="Arial"/>
          <w:sz w:val="16"/>
          <w:szCs w:val="16"/>
          <w:color w:val="auto"/>
        </w:rPr>
        <w:t>The Company shall pay Employee, in lieu of any further compensation for periods subsequent to the Termination Date, a lump sum severance payment, in cash, in an amount equal to two times (2x) the Employee’s Severance Compensation. The lump sum severance payment described in this paragraph shall be paid within sixty (60) days after the Termination Date.</w:t>
      </w:r>
    </w:p>
    <w:p>
      <w:pPr>
        <w:spacing w:after="0" w:line="111" w:lineRule="exact"/>
        <w:rPr>
          <w:rFonts w:ascii="Arial" w:cs="Arial" w:eastAsia="Arial" w:hAnsi="Arial"/>
          <w:sz w:val="15"/>
          <w:szCs w:val="15"/>
          <w:color w:val="auto"/>
        </w:rPr>
      </w:pPr>
    </w:p>
    <w:p>
      <w:pPr>
        <w:ind w:left="643" w:right="60" w:hanging="8"/>
        <w:spacing w:after="0" w:line="263" w:lineRule="auto"/>
        <w:tabs>
          <w:tab w:leader="none" w:pos="1480" w:val="left"/>
        </w:tabs>
        <w:numPr>
          <w:ilvl w:val="2"/>
          <w:numId w:val="174"/>
        </w:numPr>
        <w:rPr>
          <w:rFonts w:ascii="Arial" w:cs="Arial" w:eastAsia="Arial" w:hAnsi="Arial"/>
          <w:sz w:val="16"/>
          <w:szCs w:val="16"/>
          <w:color w:val="auto"/>
        </w:rPr>
      </w:pPr>
      <w:r>
        <w:rPr>
          <w:rFonts w:ascii="Arial" w:cs="Arial" w:eastAsia="Arial" w:hAnsi="Arial"/>
          <w:sz w:val="18"/>
          <w:szCs w:val="18"/>
          <w:color w:val="auto"/>
        </w:rPr>
        <w:t xml:space="preserve">As a condition of receiving payments and benefits provided in </w:t>
      </w:r>
      <w:r>
        <w:rPr>
          <w:rFonts w:ascii="Arial" w:cs="Arial" w:eastAsia="Arial" w:hAnsi="Arial"/>
          <w:sz w:val="18"/>
          <w:szCs w:val="18"/>
          <w:u w:val="single" w:color="auto"/>
          <w:color w:val="auto"/>
        </w:rPr>
        <w:t>this subsection 10(b)</w:t>
      </w:r>
      <w:r>
        <w:rPr>
          <w:rFonts w:ascii="Arial" w:cs="Arial" w:eastAsia="Arial" w:hAnsi="Arial"/>
          <w:sz w:val="18"/>
          <w:szCs w:val="18"/>
          <w:color w:val="auto"/>
        </w:rPr>
        <w:t>, Employee shall execute and deliver to Company or Successor Employer the Waiver and Release Agreement (“</w:t>
      </w:r>
      <w:r>
        <w:rPr>
          <w:rFonts w:ascii="Arial" w:cs="Arial" w:eastAsia="Arial" w:hAnsi="Arial"/>
          <w:sz w:val="18"/>
          <w:szCs w:val="18"/>
          <w:b w:val="1"/>
          <w:bCs w:val="1"/>
          <w:color w:val="auto"/>
        </w:rPr>
        <w:t>Release</w:t>
      </w:r>
      <w:r>
        <w:rPr>
          <w:rFonts w:ascii="Arial" w:cs="Arial" w:eastAsia="Arial" w:hAnsi="Arial"/>
          <w:sz w:val="18"/>
          <w:szCs w:val="18"/>
          <w:color w:val="auto"/>
        </w:rPr>
        <w:t xml:space="preserve">”) in substantially the same form as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The severance payments and benefits shall not be paid or provided unless the Employee has executed and delivered the Release within the timeframe specified by the Company consistent with applicable laws, and the Release has become irrevocable as provided therein. Prior to the Effective Date, the Company may revise the Release to conform to applicable law, so long as the Release does not increase the obligations of Employee thereunder.</w:t>
      </w:r>
    </w:p>
    <w:p>
      <w:pPr>
        <w:spacing w:after="0" w:line="165" w:lineRule="exact"/>
        <w:rPr>
          <w:rFonts w:ascii="Arial" w:cs="Arial" w:eastAsia="Arial" w:hAnsi="Arial"/>
          <w:sz w:val="16"/>
          <w:szCs w:val="16"/>
          <w:color w:val="auto"/>
        </w:rPr>
      </w:pPr>
    </w:p>
    <w:p>
      <w:pPr>
        <w:ind w:left="623" w:hanging="1"/>
        <w:spacing w:after="0" w:line="253" w:lineRule="auto"/>
        <w:tabs>
          <w:tab w:leader="none" w:pos="1477" w:val="left"/>
        </w:tabs>
        <w:numPr>
          <w:ilvl w:val="1"/>
          <w:numId w:val="174"/>
        </w:numPr>
        <w:rPr>
          <w:rFonts w:ascii="Arial" w:cs="Arial" w:eastAsia="Arial" w:hAnsi="Arial"/>
          <w:sz w:val="16"/>
          <w:szCs w:val="16"/>
          <w:color w:val="auto"/>
        </w:rPr>
      </w:pPr>
      <w:r>
        <w:rPr>
          <w:rFonts w:ascii="Arial" w:cs="Arial" w:eastAsia="Arial" w:hAnsi="Arial"/>
          <w:sz w:val="18"/>
          <w:szCs w:val="18"/>
          <w:color w:val="auto"/>
        </w:rPr>
        <w:t xml:space="preserve">If Employee, prior to the Termination Date, was a participant in any Welfare Benefits, the Company or the Successor Employer, or any affiliate of the Successor Employer as determined under the rules of Code Sections 414(b) and (c), shall at its expense continue on behalf of Employee and Employee’s dependents and beneficiaries, for a period of two (2) years following the Termination Date, the Welfare Benefits or similar benefits no less favorable than the benefit levels and coverage provided to Employee prior to the Termination Date. Employee shall pay the employee portion of applicable premiums required to be paid by similarly-situated active employees (or retired employees in the case that the Employee is retired) of the Company. At its election, the Company may provide Employee and Employee’s dependents with equivalent benefits outside the Welfare Benefits plans (though not by method of direct cash payment). The Company’s obligation with respect to the foregoing benefit shall be discontinued in the event that Employee becomes covered under the health insurance coverage of a subsequent employer, other than the Successor Employer or any affiliate thereof, which does not contain any exclusion or limitation with respect to any preexisting condition of the Employee and Employee’s dependents. For purposes of this provision, Employee shall have a duty to inform Company as to the terms and conditions of any subsequent employment and the corresponding benefits earned from such employment. The continued coverage or provision of equivalent benefits under this </w:t>
      </w:r>
      <w:r>
        <w:rPr>
          <w:rFonts w:ascii="Arial" w:cs="Arial" w:eastAsia="Arial" w:hAnsi="Arial"/>
          <w:sz w:val="18"/>
          <w:szCs w:val="18"/>
          <w:u w:val="single" w:color="auto"/>
          <w:color w:val="auto"/>
        </w:rPr>
        <w:t>subsection 10(b)(iv)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subsection 10(b)(v)</w:t>
      </w:r>
      <w:r>
        <w:rPr>
          <w:rFonts w:ascii="Arial" w:cs="Arial" w:eastAsia="Arial" w:hAnsi="Arial"/>
          <w:sz w:val="18"/>
          <w:szCs w:val="18"/>
          <w:color w:val="auto"/>
        </w:rPr>
        <w:t xml:space="preserve"> shall be provided in a manner that is intended to satisfy an exception to Code Section 409A, and therefore not treated as an arrangement providing for nonqualified deferred compensation that is subject to taxation under Code Section 409A, including (i) providing such benefits on a nontaxable basis to Employee, (ii) providing for the reimbursement of medical expenses incurred during the time period during which Employee would be entitled to continuation coverage under a group health plan of the Company pursuant to Code Section 4980B (</w:t>
      </w:r>
      <w:r>
        <w:rPr>
          <w:rFonts w:ascii="Arial" w:cs="Arial" w:eastAsia="Arial" w:hAnsi="Arial"/>
          <w:sz w:val="18"/>
          <w:szCs w:val="18"/>
          <w:i w:val="1"/>
          <w:iCs w:val="1"/>
          <w:color w:val="auto"/>
        </w:rPr>
        <w:t>i.e.,</w:t>
      </w:r>
      <w:r>
        <w:rPr>
          <w:rFonts w:ascii="Arial" w:cs="Arial" w:eastAsia="Arial" w:hAnsi="Arial"/>
          <w:sz w:val="18"/>
          <w:szCs w:val="18"/>
          <w:color w:val="auto"/>
        </w:rPr>
        <w:t xml:space="preserve"> COBRA continuation coverage), (iii) providing that such benefits constitute the reimbursement or provision of in-kind benefits payable at a specified time or pursuant to a fixed schedule as permitted under Code Section 409A, or (4) such other manner as determined to be in compliance with an exception from being treated as nonqualified deferred compensation that is subject to taxation under Code Section 409A.</w:t>
      </w:r>
    </w:p>
    <w:p>
      <w:pPr>
        <w:spacing w:after="0" w:line="183" w:lineRule="exact"/>
        <w:rPr>
          <w:rFonts w:ascii="Arial" w:cs="Arial" w:eastAsia="Arial" w:hAnsi="Arial"/>
          <w:sz w:val="16"/>
          <w:szCs w:val="16"/>
          <w:color w:val="auto"/>
        </w:rPr>
      </w:pPr>
    </w:p>
    <w:p>
      <w:pPr>
        <w:ind w:left="1403" w:hanging="768"/>
        <w:spacing w:after="0"/>
        <w:tabs>
          <w:tab w:leader="none" w:pos="1403" w:val="left"/>
        </w:tabs>
        <w:numPr>
          <w:ilvl w:val="2"/>
          <w:numId w:val="175"/>
        </w:numPr>
        <w:rPr>
          <w:rFonts w:ascii="Arial" w:cs="Arial" w:eastAsia="Arial" w:hAnsi="Arial"/>
          <w:sz w:val="18"/>
          <w:szCs w:val="18"/>
          <w:color w:val="auto"/>
        </w:rPr>
      </w:pPr>
      <w:r>
        <w:rPr>
          <w:rFonts w:ascii="Arial" w:cs="Arial" w:eastAsia="Arial" w:hAnsi="Arial"/>
          <w:sz w:val="20"/>
          <w:szCs w:val="20"/>
          <w:color w:val="auto"/>
        </w:rPr>
        <w:t>If Employee was a participant in the Retiree Healthcare Plan immediately prior to a</w:t>
      </w:r>
    </w:p>
    <w:p>
      <w:pPr>
        <w:sectPr>
          <w:pgSz w:w="11900" w:h="16838" w:orient="portrait"/>
          <w:cols w:equalWidth="0" w:num="1">
            <w:col w:w="10643"/>
          </w:cols>
          <w:pgMar w:left="977" w:top="771" w:right="279" w:bottom="1440" w:gutter="0" w:footer="0" w:header="0"/>
        </w:sectPr>
      </w:pPr>
    </w:p>
    <w:bookmarkStart w:id="189" w:name="page190"/>
    <w:bookmarkEnd w:id="189"/>
    <w:p>
      <w:pPr>
        <w:ind w:left="180" w:right="60"/>
        <w:spacing w:after="0" w:line="257" w:lineRule="auto"/>
        <w:rPr>
          <w:sz w:val="20"/>
          <w:szCs w:val="20"/>
          <w:color w:val="auto"/>
        </w:rPr>
      </w:pPr>
      <w:r>
        <w:rPr>
          <w:rFonts w:ascii="Arial" w:cs="Arial" w:eastAsia="Arial" w:hAnsi="Arial"/>
          <w:sz w:val="18"/>
          <w:szCs w:val="18"/>
          <w:color w:val="auto"/>
        </w:rPr>
        <w:t>Change in Control, then as of Employee’s Termination Date, the Employee’s benefit under the Retiree Healthcare Plan shall be determined as if (i) Employee had completed an additional two (2) Years of Plan Participation (as defined in the Retiree Healthcare Plan), and (ii) Employee were two (2) years older for determining eligibility for plan benefits. Furthermore, if the Employee is not eligible for benefits after the age and participation adjustment, then the Retirement Medical Savings Account (after adjustment for two years of participation) will be considered vested, and upon attainment of age 55 the Employee shall be deemed eligible for Retiree Healthcare Plan benefits, with the vested Retirement Medical Savings Account available to offset premiums. At its election, the Company may provide Employee and Employee’s dependents with equivalent benefits outside the Retiree Healthcare Plan (though not by method of direct cash payment).</w:t>
      </w:r>
    </w:p>
    <w:p>
      <w:pPr>
        <w:spacing w:after="0" w:line="388" w:lineRule="exact"/>
        <w:rPr>
          <w:sz w:val="20"/>
          <w:szCs w:val="20"/>
          <w:color w:val="auto"/>
        </w:rPr>
      </w:pPr>
    </w:p>
    <w:p>
      <w:pPr>
        <w:ind w:left="180" w:hanging="8"/>
        <w:spacing w:after="0" w:line="235" w:lineRule="auto"/>
        <w:tabs>
          <w:tab w:leader="none" w:pos="1007" w:val="left"/>
        </w:tabs>
        <w:numPr>
          <w:ilvl w:val="0"/>
          <w:numId w:val="176"/>
        </w:numPr>
        <w:rPr>
          <w:rFonts w:ascii="Arial" w:cs="Arial" w:eastAsia="Arial" w:hAnsi="Arial"/>
          <w:sz w:val="18"/>
          <w:szCs w:val="18"/>
          <w:color w:val="auto"/>
        </w:rPr>
      </w:pPr>
      <w:r>
        <w:rPr>
          <w:rFonts w:ascii="Arial" w:cs="Arial" w:eastAsia="Arial" w:hAnsi="Arial"/>
          <w:sz w:val="20"/>
          <w:szCs w:val="20"/>
          <w:color w:val="auto"/>
        </w:rPr>
        <w:t xml:space="preserve">If Employee was a participant in the 2005 Pension Equalization Plan immediately prior to a Change in Control, then as of Employee’s Termination Date, the Employee’s benefit under the 2005 Pension Equalization Plan shall be determined as if (i) Employee had completed an additional two (2) Years of Plan Participation (as defined in the 2005 Pension Equalization Plan), and (ii) Employee received Annual Compensation (as defined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during each additional Year of Plan Participation.</w:t>
      </w:r>
    </w:p>
    <w:p>
      <w:pPr>
        <w:spacing w:after="0" w:line="184" w:lineRule="exact"/>
        <w:rPr>
          <w:sz w:val="20"/>
          <w:szCs w:val="20"/>
          <w:color w:val="auto"/>
        </w:rPr>
      </w:pPr>
    </w:p>
    <w:p>
      <w:pPr>
        <w:ind w:left="180" w:right="60" w:firstLine="648"/>
        <w:spacing w:after="0" w:line="243" w:lineRule="auto"/>
        <w:rPr>
          <w:sz w:val="20"/>
          <w:szCs w:val="20"/>
          <w:color w:val="auto"/>
        </w:rPr>
      </w:pPr>
      <w:r>
        <w:rPr>
          <w:rFonts w:ascii="Arial" w:cs="Arial" w:eastAsia="Arial" w:hAnsi="Arial"/>
          <w:sz w:val="20"/>
          <w:szCs w:val="20"/>
          <w:color w:val="auto"/>
        </w:rPr>
        <w:t xml:space="preserve">If Employee was a participant in the Restoration Plan and the Pension Plan immediately prior to a Change in Control, then as of Employee’s Termination Date, Employee’s Restoration Plan benefit shall be determined as if (i) Employee completed two (2) additional years of Credited Service under the Pension Plan, and (ii) the Employee received Annual Compensation (as defined in </w:t>
      </w:r>
      <w:r>
        <w:rPr>
          <w:rFonts w:ascii="Arial" w:cs="Arial" w:eastAsia="Arial" w:hAnsi="Arial"/>
          <w:sz w:val="20"/>
          <w:szCs w:val="20"/>
          <w:u w:val="single" w:color="auto"/>
          <w:color w:val="auto"/>
        </w:rPr>
        <w:t>Section 5)</w:t>
      </w:r>
      <w:r>
        <w:rPr>
          <w:rFonts w:ascii="Arial" w:cs="Arial" w:eastAsia="Arial" w:hAnsi="Arial"/>
          <w:sz w:val="20"/>
          <w:szCs w:val="20"/>
          <w:color w:val="auto"/>
        </w:rPr>
        <w:t xml:space="preserve"> during each additional year of Credited Service. For purposes of this </w:t>
      </w:r>
      <w:r>
        <w:rPr>
          <w:rFonts w:ascii="Arial" w:cs="Arial" w:eastAsia="Arial" w:hAnsi="Arial"/>
          <w:sz w:val="20"/>
          <w:szCs w:val="20"/>
          <w:u w:val="single" w:color="auto"/>
          <w:color w:val="auto"/>
        </w:rPr>
        <w:t>subsection 10(b)</w:t>
      </w:r>
      <w:r>
        <w:rPr>
          <w:rFonts w:ascii="Arial" w:cs="Arial" w:eastAsia="Arial" w:hAnsi="Arial"/>
          <w:sz w:val="20"/>
          <w:szCs w:val="20"/>
          <w:color w:val="auto"/>
        </w:rPr>
        <w:t xml:space="preserve"> </w:t>
      </w:r>
      <w:r>
        <w:rPr>
          <w:rFonts w:ascii="Arial" w:cs="Arial" w:eastAsia="Arial" w:hAnsi="Arial"/>
          <w:sz w:val="20"/>
          <w:szCs w:val="20"/>
          <w:u w:val="single" w:color="auto"/>
          <w:color w:val="auto"/>
        </w:rPr>
        <w:t>(vi)</w:t>
      </w:r>
      <w:r>
        <w:rPr>
          <w:rFonts w:ascii="Arial" w:cs="Arial" w:eastAsia="Arial" w:hAnsi="Arial"/>
          <w:sz w:val="20"/>
          <w:szCs w:val="20"/>
          <w:color w:val="auto"/>
        </w:rPr>
        <w:t>, if the Employee is not entitled to any future benefit accruals in the Restoration Plan as of the Effective Date the Employee shall not receive any additional Credited Service or Annual Compensation when determining their Restoration benefit.</w:t>
      </w:r>
    </w:p>
    <w:p>
      <w:pPr>
        <w:spacing w:after="0" w:line="193" w:lineRule="exact"/>
        <w:rPr>
          <w:sz w:val="20"/>
          <w:szCs w:val="20"/>
          <w:color w:val="auto"/>
        </w:rPr>
      </w:pPr>
    </w:p>
    <w:p>
      <w:pPr>
        <w:ind w:left="180" w:right="140" w:firstLine="648"/>
        <w:spacing w:after="0" w:line="250" w:lineRule="auto"/>
        <w:rPr>
          <w:sz w:val="20"/>
          <w:szCs w:val="20"/>
          <w:color w:val="auto"/>
        </w:rPr>
      </w:pPr>
      <w:r>
        <w:rPr>
          <w:rFonts w:ascii="Arial" w:cs="Arial" w:eastAsia="Arial" w:hAnsi="Arial"/>
          <w:sz w:val="20"/>
          <w:szCs w:val="20"/>
          <w:color w:val="auto"/>
        </w:rPr>
        <w:t>Furthermore, the Employee shall be made 100% vested for purposes of both the 2005 Pension Equalization Plan and Restoration Plan, if the Employee is a participant in such plans (for purposes of this subsection) and is not already fully vested.</w:t>
      </w:r>
    </w:p>
    <w:p>
      <w:pPr>
        <w:spacing w:after="0" w:line="186" w:lineRule="exact"/>
        <w:rPr>
          <w:sz w:val="20"/>
          <w:szCs w:val="20"/>
          <w:color w:val="auto"/>
        </w:rPr>
      </w:pPr>
    </w:p>
    <w:p>
      <w:pPr>
        <w:ind w:left="160" w:right="160" w:hanging="1"/>
        <w:spacing w:after="0" w:line="245" w:lineRule="auto"/>
        <w:tabs>
          <w:tab w:leader="none" w:pos="924" w:val="left"/>
        </w:tabs>
        <w:numPr>
          <w:ilvl w:val="0"/>
          <w:numId w:val="177"/>
        </w:numPr>
        <w:rPr>
          <w:rFonts w:ascii="Arial" w:cs="Arial" w:eastAsia="Arial" w:hAnsi="Arial"/>
          <w:sz w:val="17"/>
          <w:szCs w:val="17"/>
          <w:color w:val="auto"/>
        </w:rPr>
      </w:pPr>
      <w:r>
        <w:rPr>
          <w:rFonts w:ascii="Arial" w:cs="Arial" w:eastAsia="Arial" w:hAnsi="Arial"/>
          <w:sz w:val="19"/>
          <w:szCs w:val="19"/>
          <w:color w:val="auto"/>
        </w:rPr>
        <w:t xml:space="preserve">If Employee was a participant in the Nonqualified Deferred Compensation Plan immediately prior to a Change in Control, then as of Employee’s Termination Date, Employee’s Non-Elective Account in the Nonqualified Deferred Compensation Plan shall become immediately vested and be determined as if (i) Employee had completed two (2) additional Plan Years of participation and earned the related Supplemental Matching Contributions, Supplemental Retirement Contributions, and Supplemental Target Contributions (all as defined in the Nonqualified Deferred Compensation Plan); no investment earnings shall be attributed for this additional period, and (ii) Employee received Annual Compensation (as defined in </w:t>
      </w:r>
      <w:r>
        <w:rPr>
          <w:rFonts w:ascii="Arial" w:cs="Arial" w:eastAsia="Arial" w:hAnsi="Arial"/>
          <w:sz w:val="19"/>
          <w:szCs w:val="19"/>
          <w:u w:val="single" w:color="auto"/>
          <w:color w:val="auto"/>
        </w:rPr>
        <w:t>Section 5)</w:t>
      </w:r>
      <w:r>
        <w:rPr>
          <w:rFonts w:ascii="Arial" w:cs="Arial" w:eastAsia="Arial" w:hAnsi="Arial"/>
          <w:sz w:val="19"/>
          <w:szCs w:val="19"/>
          <w:color w:val="auto"/>
        </w:rPr>
        <w:t xml:space="preserve"> during each additional Plan Year of participation.</w:t>
      </w:r>
    </w:p>
    <w:p>
      <w:pPr>
        <w:spacing w:after="0" w:line="181" w:lineRule="exact"/>
        <w:rPr>
          <w:sz w:val="20"/>
          <w:szCs w:val="20"/>
          <w:color w:val="auto"/>
        </w:rPr>
      </w:pPr>
    </w:p>
    <w:p>
      <w:pPr>
        <w:ind w:left="180" w:right="200"/>
        <w:spacing w:after="0" w:line="244" w:lineRule="auto"/>
        <w:rPr>
          <w:sz w:val="20"/>
          <w:szCs w:val="20"/>
          <w:color w:val="auto"/>
        </w:rPr>
      </w:pPr>
      <w:r>
        <w:rPr>
          <w:rFonts w:ascii="Arial" w:cs="Arial" w:eastAsia="Arial" w:hAnsi="Arial"/>
          <w:sz w:val="20"/>
          <w:szCs w:val="20"/>
          <w:color w:val="auto"/>
        </w:rPr>
        <w:t xml:space="preserve">For purposes of this </w:t>
      </w:r>
      <w:r>
        <w:rPr>
          <w:rFonts w:ascii="Arial" w:cs="Arial" w:eastAsia="Arial" w:hAnsi="Arial"/>
          <w:sz w:val="20"/>
          <w:szCs w:val="20"/>
          <w:u w:val="single" w:color="auto"/>
          <w:color w:val="auto"/>
        </w:rPr>
        <w:t>subsection 10(b)(vii)</w:t>
      </w:r>
      <w:r>
        <w:rPr>
          <w:rFonts w:ascii="Arial" w:cs="Arial" w:eastAsia="Arial" w:hAnsi="Arial"/>
          <w:sz w:val="20"/>
          <w:szCs w:val="20"/>
          <w:color w:val="auto"/>
        </w:rPr>
        <w:t>, the additional contributions under the Nonqualified Deferred Compensation Plan (Supplemental Matching Contributions, Supplemental Retirement Contributions, and Supplemental Target Contributions) shall be determined without regard to any offsets from the Retirement Savings Plan. (This has the same effect as if the Supplemental Matching Contributions and Supplemental Retirement Contributions were determined on total pay rather than only on pay over IRS pay limits.)</w:t>
      </w:r>
    </w:p>
    <w:p>
      <w:pPr>
        <w:spacing w:after="0" w:line="195" w:lineRule="exact"/>
        <w:rPr>
          <w:sz w:val="20"/>
          <w:szCs w:val="20"/>
          <w:color w:val="auto"/>
        </w:rPr>
      </w:pPr>
    </w:p>
    <w:p>
      <w:pPr>
        <w:ind w:left="760" w:right="40" w:hanging="588"/>
        <w:spacing w:after="0" w:line="246" w:lineRule="auto"/>
        <w:tabs>
          <w:tab w:leader="none" w:pos="760" w:val="left"/>
        </w:tabs>
        <w:numPr>
          <w:ilvl w:val="0"/>
          <w:numId w:val="178"/>
        </w:numPr>
        <w:rPr>
          <w:rFonts w:ascii="Arial" w:cs="Arial" w:eastAsia="Arial" w:hAnsi="Arial"/>
          <w:sz w:val="18"/>
          <w:szCs w:val="18"/>
          <w:color w:val="auto"/>
        </w:rPr>
      </w:pPr>
      <w:r>
        <w:rPr>
          <w:rFonts w:ascii="Arial" w:cs="Arial" w:eastAsia="Arial" w:hAnsi="Arial"/>
          <w:sz w:val="20"/>
          <w:szCs w:val="20"/>
          <w:color w:val="auto"/>
        </w:rPr>
        <w:t>Notwithstanding any provision herein to the contrary, if the Employee is a “specified employee” (as defined for purposes of Code Section 409A), no payment under this Agreement shall be made before the date which is six (6) months after the date of the Employee’s Termination Date, or such earlier date upon which such amount can be paid or provided under</w:t>
      </w:r>
    </w:p>
    <w:p>
      <w:pPr>
        <w:sectPr>
          <w:pgSz w:w="11900" w:h="16838" w:orient="portrait"/>
          <w:cols w:equalWidth="0" w:num="1">
            <w:col w:w="10200"/>
          </w:cols>
          <w:pgMar w:left="1440" w:top="555" w:right="259" w:bottom="1440" w:gutter="0" w:footer="0" w:header="0"/>
        </w:sectPr>
      </w:pPr>
    </w:p>
    <w:bookmarkStart w:id="190" w:name="page191"/>
    <w:bookmarkEnd w:id="190"/>
    <w:p>
      <w:pPr>
        <w:jc w:val="both"/>
        <w:ind w:left="1420" w:right="200"/>
        <w:spacing w:after="0" w:line="325" w:lineRule="auto"/>
        <w:rPr>
          <w:sz w:val="20"/>
          <w:szCs w:val="20"/>
          <w:color w:val="auto"/>
        </w:rPr>
      </w:pPr>
      <w:r>
        <w:rPr>
          <w:rFonts w:ascii="Arial" w:cs="Arial" w:eastAsia="Arial" w:hAnsi="Arial"/>
          <w:sz w:val="16"/>
          <w:szCs w:val="16"/>
          <w:color w:val="auto"/>
        </w:rPr>
        <w:t>Code Section 409A without being subject to additional taxes thereunder, if such payment constitutes deferred compensation subject to Code Section 409A. To the extent that the Agreement provides for such nonqualified deferred compensation, it is intended to be compliant with Code Section 409A, and shall be interpreted and administered accordingly.</w:t>
      </w:r>
    </w:p>
    <w:p>
      <w:pPr>
        <w:spacing w:after="0" w:line="111" w:lineRule="exact"/>
        <w:rPr>
          <w:sz w:val="20"/>
          <w:szCs w:val="20"/>
          <w:color w:val="auto"/>
        </w:rPr>
      </w:pPr>
    </w:p>
    <w:p>
      <w:pPr>
        <w:ind w:left="760" w:hanging="644"/>
        <w:spacing w:after="0"/>
        <w:tabs>
          <w:tab w:leader="none" w:pos="760" w:val="left"/>
        </w:tabs>
        <w:numPr>
          <w:ilvl w:val="0"/>
          <w:numId w:val="179"/>
        </w:numPr>
        <w:rPr>
          <w:rFonts w:ascii="Arial" w:cs="Arial" w:eastAsia="Arial" w:hAnsi="Arial"/>
          <w:sz w:val="18"/>
          <w:szCs w:val="18"/>
          <w:color w:val="auto"/>
        </w:rPr>
      </w:pPr>
      <w:r>
        <w:rPr>
          <w:rFonts w:ascii="Arial" w:cs="Arial" w:eastAsia="Arial" w:hAnsi="Arial"/>
          <w:sz w:val="20"/>
          <w:szCs w:val="20"/>
          <w:b w:val="1"/>
          <w:bCs w:val="1"/>
          <w:u w:val="single" w:color="auto"/>
          <w:color w:val="auto"/>
        </w:rPr>
        <w:t>OFFSET</w:t>
      </w:r>
      <w:r>
        <w:rPr>
          <w:rFonts w:ascii="Arial" w:cs="Arial" w:eastAsia="Arial" w:hAnsi="Arial"/>
          <w:sz w:val="20"/>
          <w:szCs w:val="20"/>
          <w:b w:val="1"/>
          <w:bCs w:val="1"/>
          <w:color w:val="auto"/>
        </w:rPr>
        <w:t>.</w:t>
      </w:r>
    </w:p>
    <w:p>
      <w:pPr>
        <w:spacing w:after="0" w:line="276" w:lineRule="exact"/>
        <w:rPr>
          <w:sz w:val="20"/>
          <w:szCs w:val="20"/>
          <w:color w:val="auto"/>
        </w:rPr>
      </w:pPr>
    </w:p>
    <w:p>
      <w:pPr>
        <w:ind w:left="120" w:right="160" w:firstLine="648"/>
        <w:spacing w:after="0" w:line="250" w:lineRule="auto"/>
        <w:rPr>
          <w:sz w:val="20"/>
          <w:szCs w:val="20"/>
          <w:color w:val="auto"/>
        </w:rPr>
      </w:pPr>
      <w:r>
        <w:rPr>
          <w:rFonts w:ascii="Arial" w:cs="Arial" w:eastAsia="Arial" w:hAnsi="Arial"/>
          <w:sz w:val="20"/>
          <w:szCs w:val="20"/>
          <w:color w:val="auto"/>
        </w:rPr>
        <w:t xml:space="preserve">Employee shall not be required to mitigate the amount of any payment provided for in this Agreement by seeking other employment or otherwise, and except as provided in </w:t>
      </w:r>
      <w:r>
        <w:rPr>
          <w:rFonts w:ascii="Arial" w:cs="Arial" w:eastAsia="Arial" w:hAnsi="Arial"/>
          <w:sz w:val="20"/>
          <w:szCs w:val="20"/>
          <w:u w:val="single" w:color="auto"/>
          <w:color w:val="auto"/>
        </w:rPr>
        <w:t>Section 10(b)(iv)</w:t>
      </w:r>
      <w:r>
        <w:rPr>
          <w:rFonts w:ascii="Arial" w:cs="Arial" w:eastAsia="Arial" w:hAnsi="Arial"/>
          <w:sz w:val="20"/>
          <w:szCs w:val="20"/>
          <w:color w:val="auto"/>
        </w:rPr>
        <w:t>, such payments shall not be reduced whether or not Employee obtains other employment.</w:t>
      </w:r>
    </w:p>
    <w:p>
      <w:pPr>
        <w:spacing w:after="0" w:line="180" w:lineRule="exact"/>
        <w:rPr>
          <w:sz w:val="20"/>
          <w:szCs w:val="20"/>
          <w:color w:val="auto"/>
        </w:rPr>
      </w:pPr>
    </w:p>
    <w:p>
      <w:pPr>
        <w:ind w:left="760" w:hanging="644"/>
        <w:spacing w:after="0"/>
        <w:tabs>
          <w:tab w:leader="none" w:pos="760" w:val="left"/>
        </w:tabs>
        <w:numPr>
          <w:ilvl w:val="0"/>
          <w:numId w:val="180"/>
        </w:numPr>
        <w:rPr>
          <w:rFonts w:ascii="Arial" w:cs="Arial" w:eastAsia="Arial" w:hAnsi="Arial"/>
          <w:sz w:val="18"/>
          <w:szCs w:val="18"/>
          <w:color w:val="auto"/>
        </w:rPr>
      </w:pPr>
      <w:r>
        <w:rPr>
          <w:rFonts w:ascii="Arial" w:cs="Arial" w:eastAsia="Arial" w:hAnsi="Arial"/>
          <w:sz w:val="20"/>
          <w:szCs w:val="20"/>
          <w:b w:val="1"/>
          <w:bCs w:val="1"/>
          <w:u w:val="single" w:color="auto"/>
          <w:color w:val="auto"/>
        </w:rPr>
        <w:t>TAX EFFECT</w:t>
      </w:r>
      <w:r>
        <w:rPr>
          <w:rFonts w:ascii="Arial" w:cs="Arial" w:eastAsia="Arial" w:hAnsi="Arial"/>
          <w:sz w:val="20"/>
          <w:szCs w:val="20"/>
          <w:b w:val="1"/>
          <w:bCs w:val="1"/>
          <w:color w:val="auto"/>
        </w:rPr>
        <w:t>.</w:t>
      </w:r>
    </w:p>
    <w:p>
      <w:pPr>
        <w:spacing w:after="0" w:line="276" w:lineRule="exact"/>
        <w:rPr>
          <w:sz w:val="20"/>
          <w:szCs w:val="20"/>
          <w:color w:val="auto"/>
        </w:rPr>
      </w:pPr>
    </w:p>
    <w:p>
      <w:pPr>
        <w:ind w:left="120" w:right="380" w:firstLine="648"/>
        <w:spacing w:after="0" w:line="250" w:lineRule="auto"/>
        <w:rPr>
          <w:sz w:val="20"/>
          <w:szCs w:val="20"/>
          <w:color w:val="auto"/>
        </w:rPr>
      </w:pPr>
      <w:r>
        <w:rPr>
          <w:rFonts w:ascii="Arial" w:cs="Arial" w:eastAsia="Arial" w:hAnsi="Arial"/>
          <w:sz w:val="20"/>
          <w:szCs w:val="20"/>
          <w:color w:val="auto"/>
        </w:rPr>
        <w:t>No additional payments shall be made to the Employee to account for any excise taxes, income taxes, interest or penalties the employee may incur due to receipt of any Severance Compensation or other payment, benefit, or distribution of any type by the Company pursuant to this Agreement.</w:t>
      </w:r>
    </w:p>
    <w:p>
      <w:pPr>
        <w:spacing w:after="0" w:line="186" w:lineRule="exact"/>
        <w:rPr>
          <w:sz w:val="20"/>
          <w:szCs w:val="20"/>
          <w:color w:val="auto"/>
        </w:rPr>
      </w:pPr>
    </w:p>
    <w:p>
      <w:pPr>
        <w:jc w:val="center"/>
        <w:ind w:right="80"/>
        <w:spacing w:after="0"/>
        <w:rPr>
          <w:sz w:val="20"/>
          <w:szCs w:val="20"/>
          <w:color w:val="auto"/>
        </w:rPr>
      </w:pPr>
      <w:r>
        <w:rPr>
          <w:rFonts w:ascii="Arial" w:cs="Arial" w:eastAsia="Arial" w:hAnsi="Arial"/>
          <w:sz w:val="20"/>
          <w:szCs w:val="20"/>
          <w:color w:val="auto"/>
        </w:rPr>
        <w:t>Notwithstanding anything in this Agreement or any written or unwritten policy of the Company to the contrary, if it shall be</w:t>
      </w:r>
    </w:p>
    <w:p>
      <w:pPr>
        <w:spacing w:after="0" w:line="1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determined that any payment or distribution by the Company to or for the benefit of the Employee, whether paid or payable or distributed 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9"/>
          <w:szCs w:val="19"/>
          <w:color w:val="auto"/>
        </w:rPr>
        <w:t>distributable pursuant to the terms of this Agreement, any other agreement between the Company and the Employee or otherwise (a</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w:t>
      </w:r>
      <w:r>
        <w:rPr>
          <w:rFonts w:ascii="Arial" w:cs="Arial" w:eastAsia="Arial" w:hAnsi="Arial"/>
          <w:sz w:val="18"/>
          <w:szCs w:val="18"/>
          <w:color w:val="auto"/>
        </w:rPr>
        <w:t>” or “</w:t>
      </w:r>
      <w:r>
        <w:rPr>
          <w:rFonts w:ascii="Arial" w:cs="Arial" w:eastAsia="Arial" w:hAnsi="Arial"/>
          <w:sz w:val="18"/>
          <w:szCs w:val="18"/>
          <w:b w:val="1"/>
          <w:bCs w:val="1"/>
          <w:color w:val="auto"/>
        </w:rPr>
        <w:t>Payments</w:t>
      </w:r>
      <w:r>
        <w:rPr>
          <w:rFonts w:ascii="Arial" w:cs="Arial" w:eastAsia="Arial" w:hAnsi="Arial"/>
          <w:sz w:val="18"/>
          <w:szCs w:val="18"/>
          <w:color w:val="auto"/>
        </w:rPr>
        <w:t>”), would constitute a parachute payment (“</w:t>
      </w:r>
      <w:r>
        <w:rPr>
          <w:rFonts w:ascii="Arial" w:cs="Arial" w:eastAsia="Arial" w:hAnsi="Arial"/>
          <w:sz w:val="18"/>
          <w:szCs w:val="18"/>
          <w:b w:val="1"/>
          <w:bCs w:val="1"/>
          <w:color w:val="auto"/>
        </w:rPr>
        <w:t>Parachute Payment</w:t>
      </w:r>
      <w:r>
        <w:rPr>
          <w:rFonts w:ascii="Arial" w:cs="Arial" w:eastAsia="Arial" w:hAnsi="Arial"/>
          <w:sz w:val="18"/>
          <w:szCs w:val="18"/>
          <w:color w:val="auto"/>
        </w:rPr>
        <w:t>”) within the meaning of Section 280G of the Code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 xml:space="preserve">and would, but for this </w:t>
      </w:r>
      <w:r>
        <w:rPr>
          <w:rFonts w:ascii="Arial" w:cs="Arial" w:eastAsia="Arial" w:hAnsi="Arial"/>
          <w:sz w:val="16"/>
          <w:szCs w:val="16"/>
          <w:u w:val="single" w:color="auto"/>
          <w:color w:val="auto"/>
        </w:rPr>
        <w:t>Section 12</w:t>
      </w:r>
      <w:r>
        <w:rPr>
          <w:rFonts w:ascii="Arial" w:cs="Arial" w:eastAsia="Arial" w:hAnsi="Arial"/>
          <w:sz w:val="16"/>
          <w:szCs w:val="16"/>
          <w:color w:val="auto"/>
        </w:rPr>
        <w:t>, be subject to the excise tax imposed under Section 4999 of the Code (or any successor provision thereto) or</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any similar tax imposed by state or local law or any interest or penalties with respect to such taxes (collectively, the “</w:t>
      </w:r>
      <w:r>
        <w:rPr>
          <w:rFonts w:ascii="Arial" w:cs="Arial" w:eastAsia="Arial" w:hAnsi="Arial"/>
          <w:sz w:val="18"/>
          <w:szCs w:val="18"/>
          <w:b w:val="1"/>
          <w:bCs w:val="1"/>
          <w:color w:val="auto"/>
        </w:rPr>
        <w:t>Excise Tax</w:t>
      </w:r>
      <w:r>
        <w:rPr>
          <w:rFonts w:ascii="Arial" w:cs="Arial" w:eastAsia="Arial" w:hAnsi="Arial"/>
          <w:sz w:val="18"/>
          <w:szCs w:val="18"/>
          <w:color w:val="auto"/>
        </w:rPr>
        <w:t>”), then prior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making the Payments, a calculation shall be made comparing (i) the Net Benefit (as defined below) to the Employee of the Payments after</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payment of the Excise Tax to (ii) the Net Benefit to the Employee if the Payments are limited to the extent necessary to avoid being subject to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Excise Tax. Only if the amount calculated under (i) above is less than the amount under (ii) above will the Payments be reduced to the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minimum extent necessary to ensure that no portion of the Payments is subject to the Excise Tax. “</w:t>
      </w:r>
      <w:r>
        <w:rPr>
          <w:rFonts w:ascii="Arial" w:cs="Arial" w:eastAsia="Arial" w:hAnsi="Arial"/>
          <w:sz w:val="18"/>
          <w:szCs w:val="18"/>
          <w:b w:val="1"/>
          <w:bCs w:val="1"/>
          <w:color w:val="auto"/>
        </w:rPr>
        <w:t>Net Benefit</w:t>
      </w:r>
      <w:r>
        <w:rPr>
          <w:rFonts w:ascii="Arial" w:cs="Arial" w:eastAsia="Arial" w:hAnsi="Arial"/>
          <w:sz w:val="18"/>
          <w:szCs w:val="18"/>
          <w:color w:val="auto"/>
        </w:rPr>
        <w:t>” shall mean the present value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of the Payments net of all federal, state, local, foreign income, employment and excise taxes. The Payments shall be reduced in a manner that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9"/>
          <w:szCs w:val="19"/>
          <w:color w:val="auto"/>
        </w:rPr>
        <w:t>maximizes the Employee’s economic position. In applying this principle, the reduction shall be made in a manner consistent with the</w:t>
      </w:r>
    </w:p>
    <w:p>
      <w:pPr>
        <w:spacing w:after="0" w:line="1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requirements of Section 409A of the Code, and where two economically equivalent amounts are subject to reduction but payable at different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 xml:space="preserve">times, such amounts shall be reduced on a pro rata basis but not below zero. Any determination required under this </w:t>
      </w:r>
      <w:r>
        <w:rPr>
          <w:rFonts w:ascii="Arial" w:cs="Arial" w:eastAsia="Arial" w:hAnsi="Arial"/>
          <w:sz w:val="18"/>
          <w:szCs w:val="18"/>
          <w:u w:val="single" w:color="auto"/>
          <w:color w:val="auto"/>
        </w:rPr>
        <w:t>Section 12</w:t>
      </w:r>
      <w:r>
        <w:rPr>
          <w:rFonts w:ascii="Arial" w:cs="Arial" w:eastAsia="Arial" w:hAnsi="Arial"/>
          <w:sz w:val="18"/>
          <w:szCs w:val="18"/>
          <w:color w:val="auto"/>
        </w:rPr>
        <w:t>, including</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whether any payments or benefits are parachute payments, shall be made by the Company in its sole discretion. The Employee shall provide</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the Company with such information and documents as the Company may reasonably request in order to make a determination under this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u w:val="single" w:color="auto"/>
          <w:color w:val="auto"/>
        </w:rPr>
        <w:t>Section 12</w:t>
      </w:r>
      <w:r>
        <w:rPr>
          <w:rFonts w:ascii="Arial" w:cs="Arial" w:eastAsia="Arial" w:hAnsi="Arial"/>
          <w:sz w:val="18"/>
          <w:szCs w:val="18"/>
          <w:color w:val="auto"/>
        </w:rPr>
        <w:t>. The Company’s determination shall be final and binding on the Employee. The parties acknowledge that the Employee is solely</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6"/>
          <w:szCs w:val="16"/>
          <w:color w:val="auto"/>
        </w:rPr>
        <w:t>responsible for the payment of any Excise Tax that is assessed based upon a payment made pursuant to this Agreement or any other payment</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20"/>
          <w:szCs w:val="20"/>
          <w:color w:val="auto"/>
        </w:rPr>
        <w:t>made by the Company pursuant to any other plan or obligation.</w:t>
      </w:r>
    </w:p>
    <w:p>
      <w:pPr>
        <w:spacing w:after="0" w:line="194" w:lineRule="exact"/>
        <w:rPr>
          <w:sz w:val="20"/>
          <w:szCs w:val="20"/>
          <w:color w:val="auto"/>
        </w:rPr>
      </w:pPr>
    </w:p>
    <w:p>
      <w:pPr>
        <w:ind w:left="740" w:hanging="651"/>
        <w:spacing w:after="0"/>
        <w:tabs>
          <w:tab w:leader="none" w:pos="740" w:val="left"/>
        </w:tabs>
        <w:numPr>
          <w:ilvl w:val="0"/>
          <w:numId w:val="181"/>
        </w:numPr>
        <w:rPr>
          <w:rFonts w:ascii="Arial" w:cs="Arial" w:eastAsia="Arial" w:hAnsi="Arial"/>
          <w:sz w:val="18"/>
          <w:szCs w:val="18"/>
          <w:color w:val="auto"/>
        </w:rPr>
      </w:pPr>
      <w:r>
        <w:rPr>
          <w:rFonts w:ascii="Arial" w:cs="Arial" w:eastAsia="Arial" w:hAnsi="Arial"/>
          <w:sz w:val="20"/>
          <w:szCs w:val="20"/>
          <w:b w:val="1"/>
          <w:bCs w:val="1"/>
          <w:u w:val="single" w:color="auto"/>
          <w:color w:val="auto"/>
        </w:rPr>
        <w:t>OUTPLACEMENT SERVICES</w:t>
      </w:r>
      <w:r>
        <w:rPr>
          <w:rFonts w:ascii="Arial" w:cs="Arial" w:eastAsia="Arial" w:hAnsi="Arial"/>
          <w:sz w:val="20"/>
          <w:szCs w:val="20"/>
          <w:b w:val="1"/>
          <w:bCs w:val="1"/>
          <w:color w:val="auto"/>
        </w:rPr>
        <w:t>.</w:t>
      </w:r>
    </w:p>
    <w:p>
      <w:pPr>
        <w:spacing w:after="0" w:line="276" w:lineRule="exact"/>
        <w:rPr>
          <w:sz w:val="20"/>
          <w:szCs w:val="20"/>
          <w:color w:val="auto"/>
        </w:rPr>
      </w:pPr>
    </w:p>
    <w:p>
      <w:pPr>
        <w:ind w:left="80" w:right="100" w:firstLine="648"/>
        <w:spacing w:after="0" w:line="309" w:lineRule="auto"/>
        <w:rPr>
          <w:sz w:val="20"/>
          <w:szCs w:val="20"/>
          <w:color w:val="auto"/>
        </w:rPr>
      </w:pPr>
      <w:r>
        <w:rPr>
          <w:rFonts w:ascii="Arial" w:cs="Arial" w:eastAsia="Arial" w:hAnsi="Arial"/>
          <w:sz w:val="16"/>
          <w:szCs w:val="16"/>
          <w:color w:val="auto"/>
        </w:rPr>
        <w:t>The Company shall, at its expense, permit the Employee to participate in outplacement assistance services, as determined by the Company, which are: (a) as to executive officers, at a level appropriate for senior management of a public company; and (b) not more than six</w:t>
      </w:r>
    </w:p>
    <w:p>
      <w:pPr>
        <w:spacing w:after="0" w:line="1" w:lineRule="exact"/>
        <w:rPr>
          <w:sz w:val="20"/>
          <w:szCs w:val="20"/>
          <w:color w:val="auto"/>
        </w:rPr>
      </w:pPr>
    </w:p>
    <w:p>
      <w:pPr>
        <w:ind w:left="80" w:right="160" w:firstLine="9"/>
        <w:spacing w:after="0" w:line="241" w:lineRule="auto"/>
        <w:tabs>
          <w:tab w:leader="none" w:pos="360" w:val="left"/>
        </w:tabs>
        <w:numPr>
          <w:ilvl w:val="1"/>
          <w:numId w:val="182"/>
        </w:numPr>
        <w:rPr>
          <w:rFonts w:ascii="Arial" w:cs="Arial" w:eastAsia="Arial" w:hAnsi="Arial"/>
          <w:sz w:val="20"/>
          <w:szCs w:val="20"/>
          <w:color w:val="auto"/>
        </w:rPr>
      </w:pPr>
      <w:r>
        <w:rPr>
          <w:rFonts w:ascii="Arial" w:cs="Arial" w:eastAsia="Arial" w:hAnsi="Arial"/>
          <w:sz w:val="20"/>
          <w:szCs w:val="20"/>
          <w:color w:val="auto"/>
        </w:rPr>
        <w:t>months in duration. Outplacement services shall be provided in kind; cash shall not be paid in lieu thereof, nor will cash compensation be increased if Employee declines or does not use outplacement services. All outplacement services shall be provided by the last day of the second calendar year beginning after the Employee’s Termination Date.</w:t>
      </w:r>
    </w:p>
    <w:p>
      <w:pPr>
        <w:spacing w:after="0" w:line="190" w:lineRule="exact"/>
        <w:rPr>
          <w:rFonts w:ascii="Arial" w:cs="Arial" w:eastAsia="Arial" w:hAnsi="Arial"/>
          <w:sz w:val="20"/>
          <w:szCs w:val="20"/>
          <w:color w:val="auto"/>
        </w:rPr>
      </w:pPr>
    </w:p>
    <w:p>
      <w:pPr>
        <w:ind w:left="660" w:hanging="652"/>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20"/>
          <w:szCs w:val="20"/>
          <w:b w:val="1"/>
          <w:bCs w:val="1"/>
          <w:u w:val="single" w:color="auto"/>
          <w:color w:val="auto"/>
        </w:rPr>
        <w:t>SUCCESSORS AND ASSIGNS</w:t>
      </w:r>
      <w:r>
        <w:rPr>
          <w:rFonts w:ascii="Arial" w:cs="Arial" w:eastAsia="Arial" w:hAnsi="Arial"/>
          <w:sz w:val="20"/>
          <w:szCs w:val="20"/>
          <w:b w:val="1"/>
          <w:bCs w:val="1"/>
          <w:color w:val="auto"/>
        </w:rPr>
        <w:t>.</w:t>
      </w:r>
    </w:p>
    <w:p>
      <w:pPr>
        <w:sectPr>
          <w:pgSz w:w="11900" w:h="16838" w:orient="portrait"/>
          <w:cols w:equalWidth="0" w:num="1">
            <w:col w:w="11420"/>
          </w:cols>
          <w:pgMar w:left="240" w:top="555" w:right="239" w:bottom="1440" w:gutter="0" w:footer="0" w:header="0"/>
        </w:sectPr>
      </w:pPr>
    </w:p>
    <w:bookmarkStart w:id="191" w:name="page192"/>
    <w:bookmarkEnd w:id="191"/>
    <w:p>
      <w:pPr>
        <w:ind w:firstLine="648"/>
        <w:spacing w:after="0" w:line="273" w:lineRule="auto"/>
        <w:rPr>
          <w:sz w:val="20"/>
          <w:szCs w:val="20"/>
          <w:color w:val="auto"/>
        </w:rPr>
      </w:pPr>
      <w:r>
        <w:rPr>
          <w:rFonts w:ascii="Arial" w:cs="Arial" w:eastAsia="Arial" w:hAnsi="Arial"/>
          <w:sz w:val="18"/>
          <w:szCs w:val="18"/>
          <w:color w:val="auto"/>
        </w:rPr>
        <w:t>This Agreement shall be fully binding upon any Successor Employer or assign (whether direct or indirect, by purchase, merger, consolidation or otherwise) to the business and/or assets of the Company, in the same manner and to the same extent that the Company would be obligated under this Agreement as if no succession had taken place. In the case of any transaction in which a successor or assign would not by the foregoing provision, or by operation of law, be bound by this Agreement, the Company shall require such successor or assign to expressly and unconditionally assume and agree to perform all the obligations of the Company and each Employer under this Agreement, in the same manner and to the same extent that the Company and each Employer would be required to perform it if no such succession or assignment had taken place. Any failure to obtain such assumption and continuation of this Agreement shall constitute a material breach hereof. Reference to the Company in this Agreement shall, following the Effective Date, include any Successor Employer.</w:t>
      </w:r>
    </w:p>
    <w:p>
      <w:pPr>
        <w:spacing w:after="0" w:line="169" w:lineRule="exact"/>
        <w:rPr>
          <w:sz w:val="20"/>
          <w:szCs w:val="20"/>
          <w:color w:val="auto"/>
        </w:rPr>
      </w:pPr>
    </w:p>
    <w:p>
      <w:pPr>
        <w:ind w:right="60" w:firstLine="648"/>
        <w:spacing w:after="0" w:line="250" w:lineRule="auto"/>
        <w:rPr>
          <w:sz w:val="20"/>
          <w:szCs w:val="20"/>
          <w:color w:val="auto"/>
        </w:rPr>
      </w:pPr>
      <w:r>
        <w:rPr>
          <w:rFonts w:ascii="Arial" w:cs="Arial" w:eastAsia="Arial" w:hAnsi="Arial"/>
          <w:sz w:val="20"/>
          <w:szCs w:val="20"/>
          <w:color w:val="auto"/>
        </w:rPr>
        <w:t>Neither this Agreement nor any right or interest hereunder shall be assignable or transferable by the Employee, Employee’s beneficiaries or legal representatives, except by will or by the laws of descent and distribution. This Agreement shall inure to the benefit of and be enforceable by the Employee’s legal personal representative.</w:t>
      </w:r>
    </w:p>
    <w:p>
      <w:pPr>
        <w:spacing w:after="0" w:line="180" w:lineRule="exact"/>
        <w:rPr>
          <w:sz w:val="20"/>
          <w:szCs w:val="20"/>
          <w:color w:val="auto"/>
        </w:rPr>
      </w:pPr>
    </w:p>
    <w:p>
      <w:pPr>
        <w:ind w:left="660" w:hanging="652"/>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20"/>
          <w:szCs w:val="20"/>
          <w:b w:val="1"/>
          <w:bCs w:val="1"/>
          <w:u w:val="single" w:color="auto"/>
          <w:color w:val="auto"/>
        </w:rPr>
        <w:t>FEES AND EXPENSES</w:t>
      </w:r>
      <w:r>
        <w:rPr>
          <w:rFonts w:ascii="Arial" w:cs="Arial" w:eastAsia="Arial" w:hAnsi="Arial"/>
          <w:sz w:val="20"/>
          <w:szCs w:val="20"/>
          <w:b w:val="1"/>
          <w:bCs w:val="1"/>
          <w:color w:val="auto"/>
        </w:rPr>
        <w:t>.</w:t>
      </w:r>
    </w:p>
    <w:p>
      <w:pPr>
        <w:spacing w:after="0" w:line="222" w:lineRule="exact"/>
        <w:rPr>
          <w:sz w:val="20"/>
          <w:szCs w:val="20"/>
          <w:color w:val="auto"/>
        </w:rPr>
      </w:pPr>
    </w:p>
    <w:p>
      <w:pPr>
        <w:ind w:left="80" w:right="20" w:firstLine="648"/>
        <w:spacing w:after="0" w:line="250" w:lineRule="auto"/>
        <w:rPr>
          <w:sz w:val="20"/>
          <w:szCs w:val="20"/>
          <w:color w:val="auto"/>
        </w:rPr>
      </w:pPr>
      <w:r>
        <w:rPr>
          <w:rFonts w:ascii="Arial" w:cs="Arial" w:eastAsia="Arial" w:hAnsi="Arial"/>
          <w:sz w:val="20"/>
          <w:szCs w:val="20"/>
          <w:color w:val="auto"/>
        </w:rPr>
        <w:t>The Company shall pay all legal fees and related expenses (including the costs of experts, evidence and counsel) reasonably and in good faith incurred by the Employee as they become due as a result of the Employee seeking to obtain or enforce any right or benefit provided by this Agreement.</w:t>
      </w:r>
    </w:p>
    <w:p>
      <w:pPr>
        <w:spacing w:after="0" w:line="200" w:lineRule="exact"/>
        <w:rPr>
          <w:sz w:val="20"/>
          <w:szCs w:val="20"/>
          <w:color w:val="auto"/>
        </w:rPr>
      </w:pPr>
    </w:p>
    <w:p>
      <w:pPr>
        <w:ind w:left="80" w:right="20" w:firstLine="648"/>
        <w:spacing w:after="0" w:line="287" w:lineRule="auto"/>
        <w:rPr>
          <w:sz w:val="20"/>
          <w:szCs w:val="20"/>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15</w:t>
      </w:r>
      <w:r>
        <w:rPr>
          <w:rFonts w:ascii="Arial" w:cs="Arial" w:eastAsia="Arial" w:hAnsi="Arial"/>
          <w:sz w:val="19"/>
          <w:szCs w:val="19"/>
          <w:color w:val="auto"/>
        </w:rPr>
        <w:t>, the Employee will not be deemed to have incurred legal fees or expenses reasonably or in good faith if, following resolution of a dispute under this Agreement, he has failed to prevail on at least one material issue in dispute. The amount of expenses eligible for reimbursement hereunder during any given calendar year shall not affect the expenses eligible for reimbursement in any other calendar year. Employee shall submit verification of expenses to the Company within sixty (60) days from the date the expense was incurred, and the Company shall reimburse eligible expenses within thirty (30) days thereafter, but in any case no later than the last day of the calendar year following the calendar year in which the expense was incurred. The right to reimbursement of legal fees and expenses hereunder may not be exchanged for cash or any other benefit.</w:t>
      </w:r>
    </w:p>
    <w:p>
      <w:pPr>
        <w:spacing w:after="0" w:line="164" w:lineRule="exact"/>
        <w:rPr>
          <w:sz w:val="20"/>
          <w:szCs w:val="20"/>
          <w:color w:val="auto"/>
        </w:rPr>
      </w:pPr>
    </w:p>
    <w:p>
      <w:pPr>
        <w:ind w:left="660" w:hanging="652"/>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20"/>
          <w:szCs w:val="20"/>
          <w:b w:val="1"/>
          <w:bCs w:val="1"/>
          <w:u w:val="single" w:color="auto"/>
          <w:color w:val="auto"/>
        </w:rPr>
        <w:t>NOTICE</w:t>
      </w:r>
      <w:r>
        <w:rPr>
          <w:rFonts w:ascii="Arial" w:cs="Arial" w:eastAsia="Arial" w:hAnsi="Arial"/>
          <w:sz w:val="20"/>
          <w:szCs w:val="20"/>
          <w:b w:val="1"/>
          <w:bCs w:val="1"/>
          <w:color w:val="auto"/>
        </w:rPr>
        <w:t>.</w:t>
      </w:r>
    </w:p>
    <w:p>
      <w:pPr>
        <w:spacing w:after="0" w:line="276" w:lineRule="exact"/>
        <w:rPr>
          <w:sz w:val="20"/>
          <w:szCs w:val="20"/>
          <w:color w:val="auto"/>
        </w:rPr>
      </w:pPr>
    </w:p>
    <w:p>
      <w:pPr>
        <w:ind w:right="40" w:firstLine="648"/>
        <w:spacing w:after="0" w:line="243" w:lineRule="auto"/>
        <w:rPr>
          <w:sz w:val="20"/>
          <w:szCs w:val="20"/>
          <w:color w:val="auto"/>
        </w:rPr>
      </w:pPr>
      <w:r>
        <w:rPr>
          <w:rFonts w:ascii="Arial" w:cs="Arial" w:eastAsia="Arial" w:hAnsi="Arial"/>
          <w:sz w:val="20"/>
          <w:szCs w:val="20"/>
          <w:color w:val="auto"/>
        </w:rPr>
        <w:t>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last known address of Employee or in the case of the Company, to the principal executive office to the attention of the Board of Directors of the Company. All notices and communications shall be deemed to have been received on the date of delivery thereof if personally delivered, or on the third business day after the mailing thereof, except that notice of change of address shall be effective only upon receipt.</w:t>
      </w:r>
    </w:p>
    <w:p>
      <w:pPr>
        <w:spacing w:after="0" w:line="190" w:lineRule="exact"/>
        <w:rPr>
          <w:sz w:val="20"/>
          <w:szCs w:val="20"/>
          <w:color w:val="auto"/>
        </w:rPr>
      </w:pPr>
    </w:p>
    <w:p>
      <w:pPr>
        <w:ind w:left="660" w:hanging="652"/>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20"/>
          <w:szCs w:val="20"/>
          <w:b w:val="1"/>
          <w:bCs w:val="1"/>
          <w:u w:val="single" w:color="auto"/>
          <w:color w:val="auto"/>
        </w:rPr>
        <w:t>NONEXCLUSIVITY OF RIGHTS</w:t>
      </w:r>
      <w:r>
        <w:rPr>
          <w:rFonts w:ascii="Arial" w:cs="Arial" w:eastAsia="Arial" w:hAnsi="Arial"/>
          <w:sz w:val="20"/>
          <w:szCs w:val="20"/>
          <w:b w:val="1"/>
          <w:bCs w:val="1"/>
          <w:color w:val="auto"/>
        </w:rPr>
        <w:t>.</w:t>
      </w:r>
    </w:p>
    <w:p>
      <w:pPr>
        <w:spacing w:after="0" w:line="276" w:lineRule="exact"/>
        <w:rPr>
          <w:sz w:val="20"/>
          <w:szCs w:val="20"/>
          <w:color w:val="auto"/>
        </w:rPr>
      </w:pPr>
    </w:p>
    <w:p>
      <w:pPr>
        <w:ind w:right="140" w:firstLine="648"/>
        <w:spacing w:after="0" w:line="242" w:lineRule="auto"/>
        <w:rPr>
          <w:sz w:val="20"/>
          <w:szCs w:val="20"/>
          <w:color w:val="auto"/>
        </w:rPr>
      </w:pPr>
      <w:r>
        <w:rPr>
          <w:rFonts w:ascii="Arial" w:cs="Arial" w:eastAsia="Arial" w:hAnsi="Arial"/>
          <w:sz w:val="20"/>
          <w:szCs w:val="20"/>
          <w:color w:val="auto"/>
        </w:rPr>
        <w:t>Except as expressly provided herein, nothing in this Agreement shall prevent or limit Employee’s continuing or future participation in any benefit, bonus, incentive or other plan or program provided by the Company or any of its Subsidiaries or Affiliates and for which Employee may qualify, nor shall anything herein limit or reduce such rights as Employee may have under any other agreements with the Company or any of its Subsidiaries or Affiliates; provided however that in the event that Employee becomes eligible for any cash severance benefits under a Company severance program, plan or policy as a result of a termination during the Protection Period, then the Severance Compensation payable to Employee under this Agreement shall be reduced by any such cash severance benefits. Amounts which are vested benefits or which Employee is otherwise entitled to receive under any plan or program of the Company or any of its Subsidiaries or Affiliates shall be payable in</w:t>
      </w:r>
    </w:p>
    <w:p>
      <w:pPr>
        <w:sectPr>
          <w:pgSz w:w="11900" w:h="16838" w:orient="portrait"/>
          <w:cols w:equalWidth="0" w:num="1">
            <w:col w:w="11400"/>
          </w:cols>
          <w:pgMar w:left="240" w:top="609" w:right="259" w:bottom="1440" w:gutter="0" w:footer="0" w:header="0"/>
        </w:sectPr>
      </w:pPr>
    </w:p>
    <w:bookmarkStart w:id="192" w:name="page193"/>
    <w:bookmarkEnd w:id="192"/>
    <w:p>
      <w:pPr>
        <w:ind w:right="100"/>
        <w:spacing w:after="0" w:line="246" w:lineRule="auto"/>
        <w:rPr>
          <w:sz w:val="20"/>
          <w:szCs w:val="20"/>
          <w:color w:val="auto"/>
        </w:rPr>
      </w:pPr>
      <w:r>
        <w:rPr>
          <w:rFonts w:ascii="Arial" w:cs="Arial" w:eastAsia="Arial" w:hAnsi="Arial"/>
          <w:sz w:val="20"/>
          <w:szCs w:val="20"/>
          <w:color w:val="auto"/>
        </w:rPr>
        <w:t>accordance with such plan or program, except as explicitly modified by this Agreement; provided, however, and notwithstanding anything contained in this Agreement, in the event that Employee is not a participant in or eligible to participate in any Welfare Benefits or the Pension Plan, then nothing contained in this Agreement shall be deemed to provide for or suggest the right in Employee to be a participant in or be eligible to participate in the Welfare Benefits or the Pension Plan.</w:t>
      </w:r>
    </w:p>
    <w:p>
      <w:pPr>
        <w:spacing w:after="0" w:line="186" w:lineRule="exact"/>
        <w:rPr>
          <w:sz w:val="20"/>
          <w:szCs w:val="20"/>
          <w:color w:val="auto"/>
        </w:rPr>
      </w:pPr>
    </w:p>
    <w:p>
      <w:pPr>
        <w:ind w:left="660" w:hanging="652"/>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20"/>
          <w:szCs w:val="20"/>
          <w:b w:val="1"/>
          <w:bCs w:val="1"/>
          <w:u w:val="single" w:color="auto"/>
          <w:color w:val="auto"/>
        </w:rPr>
        <w:t>MISCELLANEOUS</w:t>
      </w:r>
      <w:r>
        <w:rPr>
          <w:rFonts w:ascii="Arial" w:cs="Arial" w:eastAsia="Arial" w:hAnsi="Arial"/>
          <w:sz w:val="20"/>
          <w:szCs w:val="20"/>
          <w:b w:val="1"/>
          <w:bCs w:val="1"/>
          <w:color w:val="auto"/>
        </w:rPr>
        <w:t>.</w:t>
      </w:r>
    </w:p>
    <w:p>
      <w:pPr>
        <w:spacing w:after="0" w:line="276" w:lineRule="exact"/>
        <w:rPr>
          <w:sz w:val="20"/>
          <w:szCs w:val="20"/>
          <w:color w:val="auto"/>
        </w:rPr>
      </w:pPr>
    </w:p>
    <w:p>
      <w:pPr>
        <w:ind w:right="120" w:firstLine="648"/>
        <w:spacing w:after="0" w:line="321" w:lineRule="auto"/>
        <w:rPr>
          <w:sz w:val="20"/>
          <w:szCs w:val="20"/>
          <w:color w:val="auto"/>
        </w:rPr>
      </w:pPr>
      <w:r>
        <w:rPr>
          <w:rFonts w:ascii="Arial" w:cs="Arial" w:eastAsia="Arial" w:hAnsi="Arial"/>
          <w:sz w:val="16"/>
          <w:szCs w:val="16"/>
          <w:color w:val="auto"/>
        </w:rPr>
        <w:t>No provision of this Agreement may be modified, waived or discharged unless such waiver, modification or discharge is agreed to in writing and signed by Employee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128" w:lineRule="exact"/>
        <w:rPr>
          <w:sz w:val="20"/>
          <w:szCs w:val="20"/>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20"/>
          <w:szCs w:val="20"/>
          <w:b w:val="1"/>
          <w:bCs w:val="1"/>
          <w:u w:val="single" w:color="auto"/>
          <w:color w:val="auto"/>
        </w:rPr>
        <w:t>GOVERNING LAW</w:t>
      </w:r>
      <w:r>
        <w:rPr>
          <w:rFonts w:ascii="Arial" w:cs="Arial" w:eastAsia="Arial" w:hAnsi="Arial"/>
          <w:sz w:val="20"/>
          <w:szCs w:val="20"/>
          <w:b w:val="1"/>
          <w:bCs w:val="1"/>
          <w:color w:val="auto"/>
        </w:rPr>
        <w:t>.</w:t>
      </w:r>
    </w:p>
    <w:p>
      <w:pPr>
        <w:spacing w:after="0" w:line="27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9"/>
          <w:szCs w:val="19"/>
          <w:color w:val="auto"/>
        </w:rPr>
        <w:t>This Agreement shall be governed by and construed and enforced in accordance with the laws of the State of South Dakota.</w:t>
      </w:r>
    </w:p>
    <w:p>
      <w:pPr>
        <w:spacing w:after="0" w:line="221" w:lineRule="exact"/>
        <w:rPr>
          <w:rFonts w:ascii="Arial" w:cs="Arial" w:eastAsia="Arial" w:hAnsi="Arial"/>
          <w:sz w:val="18"/>
          <w:szCs w:val="18"/>
          <w:color w:val="auto"/>
        </w:rPr>
      </w:pPr>
    </w:p>
    <w:p>
      <w:pPr>
        <w:ind w:left="660" w:hanging="652"/>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20"/>
          <w:szCs w:val="20"/>
          <w:b w:val="1"/>
          <w:bCs w:val="1"/>
          <w:u w:val="single" w:color="auto"/>
          <w:color w:val="auto"/>
        </w:rPr>
        <w:t>SEVERABILITY</w:t>
      </w:r>
      <w:r>
        <w:rPr>
          <w:rFonts w:ascii="Arial" w:cs="Arial" w:eastAsia="Arial" w:hAnsi="Arial"/>
          <w:sz w:val="20"/>
          <w:szCs w:val="20"/>
          <w:b w:val="1"/>
          <w:bCs w:val="1"/>
          <w:color w:val="auto"/>
        </w:rPr>
        <w:t>.</w:t>
      </w:r>
    </w:p>
    <w:p>
      <w:pPr>
        <w:spacing w:after="0" w:line="276" w:lineRule="exact"/>
        <w:rPr>
          <w:sz w:val="20"/>
          <w:szCs w:val="20"/>
          <w:color w:val="auto"/>
        </w:rPr>
      </w:pPr>
    </w:p>
    <w:p>
      <w:pPr>
        <w:ind w:right="40" w:firstLine="648"/>
        <w:spacing w:after="0" w:line="260" w:lineRule="auto"/>
        <w:rPr>
          <w:sz w:val="20"/>
          <w:szCs w:val="20"/>
          <w:color w:val="auto"/>
        </w:rPr>
      </w:pPr>
      <w:r>
        <w:rPr>
          <w:rFonts w:ascii="Arial" w:cs="Arial" w:eastAsia="Arial" w:hAnsi="Arial"/>
          <w:sz w:val="20"/>
          <w:szCs w:val="20"/>
          <w:color w:val="auto"/>
        </w:rPr>
        <w:t>The provisions of this Agreement shall be deemed severable and the invalidity or unenforceability of any provision shall not affect the validity or enforceability of the other provisions hereof.</w:t>
      </w:r>
    </w:p>
    <w:p>
      <w:pPr>
        <w:spacing w:after="0" w:line="171"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8"/>
          <w:szCs w:val="18"/>
          <w:color w:val="auto"/>
        </w:rPr>
      </w:pPr>
      <w:r>
        <w:rPr>
          <w:rFonts w:ascii="Arial" w:cs="Arial" w:eastAsia="Arial" w:hAnsi="Arial"/>
          <w:sz w:val="20"/>
          <w:szCs w:val="20"/>
          <w:b w:val="1"/>
          <w:bCs w:val="1"/>
          <w:u w:val="single" w:color="auto"/>
          <w:color w:val="auto"/>
        </w:rPr>
        <w:t>NO GUARANTEED EMPLOYMENT</w:t>
      </w:r>
      <w:r>
        <w:rPr>
          <w:rFonts w:ascii="Arial" w:cs="Arial" w:eastAsia="Arial" w:hAnsi="Arial"/>
          <w:sz w:val="20"/>
          <w:szCs w:val="20"/>
          <w:b w:val="1"/>
          <w:bCs w:val="1"/>
          <w:color w:val="auto"/>
        </w:rPr>
        <w:t>.</w:t>
      </w:r>
    </w:p>
    <w:p>
      <w:pPr>
        <w:spacing w:after="0" w:line="276" w:lineRule="exact"/>
        <w:rPr>
          <w:sz w:val="20"/>
          <w:szCs w:val="20"/>
          <w:color w:val="auto"/>
        </w:rPr>
      </w:pPr>
    </w:p>
    <w:p>
      <w:pPr>
        <w:ind w:right="420" w:firstLine="648"/>
        <w:spacing w:after="0" w:line="282" w:lineRule="auto"/>
        <w:rPr>
          <w:sz w:val="20"/>
          <w:szCs w:val="20"/>
          <w:color w:val="auto"/>
        </w:rPr>
      </w:pPr>
      <w:r>
        <w:rPr>
          <w:rFonts w:ascii="Arial" w:cs="Arial" w:eastAsia="Arial" w:hAnsi="Arial"/>
          <w:sz w:val="18"/>
          <w:szCs w:val="18"/>
          <w:color w:val="auto"/>
        </w:rPr>
        <w:t>Employee and the Company acknowledge that, except as may otherwise be provided under any other written agreement between Employee and the Company, the employment of Employee by the Company is “at will” and may be terminated by either Employee or the Company at any time, subject to the rights and obligations under this Agreement. Moreover, if prior to the Effective Date, Employee’s employment with the Company terminates for any reason, Employee shall have no further rights under this Agreement.</w:t>
      </w:r>
    </w:p>
    <w:p>
      <w:pPr>
        <w:spacing w:after="0" w:line="156" w:lineRule="exact"/>
        <w:rPr>
          <w:sz w:val="20"/>
          <w:szCs w:val="20"/>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20"/>
          <w:szCs w:val="20"/>
          <w:b w:val="1"/>
          <w:bCs w:val="1"/>
          <w:u w:val="single" w:color="auto"/>
          <w:color w:val="auto"/>
        </w:rPr>
        <w:t>SUBSIDIARY DEEMED TO BE COMPANY FOR PORTIONS OF AGREEMENT</w:t>
      </w:r>
      <w:r>
        <w:rPr>
          <w:rFonts w:ascii="Arial" w:cs="Arial" w:eastAsia="Arial" w:hAnsi="Arial"/>
          <w:sz w:val="20"/>
          <w:szCs w:val="20"/>
          <w:b w:val="1"/>
          <w:bCs w:val="1"/>
          <w:color w:val="auto"/>
        </w:rPr>
        <w:t>.</w:t>
      </w:r>
    </w:p>
    <w:p>
      <w:pPr>
        <w:spacing w:after="0" w:line="276" w:lineRule="exact"/>
        <w:rPr>
          <w:sz w:val="20"/>
          <w:szCs w:val="20"/>
          <w:color w:val="auto"/>
        </w:rPr>
      </w:pPr>
    </w:p>
    <w:p>
      <w:pPr>
        <w:ind w:right="140" w:firstLine="648"/>
        <w:spacing w:after="0" w:line="260" w:lineRule="auto"/>
        <w:rPr>
          <w:sz w:val="20"/>
          <w:szCs w:val="20"/>
          <w:color w:val="auto"/>
        </w:rPr>
      </w:pPr>
      <w:r>
        <w:rPr>
          <w:rFonts w:ascii="Arial" w:cs="Arial" w:eastAsia="Arial" w:hAnsi="Arial"/>
          <w:sz w:val="19"/>
          <w:szCs w:val="19"/>
          <w:color w:val="auto"/>
        </w:rPr>
        <w:t>In the event that subsequent to the date of this Agreement the Employee becomes an employee of a Subsidiary or Affiliate of the Company, or in the event that any Employee is an employee of a Subsidiary or Affiliate of the Company, the references to “Company” in this Agreement shall be deemed to be a reference to the subsidiary or Affiliate which may employ the Employee to the full extent necessary or appropriate to preserve the intent of this Agreement; provided, however, nothing herein shall mean or suggest that any benefits are applicable hereunder upon a change in control of a Subsidiary or Affiliate rather than the Company.</w:t>
      </w:r>
    </w:p>
    <w:p>
      <w:pPr>
        <w:spacing w:after="0" w:line="175" w:lineRule="exact"/>
        <w:rPr>
          <w:sz w:val="20"/>
          <w:szCs w:val="20"/>
          <w:color w:val="auto"/>
        </w:rPr>
      </w:pPr>
    </w:p>
    <w:p>
      <w:pPr>
        <w:ind w:left="660" w:hanging="328"/>
        <w:spacing w:after="0"/>
        <w:tabs>
          <w:tab w:leader="none" w:pos="660" w:val="left"/>
        </w:tabs>
        <w:numPr>
          <w:ilvl w:val="0"/>
          <w:numId w:val="191"/>
        </w:numPr>
        <w:rPr>
          <w:rFonts w:ascii="Arial" w:cs="Arial" w:eastAsia="Arial" w:hAnsi="Arial"/>
          <w:sz w:val="18"/>
          <w:szCs w:val="18"/>
          <w:color w:val="auto"/>
        </w:rPr>
      </w:pPr>
      <w:r>
        <w:rPr>
          <w:rFonts w:ascii="Arial" w:cs="Arial" w:eastAsia="Arial" w:hAnsi="Arial"/>
          <w:sz w:val="20"/>
          <w:szCs w:val="20"/>
          <w:b w:val="1"/>
          <w:bCs w:val="1"/>
          <w:u w:val="single" w:color="auto"/>
          <w:color w:val="auto"/>
        </w:rPr>
        <w:t>ENTIRE AGREEMENT</w:t>
      </w:r>
      <w:r>
        <w:rPr>
          <w:rFonts w:ascii="Arial" w:cs="Arial" w:eastAsia="Arial" w:hAnsi="Arial"/>
          <w:sz w:val="20"/>
          <w:szCs w:val="20"/>
          <w:b w:val="1"/>
          <w:bCs w:val="1"/>
          <w:color w:val="auto"/>
        </w:rPr>
        <w:t>.</w:t>
      </w:r>
    </w:p>
    <w:p>
      <w:pPr>
        <w:spacing w:after="0" w:line="27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This Agreement constitutes the entire agreement between the parties hereto and supersedes all prior agreements, if any, understandings and arrangements, oral or written, between the parties hereto with respect to the subject matter 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Dated this 15</w:t>
      </w:r>
      <w:r>
        <w:rPr>
          <w:rFonts w:ascii="Arial" w:cs="Arial" w:eastAsia="Arial" w:hAnsi="Arial"/>
          <w:sz w:val="25"/>
          <w:szCs w:val="25"/>
          <w:color w:val="auto"/>
          <w:vertAlign w:val="superscript"/>
        </w:rPr>
        <w:t>th</w:t>
      </w:r>
      <w:r>
        <w:rPr>
          <w:rFonts w:ascii="Arial" w:cs="Arial" w:eastAsia="Arial" w:hAnsi="Arial"/>
          <w:sz w:val="20"/>
          <w:szCs w:val="20"/>
          <w:color w:val="auto"/>
        </w:rPr>
        <w:t xml:space="preserve"> day of November, 2019.</w:t>
      </w:r>
    </w:p>
    <w:p>
      <w:pPr>
        <w:sectPr>
          <w:pgSz w:w="11900" w:h="16838" w:orient="portrait"/>
          <w:cols w:equalWidth="0" w:num="1">
            <w:col w:w="11340"/>
          </w:cols>
          <w:pgMar w:left="240" w:top="609" w:right="319" w:bottom="1440" w:gutter="0" w:footer="0" w:header="0"/>
        </w:sectPr>
      </w:pPr>
    </w:p>
    <w:bookmarkStart w:id="193" w:name="page194"/>
    <w:bookmarkEnd w:id="193"/>
    <w:p>
      <w:pPr>
        <w:ind w:left="3340"/>
        <w:spacing w:after="0"/>
        <w:rPr>
          <w:sz w:val="20"/>
          <w:szCs w:val="20"/>
          <w:color w:val="auto"/>
        </w:rPr>
      </w:pPr>
      <w:r>
        <w:rPr>
          <w:rFonts w:ascii="Arial" w:cs="Arial" w:eastAsia="Arial" w:hAnsi="Arial"/>
          <w:sz w:val="20"/>
          <w:szCs w:val="20"/>
          <w:color w:val="auto"/>
        </w:rPr>
        <w:t>BLACK HILLS CORPORATION</w:t>
      </w:r>
    </w:p>
    <w:p>
      <w:pPr>
        <w:spacing w:after="0" w:line="200" w:lineRule="exact"/>
        <w:rPr>
          <w:sz w:val="20"/>
          <w:szCs w:val="20"/>
          <w:color w:val="auto"/>
        </w:rPr>
      </w:pPr>
    </w:p>
    <w:p>
      <w:pPr>
        <w:spacing w:after="0" w:line="232"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2420620</wp:posOffset>
            </wp:positionH>
            <wp:positionV relativeFrom="paragraph">
              <wp:posOffset>-14605</wp:posOffset>
            </wp:positionV>
            <wp:extent cx="57150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112">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ind w:left="4000"/>
        <w:spacing w:after="0"/>
        <w:rPr>
          <w:sz w:val="20"/>
          <w:szCs w:val="20"/>
          <w:color w:val="auto"/>
        </w:rPr>
      </w:pPr>
      <w:r>
        <w:rPr>
          <w:rFonts w:ascii="Arial" w:cs="Arial" w:eastAsia="Arial" w:hAnsi="Arial"/>
          <w:sz w:val="20"/>
          <w:szCs w:val="20"/>
          <w:color w:val="auto"/>
        </w:rPr>
        <w:t>Linden R. Evans</w:t>
      </w:r>
    </w:p>
    <w:p>
      <w:pPr>
        <w:ind w:left="40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9" w:lineRule="exact"/>
        <w:rPr>
          <w:sz w:val="20"/>
          <w:szCs w:val="20"/>
          <w:color w:val="auto"/>
        </w:rPr>
      </w:pPr>
    </w:p>
    <w:p>
      <w:pPr>
        <w:ind w:left="3340"/>
        <w:spacing w:after="0"/>
        <w:rPr>
          <w:sz w:val="20"/>
          <w:szCs w:val="20"/>
          <w:color w:val="auto"/>
        </w:rPr>
      </w:pPr>
      <w:r>
        <w:rPr>
          <w:rFonts w:ascii="Arial" w:cs="Arial" w:eastAsia="Arial" w:hAnsi="Arial"/>
          <w:sz w:val="20"/>
          <w:szCs w:val="20"/>
          <w:color w:val="auto"/>
        </w:rPr>
        <w:t>EMPLOYEE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743585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1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drawing>
          <wp:anchor simplePos="0" relativeHeight="251657728" behindDoc="1" locked="0" layoutInCell="0" allowOverlap="1">
            <wp:simplePos x="0" y="0"/>
            <wp:positionH relativeFrom="column">
              <wp:posOffset>4594225</wp:posOffset>
            </wp:positionH>
            <wp:positionV relativeFrom="paragraph">
              <wp:posOffset>396240</wp:posOffset>
            </wp:positionV>
            <wp:extent cx="6858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114">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ectPr>
          <w:pgSz w:w="11900" w:h="16838" w:orient="portrait"/>
          <w:cols w:equalWidth="0" w:num="1">
            <w:col w:w="9019"/>
          </w:cols>
          <w:pgMar w:left="1440" w:top="609" w:right="1440" w:bottom="1440" w:gutter="0" w:footer="0" w:header="0"/>
        </w:sectPr>
      </w:pPr>
    </w:p>
    <w:bookmarkStart w:id="194" w:name="page195"/>
    <w:bookmarkEnd w:id="194"/>
    <w:p>
      <w:pPr>
        <w:jc w:val="center"/>
        <w:ind w:left="1980"/>
        <w:spacing w:after="0"/>
        <w:rPr>
          <w:sz w:val="20"/>
          <w:szCs w:val="20"/>
          <w:color w:val="auto"/>
        </w:rPr>
      </w:pPr>
      <w:r>
        <w:rPr>
          <w:rFonts w:ascii="Arial" w:cs="Arial" w:eastAsia="Arial" w:hAnsi="Arial"/>
          <w:sz w:val="20"/>
          <w:szCs w:val="20"/>
          <w:b w:val="1"/>
          <w:bCs w:val="1"/>
          <w:color w:val="auto"/>
        </w:rPr>
        <w:t>EXHIBIT A</w:t>
      </w:r>
    </w:p>
    <w:p>
      <w:pPr>
        <w:spacing w:after="0" w:line="216" w:lineRule="exact"/>
        <w:rPr>
          <w:sz w:val="20"/>
          <w:szCs w:val="20"/>
          <w:color w:val="auto"/>
        </w:rPr>
      </w:pPr>
    </w:p>
    <w:p>
      <w:pPr>
        <w:ind w:left="4820"/>
        <w:spacing w:after="0"/>
        <w:rPr>
          <w:sz w:val="20"/>
          <w:szCs w:val="20"/>
          <w:color w:val="auto"/>
        </w:rPr>
      </w:pPr>
      <w:r>
        <w:rPr>
          <w:rFonts w:ascii="Arial" w:cs="Arial" w:eastAsia="Arial" w:hAnsi="Arial"/>
          <w:sz w:val="20"/>
          <w:szCs w:val="20"/>
          <w:b w:val="1"/>
          <w:bCs w:val="1"/>
          <w:u w:val="single" w:color="auto"/>
          <w:color w:val="auto"/>
        </w:rPr>
        <w:t>WAIVER AND RELEASE AGREEMENT</w:t>
      </w:r>
    </w:p>
    <w:p>
      <w:pPr>
        <w:spacing w:after="0" w:line="270" w:lineRule="exact"/>
        <w:rPr>
          <w:sz w:val="20"/>
          <w:szCs w:val="20"/>
          <w:color w:val="auto"/>
        </w:rPr>
      </w:pPr>
    </w:p>
    <w:p>
      <w:pPr>
        <w:ind w:right="980" w:firstLine="648"/>
        <w:spacing w:after="0" w:line="293" w:lineRule="auto"/>
        <w:rPr>
          <w:sz w:val="20"/>
          <w:szCs w:val="20"/>
          <w:color w:val="auto"/>
        </w:rPr>
      </w:pPr>
      <w:r>
        <w:rPr>
          <w:rFonts w:ascii="Arial" w:cs="Arial" w:eastAsia="Arial" w:hAnsi="Arial"/>
          <w:sz w:val="19"/>
          <w:szCs w:val="19"/>
          <w:color w:val="auto"/>
        </w:rPr>
        <w:t xml:space="preserve">This </w:t>
      </w:r>
      <w:r>
        <w:rPr>
          <w:rFonts w:ascii="Arial" w:cs="Arial" w:eastAsia="Arial" w:hAnsi="Arial"/>
          <w:sz w:val="19"/>
          <w:szCs w:val="19"/>
          <w:b w:val="1"/>
          <w:bCs w:val="1"/>
          <w:color w:val="auto"/>
        </w:rPr>
        <w:t>Waiver and Release Agreement</w:t>
      </w:r>
      <w:r>
        <w:rPr>
          <w:rFonts w:ascii="Arial" w:cs="Arial" w:eastAsia="Arial" w:hAnsi="Arial"/>
          <w:sz w:val="19"/>
          <w:szCs w:val="19"/>
          <w:color w:val="auto"/>
        </w:rPr>
        <w:t xml:space="preserve"> (the “</w:t>
      </w:r>
      <w:r>
        <w:rPr>
          <w:rFonts w:ascii="Arial" w:cs="Arial" w:eastAsia="Arial" w:hAnsi="Arial"/>
          <w:sz w:val="19"/>
          <w:szCs w:val="19"/>
          <w:b w:val="1"/>
          <w:bCs w:val="1"/>
          <w:color w:val="auto"/>
        </w:rPr>
        <w:t>Waiver and Release</w:t>
      </w:r>
      <w:r>
        <w:rPr>
          <w:rFonts w:ascii="Arial" w:cs="Arial" w:eastAsia="Arial" w:hAnsi="Arial"/>
          <w:sz w:val="19"/>
          <w:szCs w:val="19"/>
          <w:color w:val="auto"/>
        </w:rPr>
        <w:t>”) is entered into by and among Black Hills Corporation (“</w:t>
      </w:r>
      <w:r>
        <w:rPr>
          <w:rFonts w:ascii="Arial" w:cs="Arial" w:eastAsia="Arial" w:hAnsi="Arial"/>
          <w:sz w:val="19"/>
          <w:szCs w:val="19"/>
          <w:b w:val="1"/>
          <w:bCs w:val="1"/>
          <w:color w:val="auto"/>
        </w:rPr>
        <w:t>Company</w:t>
      </w:r>
      <w:r>
        <w:rPr>
          <w:rFonts w:ascii="Arial" w:cs="Arial" w:eastAsia="Arial" w:hAnsi="Arial"/>
          <w:sz w:val="19"/>
          <w:szCs w:val="19"/>
          <w:color w:val="auto"/>
        </w:rPr>
        <w:t>”) and ____________________(“</w:t>
      </w:r>
      <w:r>
        <w:rPr>
          <w:rFonts w:ascii="Arial" w:cs="Arial" w:eastAsia="Arial" w:hAnsi="Arial"/>
          <w:sz w:val="19"/>
          <w:szCs w:val="19"/>
          <w:b w:val="1"/>
          <w:bCs w:val="1"/>
          <w:color w:val="auto"/>
        </w:rPr>
        <w:t>Employee</w:t>
      </w:r>
      <w:r>
        <w:rPr>
          <w:rFonts w:ascii="Arial" w:cs="Arial" w:eastAsia="Arial" w:hAnsi="Arial"/>
          <w:sz w:val="19"/>
          <w:szCs w:val="19"/>
          <w:color w:val="auto"/>
        </w:rPr>
        <w:t>”) this ____ day of ____________________, 20___,</w:t>
      </w:r>
    </w:p>
    <w:p>
      <w:pPr>
        <w:spacing w:after="0" w:line="142" w:lineRule="exact"/>
        <w:rPr>
          <w:sz w:val="20"/>
          <w:szCs w:val="20"/>
          <w:color w:val="auto"/>
        </w:rPr>
      </w:pPr>
    </w:p>
    <w:p>
      <w:pPr>
        <w:ind w:left="640" w:firstLine="652"/>
        <w:spacing w:after="0" w:line="289" w:lineRule="auto"/>
        <w:tabs>
          <w:tab w:leader="none" w:pos="1990" w:val="left"/>
        </w:tabs>
        <w:numPr>
          <w:ilvl w:val="1"/>
          <w:numId w:val="192"/>
        </w:numPr>
        <w:rPr>
          <w:rFonts w:ascii="Arial" w:cs="Arial" w:eastAsia="Arial" w:hAnsi="Arial"/>
          <w:sz w:val="15"/>
          <w:szCs w:val="15"/>
          <w:color w:val="auto"/>
        </w:rPr>
      </w:pPr>
      <w:r>
        <w:rPr>
          <w:rFonts w:ascii="Arial" w:cs="Arial" w:eastAsia="Arial" w:hAnsi="Arial"/>
          <w:sz w:val="16"/>
          <w:szCs w:val="16"/>
          <w:b w:val="1"/>
          <w:bCs w:val="1"/>
          <w:color w:val="auto"/>
        </w:rPr>
        <w:t xml:space="preserve">General Waiver and Release. </w:t>
      </w:r>
      <w:r>
        <w:rPr>
          <w:rFonts w:ascii="Arial" w:cs="Arial" w:eastAsia="Arial" w:hAnsi="Arial"/>
          <w:sz w:val="16"/>
          <w:szCs w:val="16"/>
          <w:color w:val="auto"/>
        </w:rPr>
        <w:t>For and in consideration of the agreement of Company to provide Employee the</w:t>
      </w:r>
      <w:r>
        <w:rPr>
          <w:rFonts w:ascii="Arial" w:cs="Arial" w:eastAsia="Arial" w:hAnsi="Arial"/>
          <w:sz w:val="16"/>
          <w:szCs w:val="16"/>
          <w:b w:val="1"/>
          <w:bCs w:val="1"/>
          <w:color w:val="auto"/>
        </w:rPr>
        <w:t xml:space="preserve"> </w:t>
      </w:r>
      <w:r>
        <w:rPr>
          <w:rFonts w:ascii="Arial" w:cs="Arial" w:eastAsia="Arial" w:hAnsi="Arial"/>
          <w:sz w:val="16"/>
          <w:szCs w:val="16"/>
          <w:color w:val="auto"/>
        </w:rPr>
        <w:t>severance benefits described in that certain Change in Control Agreement, dated as of ______________________, 20___, between Employee and the Company (the “</w:t>
      </w:r>
      <w:r>
        <w:rPr>
          <w:rFonts w:ascii="Arial" w:cs="Arial" w:eastAsia="Arial" w:hAnsi="Arial"/>
          <w:sz w:val="16"/>
          <w:szCs w:val="16"/>
          <w:b w:val="1"/>
          <w:bCs w:val="1"/>
          <w:color w:val="auto"/>
        </w:rPr>
        <w:t>Agreement</w:t>
      </w:r>
      <w:r>
        <w:rPr>
          <w:rFonts w:ascii="Arial" w:cs="Arial" w:eastAsia="Arial" w:hAnsi="Arial"/>
          <w:sz w:val="16"/>
          <w:szCs w:val="16"/>
          <w:color w:val="auto"/>
        </w:rPr>
        <w:t>”), Employee, with the intention of binding himself and all of Employee’s heirs, executors, administrators and assigns, does hereby release, remise, acquit and forever discharge the Company, Successor Employer, their parents, affiliates, subsidiaries, predecessors, divisions, and successors, and all of their respective past and present officers, directors, stockholders, employees, agents, insurers, employee benefit plans and fiduciaries of such plans, assigns and attorneys (hereinafter collectively referred to as “</w:t>
      </w:r>
      <w:r>
        <w:rPr>
          <w:rFonts w:ascii="Arial" w:cs="Arial" w:eastAsia="Arial" w:hAnsi="Arial"/>
          <w:sz w:val="16"/>
          <w:szCs w:val="16"/>
          <w:b w:val="1"/>
          <w:bCs w:val="1"/>
          <w:color w:val="auto"/>
        </w:rPr>
        <w:t>Released Parties</w:t>
      </w:r>
      <w:r>
        <w:rPr>
          <w:rFonts w:ascii="Arial" w:cs="Arial" w:eastAsia="Arial" w:hAnsi="Arial"/>
          <w:sz w:val="16"/>
          <w:szCs w:val="16"/>
          <w:color w:val="auto"/>
        </w:rPr>
        <w:t>”) from any and all claims, charges, actions, causes of action, sums of money due, suites, debts, covenants, contracts, agreements, rights, damages, promises, demands or liabilities (hereinafter collectively referred to as “</w:t>
      </w:r>
      <w:r>
        <w:rPr>
          <w:rFonts w:ascii="Arial" w:cs="Arial" w:eastAsia="Arial" w:hAnsi="Arial"/>
          <w:sz w:val="16"/>
          <w:szCs w:val="16"/>
          <w:b w:val="1"/>
          <w:bCs w:val="1"/>
          <w:color w:val="auto"/>
        </w:rPr>
        <w:t>Claims</w:t>
      </w:r>
      <w:r>
        <w:rPr>
          <w:rFonts w:ascii="Arial" w:cs="Arial" w:eastAsia="Arial" w:hAnsi="Arial"/>
          <w:sz w:val="16"/>
          <w:szCs w:val="16"/>
          <w:color w:val="auto"/>
        </w:rPr>
        <w:t>”) whatsoever, in law or in equity, whether known or unknown, suspected or unsuspected, which Employee, individually or as a member of any class, now has, owns or holds or has at any time heretofore ever had, owned or held against the Released Parties, including but not limited to all Claims which arise out of or are in any way connected with Employee’s employment with the Company or any of the Released Parties or the termination of any such employment relationship, including, but not by way of limitation, Claims pursuant to federal, state or local statute, regulation, ordinance or common-law for (i) employment discrimination;</w:t>
      </w:r>
    </w:p>
    <w:p>
      <w:pPr>
        <w:spacing w:after="0" w:line="186" w:lineRule="exact"/>
        <w:rPr>
          <w:rFonts w:ascii="Arial" w:cs="Arial" w:eastAsia="Arial" w:hAnsi="Arial"/>
          <w:sz w:val="15"/>
          <w:szCs w:val="15"/>
          <w:color w:val="auto"/>
        </w:rPr>
      </w:pPr>
    </w:p>
    <w:p>
      <w:pPr>
        <w:jc w:val="both"/>
        <w:ind w:left="640" w:right="220" w:firstLine="4"/>
        <w:spacing w:after="0" w:line="231" w:lineRule="auto"/>
        <w:tabs>
          <w:tab w:leader="none" w:pos="931" w:val="left"/>
        </w:tabs>
        <w:numPr>
          <w:ilvl w:val="0"/>
          <w:numId w:val="193"/>
        </w:numPr>
        <w:rPr>
          <w:rFonts w:ascii="Arial" w:cs="Arial" w:eastAsia="Arial" w:hAnsi="Arial"/>
          <w:sz w:val="20"/>
          <w:szCs w:val="20"/>
          <w:color w:val="auto"/>
        </w:rPr>
      </w:pPr>
      <w:r>
        <w:rPr>
          <w:rFonts w:ascii="Arial" w:cs="Arial" w:eastAsia="Arial" w:hAnsi="Arial"/>
          <w:sz w:val="20"/>
          <w:szCs w:val="20"/>
          <w:color w:val="auto"/>
        </w:rPr>
        <w:t>wrongful discharge; (iii) breach of contract; (iv) tort actions of any type, including those for intentional or negligent infliction of emotional harm; and (v) unpaid benefits, wages, compensation, commissions, bonuses or incentive payments of any type, except as follows:</w:t>
      </w:r>
    </w:p>
    <w:p>
      <w:pPr>
        <w:spacing w:after="0" w:line="184" w:lineRule="exact"/>
        <w:rPr>
          <w:sz w:val="20"/>
          <w:szCs w:val="20"/>
          <w:color w:val="auto"/>
        </w:rPr>
      </w:pPr>
    </w:p>
    <w:p>
      <w:pPr>
        <w:ind w:left="1300" w:right="600" w:hanging="643"/>
        <w:spacing w:after="0" w:line="260"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Those obligations of the Company and its Affiliates to pay benefits upon termination of employment as set forth in the Agreement, pursuant to which this Waiver and Release is being executed and delivered;</w:t>
      </w:r>
    </w:p>
    <w:p>
      <w:pPr>
        <w:spacing w:after="0" w:line="176" w:lineRule="exact"/>
        <w:rPr>
          <w:rFonts w:ascii="Arial" w:cs="Arial" w:eastAsia="Arial" w:hAnsi="Arial"/>
          <w:sz w:val="18"/>
          <w:szCs w:val="18"/>
          <w:color w:val="auto"/>
        </w:rPr>
      </w:pPr>
    </w:p>
    <w:p>
      <w:pPr>
        <w:ind w:left="1300" w:hanging="643"/>
        <w:spacing w:after="0" w:line="243"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Claims, if any, for Employee’s vested benefits under the retirement plans, savings plans, investment plans and employee welfare benefit plans, if any, of the Released Parties (within the meaning of Section 3(1) of the Employee Retirement Income Security Act of 1974, as amended (“</w:t>
      </w:r>
      <w:r>
        <w:rPr>
          <w:rFonts w:ascii="Arial" w:cs="Arial" w:eastAsia="Arial" w:hAnsi="Arial"/>
          <w:sz w:val="20"/>
          <w:szCs w:val="20"/>
          <w:b w:val="1"/>
          <w:bCs w:val="1"/>
          <w:color w:val="auto"/>
        </w:rPr>
        <w:t>ERISA</w:t>
      </w:r>
      <w:r>
        <w:rPr>
          <w:rFonts w:ascii="Arial" w:cs="Arial" w:eastAsia="Arial" w:hAnsi="Arial"/>
          <w:sz w:val="20"/>
          <w:szCs w:val="20"/>
          <w:color w:val="auto"/>
        </w:rPr>
        <w:t>”)), as amended; provided, however, that nothing herein is intended to or shall be construed to require the Released Parties to institute or continue in effect any particular plan or benefit sponsored by the Released Parties and the Company and all other Released Parties hereby reserve the right to amend or terminate any such plan or benefit at any time; and</w:t>
      </w:r>
    </w:p>
    <w:p>
      <w:pPr>
        <w:spacing w:after="0" w:line="196" w:lineRule="exact"/>
        <w:rPr>
          <w:rFonts w:ascii="Arial" w:cs="Arial" w:eastAsia="Arial" w:hAnsi="Arial"/>
          <w:sz w:val="18"/>
          <w:szCs w:val="18"/>
          <w:color w:val="auto"/>
        </w:rPr>
      </w:pPr>
    </w:p>
    <w:p>
      <w:pPr>
        <w:ind w:left="1300" w:right="80" w:hanging="643"/>
        <w:spacing w:after="0" w:line="250" w:lineRule="auto"/>
        <w:tabs>
          <w:tab w:leader="none" w:pos="1300" w:val="left"/>
        </w:tabs>
        <w:numPr>
          <w:ilvl w:val="0"/>
          <w:numId w:val="194"/>
        </w:numPr>
        <w:rPr>
          <w:rFonts w:ascii="Arial" w:cs="Arial" w:eastAsia="Arial" w:hAnsi="Arial"/>
          <w:sz w:val="18"/>
          <w:szCs w:val="18"/>
          <w:color w:val="auto"/>
        </w:rPr>
      </w:pPr>
      <w:r>
        <w:rPr>
          <w:rFonts w:ascii="Arial" w:cs="Arial" w:eastAsia="Arial" w:hAnsi="Arial"/>
          <w:sz w:val="20"/>
          <w:szCs w:val="20"/>
          <w:color w:val="auto"/>
        </w:rPr>
        <w:t>Any rights to indemnification or advancement of expenses to which Employee may otherwise be entitled pursuant to the Articles of Incorporation or Bylaws of any of the Released Parties, or by contract or applicable law, as a result of Employee’s service as an officer or director of any of the Released Parties.</w:t>
      </w:r>
    </w:p>
    <w:p>
      <w:pPr>
        <w:spacing w:after="0" w:line="11" w:lineRule="exact"/>
        <w:rPr>
          <w:sz w:val="20"/>
          <w:szCs w:val="20"/>
          <w:color w:val="auto"/>
        </w:rPr>
      </w:pPr>
    </w:p>
    <w:p>
      <w:pPr>
        <w:ind w:left="640" w:right="160" w:firstLine="648"/>
        <w:spacing w:after="0" w:line="282" w:lineRule="auto"/>
        <w:rPr>
          <w:sz w:val="20"/>
          <w:szCs w:val="20"/>
          <w:color w:val="auto"/>
        </w:rPr>
      </w:pPr>
      <w:r>
        <w:rPr>
          <w:rFonts w:ascii="Arial" w:cs="Arial" w:eastAsia="Arial" w:hAnsi="Arial"/>
          <w:sz w:val="18"/>
          <w:szCs w:val="18"/>
          <w:color w:val="auto"/>
        </w:rPr>
        <w:t>Employee further understands and agrees that, subject to the exceptions in subparagraphs a., b. and c. above, Employee is knowingly relinquishing, waiving and forever releasing any and all remedies arising out of the aforesaid employment relationship or the termination thereof, including, without limitation, claims for back pay, front pay, liquidated damages, compensatory damages, general damages, special damages, punitive damage, exemplary damages, costs, expenses and attorneys’ fees.</w:t>
      </w:r>
    </w:p>
    <w:p>
      <w:pPr>
        <w:sectPr>
          <w:pgSz w:w="11900" w:h="16838" w:orient="portrait"/>
          <w:cols w:equalWidth="0" w:num="1">
            <w:col w:w="11300"/>
          </w:cols>
          <w:pgMar w:left="320" w:top="981" w:right="279" w:bottom="1440" w:gutter="0" w:footer="0" w:header="0"/>
        </w:sectPr>
      </w:pPr>
    </w:p>
    <w:bookmarkStart w:id="195" w:name="page196"/>
    <w:bookmarkEnd w:id="195"/>
    <w:p>
      <w:pPr>
        <w:ind w:firstLine="652"/>
        <w:spacing w:after="0" w:line="254" w:lineRule="auto"/>
        <w:tabs>
          <w:tab w:leader="none" w:pos="1350" w:val="left"/>
        </w:tabs>
        <w:numPr>
          <w:ilvl w:val="1"/>
          <w:numId w:val="195"/>
        </w:numPr>
        <w:rPr>
          <w:rFonts w:ascii="Arial" w:cs="Arial" w:eastAsia="Arial" w:hAnsi="Arial"/>
          <w:sz w:val="16"/>
          <w:szCs w:val="16"/>
          <w:color w:val="auto"/>
        </w:rPr>
      </w:pPr>
      <w:r>
        <w:rPr>
          <w:rFonts w:ascii="Arial" w:cs="Arial" w:eastAsia="Arial" w:hAnsi="Arial"/>
          <w:sz w:val="18"/>
          <w:szCs w:val="18"/>
          <w:b w:val="1"/>
          <w:bCs w:val="1"/>
          <w:color w:val="auto"/>
        </w:rPr>
        <w:t xml:space="preserve">Waiver and Release of ADEA Claims. </w:t>
      </w:r>
      <w:r>
        <w:rPr>
          <w:rFonts w:ascii="Arial" w:cs="Arial" w:eastAsia="Arial" w:hAnsi="Arial"/>
          <w:sz w:val="18"/>
          <w:szCs w:val="18"/>
          <w:color w:val="auto"/>
        </w:rPr>
        <w:t>Without limiting the generality of the foregoing, and also for and in</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of the Company’s agreement to provide Employee severance payments and benefits as described in the Agreement, Employee specifically acknowledges and agrees that he does hereby knowingly and voluntarily release the Company and all other Released Parties from any and all claims arising under the Age Discrimination in Employment Act, 29 U.S.C. Section 621, et seq. (“</w:t>
      </w:r>
      <w:r>
        <w:rPr>
          <w:rFonts w:ascii="Arial" w:cs="Arial" w:eastAsia="Arial" w:hAnsi="Arial"/>
          <w:sz w:val="18"/>
          <w:szCs w:val="18"/>
          <w:b w:val="1"/>
          <w:bCs w:val="1"/>
          <w:color w:val="auto"/>
        </w:rPr>
        <w:t>ADEA</w:t>
      </w:r>
      <w:r>
        <w:rPr>
          <w:rFonts w:ascii="Arial" w:cs="Arial" w:eastAsia="Arial" w:hAnsi="Arial"/>
          <w:sz w:val="18"/>
          <w:szCs w:val="18"/>
          <w:color w:val="auto"/>
        </w:rPr>
        <w:t>”), which Employee ever had or now has from the beginning of time up to the date this Waiver and Release is executed, including, but not by way of limitation, those ADEA Claims which are in any way connected with any employment relationship or the termination of any employment relationship which existed between the Company or any other Released Parties and Employee. Employee also acknowledges that he has been provided with a notice, as required by the Older Workers Benefit Protection Act of 1990, that contains (i) information about the individuals covered under the Agreement, (ii) the eligibility factors for participation in the Agreement, (iii) the time limits applicable to the Agreement, (iv) the job titles and ages of the employees designated to participate in the Agreement, (v) and the ages of the employees in the same job classification who have not been designated to participate in the Agreement. Employee further acknowledges and agrees that the Company is hereby advising Employee to consult with an attorney prior to executing this Waiver and Release and that Employee has been given at least twenty-one (21) days to consider this Waiver and Release prior to its execution. Employee agrees that in the event that Employee executes this Waiver and Release prior to the expiration of the twenty-one (21) day period, Employee shall waive the balance of said period and Employee has decided that Employee does not need any additional time to decide whether to sign this Waiver and Release. Employee also understands that Employee may revoke this Waiver and Release of ADEA Claims at any time within seven (7) days following its execution and that, if Employee revokes this waiver and Release of ADEA Claims within such seven (7) day period, it shall not be effective or enforceable and Employee will not receive the above-described consideration or any payments provided for in the Agreement that have not been paid.</w:t>
      </w:r>
    </w:p>
    <w:p>
      <w:pPr>
        <w:spacing w:after="0" w:line="170" w:lineRule="exact"/>
        <w:rPr>
          <w:rFonts w:ascii="Arial" w:cs="Arial" w:eastAsia="Arial" w:hAnsi="Arial"/>
          <w:sz w:val="16"/>
          <w:szCs w:val="16"/>
          <w:color w:val="auto"/>
        </w:rPr>
      </w:pPr>
    </w:p>
    <w:p>
      <w:pPr>
        <w:ind w:right="140" w:firstLine="639"/>
        <w:spacing w:after="0" w:line="246" w:lineRule="auto"/>
        <w:tabs>
          <w:tab w:leader="none" w:pos="1377" w:val="left"/>
        </w:tabs>
        <w:numPr>
          <w:ilvl w:val="0"/>
          <w:numId w:val="196"/>
        </w:numPr>
        <w:rPr>
          <w:rFonts w:ascii="Arial" w:cs="Arial" w:eastAsia="Arial" w:hAnsi="Arial"/>
          <w:sz w:val="18"/>
          <w:szCs w:val="18"/>
          <w:color w:val="auto"/>
        </w:rPr>
      </w:pPr>
      <w:r>
        <w:rPr>
          <w:rFonts w:ascii="Arial" w:cs="Arial" w:eastAsia="Arial" w:hAnsi="Arial"/>
          <w:sz w:val="20"/>
          <w:szCs w:val="20"/>
          <w:b w:val="1"/>
          <w:bCs w:val="1"/>
          <w:color w:val="auto"/>
        </w:rPr>
        <w:t xml:space="preserve">Denial of Liability. </w:t>
      </w:r>
      <w:r>
        <w:rPr>
          <w:rFonts w:ascii="Arial" w:cs="Arial" w:eastAsia="Arial" w:hAnsi="Arial"/>
          <w:sz w:val="20"/>
          <w:szCs w:val="20"/>
          <w:color w:val="auto"/>
        </w:rPr>
        <w:t>Employee acknowledges and agrees that neither the payment of severance payments or benefits</w:t>
      </w:r>
      <w:r>
        <w:rPr>
          <w:rFonts w:ascii="Arial" w:cs="Arial" w:eastAsia="Arial" w:hAnsi="Arial"/>
          <w:sz w:val="20"/>
          <w:szCs w:val="20"/>
          <w:b w:val="1"/>
          <w:bCs w:val="1"/>
          <w:color w:val="auto"/>
        </w:rPr>
        <w:t xml:space="preserve"> </w:t>
      </w:r>
      <w:r>
        <w:rPr>
          <w:rFonts w:ascii="Arial" w:cs="Arial" w:eastAsia="Arial" w:hAnsi="Arial"/>
          <w:sz w:val="20"/>
          <w:szCs w:val="20"/>
          <w:color w:val="auto"/>
        </w:rPr>
        <w:t>under the Agreement nor this Waiver and Release is to be construed in any way as an admission of any liability whatsoever by Company or any of the other Released Parties, by whom liability is expressly denied.</w:t>
      </w:r>
    </w:p>
    <w:p>
      <w:pPr>
        <w:spacing w:after="0" w:line="170" w:lineRule="exact"/>
        <w:rPr>
          <w:rFonts w:ascii="Arial" w:cs="Arial" w:eastAsia="Arial" w:hAnsi="Arial"/>
          <w:sz w:val="18"/>
          <w:szCs w:val="18"/>
          <w:color w:val="auto"/>
        </w:rPr>
      </w:pPr>
    </w:p>
    <w:p>
      <w:pPr>
        <w:ind w:right="20" w:firstLine="652"/>
        <w:spacing w:after="0" w:line="265" w:lineRule="auto"/>
        <w:tabs>
          <w:tab w:leader="none" w:pos="1350" w:val="left"/>
        </w:tabs>
        <w:numPr>
          <w:ilvl w:val="1"/>
          <w:numId w:val="196"/>
        </w:numPr>
        <w:rPr>
          <w:rFonts w:ascii="Arial" w:cs="Arial" w:eastAsia="Arial" w:hAnsi="Arial"/>
          <w:sz w:val="16"/>
          <w:szCs w:val="16"/>
          <w:color w:val="auto"/>
        </w:rPr>
      </w:pPr>
      <w:r>
        <w:rPr>
          <w:rFonts w:ascii="Arial" w:cs="Arial" w:eastAsia="Arial" w:hAnsi="Arial"/>
          <w:sz w:val="18"/>
          <w:szCs w:val="18"/>
          <w:b w:val="1"/>
          <w:bCs w:val="1"/>
          <w:color w:val="auto"/>
        </w:rPr>
        <w:t xml:space="preserve">No Entitlement to Further Relief. </w:t>
      </w:r>
      <w:r>
        <w:rPr>
          <w:rFonts w:ascii="Arial" w:cs="Arial" w:eastAsia="Arial" w:hAnsi="Arial"/>
          <w:sz w:val="18"/>
          <w:szCs w:val="18"/>
          <w:color w:val="auto"/>
        </w:rPr>
        <w:t>Employee acknowledges and agrees that he has not, with respect to any</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state of facts existing prior to the date of execution of this Waiver and Release, filed any complaints, charges or lawsuits against any of the Released Parties with any governmental agency or any court or tribunal. Employee further acknowledges and agrees that, with the exception of money provided to Employee by a governmental agency as an award for providing information as a whistleblower, Employee hereby waives any right to accept any relief or recovery, including costs and attorneys’ fees, that may arise from any charge or complaint before any federal, state or local court or administrative agency against the Released Parties.</w:t>
      </w:r>
    </w:p>
    <w:p>
      <w:pPr>
        <w:spacing w:after="0" w:line="370" w:lineRule="exact"/>
        <w:rPr>
          <w:rFonts w:ascii="Arial" w:cs="Arial" w:eastAsia="Arial" w:hAnsi="Arial"/>
          <w:sz w:val="16"/>
          <w:szCs w:val="16"/>
          <w:color w:val="auto"/>
        </w:rPr>
      </w:pPr>
    </w:p>
    <w:p>
      <w:pPr>
        <w:ind w:right="120" w:firstLine="652"/>
        <w:spacing w:after="0" w:line="262" w:lineRule="auto"/>
        <w:tabs>
          <w:tab w:leader="none" w:pos="1350" w:val="left"/>
        </w:tabs>
        <w:numPr>
          <w:ilvl w:val="1"/>
          <w:numId w:val="196"/>
        </w:numPr>
        <w:rPr>
          <w:rFonts w:ascii="Arial" w:cs="Arial" w:eastAsia="Arial" w:hAnsi="Arial"/>
          <w:sz w:val="16"/>
          <w:szCs w:val="16"/>
          <w:color w:val="auto"/>
        </w:rPr>
      </w:pPr>
      <w:r>
        <w:rPr>
          <w:rFonts w:ascii="Arial" w:cs="Arial" w:eastAsia="Arial" w:hAnsi="Arial"/>
          <w:sz w:val="18"/>
          <w:szCs w:val="18"/>
          <w:b w:val="1"/>
          <w:bCs w:val="1"/>
          <w:color w:val="auto"/>
        </w:rPr>
        <w:t xml:space="preserve">Company Property and Confidential Information. </w:t>
      </w:r>
      <w:r>
        <w:rPr>
          <w:rFonts w:ascii="Arial" w:cs="Arial" w:eastAsia="Arial" w:hAnsi="Arial"/>
          <w:sz w:val="18"/>
          <w:szCs w:val="18"/>
          <w:color w:val="auto"/>
        </w:rPr>
        <w:t>Employee agrees that Employee will not retain or destroy, and</w:t>
      </w:r>
      <w:r>
        <w:rPr>
          <w:rFonts w:ascii="Arial" w:cs="Arial" w:eastAsia="Arial" w:hAnsi="Arial"/>
          <w:sz w:val="18"/>
          <w:szCs w:val="18"/>
          <w:b w:val="1"/>
          <w:bCs w:val="1"/>
          <w:color w:val="auto"/>
        </w:rPr>
        <w:t xml:space="preserve"> </w:t>
      </w:r>
      <w:r>
        <w:rPr>
          <w:rFonts w:ascii="Arial" w:cs="Arial" w:eastAsia="Arial" w:hAnsi="Arial"/>
          <w:sz w:val="18"/>
          <w:szCs w:val="18"/>
          <w:color w:val="auto"/>
        </w:rPr>
        <w:t>will immediately return to the Company, any and all property of the Company in Employee’s possession or subject to Employee’s control, including, but not limited to, keys, credit and identification cards, personal items or equipment, customer files and information, all other files and documents relating to the Company and its business, together with all written or recorded materials, documents, computer disks, plans, records or notes or other papers belonging to the Company. Employee further agrees not to make, distribute or retain copies of any such information or property. Employee agrees to delete any digital copies of Company information that Employee may have on personal devices or storage media, after first providing a copy to the Company.</w:t>
      </w:r>
    </w:p>
    <w:p>
      <w:pPr>
        <w:spacing w:after="0" w:line="166" w:lineRule="exact"/>
        <w:rPr>
          <w:sz w:val="20"/>
          <w:szCs w:val="20"/>
          <w:color w:val="auto"/>
        </w:rPr>
      </w:pPr>
    </w:p>
    <w:p>
      <w:pPr>
        <w:ind w:right="220" w:firstLine="648"/>
        <w:spacing w:after="0" w:line="250" w:lineRule="auto"/>
        <w:rPr>
          <w:sz w:val="20"/>
          <w:szCs w:val="20"/>
          <w:color w:val="auto"/>
        </w:rPr>
      </w:pPr>
      <w:r>
        <w:rPr>
          <w:rFonts w:ascii="Arial" w:cs="Arial" w:eastAsia="Arial" w:hAnsi="Arial"/>
          <w:sz w:val="20"/>
          <w:szCs w:val="20"/>
          <w:color w:val="auto"/>
        </w:rPr>
        <w:t>The Employee shall hold in a fiduciary capacity for the benefit of the Company all material proprietary information, knowledge or data relating to the Company or any of its affiliated companies, and their respective businesses, which shall have been obtained by the Employee during the Employee’s</w:t>
      </w:r>
    </w:p>
    <w:p>
      <w:pPr>
        <w:sectPr>
          <w:pgSz w:w="11900" w:h="16838" w:orient="portrait"/>
          <w:cols w:equalWidth="0" w:num="1">
            <w:col w:w="10700"/>
          </w:cols>
          <w:pgMar w:left="960" w:top="549" w:right="239" w:bottom="1440" w:gutter="0" w:footer="0" w:header="0"/>
        </w:sectPr>
      </w:pPr>
    </w:p>
    <w:bookmarkStart w:id="196" w:name="page197"/>
    <w:bookmarkEnd w:id="196"/>
    <w:p>
      <w:pPr>
        <w:ind w:right="60"/>
        <w:spacing w:after="0" w:line="246" w:lineRule="auto"/>
        <w:rPr>
          <w:sz w:val="20"/>
          <w:szCs w:val="20"/>
          <w:color w:val="auto"/>
        </w:rPr>
      </w:pPr>
      <w:r>
        <w:rPr>
          <w:rFonts w:ascii="Arial" w:cs="Arial" w:eastAsia="Arial" w:hAnsi="Arial"/>
          <w:sz w:val="20"/>
          <w:szCs w:val="20"/>
          <w:color w:val="auto"/>
        </w:rPr>
        <w:t>employment by the Company or any of its affiliated companies and which shall not be or become public knowledge. Employee agrees after termination of the Employee’s employment with the Company, the Employee shall not, without the prior written consent of the Company or as may otherwise be required by law or legal process, communicate or divulge any such information, knowledge or data to anyone other than the Company and those designated by it.</w:t>
      </w:r>
    </w:p>
    <w:p>
      <w:pPr>
        <w:spacing w:after="0" w:line="186" w:lineRule="exact"/>
        <w:rPr>
          <w:sz w:val="20"/>
          <w:szCs w:val="20"/>
          <w:color w:val="auto"/>
        </w:rPr>
      </w:pPr>
    </w:p>
    <w:p>
      <w:pPr>
        <w:ind w:firstLine="652"/>
        <w:spacing w:after="0" w:line="248" w:lineRule="auto"/>
        <w:tabs>
          <w:tab w:leader="none" w:pos="1350" w:val="left"/>
        </w:tabs>
        <w:numPr>
          <w:ilvl w:val="1"/>
          <w:numId w:val="197"/>
        </w:numPr>
        <w:rPr>
          <w:rFonts w:ascii="Arial" w:cs="Arial" w:eastAsia="Arial" w:hAnsi="Arial"/>
          <w:sz w:val="17"/>
          <w:szCs w:val="17"/>
          <w:color w:val="auto"/>
        </w:rPr>
      </w:pPr>
      <w:r>
        <w:rPr>
          <w:rFonts w:ascii="Arial" w:cs="Arial" w:eastAsia="Arial" w:hAnsi="Arial"/>
          <w:sz w:val="19"/>
          <w:szCs w:val="19"/>
          <w:b w:val="1"/>
          <w:bCs w:val="1"/>
          <w:color w:val="auto"/>
        </w:rPr>
        <w:t xml:space="preserve">Non-Competition. </w:t>
      </w:r>
      <w:r>
        <w:rPr>
          <w:rFonts w:ascii="Arial" w:cs="Arial" w:eastAsia="Arial" w:hAnsi="Arial"/>
          <w:sz w:val="19"/>
          <w:szCs w:val="19"/>
          <w:color w:val="auto"/>
        </w:rPr>
        <w:t>Employee agrees that for a period of one (1) year following the Termination Date, Employee shall</w:t>
      </w:r>
      <w:r>
        <w:rPr>
          <w:rFonts w:ascii="Arial" w:cs="Arial" w:eastAsia="Arial" w:hAnsi="Arial"/>
          <w:sz w:val="19"/>
          <w:szCs w:val="19"/>
          <w:b w:val="1"/>
          <w:bCs w:val="1"/>
          <w:color w:val="auto"/>
        </w:rPr>
        <w:t xml:space="preserve"> </w:t>
      </w:r>
      <w:r>
        <w:rPr>
          <w:rFonts w:ascii="Arial" w:cs="Arial" w:eastAsia="Arial" w:hAnsi="Arial"/>
          <w:sz w:val="19"/>
          <w:szCs w:val="19"/>
          <w:color w:val="auto"/>
        </w:rPr>
        <w:t>not, without the written express consent of the Company, directly or indirectly, alone or as a partner, owner, officer, director, employee, or consultant of any other firm, business or entity, engage in any activity in competition with the Company; provided, however, that the foregoing shall not be construed to preclude the Employee from making any investments in any securities to the extent such securities are traded on a national exchange or over-the-counter market and such investment does not exceed five percent (5%) of the issued and outstanding voting securities of such issuer.</w:t>
      </w:r>
    </w:p>
    <w:p>
      <w:pPr>
        <w:spacing w:after="0" w:line="171" w:lineRule="exact"/>
        <w:rPr>
          <w:rFonts w:ascii="Arial" w:cs="Arial" w:eastAsia="Arial" w:hAnsi="Arial"/>
          <w:sz w:val="17"/>
          <w:szCs w:val="17"/>
          <w:color w:val="auto"/>
        </w:rPr>
      </w:pPr>
    </w:p>
    <w:p>
      <w:pPr>
        <w:ind w:right="20" w:firstLine="652"/>
        <w:spacing w:after="0" w:line="236" w:lineRule="auto"/>
        <w:tabs>
          <w:tab w:leader="none" w:pos="1350" w:val="left"/>
        </w:tabs>
        <w:numPr>
          <w:ilvl w:val="1"/>
          <w:numId w:val="197"/>
        </w:numPr>
        <w:rPr>
          <w:rFonts w:ascii="Arial" w:cs="Arial" w:eastAsia="Arial" w:hAnsi="Arial"/>
          <w:sz w:val="18"/>
          <w:szCs w:val="18"/>
          <w:color w:val="auto"/>
        </w:rPr>
      </w:pPr>
      <w:r>
        <w:rPr>
          <w:rFonts w:ascii="Arial" w:cs="Arial" w:eastAsia="Arial" w:hAnsi="Arial"/>
          <w:sz w:val="20"/>
          <w:szCs w:val="20"/>
          <w:b w:val="1"/>
          <w:bCs w:val="1"/>
          <w:color w:val="auto"/>
        </w:rPr>
        <w:t xml:space="preserve">Non-Solicitation. </w:t>
      </w:r>
      <w:r>
        <w:rPr>
          <w:rFonts w:ascii="Arial" w:cs="Arial" w:eastAsia="Arial" w:hAnsi="Arial"/>
          <w:sz w:val="20"/>
          <w:szCs w:val="20"/>
          <w:color w:val="auto"/>
        </w:rPr>
        <w:t>Employee agrees that for a period of two (2) years following the Termination Date, Employee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directly or indirectly, whether for Employee’s own benefit or on behalf of another: (i) hire or offer to hire any of the Company’s officers, employees or agents; (ii) persuade, or attempt to persuade, any officer, employee or agent of the Company to discontinue any relationship with the Company; or (iii) solicit or divert or attempt to divert any customer or supplier of the Company then doing business in the Company’s service territory.</w:t>
      </w:r>
    </w:p>
    <w:p>
      <w:pPr>
        <w:spacing w:after="0" w:line="179" w:lineRule="exact"/>
        <w:rPr>
          <w:rFonts w:ascii="Arial" w:cs="Arial" w:eastAsia="Arial" w:hAnsi="Arial"/>
          <w:sz w:val="18"/>
          <w:szCs w:val="18"/>
          <w:color w:val="auto"/>
        </w:rPr>
      </w:pPr>
    </w:p>
    <w:p>
      <w:pPr>
        <w:jc w:val="both"/>
        <w:ind w:right="100" w:firstLine="639"/>
        <w:spacing w:after="0" w:line="246" w:lineRule="auto"/>
        <w:tabs>
          <w:tab w:leader="none" w:pos="1377" w:val="left"/>
        </w:tabs>
        <w:numPr>
          <w:ilvl w:val="0"/>
          <w:numId w:val="198"/>
        </w:numPr>
        <w:rPr>
          <w:rFonts w:ascii="Arial" w:cs="Arial" w:eastAsia="Arial" w:hAnsi="Arial"/>
          <w:sz w:val="18"/>
          <w:szCs w:val="18"/>
          <w:color w:val="auto"/>
        </w:rPr>
      </w:pPr>
      <w:r>
        <w:rPr>
          <w:rFonts w:ascii="Arial" w:cs="Arial" w:eastAsia="Arial" w:hAnsi="Arial"/>
          <w:sz w:val="20"/>
          <w:szCs w:val="20"/>
          <w:b w:val="1"/>
          <w:bCs w:val="1"/>
          <w:color w:val="auto"/>
        </w:rPr>
        <w:t xml:space="preserve">Non-Disparagement. </w:t>
      </w:r>
      <w:r>
        <w:rPr>
          <w:rFonts w:ascii="Arial" w:cs="Arial" w:eastAsia="Arial" w:hAnsi="Arial"/>
          <w:sz w:val="20"/>
          <w:szCs w:val="20"/>
          <w:color w:val="auto"/>
        </w:rPr>
        <w:t>Employee agrees that for a period of two (2) years following the Termination Date, Employee</w:t>
      </w:r>
      <w:r>
        <w:rPr>
          <w:rFonts w:ascii="Arial" w:cs="Arial" w:eastAsia="Arial" w:hAnsi="Arial"/>
          <w:sz w:val="20"/>
          <w:szCs w:val="20"/>
          <w:b w:val="1"/>
          <w:bCs w:val="1"/>
          <w:color w:val="auto"/>
        </w:rPr>
        <w:t xml:space="preserve"> </w:t>
      </w:r>
      <w:r>
        <w:rPr>
          <w:rFonts w:ascii="Arial" w:cs="Arial" w:eastAsia="Arial" w:hAnsi="Arial"/>
          <w:sz w:val="20"/>
          <w:szCs w:val="20"/>
          <w:color w:val="auto"/>
        </w:rPr>
        <w:t>shall not, directly or indirectly, disparage, criticize, or otherwise make derogatory statements regarding the Company or any aspect of management policies, operations, practices, or personnel of the Company.</w:t>
      </w:r>
    </w:p>
    <w:p>
      <w:pPr>
        <w:spacing w:after="0" w:line="170" w:lineRule="exact"/>
        <w:rPr>
          <w:rFonts w:ascii="Arial" w:cs="Arial" w:eastAsia="Arial" w:hAnsi="Arial"/>
          <w:sz w:val="18"/>
          <w:szCs w:val="18"/>
          <w:color w:val="auto"/>
        </w:rPr>
      </w:pPr>
    </w:p>
    <w:p>
      <w:pPr>
        <w:ind w:right="20" w:firstLine="639"/>
        <w:spacing w:after="0" w:line="246" w:lineRule="auto"/>
        <w:tabs>
          <w:tab w:leader="none" w:pos="1377" w:val="left"/>
        </w:tabs>
        <w:numPr>
          <w:ilvl w:val="0"/>
          <w:numId w:val="198"/>
        </w:numPr>
        <w:rPr>
          <w:rFonts w:ascii="Arial" w:cs="Arial" w:eastAsia="Arial" w:hAnsi="Arial"/>
          <w:sz w:val="17"/>
          <w:szCs w:val="17"/>
          <w:color w:val="auto"/>
        </w:rPr>
      </w:pPr>
      <w:r>
        <w:rPr>
          <w:rFonts w:ascii="Arial" w:cs="Arial" w:eastAsia="Arial" w:hAnsi="Arial"/>
          <w:sz w:val="19"/>
          <w:szCs w:val="19"/>
          <w:b w:val="1"/>
          <w:bCs w:val="1"/>
          <w:color w:val="auto"/>
        </w:rPr>
        <w:t xml:space="preserve">Permitted Activities. </w:t>
      </w:r>
      <w:r>
        <w:rPr>
          <w:rFonts w:ascii="Arial" w:cs="Arial" w:eastAsia="Arial" w:hAnsi="Arial"/>
          <w:sz w:val="19"/>
          <w:szCs w:val="19"/>
          <w:color w:val="auto"/>
        </w:rPr>
        <w:t>Notwithstanding any other provision hereof, nothing contained in this Waiver and Release is</w:t>
      </w:r>
      <w:r>
        <w:rPr>
          <w:rFonts w:ascii="Arial" w:cs="Arial" w:eastAsia="Arial" w:hAnsi="Arial"/>
          <w:sz w:val="19"/>
          <w:szCs w:val="19"/>
          <w:b w:val="1"/>
          <w:bCs w:val="1"/>
          <w:color w:val="auto"/>
        </w:rPr>
        <w:t xml:space="preserve"> </w:t>
      </w:r>
      <w:r>
        <w:rPr>
          <w:rFonts w:ascii="Arial" w:cs="Arial" w:eastAsia="Arial" w:hAnsi="Arial"/>
          <w:sz w:val="19"/>
          <w:szCs w:val="19"/>
          <w:color w:val="auto"/>
        </w:rPr>
        <w:t>intended to prevent Employee from filing a charge with the United States Equal Employment Opportunity Commission or any other governmental agency, providing information to a governmental agency, participating in an investigation conducted by a governmental agency, or responding to a subpoena or other court order; provided, however, that if Employee receives a subpoena or other court order relating to Employee’s employment with the Company or requesting Company information, before responding to the subpoena Employee will notify the Company of the subpoena and provide the Company a reasonable opportunity to respond and seek protection before disclosing any Company information.</w:t>
      </w:r>
    </w:p>
    <w:p>
      <w:pPr>
        <w:spacing w:after="0" w:line="174" w:lineRule="exact"/>
        <w:rPr>
          <w:rFonts w:ascii="Arial" w:cs="Arial" w:eastAsia="Arial" w:hAnsi="Arial"/>
          <w:sz w:val="17"/>
          <w:szCs w:val="17"/>
          <w:color w:val="auto"/>
        </w:rPr>
      </w:pPr>
    </w:p>
    <w:p>
      <w:pPr>
        <w:ind w:right="320" w:firstLine="639"/>
        <w:spacing w:after="0" w:line="256" w:lineRule="auto"/>
        <w:tabs>
          <w:tab w:leader="none" w:pos="1467" w:val="left"/>
        </w:tabs>
        <w:numPr>
          <w:ilvl w:val="0"/>
          <w:numId w:val="198"/>
        </w:numPr>
        <w:rPr>
          <w:rFonts w:ascii="Arial" w:cs="Arial" w:eastAsia="Arial" w:hAnsi="Arial"/>
          <w:sz w:val="17"/>
          <w:szCs w:val="17"/>
          <w:color w:val="auto"/>
        </w:rPr>
      </w:pPr>
      <w:r>
        <w:rPr>
          <w:rFonts w:ascii="Arial" w:cs="Arial" w:eastAsia="Arial" w:hAnsi="Arial"/>
          <w:sz w:val="19"/>
          <w:szCs w:val="19"/>
          <w:b w:val="1"/>
          <w:bCs w:val="1"/>
          <w:color w:val="auto"/>
        </w:rPr>
        <w:t xml:space="preserve">Supersedes All Other Non-Competition, Non-Solicitation and Non- Disparagement Agreements. </w:t>
      </w:r>
      <w:r>
        <w:rPr>
          <w:rFonts w:ascii="Arial" w:cs="Arial" w:eastAsia="Arial" w:hAnsi="Arial"/>
          <w:sz w:val="19"/>
          <w:szCs w:val="19"/>
          <w:color w:val="auto"/>
        </w:rPr>
        <w:t>Employee</w:t>
      </w:r>
      <w:r>
        <w:rPr>
          <w:rFonts w:ascii="Arial" w:cs="Arial" w:eastAsia="Arial" w:hAnsi="Arial"/>
          <w:sz w:val="19"/>
          <w:szCs w:val="19"/>
          <w:b w:val="1"/>
          <w:bCs w:val="1"/>
          <w:color w:val="auto"/>
        </w:rPr>
        <w:t xml:space="preserve"> </w:t>
      </w:r>
      <w:r>
        <w:rPr>
          <w:rFonts w:ascii="Arial" w:cs="Arial" w:eastAsia="Arial" w:hAnsi="Arial"/>
          <w:sz w:val="19"/>
          <w:szCs w:val="19"/>
          <w:color w:val="auto"/>
        </w:rPr>
        <w:t>agrees, that in the event of a Termination Date under the Agreement, the foregoing Section 6. Non-Competition, Section 7. Non-Solicitation and Section 8. Non-Disparagement supersedes any other non-competition, non-solicitation or non-disparagement agreements or provisions that may have been in place prior to the Termination Date.</w:t>
      </w:r>
    </w:p>
    <w:p>
      <w:pPr>
        <w:spacing w:after="0" w:line="161" w:lineRule="exact"/>
        <w:rPr>
          <w:rFonts w:ascii="Arial" w:cs="Arial" w:eastAsia="Arial" w:hAnsi="Arial"/>
          <w:sz w:val="17"/>
          <w:szCs w:val="17"/>
          <w:color w:val="auto"/>
        </w:rPr>
      </w:pPr>
    </w:p>
    <w:p>
      <w:pPr>
        <w:ind w:firstLine="639"/>
        <w:spacing w:after="0" w:line="265" w:lineRule="auto"/>
        <w:tabs>
          <w:tab w:leader="none" w:pos="1461" w:val="left"/>
        </w:tabs>
        <w:numPr>
          <w:ilvl w:val="0"/>
          <w:numId w:val="198"/>
        </w:numPr>
        <w:rPr>
          <w:rFonts w:ascii="Arial" w:cs="Arial" w:eastAsia="Arial" w:hAnsi="Arial"/>
          <w:sz w:val="17"/>
          <w:szCs w:val="17"/>
          <w:color w:val="auto"/>
        </w:rPr>
      </w:pPr>
      <w:r>
        <w:rPr>
          <w:rFonts w:ascii="Arial" w:cs="Arial" w:eastAsia="Arial" w:hAnsi="Arial"/>
          <w:sz w:val="19"/>
          <w:szCs w:val="19"/>
          <w:b w:val="1"/>
          <w:bCs w:val="1"/>
          <w:color w:val="auto"/>
        </w:rPr>
        <w:t xml:space="preserve">Confidentiality Agreement. </w:t>
      </w:r>
      <w:r>
        <w:rPr>
          <w:rFonts w:ascii="Arial" w:cs="Arial" w:eastAsia="Arial" w:hAnsi="Arial"/>
          <w:sz w:val="19"/>
          <w:szCs w:val="19"/>
          <w:color w:val="auto"/>
        </w:rPr>
        <w:t>Employee acknowledges that the terms of this Waiver and Release must be kept</w:t>
      </w:r>
      <w:r>
        <w:rPr>
          <w:rFonts w:ascii="Arial" w:cs="Arial" w:eastAsia="Arial" w:hAnsi="Arial"/>
          <w:sz w:val="19"/>
          <w:szCs w:val="19"/>
          <w:b w:val="1"/>
          <w:bCs w:val="1"/>
          <w:color w:val="auto"/>
        </w:rPr>
        <w:t xml:space="preserve"> </w:t>
      </w:r>
      <w:r>
        <w:rPr>
          <w:rFonts w:ascii="Arial" w:cs="Arial" w:eastAsia="Arial" w:hAnsi="Arial"/>
          <w:sz w:val="19"/>
          <w:szCs w:val="19"/>
          <w:color w:val="auto"/>
        </w:rPr>
        <w:t>confidential. Accordingly, Employee agrees not to disclose or publish to any person or entity, except as required by law or as necessary to prepare tax returns, the terms and conditions or sums being paid in connection with this Waiver and Release.</w:t>
      </w:r>
    </w:p>
    <w:p>
      <w:pPr>
        <w:spacing w:after="0" w:line="154" w:lineRule="exact"/>
        <w:rPr>
          <w:rFonts w:ascii="Arial" w:cs="Arial" w:eastAsia="Arial" w:hAnsi="Arial"/>
          <w:sz w:val="17"/>
          <w:szCs w:val="17"/>
          <w:color w:val="auto"/>
        </w:rPr>
      </w:pPr>
    </w:p>
    <w:p>
      <w:pPr>
        <w:ind w:right="200" w:firstLine="639"/>
        <w:spacing w:after="0" w:line="246" w:lineRule="auto"/>
        <w:tabs>
          <w:tab w:leader="none" w:pos="1467" w:val="left"/>
        </w:tabs>
        <w:numPr>
          <w:ilvl w:val="0"/>
          <w:numId w:val="198"/>
        </w:numPr>
        <w:rPr>
          <w:rFonts w:ascii="Arial" w:cs="Arial" w:eastAsia="Arial" w:hAnsi="Arial"/>
          <w:sz w:val="18"/>
          <w:szCs w:val="18"/>
          <w:color w:val="auto"/>
        </w:rPr>
      </w:pPr>
      <w:r>
        <w:rPr>
          <w:rFonts w:ascii="Arial" w:cs="Arial" w:eastAsia="Arial" w:hAnsi="Arial"/>
          <w:sz w:val="20"/>
          <w:szCs w:val="20"/>
          <w:b w:val="1"/>
          <w:bCs w:val="1"/>
          <w:color w:val="auto"/>
        </w:rPr>
        <w:t xml:space="preserve">Cooperation. </w:t>
      </w:r>
      <w:r>
        <w:rPr>
          <w:rFonts w:ascii="Arial" w:cs="Arial" w:eastAsia="Arial" w:hAnsi="Arial"/>
          <w:sz w:val="20"/>
          <w:szCs w:val="20"/>
          <w:color w:val="auto"/>
        </w:rPr>
        <w:t>Employee agrees to cooperate with the Company and its attorneys in connection with all lawsuits,</w:t>
      </w:r>
      <w:r>
        <w:rPr>
          <w:rFonts w:ascii="Arial" w:cs="Arial" w:eastAsia="Arial" w:hAnsi="Arial"/>
          <w:sz w:val="20"/>
          <w:szCs w:val="20"/>
          <w:b w:val="1"/>
          <w:bCs w:val="1"/>
          <w:color w:val="auto"/>
        </w:rPr>
        <w:t xml:space="preserve"> </w:t>
      </w:r>
      <w:r>
        <w:rPr>
          <w:rFonts w:ascii="Arial" w:cs="Arial" w:eastAsia="Arial" w:hAnsi="Arial"/>
          <w:sz w:val="20"/>
          <w:szCs w:val="20"/>
          <w:color w:val="auto"/>
        </w:rPr>
        <w:t>claims, investigations, or similar proceedings, including the provision of testimony as my reasonably be required, arising out of or in any way related to Employee’s employment by the Company or any of its Subsidiaries.</w:t>
      </w:r>
    </w:p>
    <w:p>
      <w:pPr>
        <w:spacing w:after="0" w:line="170" w:lineRule="exact"/>
        <w:rPr>
          <w:rFonts w:ascii="Arial" w:cs="Arial" w:eastAsia="Arial" w:hAnsi="Arial"/>
          <w:sz w:val="18"/>
          <w:szCs w:val="18"/>
          <w:color w:val="auto"/>
        </w:rPr>
      </w:pPr>
    </w:p>
    <w:p>
      <w:pPr>
        <w:ind w:left="1440" w:hanging="788"/>
        <w:spacing w:after="0"/>
        <w:tabs>
          <w:tab w:leader="none" w:pos="1440" w:val="left"/>
        </w:tabs>
        <w:numPr>
          <w:ilvl w:val="1"/>
          <w:numId w:val="198"/>
        </w:numPr>
        <w:rPr>
          <w:rFonts w:ascii="Arial" w:cs="Arial" w:eastAsia="Arial" w:hAnsi="Arial"/>
          <w:sz w:val="18"/>
          <w:szCs w:val="18"/>
          <w:color w:val="auto"/>
        </w:rPr>
      </w:pPr>
      <w:r>
        <w:rPr>
          <w:rFonts w:ascii="Arial" w:cs="Arial" w:eastAsia="Arial" w:hAnsi="Arial"/>
          <w:sz w:val="20"/>
          <w:szCs w:val="20"/>
          <w:b w:val="1"/>
          <w:bCs w:val="1"/>
          <w:color w:val="auto"/>
        </w:rPr>
        <w:t xml:space="preserve">Acknowledgement. </w:t>
      </w:r>
      <w:r>
        <w:rPr>
          <w:rFonts w:ascii="Arial" w:cs="Arial" w:eastAsia="Arial" w:hAnsi="Arial"/>
          <w:sz w:val="20"/>
          <w:szCs w:val="20"/>
          <w:color w:val="auto"/>
        </w:rPr>
        <w:t>Employee acknowledges that Employee has carefully read and fully</w:t>
      </w:r>
    </w:p>
    <w:p>
      <w:pPr>
        <w:sectPr>
          <w:pgSz w:w="11900" w:h="16838" w:orient="portrait"/>
          <w:cols w:equalWidth="0" w:num="1">
            <w:col w:w="10700"/>
          </w:cols>
          <w:pgMar w:left="960" w:top="555" w:right="239" w:bottom="1440" w:gutter="0" w:footer="0" w:header="0"/>
        </w:sectPr>
      </w:pPr>
    </w:p>
    <w:bookmarkStart w:id="197" w:name="page198"/>
    <w:bookmarkEnd w:id="197"/>
    <w:p>
      <w:pPr>
        <w:ind w:left="640" w:right="80"/>
        <w:spacing w:after="0" w:line="267" w:lineRule="auto"/>
        <w:rPr>
          <w:sz w:val="20"/>
          <w:szCs w:val="20"/>
          <w:color w:val="auto"/>
        </w:rPr>
      </w:pPr>
      <w:r>
        <w:rPr>
          <w:rFonts w:ascii="Arial" w:cs="Arial" w:eastAsia="Arial" w:hAnsi="Arial"/>
          <w:sz w:val="18"/>
          <w:szCs w:val="18"/>
          <w:color w:val="auto"/>
        </w:rPr>
        <w:t>understands the terms of this Waiver and Release and the Agreement and that this Waiver and Release is executed by Employee voluntarily and is not based upon any representations or statements of any kind made by the Company or any of the other Released Parties. Employee further acknowledges that Employee has had a full and reasonable opportunity to consider this waiver Release and that Employee has not been pressured or in any way coerced into executing this Waiver and Release.</w:t>
      </w:r>
    </w:p>
    <w:p>
      <w:pPr>
        <w:spacing w:after="0" w:line="153" w:lineRule="exact"/>
        <w:rPr>
          <w:sz w:val="20"/>
          <w:szCs w:val="20"/>
          <w:color w:val="auto"/>
        </w:rPr>
      </w:pPr>
    </w:p>
    <w:p>
      <w:pPr>
        <w:ind w:left="640" w:right="80" w:firstLine="639"/>
        <w:spacing w:after="0" w:line="267" w:lineRule="auto"/>
        <w:tabs>
          <w:tab w:leader="none" w:pos="2107" w:val="left"/>
        </w:tabs>
        <w:numPr>
          <w:ilvl w:val="0"/>
          <w:numId w:val="199"/>
        </w:numPr>
        <w:rPr>
          <w:rFonts w:ascii="Arial" w:cs="Arial" w:eastAsia="Arial" w:hAnsi="Arial"/>
          <w:sz w:val="18"/>
          <w:szCs w:val="18"/>
          <w:color w:val="auto"/>
        </w:rPr>
      </w:pPr>
      <w:r>
        <w:rPr>
          <w:rFonts w:ascii="Arial" w:cs="Arial" w:eastAsia="Arial" w:hAnsi="Arial"/>
          <w:sz w:val="20"/>
          <w:szCs w:val="20"/>
          <w:b w:val="1"/>
          <w:bCs w:val="1"/>
          <w:color w:val="auto"/>
        </w:rPr>
        <w:t xml:space="preserve">Choice of Laws. </w:t>
      </w:r>
      <w:r>
        <w:rPr>
          <w:rFonts w:ascii="Arial" w:cs="Arial" w:eastAsia="Arial" w:hAnsi="Arial"/>
          <w:sz w:val="20"/>
          <w:szCs w:val="20"/>
          <w:color w:val="auto"/>
        </w:rPr>
        <w:t>This Waiver and Release and the rights and obligation so the parties hereto shall be governed and</w:t>
      </w:r>
      <w:r>
        <w:rPr>
          <w:rFonts w:ascii="Arial" w:cs="Arial" w:eastAsia="Arial" w:hAnsi="Arial"/>
          <w:sz w:val="20"/>
          <w:szCs w:val="20"/>
          <w:b w:val="1"/>
          <w:bCs w:val="1"/>
          <w:color w:val="auto"/>
        </w:rPr>
        <w:t xml:space="preserve"> </w:t>
      </w:r>
      <w:r>
        <w:rPr>
          <w:rFonts w:ascii="Arial" w:cs="Arial" w:eastAsia="Arial" w:hAnsi="Arial"/>
          <w:sz w:val="20"/>
          <w:szCs w:val="20"/>
          <w:color w:val="auto"/>
        </w:rPr>
        <w:t>construed in accordance with the laws of the State of South Dakota.</w:t>
      </w:r>
    </w:p>
    <w:p>
      <w:pPr>
        <w:spacing w:after="0" w:line="150" w:lineRule="exact"/>
        <w:rPr>
          <w:rFonts w:ascii="Arial" w:cs="Arial" w:eastAsia="Arial" w:hAnsi="Arial"/>
          <w:sz w:val="18"/>
          <w:szCs w:val="18"/>
          <w:color w:val="auto"/>
        </w:rPr>
      </w:pPr>
    </w:p>
    <w:p>
      <w:pPr>
        <w:ind w:left="660" w:firstLine="646"/>
        <w:spacing w:after="0" w:line="260" w:lineRule="auto"/>
        <w:tabs>
          <w:tab w:leader="none" w:pos="2087" w:val="left"/>
        </w:tabs>
        <w:numPr>
          <w:ilvl w:val="1"/>
          <w:numId w:val="199"/>
        </w:numPr>
        <w:rPr>
          <w:rFonts w:ascii="Arial" w:cs="Arial" w:eastAsia="Arial" w:hAnsi="Arial"/>
          <w:sz w:val="16"/>
          <w:szCs w:val="16"/>
          <w:color w:val="auto"/>
        </w:rPr>
      </w:pPr>
      <w:r>
        <w:rPr>
          <w:rFonts w:ascii="Arial" w:cs="Arial" w:eastAsia="Arial" w:hAnsi="Arial"/>
          <w:sz w:val="18"/>
          <w:szCs w:val="18"/>
          <w:b w:val="1"/>
          <w:bCs w:val="1"/>
          <w:color w:val="auto"/>
        </w:rPr>
        <w:t xml:space="preserve">Severability. </w:t>
      </w:r>
      <w:r>
        <w:rPr>
          <w:rFonts w:ascii="Arial" w:cs="Arial" w:eastAsia="Arial" w:hAnsi="Arial"/>
          <w:sz w:val="18"/>
          <w:szCs w:val="18"/>
          <w:color w:val="auto"/>
        </w:rPr>
        <w:t>With the exception of the waiver and releases contained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Sections 1 and 2</w:t>
      </w:r>
      <w:r>
        <w:rPr>
          <w:rFonts w:ascii="Arial" w:cs="Arial" w:eastAsia="Arial" w:hAnsi="Arial"/>
          <w:sz w:val="18"/>
          <w:szCs w:val="18"/>
          <w:b w:val="1"/>
          <w:bCs w:val="1"/>
          <w:color w:val="auto"/>
        </w:rPr>
        <w:t xml:space="preserve"> </w:t>
      </w:r>
      <w:r>
        <w:rPr>
          <w:rFonts w:ascii="Arial" w:cs="Arial" w:eastAsia="Arial" w:hAnsi="Arial"/>
          <w:sz w:val="18"/>
          <w:szCs w:val="18"/>
          <w:color w:val="auto"/>
        </w:rPr>
        <w:t>hereof, if any provision of</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this Waiver and Release is unenforceable or is held to be unenforceable, such provision shall be fully severable, and this Waiver and Release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 In the event that both of the releases contained in </w:t>
      </w:r>
      <w:r>
        <w:rPr>
          <w:rFonts w:ascii="Arial" w:cs="Arial" w:eastAsia="Arial" w:hAnsi="Arial"/>
          <w:sz w:val="18"/>
          <w:szCs w:val="18"/>
          <w:u w:val="single" w:color="auto"/>
          <w:color w:val="auto"/>
        </w:rPr>
        <w:t>Sections 1 and 2</w:t>
      </w:r>
      <w:r>
        <w:rPr>
          <w:rFonts w:ascii="Arial" w:cs="Arial" w:eastAsia="Arial" w:hAnsi="Arial"/>
          <w:sz w:val="18"/>
          <w:szCs w:val="18"/>
          <w:color w:val="auto"/>
        </w:rPr>
        <w:t xml:space="preserve"> are unenforceable or are held to be unenforceable, the parties understand and agree that the remaining provisions of this Waiver and Release shall be rendered null and void and that neither party shall have any further obligation under any provision of this Waiver and Release.</w:t>
      </w:r>
    </w:p>
    <w:p>
      <w:pPr>
        <w:spacing w:after="0" w:line="164" w:lineRule="exact"/>
        <w:rPr>
          <w:rFonts w:ascii="Arial" w:cs="Arial" w:eastAsia="Arial" w:hAnsi="Arial"/>
          <w:sz w:val="16"/>
          <w:szCs w:val="16"/>
          <w:color w:val="auto"/>
        </w:rPr>
      </w:pPr>
    </w:p>
    <w:p>
      <w:pPr>
        <w:ind w:left="2080" w:hanging="774"/>
        <w:spacing w:after="0"/>
        <w:tabs>
          <w:tab w:leader="none" w:pos="2080" w:val="left"/>
        </w:tabs>
        <w:numPr>
          <w:ilvl w:val="1"/>
          <w:numId w:val="199"/>
        </w:numPr>
        <w:rPr>
          <w:rFonts w:ascii="Arial" w:cs="Arial" w:eastAsia="Arial" w:hAnsi="Arial"/>
          <w:sz w:val="15"/>
          <w:szCs w:val="15"/>
          <w:color w:val="auto"/>
        </w:rPr>
      </w:pPr>
      <w:r>
        <w:rPr>
          <w:rFonts w:ascii="Arial" w:cs="Arial" w:eastAsia="Arial" w:hAnsi="Arial"/>
          <w:sz w:val="16"/>
          <w:szCs w:val="16"/>
          <w:b w:val="1"/>
          <w:bCs w:val="1"/>
          <w:color w:val="auto"/>
        </w:rPr>
        <w:t xml:space="preserve">Defined Terms. </w:t>
      </w:r>
      <w:r>
        <w:rPr>
          <w:rFonts w:ascii="Arial" w:cs="Arial" w:eastAsia="Arial" w:hAnsi="Arial"/>
          <w:sz w:val="16"/>
          <w:szCs w:val="16"/>
          <w:color w:val="auto"/>
        </w:rPr>
        <w:t>Capitalized terms that are not defined in this Waiver and Release shall have the meanings set forth</w:t>
      </w:r>
    </w:p>
    <w:p>
      <w:pPr>
        <w:spacing w:after="0" w:line="67" w:lineRule="exact"/>
        <w:rPr>
          <w:rFonts w:ascii="Arial" w:cs="Arial" w:eastAsia="Arial" w:hAnsi="Arial"/>
          <w:sz w:val="15"/>
          <w:szCs w:val="15"/>
          <w:color w:val="auto"/>
        </w:rPr>
      </w:pPr>
    </w:p>
    <w:p>
      <w:pPr>
        <w:ind w:left="660"/>
        <w:spacing w:after="0"/>
        <w:rPr>
          <w:rFonts w:ascii="Arial" w:cs="Arial" w:eastAsia="Arial" w:hAnsi="Arial"/>
          <w:sz w:val="15"/>
          <w:szCs w:val="15"/>
          <w:color w:val="auto"/>
        </w:rPr>
      </w:pPr>
      <w:r>
        <w:rPr>
          <w:rFonts w:ascii="Arial" w:cs="Arial" w:eastAsia="Arial" w:hAnsi="Arial"/>
          <w:sz w:val="20"/>
          <w:szCs w:val="20"/>
          <w:color w:val="auto"/>
        </w:rPr>
        <w:t>in the Agreement.</w:t>
      </w:r>
    </w:p>
    <w:p>
      <w:pPr>
        <w:spacing w:after="0" w:line="200" w:lineRule="exact"/>
        <w:rPr>
          <w:rFonts w:ascii="Arial" w:cs="Arial" w:eastAsia="Arial" w:hAnsi="Arial"/>
          <w:sz w:val="15"/>
          <w:szCs w:val="15"/>
          <w:color w:val="auto"/>
        </w:rPr>
      </w:pPr>
    </w:p>
    <w:p>
      <w:pPr>
        <w:spacing w:after="0" w:line="209" w:lineRule="exact"/>
        <w:rPr>
          <w:rFonts w:ascii="Arial" w:cs="Arial" w:eastAsia="Arial" w:hAnsi="Arial"/>
          <w:sz w:val="15"/>
          <w:szCs w:val="15"/>
          <w:color w:val="auto"/>
        </w:rPr>
      </w:pPr>
    </w:p>
    <w:p>
      <w:pPr>
        <w:jc w:val="both"/>
        <w:ind w:left="660" w:right="20" w:firstLine="646"/>
        <w:spacing w:after="0" w:line="246" w:lineRule="auto"/>
        <w:tabs>
          <w:tab w:leader="none" w:pos="2087" w:val="left"/>
        </w:tabs>
        <w:numPr>
          <w:ilvl w:val="1"/>
          <w:numId w:val="199"/>
        </w:numPr>
        <w:rPr>
          <w:rFonts w:ascii="Arial" w:cs="Arial" w:eastAsia="Arial" w:hAnsi="Arial"/>
          <w:sz w:val="18"/>
          <w:szCs w:val="18"/>
          <w:color w:val="auto"/>
        </w:rPr>
      </w:pPr>
      <w:r>
        <w:rPr>
          <w:rFonts w:ascii="Arial" w:cs="Arial" w:eastAsia="Arial" w:hAnsi="Arial"/>
          <w:sz w:val="20"/>
          <w:szCs w:val="20"/>
          <w:b w:val="1"/>
          <w:bCs w:val="1"/>
          <w:color w:val="auto"/>
        </w:rPr>
        <w:t xml:space="preserve">Entire Agreement. </w:t>
      </w:r>
      <w:r>
        <w:rPr>
          <w:rFonts w:ascii="Arial" w:cs="Arial" w:eastAsia="Arial" w:hAnsi="Arial"/>
          <w:sz w:val="20"/>
          <w:szCs w:val="20"/>
          <w:color w:val="auto"/>
        </w:rPr>
        <w:t>This document contains all terms of the Waiver and Release and supersedes and invalidates any</w:t>
      </w:r>
      <w:r>
        <w:rPr>
          <w:rFonts w:ascii="Arial" w:cs="Arial" w:eastAsia="Arial" w:hAnsi="Arial"/>
          <w:sz w:val="20"/>
          <w:szCs w:val="20"/>
          <w:b w:val="1"/>
          <w:bCs w:val="1"/>
          <w:color w:val="auto"/>
        </w:rPr>
        <w:t xml:space="preserve"> </w:t>
      </w:r>
      <w:r>
        <w:rPr>
          <w:rFonts w:ascii="Arial" w:cs="Arial" w:eastAsia="Arial" w:hAnsi="Arial"/>
          <w:sz w:val="20"/>
          <w:szCs w:val="20"/>
          <w:color w:val="auto"/>
        </w:rPr>
        <w:t>previous agreements or contracts regarding the same subject matter. No representations, inducements, promises or agreements, oral or otherwise, which are not embodies herein shall be of any force or effect.</w:t>
      </w:r>
    </w:p>
    <w:p>
      <w:pPr>
        <w:spacing w:after="0" w:line="169" w:lineRule="exact"/>
        <w:rPr>
          <w:sz w:val="20"/>
          <w:szCs w:val="20"/>
          <w:color w:val="auto"/>
        </w:rPr>
      </w:pPr>
    </w:p>
    <w:p>
      <w:pPr>
        <w:ind w:left="2260"/>
        <w:spacing w:after="0"/>
        <w:rPr>
          <w:sz w:val="20"/>
          <w:szCs w:val="20"/>
          <w:color w:val="auto"/>
        </w:rPr>
      </w:pPr>
      <w:r>
        <w:rPr>
          <w:rFonts w:ascii="Arial" w:cs="Arial" w:eastAsia="Arial" w:hAnsi="Arial"/>
          <w:sz w:val="27"/>
          <w:szCs w:val="27"/>
          <w:b w:val="1"/>
          <w:bCs w:val="1"/>
          <w:i w:val="1"/>
          <w:iCs w:val="1"/>
          <w:color w:val="auto"/>
        </w:rPr>
        <w:t>Please read this document carefully, as it includes a release of claims.</w:t>
      </w:r>
    </w:p>
    <w:p>
      <w:pPr>
        <w:spacing w:after="0" w:line="244" w:lineRule="exact"/>
        <w:rPr>
          <w:sz w:val="20"/>
          <w:szCs w:val="20"/>
          <w:color w:val="auto"/>
        </w:rPr>
      </w:pPr>
    </w:p>
    <w:p>
      <w:pPr>
        <w:ind w:right="380" w:firstLine="648"/>
        <w:spacing w:after="0" w:line="267" w:lineRule="auto"/>
        <w:rPr>
          <w:sz w:val="20"/>
          <w:szCs w:val="20"/>
          <w:color w:val="auto"/>
        </w:rPr>
      </w:pPr>
      <w:r>
        <w:rPr>
          <w:rFonts w:ascii="Arial" w:cs="Arial" w:eastAsia="Arial" w:hAnsi="Arial"/>
          <w:sz w:val="20"/>
          <w:szCs w:val="20"/>
          <w:b w:val="1"/>
          <w:bCs w:val="1"/>
          <w:color w:val="auto"/>
        </w:rPr>
        <w:t>IN WITNESS WHEREOF</w:t>
      </w:r>
      <w:r>
        <w:rPr>
          <w:rFonts w:ascii="Arial" w:cs="Arial" w:eastAsia="Arial" w:hAnsi="Arial"/>
          <w:sz w:val="20"/>
          <w:szCs w:val="20"/>
          <w:color w:val="auto"/>
        </w:rPr>
        <w:t>, the undersigned acknowledges that Employee has read this Waiver and Release Agreement and sets</w:t>
      </w:r>
      <w:r>
        <w:rPr>
          <w:rFonts w:ascii="Arial" w:cs="Arial" w:eastAsia="Arial" w:hAnsi="Arial"/>
          <w:sz w:val="20"/>
          <w:szCs w:val="20"/>
          <w:b w:val="1"/>
          <w:bCs w:val="1"/>
          <w:color w:val="auto"/>
        </w:rPr>
        <w:t xml:space="preserve"> </w:t>
      </w:r>
      <w:r>
        <w:rPr>
          <w:rFonts w:ascii="Arial" w:cs="Arial" w:eastAsia="Arial" w:hAnsi="Arial"/>
          <w:sz w:val="20"/>
          <w:szCs w:val="20"/>
          <w:color w:val="auto"/>
        </w:rPr>
        <w:t>Employee’s hand and seal this ____ day of _______________, 20--___.</w:t>
      </w:r>
    </w:p>
    <w:p>
      <w:pPr>
        <w:spacing w:after="0" w:line="399"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EMPLOYEE</w:t>
      </w:r>
    </w:p>
    <w:p>
      <w:pPr>
        <w:spacing w:after="0" w:line="200" w:lineRule="exact"/>
        <w:rPr>
          <w:sz w:val="20"/>
          <w:szCs w:val="20"/>
          <w:color w:val="auto"/>
        </w:rPr>
      </w:pPr>
    </w:p>
    <w:p>
      <w:pPr>
        <w:spacing w:after="0" w:line="232" w:lineRule="exact"/>
        <w:rPr>
          <w:sz w:val="20"/>
          <w:szCs w:val="20"/>
          <w:color w:val="auto"/>
        </w:rPr>
      </w:pPr>
    </w:p>
    <w:p>
      <w:pPr>
        <w:ind w:left="4460"/>
        <w:spacing w:after="0"/>
        <w:rPr>
          <w:sz w:val="20"/>
          <w:szCs w:val="20"/>
          <w:color w:val="auto"/>
        </w:rPr>
      </w:pPr>
      <w:r>
        <w:rPr>
          <w:rFonts w:ascii="Arial" w:cs="Arial" w:eastAsia="Arial" w:hAnsi="Arial"/>
          <w:sz w:val="20"/>
          <w:szCs w:val="20"/>
          <w:color w:val="auto"/>
        </w:rPr>
        <w:t>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left="380"/>
        <w:spacing w:after="0"/>
        <w:rPr>
          <w:sz w:val="20"/>
          <w:szCs w:val="20"/>
          <w:color w:val="auto"/>
        </w:rPr>
      </w:pPr>
      <w:r>
        <w:rPr>
          <w:rFonts w:ascii="Arial" w:cs="Arial" w:eastAsia="Arial" w:hAnsi="Arial"/>
          <w:sz w:val="20"/>
          <w:szCs w:val="20"/>
          <w:color w:val="auto"/>
        </w:rPr>
        <w:t>BLACK HILLS CORPORATION</w:t>
      </w:r>
    </w:p>
    <w:p>
      <w:pPr>
        <w:spacing w:after="0" w:line="200" w:lineRule="exact"/>
        <w:rPr>
          <w:sz w:val="20"/>
          <w:szCs w:val="20"/>
          <w:color w:val="auto"/>
        </w:rPr>
      </w:pPr>
    </w:p>
    <w:p>
      <w:pPr>
        <w:spacing w:after="0" w:line="232" w:lineRule="exact"/>
        <w:rPr>
          <w:sz w:val="20"/>
          <w:szCs w:val="20"/>
          <w:color w:val="auto"/>
        </w:rPr>
      </w:pPr>
    </w:p>
    <w:p>
      <w:pPr>
        <w:ind w:left="4460"/>
        <w:spacing w:after="0"/>
        <w:tabs>
          <w:tab w:leader="none" w:pos="492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16"/>
          <w:szCs w:val="16"/>
          <w:color w:val="auto"/>
        </w:rPr>
        <w:t>___________________________</w:t>
      </w:r>
    </w:p>
    <w:p>
      <w:pPr>
        <w:spacing w:after="0" w:line="16" w:lineRule="exact"/>
        <w:rPr>
          <w:sz w:val="20"/>
          <w:szCs w:val="20"/>
          <w:color w:val="auto"/>
        </w:rPr>
      </w:pPr>
    </w:p>
    <w:p>
      <w:pPr>
        <w:ind w:left="4460"/>
        <w:spacing w:after="0"/>
        <w:tabs>
          <w:tab w:leader="none" w:pos="5060" w:val="left"/>
        </w:tabs>
        <w:rPr>
          <w:sz w:val="20"/>
          <w:szCs w:val="20"/>
          <w:color w:val="auto"/>
        </w:rPr>
      </w:pPr>
      <w:r>
        <w:rPr>
          <w:rFonts w:ascii="Arial" w:cs="Arial" w:eastAsia="Arial" w:hAnsi="Arial"/>
          <w:sz w:val="20"/>
          <w:szCs w:val="20"/>
          <w:color w:val="auto"/>
        </w:rPr>
        <w:t>Title:</w:t>
      </w:r>
      <w:r>
        <w:rPr>
          <w:sz w:val="20"/>
          <w:szCs w:val="20"/>
          <w:color w:val="auto"/>
        </w:rPr>
        <w:tab/>
      </w:r>
      <w:r>
        <w:rPr>
          <w:rFonts w:ascii="Arial" w:cs="Arial" w:eastAsia="Arial" w:hAnsi="Arial"/>
          <w:sz w:val="16"/>
          <w:szCs w:val="16"/>
          <w:color w:val="auto"/>
        </w:rPr>
        <w:t>___________________________</w:t>
      </w:r>
    </w:p>
    <w:p>
      <w:pPr>
        <w:sectPr>
          <w:pgSz w:w="11900" w:h="16838" w:orient="portrait"/>
          <w:cols w:equalWidth="0" w:num="1">
            <w:col w:w="11280"/>
          </w:cols>
          <w:pgMar w:left="320" w:top="555" w:right="299" w:bottom="1440" w:gutter="0" w:footer="0" w:header="0"/>
        </w:sectPr>
      </w:pPr>
    </w:p>
    <w:bookmarkStart w:id="198" w:name="page199"/>
    <w:bookmarkEnd w:id="198"/>
    <w:p>
      <w:pPr>
        <w:jc w:val="center"/>
        <w:ind w:right="-19"/>
        <w:spacing w:after="0"/>
        <w:rPr>
          <w:sz w:val="20"/>
          <w:szCs w:val="20"/>
          <w:color w:val="auto"/>
        </w:rPr>
      </w:pPr>
      <w:r>
        <w:rPr>
          <w:rFonts w:ascii="Arial" w:cs="Arial" w:eastAsia="Arial" w:hAnsi="Arial"/>
          <w:sz w:val="20"/>
          <w:szCs w:val="20"/>
          <w:b w:val="1"/>
          <w:bCs w:val="1"/>
          <w:color w:val="auto"/>
        </w:rPr>
        <w:t>EQUITY DISTRIBUTION SALES AGREEMENT AMENDMENT</w:t>
      </w:r>
    </w:p>
    <w:p>
      <w:pPr>
        <w:spacing w:after="0" w:line="235" w:lineRule="exact"/>
        <w:rPr>
          <w:sz w:val="20"/>
          <w:szCs w:val="20"/>
          <w:color w:val="auto"/>
        </w:rPr>
      </w:pPr>
    </w:p>
    <w:p>
      <w:pPr>
        <w:ind w:right="280" w:firstLine="648"/>
        <w:spacing w:after="0" w:line="242" w:lineRule="auto"/>
        <w:rPr>
          <w:sz w:val="20"/>
          <w:szCs w:val="20"/>
          <w:color w:val="auto"/>
        </w:rPr>
      </w:pPr>
      <w:r>
        <w:rPr>
          <w:rFonts w:ascii="Arial" w:cs="Arial" w:eastAsia="Arial" w:hAnsi="Arial"/>
          <w:sz w:val="20"/>
          <w:szCs w:val="20"/>
          <w:color w:val="auto"/>
        </w:rPr>
        <w:t>This Equity Distribution Sales Agreement Amendment (the "Amendment") is entered into as of October 3, 2019, among Black Hills Corporation, a South Dakota corporation (the "Company") and MUF'G Securities Americas Inc., BofA Securities, Inc. (formerly known as Merrill Lynch, Pierce, Fenner &amp; Smith Incorporated) and Morgan Stanley &amp; Co. LLC, as sales agent and/or principal (each, an "Agent"). Capitalized terms used herein and not defined herein shall have the meanings assigned to them in the Amended and Restated Equity Distribution Sales</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Agreement among the Company and the Agents, dated August 4, 2017 (the "Agreement").</w:t>
      </w:r>
    </w:p>
    <w:p>
      <w:pPr>
        <w:spacing w:after="0" w:line="207" w:lineRule="exact"/>
        <w:rPr>
          <w:sz w:val="20"/>
          <w:szCs w:val="20"/>
          <w:color w:val="auto"/>
        </w:rPr>
      </w:pPr>
    </w:p>
    <w:p>
      <w:pPr>
        <w:ind w:right="3660" w:firstLine="648"/>
        <w:spacing w:after="0" w:line="267" w:lineRule="auto"/>
        <w:rPr>
          <w:sz w:val="20"/>
          <w:szCs w:val="20"/>
          <w:color w:val="auto"/>
        </w:rPr>
      </w:pPr>
      <w:r>
        <w:rPr>
          <w:rFonts w:ascii="Arial" w:cs="Arial" w:eastAsia="Arial" w:hAnsi="Arial"/>
          <w:sz w:val="20"/>
          <w:szCs w:val="20"/>
          <w:b w:val="1"/>
          <w:bCs w:val="1"/>
          <w:color w:val="auto"/>
        </w:rPr>
        <w:t>WHEREAS</w:t>
      </w:r>
      <w:r>
        <w:rPr>
          <w:rFonts w:ascii="Arial" w:cs="Arial" w:eastAsia="Arial" w:hAnsi="Arial"/>
          <w:sz w:val="20"/>
          <w:szCs w:val="20"/>
          <w:color w:val="auto"/>
        </w:rPr>
        <w:t>, each of the parties hereto wishes to amend the Agreement in the manner set</w:t>
      </w:r>
      <w:r>
        <w:rPr>
          <w:rFonts w:ascii="Arial" w:cs="Arial" w:eastAsia="Arial" w:hAnsi="Arial"/>
          <w:sz w:val="20"/>
          <w:szCs w:val="20"/>
          <w:b w:val="1"/>
          <w:bCs w:val="1"/>
          <w:color w:val="auto"/>
        </w:rPr>
        <w:t xml:space="preserve"> </w:t>
      </w:r>
      <w:r>
        <w:rPr>
          <w:rFonts w:ascii="Arial" w:cs="Arial" w:eastAsia="Arial" w:hAnsi="Arial"/>
          <w:sz w:val="20"/>
          <w:szCs w:val="20"/>
          <w:color w:val="auto"/>
        </w:rPr>
        <w:t>forth below;</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b w:val="1"/>
          <w:bCs w:val="1"/>
          <w:color w:val="auto"/>
        </w:rPr>
        <w:t>NOW, THEREFORE</w:t>
      </w:r>
      <w:r>
        <w:rPr>
          <w:rFonts w:ascii="Arial" w:cs="Arial" w:eastAsia="Arial" w:hAnsi="Arial"/>
          <w:sz w:val="20"/>
          <w:szCs w:val="20"/>
          <w:color w:val="auto"/>
        </w:rPr>
        <w:t>, the parties hereby agree as follows:</w:t>
      </w:r>
    </w:p>
    <w:p>
      <w:pPr>
        <w:spacing w:after="0" w:line="235" w:lineRule="exact"/>
        <w:rPr>
          <w:sz w:val="20"/>
          <w:szCs w:val="20"/>
          <w:color w:val="auto"/>
        </w:rPr>
      </w:pPr>
    </w:p>
    <w:p>
      <w:pPr>
        <w:spacing w:after="0"/>
        <w:tabs>
          <w:tab w:leader="none" w:pos="320" w:val="left"/>
        </w:tabs>
        <w:rPr>
          <w:sz w:val="20"/>
          <w:szCs w:val="20"/>
          <w:color w:val="auto"/>
        </w:rPr>
      </w:pPr>
      <w:r>
        <w:rPr>
          <w:rFonts w:ascii="Arial" w:cs="Arial" w:eastAsia="Arial" w:hAnsi="Arial"/>
          <w:sz w:val="20"/>
          <w:szCs w:val="20"/>
          <w:color w:val="auto"/>
        </w:rPr>
        <w:t>1.</w:t>
      </w:r>
      <w:r>
        <w:rPr>
          <w:sz w:val="20"/>
          <w:szCs w:val="20"/>
          <w:color w:val="auto"/>
        </w:rPr>
        <w:tab/>
      </w:r>
      <w:r>
        <w:rPr>
          <w:rFonts w:ascii="Arial" w:cs="Arial" w:eastAsia="Arial" w:hAnsi="Arial"/>
          <w:sz w:val="18"/>
          <w:szCs w:val="18"/>
          <w:color w:val="auto"/>
        </w:rPr>
        <w:t>The following text shall be added in its entirety to the Agreement.</w:t>
      </w:r>
    </w:p>
    <w:p>
      <w:pPr>
        <w:spacing w:after="0" w:line="229" w:lineRule="exact"/>
        <w:rPr>
          <w:sz w:val="20"/>
          <w:szCs w:val="20"/>
          <w:color w:val="auto"/>
        </w:rPr>
      </w:pPr>
    </w:p>
    <w:p>
      <w:pPr>
        <w:ind w:left="1300"/>
        <w:spacing w:after="0"/>
        <w:rPr>
          <w:sz w:val="20"/>
          <w:szCs w:val="20"/>
          <w:color w:val="auto"/>
        </w:rPr>
      </w:pPr>
      <w:r>
        <w:rPr>
          <w:rFonts w:ascii="Arial" w:cs="Arial" w:eastAsia="Arial" w:hAnsi="Arial"/>
          <w:sz w:val="20"/>
          <w:szCs w:val="20"/>
          <w:color w:val="auto"/>
        </w:rPr>
        <w:t xml:space="preserve">Section 18. </w:t>
      </w:r>
      <w:r>
        <w:rPr>
          <w:rFonts w:ascii="Arial" w:cs="Arial" w:eastAsia="Arial" w:hAnsi="Arial"/>
          <w:sz w:val="20"/>
          <w:szCs w:val="20"/>
          <w:u w:val="single" w:color="auto"/>
          <w:color w:val="auto"/>
        </w:rPr>
        <w:t>Recognition of the U.S. Special Resolution Regimes</w:t>
      </w:r>
    </w:p>
    <w:p>
      <w:pPr>
        <w:spacing w:after="0" w:line="229" w:lineRule="exact"/>
        <w:rPr>
          <w:sz w:val="20"/>
          <w:szCs w:val="20"/>
          <w:color w:val="auto"/>
        </w:rPr>
      </w:pPr>
    </w:p>
    <w:p>
      <w:pPr>
        <w:ind w:left="340" w:right="20" w:firstLine="965"/>
        <w:spacing w:after="0" w:line="263" w:lineRule="auto"/>
        <w:tabs>
          <w:tab w:leader="none" w:pos="1581" w:val="left"/>
        </w:tabs>
        <w:numPr>
          <w:ilvl w:val="1"/>
          <w:numId w:val="200"/>
        </w:numPr>
        <w:rPr>
          <w:rFonts w:ascii="Arial" w:cs="Arial" w:eastAsia="Arial" w:hAnsi="Arial"/>
          <w:sz w:val="19"/>
          <w:szCs w:val="19"/>
          <w:color w:val="auto"/>
        </w:rPr>
      </w:pPr>
      <w:r>
        <w:rPr>
          <w:rFonts w:ascii="Arial" w:cs="Arial" w:eastAsia="Arial" w:hAnsi="Arial"/>
          <w:sz w:val="19"/>
          <w:szCs w:val="19"/>
          <w:color w:val="auto"/>
        </w:rPr>
        <w:t>In the event that any Agent that is a Covered Entity becomes subject to a proceeding under a U.S. Special Resolution Regime, the transfer from such Agent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90" w:lineRule="exact"/>
        <w:rPr>
          <w:rFonts w:ascii="Arial" w:cs="Arial" w:eastAsia="Arial" w:hAnsi="Arial"/>
          <w:sz w:val="19"/>
          <w:szCs w:val="19"/>
          <w:color w:val="auto"/>
        </w:rPr>
      </w:pPr>
    </w:p>
    <w:p>
      <w:pPr>
        <w:ind w:left="340" w:firstLine="965"/>
        <w:spacing w:after="0" w:line="246" w:lineRule="auto"/>
        <w:tabs>
          <w:tab w:leader="none" w:pos="1593" w:val="left"/>
        </w:tabs>
        <w:numPr>
          <w:ilvl w:val="1"/>
          <w:numId w:val="200"/>
        </w:numPr>
        <w:rPr>
          <w:rFonts w:ascii="Arial" w:cs="Arial" w:eastAsia="Arial" w:hAnsi="Arial"/>
          <w:sz w:val="20"/>
          <w:szCs w:val="20"/>
          <w:color w:val="auto"/>
        </w:rPr>
      </w:pPr>
      <w:r>
        <w:rPr>
          <w:rFonts w:ascii="Arial" w:cs="Arial" w:eastAsia="Arial" w:hAnsi="Arial"/>
          <w:sz w:val="20"/>
          <w:szCs w:val="20"/>
          <w:color w:val="auto"/>
        </w:rPr>
        <w:t>In the event that any Agent that is a Covered Entity or a BHC Act Affiliate of such Agent becomes subject to a proceeding under a U.S. Special Resolution Regime, Default Rights under this Agreement that may be exercised against such Agent are permitted to be exercised to no greater extent than such Default Rights could be exercised under the U.S. Special Resolution Regime if this Agreement were governed by the laws of the United States or a state of the United States.</w:t>
      </w:r>
    </w:p>
    <w:p>
      <w:pPr>
        <w:spacing w:after="0" w:line="205" w:lineRule="exact"/>
        <w:rPr>
          <w:rFonts w:ascii="Arial" w:cs="Arial" w:eastAsia="Arial" w:hAnsi="Arial"/>
          <w:sz w:val="20"/>
          <w:szCs w:val="20"/>
          <w:color w:val="auto"/>
        </w:rPr>
      </w:pPr>
    </w:p>
    <w:p>
      <w:pPr>
        <w:ind w:left="1580" w:hanging="275"/>
        <w:spacing w:after="0"/>
        <w:tabs>
          <w:tab w:leader="none" w:pos="1580" w:val="left"/>
        </w:tabs>
        <w:numPr>
          <w:ilvl w:val="1"/>
          <w:numId w:val="200"/>
        </w:numPr>
        <w:rPr>
          <w:rFonts w:ascii="Arial" w:cs="Arial" w:eastAsia="Arial" w:hAnsi="Arial"/>
          <w:sz w:val="20"/>
          <w:szCs w:val="20"/>
          <w:color w:val="auto"/>
        </w:rPr>
      </w:pPr>
      <w:r>
        <w:rPr>
          <w:rFonts w:ascii="Arial" w:cs="Arial" w:eastAsia="Arial" w:hAnsi="Arial"/>
          <w:sz w:val="20"/>
          <w:szCs w:val="20"/>
          <w:color w:val="auto"/>
        </w:rPr>
        <w:t>For purposes of this Section 18:</w:t>
      </w:r>
    </w:p>
    <w:p>
      <w:pPr>
        <w:spacing w:after="0" w:line="229" w:lineRule="exact"/>
        <w:rPr>
          <w:rFonts w:ascii="Arial" w:cs="Arial" w:eastAsia="Arial" w:hAnsi="Arial"/>
          <w:sz w:val="20"/>
          <w:szCs w:val="20"/>
          <w:color w:val="auto"/>
        </w:rPr>
      </w:pPr>
    </w:p>
    <w:p>
      <w:pPr>
        <w:ind w:left="1300" w:right="60" w:firstLine="329"/>
        <w:spacing w:after="0" w:line="260" w:lineRule="auto"/>
        <w:tabs>
          <w:tab w:leader="none" w:pos="2009" w:val="left"/>
        </w:tabs>
        <w:numPr>
          <w:ilvl w:val="2"/>
          <w:numId w:val="2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BHC Act Affiliate</w:t>
      </w:r>
      <w:r>
        <w:rPr>
          <w:rFonts w:ascii="Arial" w:cs="Arial" w:eastAsia="Arial" w:hAnsi="Arial"/>
          <w:sz w:val="20"/>
          <w:szCs w:val="20"/>
          <w:color w:val="auto"/>
        </w:rPr>
        <w:t>" has the meaning assigned to the term "affiliate" in, and shall be interpreted in accordance with, 12 U.S.C. $ 1841(k);</w:t>
      </w:r>
    </w:p>
    <w:p>
      <w:pPr>
        <w:spacing w:after="0" w:line="190" w:lineRule="exact"/>
        <w:rPr>
          <w:rFonts w:ascii="Arial" w:cs="Arial" w:eastAsia="Arial" w:hAnsi="Arial"/>
          <w:sz w:val="20"/>
          <w:szCs w:val="20"/>
          <w:color w:val="auto"/>
        </w:rPr>
      </w:pPr>
    </w:p>
    <w:p>
      <w:pPr>
        <w:ind w:left="1300" w:right="160" w:firstLine="653"/>
        <w:spacing w:after="0" w:line="291" w:lineRule="auto"/>
        <w:tabs>
          <w:tab w:leader="none" w:pos="2437" w:val="left"/>
        </w:tabs>
        <w:numPr>
          <w:ilvl w:val="3"/>
          <w:numId w:val="20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i w:val="1"/>
          <w:iCs w:val="1"/>
          <w:color w:val="auto"/>
        </w:rPr>
        <w:t>Covered Entity</w:t>
      </w:r>
      <w:r>
        <w:rPr>
          <w:rFonts w:ascii="Arial" w:cs="Arial" w:eastAsia="Arial" w:hAnsi="Arial"/>
          <w:sz w:val="18"/>
          <w:szCs w:val="18"/>
          <w:color w:val="auto"/>
        </w:rPr>
        <w:t>" means any of the following: (i) a "covered entity" as that term is defined in, and interpreted in accordance with, 12 C.F.R. § 252.82(b); (ii) "Covered bank" as that term is defined in, and interpreted in accordance with,12 C.F.R. § 47.3(b); or (iii) a "covered FSI" as that term is defined in, and interpreted in accordance with, 12 C.F.R. § 382.2(b);</w:t>
      </w:r>
    </w:p>
    <w:p>
      <w:pPr>
        <w:spacing w:after="0" w:line="165" w:lineRule="exact"/>
        <w:rPr>
          <w:rFonts w:ascii="Arial" w:cs="Arial" w:eastAsia="Arial" w:hAnsi="Arial"/>
          <w:sz w:val="18"/>
          <w:szCs w:val="18"/>
          <w:color w:val="auto"/>
        </w:rPr>
      </w:pPr>
    </w:p>
    <w:p>
      <w:pPr>
        <w:ind w:left="1300" w:right="160" w:firstLine="653"/>
        <w:spacing w:after="0" w:line="260" w:lineRule="auto"/>
        <w:tabs>
          <w:tab w:leader="none" w:pos="2492" w:val="left"/>
        </w:tabs>
        <w:numPr>
          <w:ilvl w:val="3"/>
          <w:numId w:val="2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90" w:lineRule="exact"/>
        <w:rPr>
          <w:rFonts w:ascii="Arial" w:cs="Arial" w:eastAsia="Arial" w:hAnsi="Arial"/>
          <w:sz w:val="20"/>
          <w:szCs w:val="20"/>
          <w:color w:val="auto"/>
        </w:rPr>
      </w:pPr>
    </w:p>
    <w:p>
      <w:pPr>
        <w:ind w:left="1300" w:right="540" w:firstLine="653"/>
        <w:spacing w:after="0" w:line="250" w:lineRule="auto"/>
        <w:tabs>
          <w:tab w:leader="none" w:pos="2481" w:val="left"/>
        </w:tabs>
        <w:numPr>
          <w:ilvl w:val="3"/>
          <w:numId w:val="200"/>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i w:val="1"/>
          <w:iCs w:val="1"/>
          <w:color w:val="auto"/>
        </w:rPr>
        <w:t>U.S. Special Resolution Regime</w:t>
      </w:r>
      <w:r>
        <w:rPr>
          <w:rFonts w:ascii="Arial" w:cs="Arial" w:eastAsia="Arial" w:hAnsi="Arial"/>
          <w:sz w:val="20"/>
          <w:szCs w:val="20"/>
          <w:color w:val="auto"/>
        </w:rPr>
        <w:t>" means each of (i) the Federal Deposit Insurance Act and the regulations promulgated thereunder and (ii) Title II of the Dodd-Frank Wall Street Reform and Consumer Protection Act and the regulations promulgated thereunder.</w:t>
      </w:r>
    </w:p>
    <w:p>
      <w:pPr>
        <w:spacing w:after="0" w:line="199" w:lineRule="exact"/>
        <w:rPr>
          <w:rFonts w:ascii="Arial" w:cs="Arial" w:eastAsia="Arial" w:hAnsi="Arial"/>
          <w:sz w:val="20"/>
          <w:szCs w:val="20"/>
          <w:color w:val="auto"/>
        </w:rPr>
      </w:pPr>
    </w:p>
    <w:p>
      <w:pPr>
        <w:ind w:left="340" w:right="20" w:hanging="332"/>
        <w:spacing w:after="0" w:line="260" w:lineRule="auto"/>
        <w:tabs>
          <w:tab w:leader="none" w:pos="3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On and after the date hereof, each reference in the Agreement to "this Agreement," "hereunder," 'hereof' or words of like import referring to the Agreement shall mean and be a reference to the Agreement, as amended by this Amendment.</w:t>
      </w:r>
    </w:p>
    <w:p>
      <w:pPr>
        <w:spacing w:after="0" w:line="190" w:lineRule="exact"/>
        <w:rPr>
          <w:rFonts w:ascii="Arial" w:cs="Arial" w:eastAsia="Arial" w:hAnsi="Arial"/>
          <w:sz w:val="20"/>
          <w:szCs w:val="20"/>
          <w:color w:val="auto"/>
        </w:rPr>
      </w:pPr>
    </w:p>
    <w:p>
      <w:pPr>
        <w:ind w:left="340" w:right="40" w:hanging="332"/>
        <w:spacing w:after="0" w:line="260" w:lineRule="auto"/>
        <w:tabs>
          <w:tab w:leader="none" w:pos="340" w:val="left"/>
        </w:tabs>
        <w:numPr>
          <w:ilvl w:val="0"/>
          <w:numId w:val="201"/>
        </w:numPr>
        <w:rPr>
          <w:rFonts w:ascii="Arial" w:cs="Arial" w:eastAsia="Arial" w:hAnsi="Arial"/>
          <w:sz w:val="20"/>
          <w:szCs w:val="20"/>
          <w:color w:val="auto"/>
        </w:rPr>
      </w:pPr>
      <w:r>
        <w:rPr>
          <w:rFonts w:ascii="Arial" w:cs="Arial" w:eastAsia="Arial" w:hAnsi="Arial"/>
          <w:sz w:val="20"/>
          <w:szCs w:val="20"/>
          <w:color w:val="auto"/>
        </w:rPr>
        <w:t>The Agreement, as specifically amended by this Amendment, is and shall continue to be in full force and effect and is hereby in all respects ratified and confirmed.</w:t>
      </w:r>
    </w:p>
    <w:p>
      <w:pPr>
        <w:sectPr>
          <w:pgSz w:w="11900" w:h="16838" w:orient="portrait"/>
          <w:cols w:equalWidth="0" w:num="1">
            <w:col w:w="11420"/>
          </w:cols>
          <w:pgMar w:left="240" w:top="549" w:right="239" w:bottom="1440" w:gutter="0" w:footer="0" w:header="0"/>
        </w:sectPr>
      </w:pPr>
    </w:p>
    <w:bookmarkStart w:id="199" w:name="page200"/>
    <w:bookmarkEnd w:id="199"/>
    <w:p>
      <w:pPr>
        <w:ind w:left="332" w:hanging="332"/>
        <w:spacing w:after="0" w:line="260" w:lineRule="auto"/>
        <w:tabs>
          <w:tab w:leader="none" w:pos="33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This Amendment and any claim, controversy or dispute arising under or related to this Amendment shall be governed by, and construed in accordance with, the laws of the state of New York, without regard to its choice of law provisions.</w:t>
      </w:r>
    </w:p>
    <w:p>
      <w:pPr>
        <w:spacing w:after="0" w:line="190" w:lineRule="exact"/>
        <w:rPr>
          <w:rFonts w:ascii="Arial" w:cs="Arial" w:eastAsia="Arial" w:hAnsi="Arial"/>
          <w:sz w:val="20"/>
          <w:szCs w:val="20"/>
          <w:color w:val="auto"/>
        </w:rPr>
      </w:pPr>
    </w:p>
    <w:p>
      <w:pPr>
        <w:ind w:left="332" w:right="860" w:hanging="332"/>
        <w:spacing w:after="0" w:line="260" w:lineRule="auto"/>
        <w:tabs>
          <w:tab w:leader="none" w:pos="33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This Amendment may be executed in any number of counterparts, each of which shall be deemed to be an original, but all such counterparts shall together constitute one and the same instrument.</w:t>
      </w:r>
    </w:p>
    <w:p>
      <w:pPr>
        <w:spacing w:after="0" w:line="190" w:lineRule="exact"/>
        <w:rPr>
          <w:rFonts w:ascii="Arial" w:cs="Arial" w:eastAsia="Arial" w:hAnsi="Arial"/>
          <w:sz w:val="20"/>
          <w:szCs w:val="20"/>
          <w:color w:val="auto"/>
        </w:rPr>
      </w:pPr>
    </w:p>
    <w:p>
      <w:pPr>
        <w:ind w:left="332" w:right="40" w:hanging="332"/>
        <w:spacing w:after="0" w:line="260" w:lineRule="auto"/>
        <w:tabs>
          <w:tab w:leader="none" w:pos="332" w:val="left"/>
        </w:tabs>
        <w:numPr>
          <w:ilvl w:val="0"/>
          <w:numId w:val="202"/>
        </w:numPr>
        <w:rPr>
          <w:rFonts w:ascii="Arial" w:cs="Arial" w:eastAsia="Arial" w:hAnsi="Arial"/>
          <w:sz w:val="20"/>
          <w:szCs w:val="20"/>
          <w:color w:val="auto"/>
        </w:rPr>
      </w:pPr>
      <w:r>
        <w:rPr>
          <w:rFonts w:ascii="Arial" w:cs="Arial" w:eastAsia="Arial" w:hAnsi="Arial"/>
          <w:sz w:val="20"/>
          <w:szCs w:val="20"/>
          <w:color w:val="auto"/>
        </w:rPr>
        <w:t>No amendment or waiver of any provision of this Amendment, nor any consent or approval to any departure therefrom, shall in any event be effective unless the same shall be in writing and signed by the parties hereto.</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31"/>
        <w:spacing w:after="0"/>
        <w:rPr>
          <w:sz w:val="20"/>
          <w:szCs w:val="20"/>
          <w:color w:val="auto"/>
        </w:rPr>
      </w:pPr>
      <w:r>
        <w:rPr>
          <w:rFonts w:ascii="Arial" w:cs="Arial" w:eastAsia="Arial" w:hAnsi="Arial"/>
          <w:sz w:val="20"/>
          <w:szCs w:val="20"/>
          <w:i w:val="1"/>
          <w:iCs w:val="1"/>
          <w:color w:val="auto"/>
        </w:rPr>
        <w:t>[Remainder of page intentionally left blank]</w:t>
      </w:r>
    </w:p>
    <w:p>
      <w:pPr>
        <w:sectPr>
          <w:pgSz w:w="11900" w:h="16838" w:orient="portrait"/>
          <w:cols w:equalWidth="0" w:num="1">
            <w:col w:w="11272"/>
          </w:cols>
          <w:pgMar w:left="248" w:top="784" w:right="379" w:bottom="1440" w:gutter="0" w:footer="0" w:header="0"/>
        </w:sectPr>
      </w:pPr>
    </w:p>
    <w:bookmarkStart w:id="200" w:name="page201"/>
    <w:bookmarkEnd w:id="200"/>
    <w:p>
      <w:pPr>
        <w:ind w:left="660"/>
        <w:spacing w:after="0"/>
        <w:rPr>
          <w:sz w:val="20"/>
          <w:szCs w:val="20"/>
          <w:color w:val="auto"/>
        </w:rPr>
      </w:pPr>
      <w:r>
        <w:rPr>
          <w:rFonts w:ascii="Arial" w:cs="Arial" w:eastAsia="Arial" w:hAnsi="Arial"/>
          <w:sz w:val="18"/>
          <w:szCs w:val="18"/>
          <w:color w:val="auto"/>
        </w:rPr>
        <w:t>IN WITNESS WHEREOF, the parties have duly executed this Amendment as of the date first written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above.</w:t>
      </w:r>
    </w:p>
    <w:p>
      <w:pPr>
        <w:spacing w:after="0" w:line="213" w:lineRule="exact"/>
        <w:rPr>
          <w:sz w:val="20"/>
          <w:szCs w:val="20"/>
          <w:color w:val="auto"/>
        </w:rPr>
      </w:pPr>
    </w:p>
    <w:p>
      <w:pPr>
        <w:jc w:val="center"/>
        <w:ind w:right="-200"/>
        <w:spacing w:after="0"/>
        <w:rPr>
          <w:sz w:val="20"/>
          <w:szCs w:val="20"/>
          <w:color w:val="auto"/>
        </w:rPr>
      </w:pPr>
      <w:r>
        <w:rPr>
          <w:rFonts w:ascii="Arial" w:cs="Arial" w:eastAsia="Arial" w:hAnsi="Arial"/>
          <w:sz w:val="20"/>
          <w:szCs w:val="20"/>
          <w:color w:val="auto"/>
        </w:rPr>
        <w:t>Very truly yours,</w:t>
      </w:r>
    </w:p>
    <w:p>
      <w:pPr>
        <w:spacing w:after="0" w:line="200" w:lineRule="exact"/>
        <w:rPr>
          <w:sz w:val="20"/>
          <w:szCs w:val="20"/>
          <w:color w:val="auto"/>
        </w:rPr>
      </w:pPr>
    </w:p>
    <w:p>
      <w:pPr>
        <w:spacing w:after="0" w:line="25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BLACK HILLS CORPORATION</w:t>
      </w:r>
    </w:p>
    <w:p>
      <w:pPr>
        <w:spacing w:after="0" w:line="229"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By: /s/ Richard Kinzley</w:t>
      </w:r>
    </w:p>
    <w:p>
      <w:pPr>
        <w:spacing w:after="0" w:line="15" w:lineRule="exact"/>
        <w:rPr>
          <w:sz w:val="20"/>
          <w:szCs w:val="20"/>
          <w:color w:val="auto"/>
        </w:rPr>
      </w:pPr>
    </w:p>
    <w:p>
      <w:pPr>
        <w:ind w:left="4540"/>
        <w:spacing w:after="0"/>
        <w:rPr>
          <w:sz w:val="20"/>
          <w:szCs w:val="20"/>
          <w:color w:val="auto"/>
        </w:rPr>
      </w:pPr>
      <w:r>
        <w:rPr>
          <w:rFonts w:ascii="Arial" w:cs="Arial" w:eastAsia="Arial" w:hAnsi="Arial"/>
          <w:sz w:val="20"/>
          <w:szCs w:val="20"/>
          <w:color w:val="auto"/>
        </w:rPr>
        <w:t>Name: Richard Kinzley</w:t>
      </w:r>
    </w:p>
    <w:p>
      <w:pPr>
        <w:jc w:val="right"/>
        <w:ind w:right="1259"/>
        <w:spacing w:after="0"/>
        <w:rPr>
          <w:sz w:val="20"/>
          <w:szCs w:val="20"/>
          <w:color w:val="auto"/>
        </w:rPr>
      </w:pPr>
      <w:r>
        <w:rPr>
          <w:rFonts w:ascii="Arial" w:cs="Arial" w:eastAsia="Arial" w:hAnsi="Arial"/>
          <w:sz w:val="20"/>
          <w:szCs w:val="20"/>
          <w:color w:val="auto"/>
        </w:rPr>
        <w:t>Title: Senior Vice President and Chief Financial Officer</w:t>
      </w:r>
    </w:p>
    <w:p>
      <w:pPr>
        <w:sectPr>
          <w:pgSz w:w="11900" w:h="16838" w:orient="portrait"/>
          <w:cols w:equalWidth="0" w:num="1">
            <w:col w:w="10219"/>
          </w:cols>
          <w:pgMar w:left="240" w:top="555" w:right="1440"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21</w:t>
      </w:r>
    </w:p>
    <w:p>
      <w:pPr>
        <w:spacing w:after="0" w:line="27"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BLACK HILLS CORPORATION SUBSIDIARIES</w:t>
      </w:r>
    </w:p>
    <w:p>
      <w:pPr>
        <w:spacing w:after="0" w:line="9" w:lineRule="exact"/>
        <w:rPr>
          <w:sz w:val="20"/>
          <w:szCs w:val="20"/>
          <w:color w:val="auto"/>
        </w:rPr>
      </w:pPr>
    </w:p>
    <w:p>
      <w:pPr>
        <w:jc w:val="center"/>
        <w:ind w:right="717"/>
        <w:spacing w:after="0"/>
        <w:rPr>
          <w:sz w:val="20"/>
          <w:szCs w:val="20"/>
          <w:color w:val="auto"/>
        </w:rPr>
      </w:pPr>
      <w:r>
        <w:rPr>
          <w:rFonts w:ascii="Arial" w:cs="Arial" w:eastAsia="Arial" w:hAnsi="Arial"/>
          <w:sz w:val="18"/>
          <w:szCs w:val="18"/>
          <w:b w:val="1"/>
          <w:bCs w:val="1"/>
          <w:color w:val="auto"/>
        </w:rPr>
        <w:t>December 31, 2019</w:t>
      </w:r>
    </w:p>
    <w:p>
      <w:pPr>
        <w:spacing w:after="0" w:line="200" w:lineRule="exact"/>
        <w:rPr>
          <w:sz w:val="20"/>
          <w:szCs w:val="20"/>
          <w:color w:val="auto"/>
        </w:rPr>
      </w:pPr>
    </w:p>
    <w:p>
      <w:pPr>
        <w:spacing w:after="0" w:line="356" w:lineRule="exact"/>
        <w:rPr>
          <w:sz w:val="20"/>
          <w:szCs w:val="20"/>
          <w:color w:val="auto"/>
        </w:rPr>
      </w:pPr>
    </w:p>
    <w:tbl>
      <w:tblPr>
        <w:tblLayout w:type="fixed"/>
        <w:tblInd w:w="273" w:type="dxa"/>
        <w:tblCellMar>
          <w:top w:w="0" w:type="dxa"/>
          <w:left w:w="0" w:type="dxa"/>
          <w:bottom w:w="0" w:type="dxa"/>
          <w:right w:w="0" w:type="dxa"/>
        </w:tblCellMar>
      </w:tblPr>
      <w:tr>
        <w:trPr>
          <w:trHeight w:val="289"/>
        </w:trPr>
        <w:tc>
          <w:tcPr>
            <w:tcW w:w="480" w:type="dxa"/>
            <w:vAlign w:val="bottom"/>
            <w:tcBorders>
              <w:top w:val="single" w:sz="8" w:color="auto"/>
              <w:left w:val="single" w:sz="8" w:color="auto"/>
              <w:bottom w:val="single" w:sz="8" w:color="CCCCCC"/>
              <w:right w:val="single" w:sz="8" w:color="auto"/>
            </w:tcBorders>
            <w:shd w:val="clear" w:color="auto" w:fill="CCCCCC"/>
          </w:tcPr>
          <w:p>
            <w:pPr>
              <w:spacing w:after="0"/>
              <w:rPr>
                <w:sz w:val="24"/>
                <w:szCs w:val="24"/>
                <w:color w:val="auto"/>
              </w:rPr>
            </w:pPr>
          </w:p>
        </w:tc>
        <w:tc>
          <w:tcPr>
            <w:tcW w:w="6720" w:type="dxa"/>
            <w:vAlign w:val="bottom"/>
            <w:tcBorders>
              <w:top w:val="single" w:sz="8" w:color="auto"/>
              <w:bottom w:val="single" w:sz="8" w:color="CCCCCC"/>
              <w:right w:val="single" w:sz="8" w:color="auto"/>
            </w:tcBorders>
            <w:shd w:val="clear" w:color="auto" w:fill="CCCCCC"/>
          </w:tcPr>
          <w:p>
            <w:pPr>
              <w:ind w:left="2680"/>
              <w:spacing w:after="0"/>
              <w:rPr>
                <w:sz w:val="20"/>
                <w:szCs w:val="20"/>
                <w:color w:val="auto"/>
              </w:rPr>
            </w:pPr>
            <w:r>
              <w:rPr>
                <w:rFonts w:ascii="Arial" w:cs="Arial" w:eastAsia="Arial" w:hAnsi="Arial"/>
                <w:sz w:val="18"/>
                <w:szCs w:val="18"/>
                <w:b w:val="1"/>
                <w:bCs w:val="1"/>
                <w:color w:val="auto"/>
              </w:rPr>
              <w:t>Subsidiary Name</w:t>
            </w:r>
          </w:p>
        </w:tc>
        <w:tc>
          <w:tcPr>
            <w:tcW w:w="2260" w:type="dxa"/>
            <w:vAlign w:val="bottom"/>
            <w:tcBorders>
              <w:top w:val="single" w:sz="8" w:color="auto"/>
              <w:bottom w:val="single" w:sz="8" w:color="CCCCCC"/>
              <w:right w:val="single" w:sz="8" w:color="auto"/>
            </w:tcBorders>
            <w:shd w:val="clear" w:color="auto" w:fill="CCCCCC"/>
          </w:tcPr>
          <w:p>
            <w:pPr>
              <w:jc w:val="center"/>
              <w:spacing w:after="0"/>
              <w:rPr>
                <w:sz w:val="20"/>
                <w:szCs w:val="20"/>
                <w:color w:val="auto"/>
              </w:rPr>
            </w:pPr>
            <w:r>
              <w:rPr>
                <w:rFonts w:ascii="Arial" w:cs="Arial" w:eastAsia="Arial" w:hAnsi="Arial"/>
                <w:sz w:val="18"/>
                <w:szCs w:val="18"/>
                <w:b w:val="1"/>
                <w:bCs w:val="1"/>
                <w:color w:val="auto"/>
                <w:w w:val="91"/>
              </w:rPr>
              <w:t>State of Origin</w:t>
            </w:r>
          </w:p>
        </w:tc>
      </w:tr>
      <w:tr>
        <w:trPr>
          <w:trHeight w:val="237"/>
        </w:trPr>
        <w:tc>
          <w:tcPr>
            <w:tcW w:w="480" w:type="dxa"/>
            <w:vAlign w:val="bottom"/>
            <w:tcBorders>
              <w:top w:val="single" w:sz="8" w:color="auto"/>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w:t>
            </w:r>
          </w:p>
        </w:tc>
        <w:tc>
          <w:tcPr>
            <w:tcW w:w="67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Black Hills Colorado Electric, LLC *</w:t>
            </w:r>
          </w:p>
        </w:tc>
        <w:tc>
          <w:tcPr>
            <w:tcW w:w="226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Gas,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IPP,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Colorado Wind,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Electric Generation,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Arkansas,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7"/>
              </w:rPr>
              <w:t>Arkansas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Energy Services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Exploration and Production,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Distribution,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Parent Holdings II, Inc.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Gas Resources,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Hills/Iowa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Hills/Kansas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6"/>
              </w:rPr>
              <w:t>Kansas</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Hills/Nebraska Gas Utility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Non-regulated Holdings,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Plateau Production,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Power,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Service Company,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22.</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Shoshone Pipeline,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23.</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Utility Holdings, Inc.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24.</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Wyoming,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Black Hills Wyoming Gas,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26.</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Cheyenne Light, Fuel and Power Company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3"/>
              </w:rPr>
              <w:t>Wyoming</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27.</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Mallon Oil Company, Sucursal Costa Rica</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8"/>
              </w:rPr>
              <w:t>Costa Rica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28.</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N780BH,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89"/>
              </w:rPr>
              <w:t>South Dakota</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29.</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Northern Iowa Windpower, LLC</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30.</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Rocky Mountain Natural Gas LLC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0"/>
              </w:rPr>
              <w:t>Colorado</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r>
        <w:trPr>
          <w:trHeight w:val="237"/>
        </w:trPr>
        <w:tc>
          <w:tcPr>
            <w:tcW w:w="480" w:type="dxa"/>
            <w:vAlign w:val="bottom"/>
            <w:tcBorders>
              <w:left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31.</w:t>
            </w:r>
          </w:p>
        </w:tc>
        <w:tc>
          <w:tcPr>
            <w:tcW w:w="67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Wyodak Resources Development Corp. *</w:t>
            </w:r>
          </w:p>
        </w:tc>
        <w:tc>
          <w:tcPr>
            <w:tcW w:w="2260" w:type="dxa"/>
            <w:vAlign w:val="bottom"/>
            <w:tcBorders>
              <w:right w:val="single" w:sz="8" w:color="auto"/>
            </w:tcBorders>
          </w:tcPr>
          <w:p>
            <w:pPr>
              <w:jc w:val="center"/>
              <w:spacing w:after="0"/>
              <w:rPr>
                <w:sz w:val="20"/>
                <w:szCs w:val="20"/>
                <w:color w:val="auto"/>
              </w:rPr>
            </w:pPr>
            <w:r>
              <w:rPr>
                <w:rFonts w:ascii="Arial" w:cs="Arial" w:eastAsia="Arial" w:hAnsi="Arial"/>
                <w:sz w:val="18"/>
                <w:szCs w:val="18"/>
                <w:color w:val="auto"/>
                <w:w w:val="92"/>
              </w:rPr>
              <w:t>Delaware</w:t>
            </w:r>
          </w:p>
        </w:tc>
      </w:tr>
      <w:tr>
        <w:trPr>
          <w:trHeight w:val="27"/>
        </w:trPr>
        <w:tc>
          <w:tcPr>
            <w:tcW w:w="480" w:type="dxa"/>
            <w:vAlign w:val="bottom"/>
            <w:tcBorders>
              <w:left w:val="single" w:sz="8" w:color="auto"/>
              <w:bottom w:val="single" w:sz="8" w:color="auto"/>
              <w:right w:val="single" w:sz="8" w:color="auto"/>
            </w:tcBorders>
          </w:tcPr>
          <w:p>
            <w:pPr>
              <w:spacing w:after="0"/>
              <w:rPr>
                <w:sz w:val="2"/>
                <w:szCs w:val="2"/>
                <w:color w:val="auto"/>
              </w:rPr>
            </w:pPr>
          </w:p>
        </w:tc>
        <w:tc>
          <w:tcPr>
            <w:tcW w:w="6720" w:type="dxa"/>
            <w:vAlign w:val="bottom"/>
            <w:tcBorders>
              <w:bottom w:val="single" w:sz="8" w:color="auto"/>
              <w:right w:val="single" w:sz="8" w:color="auto"/>
            </w:tcBorders>
          </w:tcPr>
          <w:p>
            <w:pPr>
              <w:spacing w:after="0"/>
              <w:rPr>
                <w:sz w:val="2"/>
                <w:szCs w:val="2"/>
                <w:color w:val="auto"/>
              </w:rPr>
            </w:pPr>
          </w:p>
        </w:tc>
        <w:tc>
          <w:tcPr>
            <w:tcW w:w="2260" w:type="dxa"/>
            <w:vAlign w:val="bottom"/>
            <w:tcBorders>
              <w:bottom w:val="single" w:sz="8" w:color="auto"/>
              <w:right w:val="single" w:sz="8" w:color="auto"/>
            </w:tcBorders>
          </w:tcPr>
          <w:p>
            <w:pPr>
              <w:spacing w:after="0"/>
              <w:rPr>
                <w:sz w:val="2"/>
                <w:szCs w:val="2"/>
                <w:color w:val="auto"/>
              </w:rPr>
            </w:pPr>
          </w:p>
        </w:tc>
      </w:tr>
    </w:tbl>
    <w:p>
      <w:pPr>
        <w:spacing w:after="0" w:line="198" w:lineRule="exact"/>
        <w:rPr>
          <w:sz w:val="20"/>
          <w:szCs w:val="20"/>
          <w:color w:val="auto"/>
        </w:rPr>
      </w:pPr>
    </w:p>
    <w:p>
      <w:pPr>
        <w:ind w:left="143" w:hanging="143"/>
        <w:spacing w:after="0"/>
        <w:tabs>
          <w:tab w:leader="none" w:pos="143" w:val="left"/>
        </w:tabs>
        <w:numPr>
          <w:ilvl w:val="0"/>
          <w:numId w:val="203"/>
        </w:numPr>
        <w:rPr>
          <w:rFonts w:ascii="Arial" w:cs="Arial" w:eastAsia="Arial" w:hAnsi="Arial"/>
          <w:sz w:val="18"/>
          <w:szCs w:val="18"/>
          <w:color w:val="auto"/>
        </w:rPr>
      </w:pPr>
      <w:r>
        <w:rPr>
          <w:rFonts w:ascii="Arial" w:cs="Arial" w:eastAsia="Arial" w:hAnsi="Arial"/>
          <w:sz w:val="18"/>
          <w:szCs w:val="18"/>
          <w:color w:val="auto"/>
        </w:rPr>
        <w:t xml:space="preserve">doing business as </w:t>
      </w:r>
      <w:r>
        <w:rPr>
          <w:rFonts w:ascii="Arial" w:cs="Arial" w:eastAsia="Arial" w:hAnsi="Arial"/>
          <w:sz w:val="18"/>
          <w:szCs w:val="18"/>
          <w:b w:val="1"/>
          <w:bCs w:val="1"/>
          <w:color w:val="auto"/>
        </w:rPr>
        <w:t>Black Hills Energy</w:t>
      </w:r>
    </w:p>
    <w:p>
      <w:pPr>
        <w:sectPr>
          <w:pgSz w:w="11900" w:h="16838" w:orient="portrait"/>
          <w:cols w:equalWidth="0" w:num="1">
            <w:col w:w="10683"/>
          </w:cols>
          <w:pgMar w:left="977" w:top="553" w:right="239" w:bottom="1440" w:gutter="0" w:footer="0" w:header="0"/>
        </w:sectPr>
      </w:pPr>
    </w:p>
    <w:bookmarkStart w:id="202" w:name="page203"/>
    <w:bookmarkEnd w:id="202"/>
    <w:p>
      <w:pPr>
        <w:jc w:val="right"/>
        <w:spacing w:after="0"/>
        <w:rPr>
          <w:sz w:val="20"/>
          <w:szCs w:val="20"/>
          <w:color w:val="auto"/>
        </w:rPr>
      </w:pPr>
      <w:r>
        <w:rPr>
          <w:rFonts w:ascii="Arial" w:cs="Arial" w:eastAsia="Arial" w:hAnsi="Arial"/>
          <w:sz w:val="18"/>
          <w:szCs w:val="18"/>
          <w:b w:val="1"/>
          <w:bCs w:val="1"/>
          <w:color w:val="auto"/>
        </w:rPr>
        <w:t>Exhibit 23.1</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CONSENT OF INDEPENDENT REGISTERED PUBLIC ACCOUNTING FIRM</w:t>
      </w:r>
    </w:p>
    <w:p>
      <w:pPr>
        <w:spacing w:after="0" w:line="119" w:lineRule="exact"/>
        <w:rPr>
          <w:sz w:val="20"/>
          <w:szCs w:val="20"/>
          <w:color w:val="auto"/>
        </w:rPr>
      </w:pPr>
    </w:p>
    <w:p>
      <w:pPr>
        <w:ind w:right="60"/>
        <w:spacing w:after="0" w:line="244" w:lineRule="auto"/>
        <w:rPr>
          <w:sz w:val="20"/>
          <w:szCs w:val="20"/>
          <w:color w:val="auto"/>
        </w:rPr>
      </w:pPr>
      <w:r>
        <w:rPr>
          <w:rFonts w:ascii="Arial" w:cs="Arial" w:eastAsia="Arial" w:hAnsi="Arial"/>
          <w:sz w:val="20"/>
          <w:szCs w:val="20"/>
          <w:color w:val="auto"/>
        </w:rPr>
        <w:t>We consent to the incorporation by reference in Registration Statement Nos. 333-219704 and 333-219705 on Form S-3 and Registration Statement Nos. 333-170451, 333-217679, 333-170448, 333-170452, and 333-203714 on Form S-8 of our reports dated February 14, 2020, relating to the consolidated financial statements and financial statement schedule of Black Hills Corporation and subsidiaries (the “Company”), and the effectiveness of the Company’s internal control over financial reporting, appearing in this Annual Report on Form 10-K of Black Hills Corporation for the year ended December 31, 2019.</w:t>
      </w:r>
    </w:p>
    <w:p>
      <w:pPr>
        <w:spacing w:after="0" w:line="114" w:lineRule="exact"/>
        <w:rPr>
          <w:sz w:val="20"/>
          <w:szCs w:val="20"/>
          <w:color w:val="auto"/>
        </w:rPr>
      </w:pPr>
    </w:p>
    <w:p>
      <w:pPr>
        <w:spacing w:after="0"/>
        <w:rPr>
          <w:sz w:val="20"/>
          <w:szCs w:val="20"/>
          <w:color w:val="auto"/>
        </w:rPr>
      </w:pPr>
      <w:r>
        <w:rPr>
          <w:rFonts w:ascii="Arial" w:cs="Arial" w:eastAsia="Arial" w:hAnsi="Arial"/>
          <w:sz w:val="20"/>
          <w:szCs w:val="20"/>
          <w:color w:val="auto"/>
        </w:rPr>
        <w:t>/s/ DELOITTE &amp; TOUCHE LLP</w:t>
      </w:r>
    </w:p>
    <w:p>
      <w:pPr>
        <w:spacing w:after="0" w:line="135" w:lineRule="exact"/>
        <w:rPr>
          <w:sz w:val="20"/>
          <w:szCs w:val="20"/>
          <w:color w:val="auto"/>
        </w:rPr>
      </w:pPr>
    </w:p>
    <w:p>
      <w:pPr>
        <w:spacing w:after="0"/>
        <w:rPr>
          <w:sz w:val="20"/>
          <w:szCs w:val="20"/>
          <w:color w:val="auto"/>
        </w:rPr>
      </w:pPr>
      <w:r>
        <w:rPr>
          <w:rFonts w:ascii="Arial" w:cs="Arial" w:eastAsia="Arial" w:hAnsi="Arial"/>
          <w:sz w:val="20"/>
          <w:szCs w:val="20"/>
          <w:color w:val="auto"/>
        </w:rPr>
        <w:t>Minneapolis, Minnesota</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February 14, 2020</w:t>
      </w:r>
    </w:p>
    <w:p>
      <w:pPr>
        <w:sectPr>
          <w:pgSz w:w="11900" w:h="16838" w:orient="portrait"/>
          <w:cols w:equalWidth="0" w:num="1">
            <w:col w:w="11420"/>
          </w:cols>
          <w:pgMar w:left="240" w:top="554" w:right="239" w:bottom="1440" w:gutter="0" w:footer="0" w:header="0"/>
        </w:sectPr>
      </w:pPr>
    </w:p>
    <w:bookmarkStart w:id="203" w:name="page204"/>
    <w:bookmarkEnd w:id="203"/>
    <w:p>
      <w:pPr>
        <w:jc w:val="right"/>
        <w:spacing w:after="0"/>
        <w:rPr>
          <w:sz w:val="20"/>
          <w:szCs w:val="20"/>
          <w:color w:val="auto"/>
        </w:rPr>
      </w:pPr>
      <w:r>
        <w:rPr>
          <w:rFonts w:ascii="Arial" w:cs="Arial" w:eastAsia="Arial" w:hAnsi="Arial"/>
          <w:sz w:val="18"/>
          <w:szCs w:val="18"/>
          <w:b w:val="1"/>
          <w:bCs w:val="1"/>
          <w:color w:val="auto"/>
        </w:rPr>
        <w:t>Exhibit 31.1</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Linden R. Evans, certify that:</w:t>
      </w:r>
    </w:p>
    <w:p>
      <w:pPr>
        <w:spacing w:after="0" w:line="387" w:lineRule="exact"/>
        <w:rPr>
          <w:sz w:val="20"/>
          <w:szCs w:val="20"/>
          <w:color w:val="auto"/>
        </w:rPr>
      </w:pPr>
    </w:p>
    <w:p>
      <w:pPr>
        <w:ind w:left="840" w:hanging="805"/>
        <w:spacing w:after="0"/>
        <w:tabs>
          <w:tab w:leader="none" w:pos="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20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204"/>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20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20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20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14, 2020</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15">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4" w:right="239" w:bottom="1440" w:gutter="0" w:footer="0" w:header="0"/>
        </w:sectPr>
      </w:pPr>
    </w:p>
    <w:bookmarkStart w:id="204" w:name="page205"/>
    <w:bookmarkEnd w:id="204"/>
    <w:p>
      <w:pPr>
        <w:jc w:val="right"/>
        <w:spacing w:after="0"/>
        <w:rPr>
          <w:sz w:val="20"/>
          <w:szCs w:val="20"/>
          <w:color w:val="auto"/>
        </w:rPr>
      </w:pPr>
      <w:r>
        <w:rPr>
          <w:rFonts w:ascii="Arial" w:cs="Arial" w:eastAsia="Arial" w:hAnsi="Arial"/>
          <w:sz w:val="18"/>
          <w:szCs w:val="18"/>
          <w:b w:val="1"/>
          <w:bCs w:val="1"/>
          <w:color w:val="auto"/>
        </w:rPr>
        <w:t>Exhibit 31.2</w:t>
      </w:r>
    </w:p>
    <w:p>
      <w:pPr>
        <w:spacing w:after="0" w:line="30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 Richard W. Kinzley, certify that:</w:t>
      </w:r>
    </w:p>
    <w:p>
      <w:pPr>
        <w:spacing w:after="0" w:line="387" w:lineRule="exact"/>
        <w:rPr>
          <w:sz w:val="20"/>
          <w:szCs w:val="20"/>
          <w:color w:val="auto"/>
        </w:rPr>
      </w:pPr>
    </w:p>
    <w:p>
      <w:pPr>
        <w:ind w:left="840" w:hanging="805"/>
        <w:spacing w:after="0"/>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Black Hills Corporation;</w:t>
      </w:r>
    </w:p>
    <w:p>
      <w:pPr>
        <w:spacing w:after="0" w:line="292" w:lineRule="exact"/>
        <w:rPr>
          <w:rFonts w:ascii="Arial" w:cs="Arial" w:eastAsia="Arial" w:hAnsi="Arial"/>
          <w:sz w:val="18"/>
          <w:szCs w:val="18"/>
          <w:color w:val="auto"/>
        </w:rPr>
      </w:pPr>
    </w:p>
    <w:p>
      <w:pPr>
        <w:jc w:val="both"/>
        <w:ind w:left="840" w:right="100" w:hanging="805"/>
        <w:spacing w:after="0" w:line="264" w:lineRule="auto"/>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48" w:lineRule="exact"/>
        <w:rPr>
          <w:rFonts w:ascii="Arial" w:cs="Arial" w:eastAsia="Arial" w:hAnsi="Arial"/>
          <w:sz w:val="18"/>
          <w:szCs w:val="18"/>
          <w:color w:val="auto"/>
        </w:rPr>
      </w:pPr>
    </w:p>
    <w:p>
      <w:pPr>
        <w:ind w:left="840" w:right="60" w:hanging="805"/>
        <w:spacing w:after="0" w:line="308" w:lineRule="auto"/>
        <w:tabs>
          <w:tab w:leader="none" w:pos="840" w:val="left"/>
        </w:tabs>
        <w:numPr>
          <w:ilvl w:val="0"/>
          <w:numId w:val="20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14" w:lineRule="exact"/>
        <w:rPr>
          <w:rFonts w:ascii="Arial" w:cs="Arial" w:eastAsia="Arial" w:hAnsi="Arial"/>
          <w:sz w:val="17"/>
          <w:szCs w:val="17"/>
          <w:color w:val="auto"/>
        </w:rPr>
      </w:pPr>
    </w:p>
    <w:p>
      <w:pPr>
        <w:jc w:val="both"/>
        <w:ind w:left="840" w:right="100" w:hanging="805"/>
        <w:spacing w:after="0" w:line="264" w:lineRule="auto"/>
        <w:tabs>
          <w:tab w:leader="none" w:pos="84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48" w:lineRule="exact"/>
        <w:rPr>
          <w:rFonts w:ascii="Arial" w:cs="Arial" w:eastAsia="Arial" w:hAnsi="Arial"/>
          <w:sz w:val="18"/>
          <w:szCs w:val="18"/>
          <w:color w:val="auto"/>
        </w:rPr>
      </w:pPr>
    </w:p>
    <w:p>
      <w:pPr>
        <w:ind w:left="1640" w:right="180" w:hanging="795"/>
        <w:spacing w:after="0" w:line="286" w:lineRule="auto"/>
        <w:tabs>
          <w:tab w:leader="none" w:pos="1640" w:val="left"/>
        </w:tabs>
        <w:numPr>
          <w:ilvl w:val="1"/>
          <w:numId w:val="205"/>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33" w:lineRule="exact"/>
        <w:rPr>
          <w:rFonts w:ascii="Arial" w:cs="Arial" w:eastAsia="Arial" w:hAnsi="Arial"/>
          <w:sz w:val="17"/>
          <w:szCs w:val="17"/>
          <w:color w:val="auto"/>
        </w:rPr>
      </w:pPr>
    </w:p>
    <w:p>
      <w:pPr>
        <w:ind w:left="1640" w:right="240" w:hanging="795"/>
        <w:spacing w:after="0" w:line="264" w:lineRule="auto"/>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48" w:lineRule="exact"/>
        <w:rPr>
          <w:rFonts w:ascii="Arial" w:cs="Arial" w:eastAsia="Arial" w:hAnsi="Arial"/>
          <w:sz w:val="18"/>
          <w:szCs w:val="18"/>
          <w:color w:val="auto"/>
        </w:rPr>
      </w:pPr>
    </w:p>
    <w:p>
      <w:pPr>
        <w:jc w:val="both"/>
        <w:ind w:left="1640" w:right="40" w:hanging="795"/>
        <w:spacing w:after="0" w:line="342" w:lineRule="auto"/>
        <w:tabs>
          <w:tab w:leader="none" w:pos="16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1" w:lineRule="exact"/>
        <w:rPr>
          <w:rFonts w:ascii="Arial" w:cs="Arial" w:eastAsia="Arial" w:hAnsi="Arial"/>
          <w:sz w:val="16"/>
          <w:szCs w:val="16"/>
          <w:color w:val="auto"/>
        </w:rPr>
      </w:pPr>
    </w:p>
    <w:p>
      <w:pPr>
        <w:ind w:left="1640" w:right="40" w:hanging="795"/>
        <w:spacing w:after="0" w:line="264" w:lineRule="auto"/>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248" w:lineRule="exact"/>
        <w:rPr>
          <w:rFonts w:ascii="Arial" w:cs="Arial" w:eastAsia="Arial" w:hAnsi="Arial"/>
          <w:sz w:val="18"/>
          <w:szCs w:val="18"/>
          <w:color w:val="auto"/>
        </w:rPr>
      </w:pPr>
    </w:p>
    <w:p>
      <w:pPr>
        <w:ind w:left="840" w:right="60" w:hanging="805"/>
        <w:spacing w:after="0" w:line="342" w:lineRule="auto"/>
        <w:tabs>
          <w:tab w:leader="none" w:pos="840"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91" w:lineRule="exact"/>
        <w:rPr>
          <w:rFonts w:ascii="Arial" w:cs="Arial" w:eastAsia="Arial" w:hAnsi="Arial"/>
          <w:sz w:val="16"/>
          <w:szCs w:val="16"/>
          <w:color w:val="auto"/>
        </w:rPr>
      </w:pPr>
    </w:p>
    <w:p>
      <w:pPr>
        <w:ind w:left="1640" w:right="300" w:hanging="795"/>
        <w:spacing w:after="0" w:line="342" w:lineRule="auto"/>
        <w:tabs>
          <w:tab w:leader="none" w:pos="1640" w:val="left"/>
        </w:tabs>
        <w:numPr>
          <w:ilvl w:val="1"/>
          <w:numId w:val="205"/>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1" w:lineRule="exact"/>
        <w:rPr>
          <w:rFonts w:ascii="Arial" w:cs="Arial" w:eastAsia="Arial" w:hAnsi="Arial"/>
          <w:sz w:val="16"/>
          <w:szCs w:val="16"/>
          <w:color w:val="auto"/>
        </w:rPr>
      </w:pPr>
    </w:p>
    <w:p>
      <w:pPr>
        <w:ind w:left="1640" w:right="580" w:hanging="795"/>
        <w:spacing w:after="0" w:line="277" w:lineRule="auto"/>
        <w:tabs>
          <w:tab w:leader="none" w:pos="1640" w:val="left"/>
        </w:tabs>
        <w:numPr>
          <w:ilvl w:val="1"/>
          <w:numId w:val="20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14, 2020</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11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53" w:right="239" w:bottom="1440" w:gutter="0" w:footer="0" w:header="0"/>
        </w:sectPr>
      </w:pPr>
    </w:p>
    <w:bookmarkStart w:id="205" w:name="page206"/>
    <w:bookmarkEnd w:id="205"/>
    <w:p>
      <w:pPr>
        <w:jc w:val="right"/>
        <w:spacing w:after="0"/>
        <w:rPr>
          <w:sz w:val="20"/>
          <w:szCs w:val="20"/>
          <w:color w:val="auto"/>
        </w:rPr>
      </w:pPr>
      <w:r>
        <w:rPr>
          <w:rFonts w:ascii="Arial" w:cs="Arial" w:eastAsia="Arial" w:hAnsi="Arial"/>
          <w:sz w:val="18"/>
          <w:szCs w:val="18"/>
          <w:b w:val="1"/>
          <w:bCs w:val="1"/>
          <w:color w:val="auto"/>
        </w:rPr>
        <w:t>Exhibit 32.1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In connection with the Annual Report of Black Hills Corporation (the “Company”) on Form 10-K for the year ended December 31, 2019 as filed with the Securities and Exchange Commission on the date hereof (the “Report”), I, Linden R. Evans, President and Chief Executive Officer of the Company, certify, pursuant to 18 U.S.C. ss. 1350, as adopted pursuant to ss. 906 of the Sarbanes-Oxley Act of 2002, that:</w:t>
      </w:r>
    </w:p>
    <w:p>
      <w:pPr>
        <w:spacing w:after="0" w:line="289" w:lineRule="exact"/>
        <w:rPr>
          <w:sz w:val="20"/>
          <w:szCs w:val="20"/>
          <w:color w:val="auto"/>
        </w:rPr>
      </w:pPr>
    </w:p>
    <w:p>
      <w:pPr>
        <w:ind w:left="1640" w:hanging="795"/>
        <w:spacing w:after="0"/>
        <w:tabs>
          <w:tab w:leader="none" w:pos="1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280"/>
        <w:spacing w:after="0"/>
        <w:rPr>
          <w:sz w:val="20"/>
          <w:szCs w:val="20"/>
          <w:color w:val="auto"/>
        </w:rPr>
      </w:pPr>
      <w:r>
        <w:rPr>
          <w:rFonts w:ascii="Arial" w:cs="Arial" w:eastAsia="Arial" w:hAnsi="Arial"/>
          <w:sz w:val="18"/>
          <w:szCs w:val="18"/>
          <w:color w:val="auto"/>
        </w:rPr>
        <w:t>Date: February 14, 2020</w:t>
      </w:r>
    </w:p>
    <w:p>
      <w:pPr>
        <w:spacing w:after="0" w:line="38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/S/ LINDEN R. EVANS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2475230</wp:posOffset>
            </wp:positionH>
            <wp:positionV relativeFrom="paragraph">
              <wp:posOffset>31750</wp:posOffset>
            </wp:positionV>
            <wp:extent cx="23926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117">
                      <a:extLst>
                        <a:ext uri="{28A0092B-C50C-407E-A947-70E740481C1C}"/>
                      </a:extLst>
                    </a:blip>
                    <a:srcRect/>
                    <a:stretch>
                      <a:fillRect/>
                    </a:stretch>
                  </pic:blipFill>
                  <pic:spPr bwMode="auto">
                    <a:xfrm>
                      <a:off x="0" y="0"/>
                      <a:ext cx="2392680" cy="8890"/>
                    </a:xfrm>
                    <a:prstGeom prst="rect">
                      <a:avLst/>
                    </a:prstGeom>
                    <a:noFill/>
                  </pic:spPr>
                </pic:pic>
              </a:graphicData>
            </a:graphic>
          </wp:anchor>
        </w:drawing>
      </w:r>
    </w:p>
    <w:p>
      <w:pPr>
        <w:spacing w:after="0" w:line="57"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Linden R. Evans</w:t>
      </w:r>
    </w:p>
    <w:p>
      <w:pPr>
        <w:spacing w:after="0" w:line="63" w:lineRule="exact"/>
        <w:rPr>
          <w:sz w:val="20"/>
          <w:szCs w:val="20"/>
          <w:color w:val="auto"/>
        </w:rPr>
      </w:pPr>
    </w:p>
    <w:p>
      <w:pPr>
        <w:ind w:left="3920"/>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53" w:right="239" w:bottom="1440" w:gutter="0" w:footer="0" w:header="0"/>
        </w:sectPr>
      </w:pPr>
    </w:p>
    <w:bookmarkStart w:id="206" w:name="page207"/>
    <w:bookmarkEnd w:id="206"/>
    <w:p>
      <w:pPr>
        <w:jc w:val="right"/>
        <w:spacing w:after="0"/>
        <w:rPr>
          <w:sz w:val="20"/>
          <w:szCs w:val="20"/>
          <w:color w:val="auto"/>
        </w:rPr>
      </w:pPr>
      <w:r>
        <w:rPr>
          <w:rFonts w:ascii="Arial" w:cs="Arial" w:eastAsia="Arial" w:hAnsi="Arial"/>
          <w:sz w:val="18"/>
          <w:szCs w:val="18"/>
          <w:b w:val="1"/>
          <w:bCs w:val="1"/>
          <w:color w:val="auto"/>
        </w:rPr>
        <w:t>Exhibit 32.2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76" w:lineRule="exact"/>
        <w:rPr>
          <w:sz w:val="20"/>
          <w:szCs w:val="20"/>
          <w:color w:val="auto"/>
        </w:rPr>
      </w:pPr>
    </w:p>
    <w:p>
      <w:pPr>
        <w:ind w:right="340"/>
        <w:spacing w:after="0" w:line="286" w:lineRule="auto"/>
        <w:rPr>
          <w:sz w:val="20"/>
          <w:szCs w:val="20"/>
          <w:color w:val="auto"/>
        </w:rPr>
      </w:pPr>
      <w:r>
        <w:rPr>
          <w:rFonts w:ascii="Arial" w:cs="Arial" w:eastAsia="Arial" w:hAnsi="Arial"/>
          <w:sz w:val="17"/>
          <w:szCs w:val="17"/>
          <w:color w:val="auto"/>
        </w:rPr>
        <w:t>In connection with the Annual Report of Black Hills Corporation (the “Company”) on Form 10-K for the year ended December 31, 2019 as filed with the Securities and Exchange Commission on the date hereof (the “Report”), I, Richard W. Kinzley, Senior Vice President and Chief Financial Officer of the Company, certify, pursuant to 18 U.S.C. ss. 1350, as adopted pursuant to ss. 906 of the Sarbanes-Oxley Act of 2002, that:</w:t>
      </w:r>
    </w:p>
    <w:p>
      <w:pPr>
        <w:spacing w:after="0" w:line="274" w:lineRule="exact"/>
        <w:rPr>
          <w:sz w:val="20"/>
          <w:szCs w:val="20"/>
          <w:color w:val="auto"/>
        </w:rPr>
      </w:pPr>
    </w:p>
    <w:p>
      <w:pPr>
        <w:ind w:left="1640" w:hanging="795"/>
        <w:spacing w:after="0"/>
        <w:tabs>
          <w:tab w:leader="none" w:pos="1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 (a) or 15 (d) of the Securities Exchange Act of 1934; and</w:t>
      </w:r>
    </w:p>
    <w:p>
      <w:pPr>
        <w:spacing w:after="0" w:line="292" w:lineRule="exact"/>
        <w:rPr>
          <w:rFonts w:ascii="Arial" w:cs="Arial" w:eastAsia="Arial" w:hAnsi="Arial"/>
          <w:sz w:val="18"/>
          <w:szCs w:val="18"/>
          <w:color w:val="auto"/>
        </w:rPr>
      </w:pPr>
    </w:p>
    <w:p>
      <w:pPr>
        <w:ind w:left="1640" w:right="120" w:hanging="795"/>
        <w:spacing w:after="0" w:line="277" w:lineRule="auto"/>
        <w:tabs>
          <w:tab w:leader="none" w:pos="16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Date: February 14, 2020</w:t>
      </w:r>
    </w:p>
    <w:p>
      <w:pPr>
        <w:spacing w:after="0" w:line="38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 RICHARD W. KINZLEY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31750</wp:posOffset>
            </wp:positionV>
            <wp:extent cx="28987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11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57"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Richard W. Kinzley</w:t>
      </w:r>
    </w:p>
    <w:p>
      <w:pPr>
        <w:spacing w:after="0" w:line="63"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Senior Vice President and Chief Financial Officer</w:t>
      </w:r>
    </w:p>
    <w:p>
      <w:pPr>
        <w:sectPr>
          <w:pgSz w:w="11900" w:h="16838" w:orient="portrait"/>
          <w:cols w:equalWidth="0" w:num="1">
            <w:col w:w="11420"/>
          </w:cols>
          <w:pgMar w:left="240" w:top="553" w:right="239" w:bottom="1440" w:gutter="0" w:footer="0" w:header="0"/>
        </w:sectPr>
      </w:pPr>
    </w:p>
    <w:bookmarkStart w:id="207" w:name="page208"/>
    <w:bookmarkEnd w:id="207"/>
    <w:p>
      <w:pPr>
        <w:jc w:val="right"/>
        <w:spacing w:after="0"/>
        <w:rPr>
          <w:sz w:val="20"/>
          <w:szCs w:val="20"/>
          <w:color w:val="auto"/>
        </w:rPr>
      </w:pPr>
      <w:r>
        <w:rPr>
          <w:rFonts w:ascii="Arial" w:cs="Arial" w:eastAsia="Arial" w:hAnsi="Arial"/>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Information concerning mine safety violations or other regulatory matters required by Sections 1503(a) of Dodd-Frank is included below.</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Mine Safety and Health Administration Safety Data</w:t>
      </w:r>
    </w:p>
    <w:p>
      <w:pPr>
        <w:spacing w:after="0" w:line="18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Safety is a core value at Black Hills Corporation and at each of its subsidiary operations. We have in place a comprehensive safety program that includes extensive health and safety training for all employees, site inspections, emergency response preparedness, crisis communications training, incident investigation, regulatory compliance training and process auditing, as well as an open dialogue between all levels of employees. The goals of our processes are to eliminate exposure to hazards in the workplace, ensure that we comply with all mine safety regulations, and support regulatory and industry efforts to improve the health and safety of our employees along with the industry as a whole.</w:t>
      </w:r>
    </w:p>
    <w:p>
      <w:pPr>
        <w:spacing w:after="0" w:line="173"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Under the Dodd-Frank Act, each operator of a coal or other mine is required to include certain mine safety results in its periodic reports filed with the SEC. Our mining operation, consisting of Wyodak Coal Mine, is subject to regulation by the federal Mine Safety and Health Administration (“MSHA”) under the Federal Mine Safety and Health Act of 1977 (the “Mine Act”). Below we present the following information regarding certain mining safety and health matters for the twelve month period ended December 31, 2019. In evaluating this information, consideration should be given to factors such as: (i) the number of citations and orders will vary depending on the size of the coal mine, (ii) the number of citations issued will vary from inspector to inspector and mine to mine, and (iii) citations and orders can be contested and appealed, and in that process, are often reduced in severity and amount, and are sometimes dismissed. The information presented includes:</w:t>
      </w:r>
    </w:p>
    <w:p>
      <w:pPr>
        <w:spacing w:after="0" w:line="189" w:lineRule="exact"/>
        <w:rPr>
          <w:sz w:val="20"/>
          <w:szCs w:val="20"/>
          <w:color w:val="auto"/>
        </w:rPr>
      </w:pPr>
    </w:p>
    <w:p>
      <w:pPr>
        <w:ind w:left="660" w:right="140" w:hanging="328"/>
        <w:spacing w:after="0" w:line="308" w:lineRule="auto"/>
        <w:tabs>
          <w:tab w:leader="none" w:pos="660" w:val="left"/>
        </w:tabs>
        <w:numPr>
          <w:ilvl w:val="0"/>
          <w:numId w:val="208"/>
        </w:numPr>
        <w:rPr>
          <w:rFonts w:ascii="Arial" w:cs="Arial" w:eastAsia="Arial" w:hAnsi="Arial"/>
          <w:sz w:val="17"/>
          <w:szCs w:val="17"/>
          <w:color w:val="auto"/>
        </w:rPr>
      </w:pPr>
      <w:r>
        <w:rPr>
          <w:rFonts w:ascii="Arial" w:cs="Arial" w:eastAsia="Arial" w:hAnsi="Arial"/>
          <w:sz w:val="17"/>
          <w:szCs w:val="17"/>
          <w:color w:val="auto"/>
        </w:rPr>
        <w:t>Total number of violations of mandatory health and safety standards that could significantly and substantially contribute to the cause and effect of a coal or other mine safety or health hazard under section 104 of the Mine Act for which we have received a citation from MSHA;</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Total number of orders issued under section 104(b) of the Mine Act;</w:t>
      </w:r>
    </w:p>
    <w:p>
      <w:pPr>
        <w:spacing w:after="0" w:line="225" w:lineRule="exact"/>
        <w:rPr>
          <w:rFonts w:ascii="Arial" w:cs="Arial" w:eastAsia="Arial" w:hAnsi="Arial"/>
          <w:sz w:val="18"/>
          <w:szCs w:val="18"/>
          <w:color w:val="auto"/>
        </w:rPr>
      </w:pPr>
    </w:p>
    <w:p>
      <w:pPr>
        <w:ind w:left="660" w:right="400" w:hanging="328"/>
        <w:spacing w:after="0" w:line="277" w:lineRule="auto"/>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Total number of citations and orders for unwarrantable failure of the mine operator to comply with mandatory health and safety standards under section 104(d) of the Mine Act;</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Total number of imminent danger orders issued under section 107(a) of the Mine Act;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Total dollar value of proposed assessments from MSHA under the Mine Act.</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The table below sets forth the total number of citations and/or orders issued by MSHA to WRDC under the indicated provisions of the Mine Act, together with the total dollar value of proposed MSHA assessments received during the twelve months ended December 31, 2019 and legal actions pending before the Federal Mine Safety and Health Review Commission, together with the Administrative Law Judges thereof, for WRDC, our only mining complex. All citations were abated within 24 hours of issue.</w:t>
      </w:r>
    </w:p>
    <w:p>
      <w:pPr>
        <w:spacing w:after="0" w:line="34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3"/>
              </w:rPr>
              <w:t>Mine Act Section</w:t>
            </w:r>
          </w:p>
        </w:tc>
        <w:tc>
          <w:tcPr>
            <w:tcW w:w="740" w:type="dxa"/>
            <w:vAlign w:val="bottom"/>
          </w:tcPr>
          <w:p>
            <w:pPr>
              <w:spacing w:after="0"/>
              <w:rPr>
                <w:sz w:val="14"/>
                <w:szCs w:val="14"/>
                <w:color w:val="auto"/>
              </w:rPr>
            </w:pPr>
          </w:p>
        </w:tc>
        <w:tc>
          <w:tcPr>
            <w:tcW w:w="10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spacing w:after="0"/>
              <w:rPr>
                <w:sz w:val="14"/>
                <w:szCs w:val="14"/>
                <w:color w:val="auto"/>
              </w:rPr>
            </w:pP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2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Total</w:t>
            </w:r>
          </w:p>
        </w:tc>
        <w:tc>
          <w:tcPr>
            <w:tcW w:w="11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Received Notice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2"/>
              </w:rPr>
              <w:t>Legal</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Legal</w:t>
            </w: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Legal</w:t>
            </w:r>
          </w:p>
        </w:tc>
        <w:tc>
          <w:tcPr>
            <w:tcW w:w="0" w:type="dxa"/>
            <w:vAlign w:val="bottom"/>
          </w:tcPr>
          <w:p>
            <w:pPr>
              <w:spacing w:after="0"/>
              <w:rPr>
                <w:sz w:val="1"/>
                <w:szCs w:val="1"/>
                <w:color w:val="auto"/>
              </w:rPr>
            </w:pPr>
          </w:p>
        </w:tc>
      </w:tr>
      <w:tr>
        <w:trPr>
          <w:trHeight w:val="149"/>
        </w:trPr>
        <w:tc>
          <w:tcPr>
            <w:tcW w:w="1100" w:type="dxa"/>
            <w:vAlign w:val="bottom"/>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104 S&amp;S Citations</w:t>
            </w:r>
          </w:p>
        </w:tc>
        <w:tc>
          <w:tcPr>
            <w:tcW w:w="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1020" w:type="dxa"/>
            <w:vAlign w:val="bottom"/>
            <w:vMerge w:val="continue"/>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Mine Act</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200" w:type="dxa"/>
            <w:vAlign w:val="bottom"/>
          </w:tcPr>
          <w:p>
            <w:pPr>
              <w:spacing w:after="0"/>
              <w:rPr>
                <w:sz w:val="12"/>
                <w:szCs w:val="12"/>
                <w:color w:val="auto"/>
              </w:rPr>
            </w:pPr>
          </w:p>
        </w:tc>
        <w:tc>
          <w:tcPr>
            <w:tcW w:w="1000" w:type="dxa"/>
            <w:vAlign w:val="bottom"/>
            <w:vMerge w:val="restart"/>
          </w:tcPr>
          <w:p>
            <w:pPr>
              <w:jc w:val="center"/>
              <w:ind w:right="108"/>
              <w:spacing w:after="0"/>
              <w:rPr>
                <w:sz w:val="20"/>
                <w:szCs w:val="20"/>
                <w:color w:val="auto"/>
              </w:rPr>
            </w:pPr>
            <w:r>
              <w:rPr>
                <w:rFonts w:ascii="Arial" w:cs="Arial" w:eastAsia="Arial" w:hAnsi="Arial"/>
                <w:sz w:val="14"/>
                <w:szCs w:val="14"/>
                <w:b w:val="1"/>
                <w:bCs w:val="1"/>
                <w:color w:val="auto"/>
                <w:w w:val="96"/>
              </w:rPr>
              <w:t>Total Dollar</w:t>
            </w:r>
          </w:p>
        </w:tc>
        <w:tc>
          <w:tcPr>
            <w:tcW w:w="780" w:type="dxa"/>
            <w:vAlign w:val="bottom"/>
            <w:vMerge w:val="continue"/>
          </w:tcPr>
          <w:p>
            <w:pPr>
              <w:spacing w:after="0"/>
              <w:rPr>
                <w:sz w:val="12"/>
                <w:szCs w:val="12"/>
                <w:color w:val="auto"/>
              </w:rPr>
            </w:pPr>
          </w:p>
        </w:tc>
        <w:tc>
          <w:tcPr>
            <w:tcW w:w="112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740" w:type="dxa"/>
            <w:vAlign w:val="bottom"/>
            <w:vMerge w:val="continue"/>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10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Mine/MSHA</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issued during</w:t>
            </w:r>
          </w:p>
        </w:tc>
        <w:tc>
          <w:tcPr>
            <w:tcW w:w="740" w:type="dxa"/>
            <w:vAlign w:val="bottom"/>
            <w:vMerge w:val="continue"/>
          </w:tcPr>
          <w:p>
            <w:pPr>
              <w:spacing w:after="0"/>
              <w:rPr>
                <w:sz w:val="12"/>
                <w:szCs w:val="12"/>
                <w:color w:val="auto"/>
              </w:rPr>
            </w:pP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8"/>
              </w:rPr>
              <w:t>107(a)</w:t>
            </w:r>
          </w:p>
        </w:tc>
        <w:tc>
          <w:tcPr>
            <w:tcW w:w="20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Potential to</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Pending as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Actions</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Actions</w:t>
            </w:r>
          </w:p>
        </w:tc>
        <w:tc>
          <w:tcPr>
            <w:tcW w:w="0" w:type="dxa"/>
            <w:vAlign w:val="bottom"/>
          </w:tcPr>
          <w:p>
            <w:pPr>
              <w:spacing w:after="0"/>
              <w:rPr>
                <w:sz w:val="1"/>
                <w:szCs w:val="1"/>
                <w:color w:val="auto"/>
              </w:rPr>
            </w:pPr>
          </w:p>
        </w:tc>
      </w:tr>
      <w:tr>
        <w:trPr>
          <w:trHeight w:val="149"/>
        </w:trPr>
        <w:tc>
          <w:tcPr>
            <w:tcW w:w="1100" w:type="dxa"/>
            <w:vAlign w:val="bottom"/>
            <w:vMerge w:val="continue"/>
          </w:tcPr>
          <w:p>
            <w:pPr>
              <w:spacing w:after="0"/>
              <w:rPr>
                <w:sz w:val="12"/>
                <w:szCs w:val="12"/>
                <w:color w:val="auto"/>
              </w:rPr>
            </w:pP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twelve months</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10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104(d)</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Section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Imminent</w:t>
            </w:r>
          </w:p>
        </w:tc>
        <w:tc>
          <w:tcPr>
            <w:tcW w:w="200" w:type="dxa"/>
            <w:vAlign w:val="bottom"/>
          </w:tcPr>
          <w:p>
            <w:pPr>
              <w:spacing w:after="0"/>
              <w:rPr>
                <w:sz w:val="12"/>
                <w:szCs w:val="12"/>
                <w:color w:val="auto"/>
              </w:rPr>
            </w:pPr>
          </w:p>
        </w:tc>
        <w:tc>
          <w:tcPr>
            <w:tcW w:w="1000" w:type="dxa"/>
            <w:vAlign w:val="bottom"/>
          </w:tcPr>
          <w:p>
            <w:pPr>
              <w:jc w:val="center"/>
              <w:ind w:right="108"/>
              <w:spacing w:after="0" w:line="149" w:lineRule="exact"/>
              <w:rPr>
                <w:sz w:val="20"/>
                <w:szCs w:val="20"/>
                <w:color w:val="auto"/>
              </w:rPr>
            </w:pPr>
            <w:r>
              <w:rPr>
                <w:rFonts w:ascii="Arial" w:cs="Arial" w:eastAsia="Arial" w:hAnsi="Arial"/>
                <w:sz w:val="14"/>
                <w:szCs w:val="14"/>
                <w:b w:val="1"/>
                <w:bCs w:val="1"/>
                <w:color w:val="auto"/>
                <w:w w:val="91"/>
              </w:rPr>
              <w:t>Value of</w:t>
            </w:r>
          </w:p>
        </w:tc>
        <w:tc>
          <w:tcPr>
            <w:tcW w:w="7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7"/>
              </w:rPr>
              <w:t>Mining</w:t>
            </w:r>
          </w:p>
        </w:tc>
        <w:tc>
          <w:tcPr>
            <w:tcW w:w="11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Have Pattern</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of Last Day</w:t>
            </w:r>
          </w:p>
        </w:tc>
        <w:tc>
          <w:tcPr>
            <w:tcW w:w="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Initiated</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Resolved</w:t>
            </w:r>
          </w:p>
        </w:tc>
        <w:tc>
          <w:tcPr>
            <w:tcW w:w="0" w:type="dxa"/>
            <w:vAlign w:val="bottom"/>
          </w:tcPr>
          <w:p>
            <w:pPr>
              <w:spacing w:after="0"/>
              <w:rPr>
                <w:sz w:val="1"/>
                <w:szCs w:val="1"/>
                <w:color w:val="auto"/>
              </w:rPr>
            </w:pPr>
          </w:p>
        </w:tc>
      </w:tr>
      <w:tr>
        <w:trPr>
          <w:trHeight w:val="186"/>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6"/>
              </w:rPr>
              <w:t>Identification</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87"/>
              </w:rPr>
              <w:t>ended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6"/>
              </w:rPr>
              <w:t>104(b)</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4"/>
              </w:rPr>
              <w:t>Citations and</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110(b)(2)</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1"/>
              </w:rPr>
              <w:t>Danger</w:t>
            </w:r>
          </w:p>
        </w:tc>
        <w:tc>
          <w:tcPr>
            <w:tcW w:w="12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Proposed MSHA</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4"/>
              </w:rPr>
              <w:t>Related</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2"/>
              </w:rPr>
              <w:t>Under Section</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0"/>
              </w:rPr>
              <w:t>of</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7"/>
              </w:rPr>
              <w:t>During</w:t>
            </w:r>
          </w:p>
        </w:tc>
        <w:tc>
          <w:tcPr>
            <w:tcW w:w="0" w:type="dxa"/>
            <w:vAlign w:val="bottom"/>
          </w:tcPr>
          <w:p>
            <w:pPr>
              <w:spacing w:after="0"/>
              <w:rPr>
                <w:sz w:val="1"/>
                <w:szCs w:val="1"/>
                <w:color w:val="auto"/>
              </w:rPr>
            </w:pPr>
          </w:p>
        </w:tc>
      </w:tr>
      <w:tr>
        <w:trPr>
          <w:trHeight w:val="203"/>
        </w:trPr>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98"/>
              </w:rPr>
              <w:t>Number</w:t>
            </w:r>
          </w:p>
        </w:tc>
        <w:tc>
          <w:tcPr>
            <w:tcW w:w="1340" w:type="dxa"/>
            <w:vAlign w:val="bottom"/>
          </w:tcPr>
          <w:p>
            <w:pPr>
              <w:jc w:val="center"/>
              <w:spacing w:after="0"/>
              <w:rPr>
                <w:sz w:val="20"/>
                <w:szCs w:val="20"/>
                <w:color w:val="auto"/>
              </w:rPr>
            </w:pPr>
            <w:r>
              <w:rPr>
                <w:rFonts w:ascii="Arial" w:cs="Arial" w:eastAsia="Arial" w:hAnsi="Arial"/>
                <w:sz w:val="14"/>
                <w:szCs w:val="14"/>
                <w:b w:val="1"/>
                <w:bCs w:val="1"/>
                <w:color w:val="auto"/>
                <w:w w:val="91"/>
              </w:rPr>
              <w:t>December 31</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102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9"/>
              </w:rPr>
              <w:t>Violations</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5"/>
              </w:rPr>
              <w:t>Orders</w:t>
            </w:r>
          </w:p>
        </w:tc>
        <w:tc>
          <w:tcPr>
            <w:tcW w:w="200" w:type="dxa"/>
            <w:vAlign w:val="bottom"/>
          </w:tcPr>
          <w:p>
            <w:pPr>
              <w:spacing w:after="0"/>
              <w:rPr>
                <w:sz w:val="17"/>
                <w:szCs w:val="17"/>
                <w:color w:val="auto"/>
              </w:rPr>
            </w:pPr>
          </w:p>
        </w:tc>
        <w:tc>
          <w:tcPr>
            <w:tcW w:w="1000" w:type="dxa"/>
            <w:vAlign w:val="bottom"/>
          </w:tcPr>
          <w:p>
            <w:pPr>
              <w:jc w:val="center"/>
              <w:ind w:right="88"/>
              <w:spacing w:after="0"/>
              <w:rPr>
                <w:sz w:val="20"/>
                <w:szCs w:val="20"/>
                <w:color w:val="auto"/>
              </w:rPr>
            </w:pPr>
            <w:r>
              <w:rPr>
                <w:rFonts w:ascii="Arial" w:cs="Arial" w:eastAsia="Arial" w:hAnsi="Arial"/>
                <w:sz w:val="14"/>
                <w:szCs w:val="14"/>
                <w:b w:val="1"/>
                <w:bCs w:val="1"/>
                <w:color w:val="auto"/>
                <w:w w:val="84"/>
              </w:rPr>
              <w:t>Assessments</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2"/>
              </w:rPr>
              <w:t>Fatalities</w:t>
            </w:r>
          </w:p>
        </w:tc>
        <w:tc>
          <w:tcPr>
            <w:tcW w:w="1120" w:type="dxa"/>
            <w:vAlign w:val="bottom"/>
          </w:tcPr>
          <w:p>
            <w:pPr>
              <w:jc w:val="center"/>
              <w:spacing w:after="0"/>
              <w:rPr>
                <w:sz w:val="20"/>
                <w:szCs w:val="20"/>
                <w:color w:val="auto"/>
              </w:rPr>
            </w:pPr>
            <w:r>
              <w:rPr>
                <w:rFonts w:ascii="Arial" w:cs="Arial" w:eastAsia="Arial" w:hAnsi="Arial"/>
                <w:sz w:val="14"/>
                <w:szCs w:val="14"/>
                <w:b w:val="1"/>
                <w:bCs w:val="1"/>
                <w:color w:val="auto"/>
                <w:w w:val="93"/>
              </w:rPr>
              <w:t>104(e)</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96"/>
              </w:rPr>
              <w:t>Period</w:t>
            </w:r>
          </w:p>
        </w:tc>
        <w:tc>
          <w:tcPr>
            <w:tcW w:w="74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1"/>
              </w:rPr>
              <w:t>Period</w:t>
            </w:r>
          </w:p>
        </w:tc>
        <w:tc>
          <w:tcPr>
            <w:tcW w:w="0" w:type="dxa"/>
            <w:vAlign w:val="bottom"/>
          </w:tcPr>
          <w:p>
            <w:pPr>
              <w:spacing w:after="0"/>
              <w:rPr>
                <w:sz w:val="1"/>
                <w:szCs w:val="1"/>
                <w:color w:val="auto"/>
              </w:rPr>
            </w:pPr>
          </w:p>
        </w:tc>
      </w:tr>
      <w:tr>
        <w:trPr>
          <w:trHeight w:val="276"/>
        </w:trPr>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c>
          <w:tcPr>
            <w:tcW w:w="7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2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3"/>
              </w:rPr>
              <w:t>(a)</w:t>
            </w:r>
          </w:p>
        </w:tc>
        <w:tc>
          <w:tcPr>
            <w:tcW w:w="78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(yes/no)</w:t>
            </w:r>
          </w:p>
        </w:tc>
        <w:tc>
          <w:tcPr>
            <w:tcW w:w="8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w:t>
            </w:r>
          </w:p>
        </w:tc>
        <w:tc>
          <w:tcPr>
            <w:tcW w:w="74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800" w:type="dxa"/>
            <w:vAlign w:val="bottom"/>
            <w:tcBorders>
              <w:bottom w:val="single" w:sz="8" w:color="auto"/>
            </w:tcBorders>
          </w:tcPr>
          <w:p>
            <w:pPr>
              <w:jc w:val="right"/>
              <w:ind w:right="24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56"/>
        </w:trPr>
        <w:tc>
          <w:tcPr>
            <w:tcW w:w="1100" w:type="dxa"/>
            <w:vAlign w:val="bottom"/>
          </w:tcPr>
          <w:p>
            <w:pPr>
              <w:ind w:left="40"/>
              <w:spacing w:after="0" w:line="157" w:lineRule="exact"/>
              <w:rPr>
                <w:sz w:val="20"/>
                <w:szCs w:val="20"/>
                <w:color w:val="auto"/>
              </w:rPr>
            </w:pPr>
            <w:r>
              <w:rPr>
                <w:rFonts w:ascii="Arial" w:cs="Arial" w:eastAsia="Arial" w:hAnsi="Arial"/>
                <w:sz w:val="14"/>
                <w:szCs w:val="14"/>
                <w:color w:val="auto"/>
              </w:rPr>
              <w:t>Wyodak Coal</w:t>
            </w:r>
          </w:p>
        </w:tc>
        <w:tc>
          <w:tcPr>
            <w:tcW w:w="13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2"/>
        </w:trPr>
        <w:tc>
          <w:tcPr>
            <w:tcW w:w="1100" w:type="dxa"/>
            <w:vAlign w:val="bottom"/>
          </w:tcPr>
          <w:p>
            <w:pPr>
              <w:ind w:left="40"/>
              <w:spacing w:after="0"/>
              <w:rPr>
                <w:sz w:val="20"/>
                <w:szCs w:val="20"/>
                <w:color w:val="auto"/>
              </w:rPr>
            </w:pPr>
            <w:r>
              <w:rPr>
                <w:rFonts w:ascii="Arial" w:cs="Arial" w:eastAsia="Arial" w:hAnsi="Arial"/>
                <w:sz w:val="14"/>
                <w:szCs w:val="14"/>
                <w:color w:val="auto"/>
              </w:rPr>
              <w:t>Mine - 4800083</w:t>
            </w:r>
          </w:p>
        </w:tc>
        <w:tc>
          <w:tcPr>
            <w:tcW w:w="13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02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860" w:type="dxa"/>
            <w:vAlign w:val="bottom"/>
          </w:tcPr>
          <w:p>
            <w:pPr>
              <w:jc w:val="center"/>
              <w:spacing w:after="0"/>
              <w:rPr>
                <w:sz w:val="20"/>
                <w:szCs w:val="20"/>
                <w:color w:val="auto"/>
              </w:rPr>
            </w:pPr>
            <w:r>
              <w:rPr>
                <w:rFonts w:ascii="Arial" w:cs="Arial" w:eastAsia="Arial" w:hAnsi="Arial"/>
                <w:sz w:val="14"/>
                <w:szCs w:val="14"/>
                <w:color w:val="auto"/>
              </w:rPr>
              <w:t>—</w:t>
            </w:r>
          </w:p>
        </w:tc>
        <w:tc>
          <w:tcPr>
            <w:tcW w:w="20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1,371</w:t>
            </w:r>
          </w:p>
        </w:tc>
        <w:tc>
          <w:tcPr>
            <w:tcW w:w="78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1120" w:type="dxa"/>
            <w:vAlign w:val="bottom"/>
          </w:tcPr>
          <w:p>
            <w:pPr>
              <w:jc w:val="center"/>
              <w:spacing w:after="0"/>
              <w:rPr>
                <w:sz w:val="20"/>
                <w:szCs w:val="20"/>
                <w:color w:val="auto"/>
              </w:rPr>
            </w:pPr>
            <w:r>
              <w:rPr>
                <w:rFonts w:ascii="Arial" w:cs="Arial" w:eastAsia="Arial" w:hAnsi="Arial"/>
                <w:sz w:val="14"/>
                <w:szCs w:val="14"/>
                <w:color w:val="auto"/>
              </w:rPr>
              <w:t>No</w:t>
            </w:r>
          </w:p>
        </w:tc>
        <w:tc>
          <w:tcPr>
            <w:tcW w:w="86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740" w:type="dxa"/>
            <w:vAlign w:val="bottom"/>
          </w:tcPr>
          <w:p>
            <w:pPr>
              <w:jc w:val="center"/>
              <w:spacing w:after="0"/>
              <w:rPr>
                <w:sz w:val="20"/>
                <w:szCs w:val="20"/>
                <w:color w:val="auto"/>
              </w:rPr>
            </w:pPr>
            <w:r>
              <w:rPr>
                <w:rFonts w:ascii="Arial" w:cs="Arial" w:eastAsia="Arial" w:hAnsi="Arial"/>
                <w:sz w:val="14"/>
                <w:szCs w:val="14"/>
                <w:color w:val="auto"/>
                <w:w w:val="99"/>
              </w:rPr>
              <w:t>—</w:t>
            </w:r>
          </w:p>
        </w:tc>
        <w:tc>
          <w:tcPr>
            <w:tcW w:w="800" w:type="dxa"/>
            <w:vAlign w:val="bottom"/>
          </w:tcPr>
          <w:p>
            <w:pPr>
              <w:jc w:val="center"/>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rPr>
          <w:sz w:val="20"/>
          <w:szCs w:val="20"/>
          <w:color w:val="auto"/>
        </w:rPr>
      </w:pPr>
      <w:r>
        <w:rPr>
          <w:rFonts w:ascii="Arial" w:cs="Arial" w:eastAsia="Arial" w:hAnsi="Arial"/>
          <w:sz w:val="18"/>
          <w:szCs w:val="18"/>
          <w:color w:val="auto"/>
        </w:rPr>
        <w:t>________________________</w:t>
      </w:r>
    </w:p>
    <w:p>
      <w:pPr>
        <w:spacing w:after="0" w:line="21" w:lineRule="exact"/>
        <w:rPr>
          <w:sz w:val="20"/>
          <w:szCs w:val="20"/>
          <w:color w:val="auto"/>
        </w:rPr>
      </w:pPr>
    </w:p>
    <w:p>
      <w:pPr>
        <w:ind w:left="340" w:right="100" w:hanging="332"/>
        <w:spacing w:after="0" w:line="254" w:lineRule="auto"/>
        <w:tabs>
          <w:tab w:leader="none" w:pos="340"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types of proceedings by class: (1) Contests of citations and orders – none; (2) contests of proposed penalties – none; (3) complaints for compensation – none; (4) complaints of discharge, discrimination or interference under Section 105 of the Mine Act – none; (5) applications for temporary relief – none; and (6) appeals of judges’ decisions or orders to the FMSHRC – none.</w:t>
      </w:r>
    </w:p>
    <w:sectPr>
      <w:pgSz w:w="11900" w:h="16838" w:orient="portrait"/>
      <w:cols w:equalWidth="0" w:num="1">
        <w:col w:w="11420"/>
      </w:cols>
      <w:pgMar w:left="240" w:top="55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9DAF632"/>
    <w:multiLevelType w:val="hybridMultilevel"/>
    <w:lvl w:ilvl="0">
      <w:lvlJc w:val="left"/>
      <w:lvlText w:val="☒"/>
      <w:numFmt w:val="bullet"/>
      <w:start w:val="1"/>
    </w:lvl>
  </w:abstractNum>
  <w:abstractNum w:abstractNumId="1">
    <w:nsid w:val="53299938"/>
    <w:multiLevelType w:val="hybridMultilevel"/>
    <w:lvl w:ilvl="0">
      <w:lvlJc w:val="left"/>
      <w:lvlText w:val="☐"/>
      <w:numFmt w:val="bullet"/>
      <w:start w:val="1"/>
    </w:lvl>
  </w:abstractNum>
  <w:abstractNum w:abstractNumId="2">
    <w:nsid w:val="1FBFE8E0"/>
    <w:multiLevelType w:val="hybridMultilevel"/>
    <w:lvl w:ilvl="0">
      <w:lvlJc w:val="left"/>
      <w:lvlText w:val="(%1)"/>
      <w:numFmt w:val="lowerLetter"/>
      <w:start w:val="1"/>
    </w:lvl>
  </w:abstractNum>
  <w:abstractNum w:abstractNumId="3">
    <w:nsid w:val="5092CA79"/>
    <w:multiLevelType w:val="hybridMultilevel"/>
    <w:lvl w:ilvl="0">
      <w:lvlJc w:val="left"/>
      <w:lvlText w:val="(%1)"/>
      <w:numFmt w:val="lowerLetter"/>
      <w:start w:val="1"/>
    </w:lvl>
  </w:abstractNum>
  <w:abstractNum w:abstractNumId="4">
    <w:nsid w:val="1D545C4D"/>
    <w:multiLevelType w:val="hybridMultilevel"/>
    <w:lvl w:ilvl="0">
      <w:lvlJc w:val="left"/>
      <w:lvlText w:val="(%1)"/>
      <w:numFmt w:val="lowerLetter"/>
      <w:start w:val="1"/>
    </w:lvl>
  </w:abstractNum>
  <w:abstractNum w:abstractNumId="5">
    <w:nsid w:val="59ADEA3D"/>
    <w:multiLevelType w:val="hybridMultilevel"/>
    <w:lvl w:ilvl="0">
      <w:lvlJc w:val="left"/>
      <w:lvlText w:val="(%1)"/>
      <w:numFmt w:val="lowerLetter"/>
      <w:start w:val="1"/>
    </w:lvl>
  </w:abstractNum>
  <w:abstractNum w:abstractNumId="6">
    <w:nsid w:val="288F1A34"/>
    <w:multiLevelType w:val="hybridMultilevel"/>
    <w:lvl w:ilvl="0">
      <w:lvlJc w:val="left"/>
      <w:lvlText w:val="•"/>
      <w:numFmt w:val="bullet"/>
      <w:start w:val="1"/>
    </w:lvl>
    <w:lvl w:ilvl="1">
      <w:lvlJc w:val="left"/>
      <w:lvlText w:val="◦"/>
      <w:numFmt w:val="bullet"/>
      <w:start w:val="1"/>
    </w:lvl>
  </w:abstractNum>
  <w:abstractNum w:abstractNumId="7">
    <w:nsid w:val="2A155DBC"/>
    <w:multiLevelType w:val="hybridMultilevel"/>
    <w:lvl w:ilvl="0">
      <w:lvlJc w:val="left"/>
      <w:lvlText w:val="(%1)"/>
      <w:numFmt w:val="lowerLetter"/>
      <w:start w:val="1"/>
    </w:lvl>
  </w:abstractNum>
  <w:abstractNum w:abstractNumId="8">
    <w:nsid w:val="1D9F6E5F"/>
    <w:multiLevelType w:val="hybridMultilevel"/>
    <w:lvl w:ilvl="0">
      <w:lvlJc w:val="left"/>
      <w:lvlText w:val="•"/>
      <w:numFmt w:val="bullet"/>
      <w:start w:val="1"/>
    </w:lvl>
  </w:abstractNum>
  <w:abstractNum w:abstractNumId="9">
    <w:nsid w:val="97E1B4E"/>
    <w:multiLevelType w:val="hybridMultilevel"/>
    <w:lvl w:ilvl="0">
      <w:lvlJc w:val="left"/>
      <w:lvlText w:val="•"/>
      <w:numFmt w:val="bullet"/>
      <w:start w:val="1"/>
    </w:lvl>
  </w:abstractNum>
  <w:abstractNum w:abstractNumId="10">
    <w:nsid w:val="51088277"/>
    <w:multiLevelType w:val="hybridMultilevel"/>
    <w:lvl w:ilvl="0">
      <w:lvlJc w:val="left"/>
      <w:lvlText w:val="•"/>
      <w:numFmt w:val="bullet"/>
      <w:start w:val="1"/>
    </w:lvl>
  </w:abstractNum>
  <w:abstractNum w:abstractNumId="11">
    <w:nsid w:val="1CA0C5FA"/>
    <w:multiLevelType w:val="hybridMultilevel"/>
    <w:lvl w:ilvl="0">
      <w:lvlJc w:val="left"/>
      <w:lvlText w:val="(%1)"/>
      <w:numFmt w:val="lowerLetter"/>
      <w:start w:val="1"/>
    </w:lvl>
  </w:abstractNum>
  <w:abstractNum w:abstractNumId="12">
    <w:nsid w:val="53584BCB"/>
    <w:multiLevelType w:val="hybridMultilevel"/>
    <w:lvl w:ilvl="0">
      <w:lvlJc w:val="left"/>
      <w:lvlText w:val="(%1)"/>
      <w:numFmt w:val="lowerLetter"/>
      <w:start w:val="1"/>
    </w:lvl>
  </w:abstractNum>
  <w:abstractNum w:abstractNumId="13">
    <w:nsid w:val="415E286C"/>
    <w:multiLevelType w:val="hybridMultilevel"/>
    <w:lvl w:ilvl="0">
      <w:lvlJc w:val="left"/>
      <w:lvlText w:val="(%1)"/>
      <w:numFmt w:val="lowerLetter"/>
      <w:start w:val="1"/>
    </w:lvl>
  </w:abstractNum>
  <w:abstractNum w:abstractNumId="14">
    <w:nsid w:val="7C58FD05"/>
    <w:multiLevelType w:val="hybridMultilevel"/>
    <w:lvl w:ilvl="0">
      <w:lvlJc w:val="left"/>
      <w:lvlText w:val="(%1)"/>
      <w:numFmt w:val="lowerLetter"/>
      <w:start w:val="1"/>
    </w:lvl>
  </w:abstractNum>
  <w:abstractNum w:abstractNumId="15">
    <w:nsid w:val="23D86AAC"/>
    <w:multiLevelType w:val="hybridMultilevel"/>
    <w:lvl w:ilvl="0">
      <w:lvlJc w:val="left"/>
      <w:lvlText w:val="(%1)"/>
      <w:numFmt w:val="lowerLetter"/>
      <w:start w:val="1"/>
    </w:lvl>
  </w:abstractNum>
  <w:abstractNum w:abstractNumId="16">
    <w:nsid w:val="45E6D486"/>
    <w:multiLevelType w:val="hybridMultilevel"/>
    <w:lvl w:ilvl="0">
      <w:lvlJc w:val="left"/>
      <w:lvlText w:val="(%1)"/>
      <w:numFmt w:val="lowerLetter"/>
      <w:start w:val="1"/>
    </w:lvl>
  </w:abstractNum>
  <w:abstractNum w:abstractNumId="17">
    <w:nsid w:val="5C10FE21"/>
    <w:multiLevelType w:val="hybridMultilevel"/>
    <w:lvl w:ilvl="0">
      <w:lvlJc w:val="left"/>
      <w:lvlText w:val="•"/>
      <w:numFmt w:val="bullet"/>
      <w:start w:val="1"/>
    </w:lvl>
  </w:abstractNum>
  <w:abstractNum w:abstractNumId="18">
    <w:nsid w:val="E7FFA2B"/>
    <w:multiLevelType w:val="hybridMultilevel"/>
    <w:lvl w:ilvl="0">
      <w:lvlJc w:val="left"/>
      <w:lvlText w:val="(%1)"/>
      <w:numFmt w:val="lowerLetter"/>
      <w:start w:val="1"/>
    </w:lvl>
  </w:abstractNum>
  <w:abstractNum w:abstractNumId="19">
    <w:nsid w:val="3C5991AA"/>
    <w:multiLevelType w:val="hybridMultilevel"/>
    <w:lvl w:ilvl="0">
      <w:lvlJc w:val="left"/>
      <w:lvlText w:val="(%1)"/>
      <w:numFmt w:val="lowerLetter"/>
      <w:start w:val="1"/>
    </w:lvl>
  </w:abstractNum>
  <w:abstractNum w:abstractNumId="20">
    <w:nsid w:val="4BD8591A"/>
    <w:multiLevelType w:val="hybridMultilevel"/>
    <w:lvl w:ilvl="0">
      <w:lvlJc w:val="left"/>
      <w:lvlText w:val="•"/>
      <w:numFmt w:val="bullet"/>
      <w:start w:val="1"/>
    </w:lvl>
    <w:lvl w:ilvl="1">
      <w:lvlJc w:val="left"/>
      <w:lvlText w:val="◦"/>
      <w:numFmt w:val="bullet"/>
      <w:start w:val="1"/>
    </w:lvl>
  </w:abstractNum>
  <w:abstractNum w:abstractNumId="21">
    <w:nsid w:val="78DF6A55"/>
    <w:multiLevelType w:val="hybridMultilevel"/>
    <w:lvl w:ilvl="0">
      <w:lvlJc w:val="left"/>
      <w:lvlText w:val="•"/>
      <w:numFmt w:val="bullet"/>
      <w:start w:val="1"/>
    </w:lvl>
    <w:lvl w:ilvl="1">
      <w:lvlJc w:val="left"/>
      <w:lvlText w:val="◦"/>
      <w:numFmt w:val="bullet"/>
      <w:start w:val="1"/>
    </w:lvl>
  </w:abstractNum>
  <w:abstractNum w:abstractNumId="22">
    <w:nsid w:val="39B7AAA2"/>
    <w:multiLevelType w:val="hybridMultilevel"/>
    <w:lvl w:ilvl="0">
      <w:lvlJc w:val="left"/>
      <w:lvlText w:val="•"/>
      <w:numFmt w:val="bullet"/>
      <w:start w:val="1"/>
    </w:lvl>
    <w:lvl w:ilvl="1">
      <w:lvlJc w:val="left"/>
      <w:lvlText w:val="•"/>
      <w:numFmt w:val="bullet"/>
      <w:start w:val="1"/>
    </w:lvl>
  </w:abstractNum>
  <w:abstractNum w:abstractNumId="23">
    <w:nsid w:val="2B0D8DBE"/>
    <w:multiLevelType w:val="hybridMultilevel"/>
    <w:lvl w:ilvl="0">
      <w:lvlJc w:val="left"/>
      <w:lvlText w:val="•"/>
      <w:numFmt w:val="bullet"/>
      <w:start w:val="1"/>
    </w:lvl>
  </w:abstractNum>
  <w:abstractNum w:abstractNumId="24">
    <w:nsid w:val="6C80EC70"/>
    <w:multiLevelType w:val="hybridMultilevel"/>
    <w:lvl w:ilvl="0">
      <w:lvlJc w:val="left"/>
      <w:lvlText w:val="(%1)"/>
      <w:numFmt w:val="lowerLetter"/>
      <w:start w:val="1"/>
    </w:lvl>
  </w:abstractNum>
  <w:abstractNum w:abstractNumId="25">
    <w:nsid w:val="379E21B5"/>
    <w:multiLevelType w:val="hybridMultilevel"/>
    <w:lvl w:ilvl="0">
      <w:lvlJc w:val="left"/>
      <w:lvlText w:val="•"/>
      <w:numFmt w:val="bullet"/>
      <w:start w:val="1"/>
    </w:lvl>
  </w:abstractNum>
  <w:abstractNum w:abstractNumId="26">
    <w:nsid w:val="69E373"/>
    <w:multiLevelType w:val="hybridMultilevel"/>
    <w:lvl w:ilvl="0">
      <w:lvlJc w:val="left"/>
      <w:lvlText w:val="•"/>
      <w:numFmt w:val="bullet"/>
      <w:start w:val="1"/>
    </w:lvl>
  </w:abstractNum>
  <w:abstractNum w:abstractNumId="27">
    <w:nsid w:val="2C27173B"/>
    <w:multiLevelType w:val="hybridMultilevel"/>
    <w:lvl w:ilvl="0">
      <w:lvlJc w:val="left"/>
      <w:lvlText w:val="(%1)"/>
      <w:numFmt w:val="lowerLetter"/>
      <w:start w:val="1"/>
    </w:lvl>
  </w:abstractNum>
  <w:abstractNum w:abstractNumId="28">
    <w:nsid w:val="4C9B0904"/>
    <w:multiLevelType w:val="hybridMultilevel"/>
    <w:lvl w:ilvl="0">
      <w:lvlJc w:val="left"/>
      <w:lvlText w:val="•"/>
      <w:numFmt w:val="bullet"/>
      <w:start w:val="1"/>
    </w:lvl>
  </w:abstractNum>
  <w:abstractNum w:abstractNumId="29">
    <w:nsid w:val="6AA7B75C"/>
    <w:multiLevelType w:val="hybridMultilevel"/>
    <w:lvl w:ilvl="0">
      <w:lvlJc w:val="left"/>
      <w:lvlText w:val="•"/>
      <w:numFmt w:val="bullet"/>
      <w:start w:val="1"/>
    </w:lvl>
  </w:abstractNum>
  <w:abstractNum w:abstractNumId="30">
    <w:nsid w:val="1DF029D3"/>
    <w:multiLevelType w:val="hybridMultilevel"/>
    <w:lvl w:ilvl="0">
      <w:lvlJc w:val="left"/>
      <w:lvlText w:val="•"/>
      <w:numFmt w:val="bullet"/>
      <w:start w:val="1"/>
    </w:lvl>
  </w:abstractNum>
  <w:abstractNum w:abstractNumId="31">
    <w:nsid w:val="5675FF36"/>
    <w:multiLevelType w:val="hybridMultilevel"/>
    <w:lvl w:ilvl="0">
      <w:lvlJc w:val="left"/>
      <w:lvlText w:val="(%1)"/>
      <w:numFmt w:val="lowerLetter"/>
      <w:start w:val="1"/>
    </w:lvl>
  </w:abstractNum>
  <w:abstractNum w:abstractNumId="32">
    <w:nsid w:val="3DD15094"/>
    <w:multiLevelType w:val="hybridMultilevel"/>
    <w:lvl w:ilvl="0">
      <w:lvlJc w:val="left"/>
      <w:lvlText w:val="•"/>
      <w:numFmt w:val="bullet"/>
      <w:start w:val="1"/>
    </w:lvl>
    <w:lvl w:ilvl="1">
      <w:lvlJc w:val="left"/>
      <w:lvlText w:val="•"/>
      <w:numFmt w:val="bullet"/>
      <w:start w:val="1"/>
    </w:lvl>
  </w:abstractNum>
  <w:abstractNum w:abstractNumId="33">
    <w:nsid w:val="3DB012B3"/>
    <w:multiLevelType w:val="hybridMultilevel"/>
    <w:lvl w:ilvl="0">
      <w:lvlJc w:val="left"/>
      <w:lvlText w:val="•"/>
      <w:numFmt w:val="bullet"/>
      <w:start w:val="1"/>
    </w:lvl>
    <w:lvl w:ilvl="1">
      <w:lvlJc w:val="left"/>
      <w:lvlText w:val="◦"/>
      <w:numFmt w:val="bullet"/>
      <w:start w:val="1"/>
    </w:lvl>
  </w:abstractNum>
  <w:abstractNum w:abstractNumId="34">
    <w:nsid w:val="2708C9AF"/>
    <w:multiLevelType w:val="hybridMultilevel"/>
    <w:lvl w:ilvl="0">
      <w:lvlJc w:val="left"/>
      <w:lvlText w:val="•"/>
      <w:numFmt w:val="bullet"/>
      <w:start w:val="1"/>
    </w:lvl>
    <w:lvl w:ilvl="1">
      <w:lvlJc w:val="left"/>
      <w:lvlText w:val="◦"/>
      <w:numFmt w:val="bullet"/>
      <w:start w:val="1"/>
    </w:lvl>
  </w:abstractNum>
  <w:abstractNum w:abstractNumId="35">
    <w:nsid w:val="5B25ACE2"/>
    <w:multiLevelType w:val="hybridMultilevel"/>
    <w:lvl w:ilvl="0">
      <w:lvlJc w:val="left"/>
      <w:lvlText w:val="•"/>
      <w:numFmt w:val="bullet"/>
      <w:start w:val="1"/>
    </w:lvl>
  </w:abstractNum>
  <w:abstractNum w:abstractNumId="36">
    <w:nsid w:val="175DFCF0"/>
    <w:multiLevelType w:val="hybridMultilevel"/>
    <w:lvl w:ilvl="0">
      <w:lvlJc w:val="left"/>
      <w:lvlText w:val="•"/>
      <w:numFmt w:val="bullet"/>
      <w:start w:val="1"/>
    </w:lvl>
  </w:abstractNum>
  <w:abstractNum w:abstractNumId="37">
    <w:nsid w:val="4F97E3E4"/>
    <w:multiLevelType w:val="hybridMultilevel"/>
    <w:lvl w:ilvl="0">
      <w:lvlJc w:val="left"/>
      <w:lvlText w:val="•"/>
      <w:numFmt w:val="bullet"/>
      <w:start w:val="1"/>
    </w:lvl>
  </w:abstractNum>
  <w:abstractNum w:abstractNumId="38">
    <w:nsid w:val="53B0A9E"/>
    <w:multiLevelType w:val="hybridMultilevel"/>
    <w:lvl w:ilvl="0">
      <w:lvlJc w:val="left"/>
      <w:lvlText w:val="(%1)"/>
      <w:numFmt w:val="lowerLetter"/>
      <w:start w:val="1"/>
    </w:lvl>
  </w:abstractNum>
  <w:abstractNum w:abstractNumId="39">
    <w:nsid w:val="34FD6B4F"/>
    <w:multiLevelType w:val="hybridMultilevel"/>
    <w:lvl w:ilvl="0">
      <w:lvlJc w:val="left"/>
      <w:lvlText w:val="(%1)"/>
      <w:numFmt w:val="lowerLetter"/>
      <w:start w:val="1"/>
    </w:lvl>
  </w:abstractNum>
  <w:abstractNum w:abstractNumId="40">
    <w:nsid w:val="5915FF32"/>
    <w:multiLevelType w:val="hybridMultilevel"/>
    <w:lvl w:ilvl="0">
      <w:lvlJc w:val="left"/>
      <w:lvlText w:val="(%1)"/>
      <w:numFmt w:val="lowerLetter"/>
      <w:start w:val="1"/>
    </w:lvl>
  </w:abstractNum>
  <w:abstractNum w:abstractNumId="41">
    <w:nsid w:val="56438D15"/>
    <w:multiLevelType w:val="hybridMultilevel"/>
    <w:lvl w:ilvl="0">
      <w:lvlJc w:val="left"/>
      <w:lvlText w:val="(%1)"/>
      <w:numFmt w:val="lowerLetter"/>
      <w:start w:val="1"/>
    </w:lvl>
  </w:abstractNum>
  <w:abstractNum w:abstractNumId="42">
    <w:nsid w:val="519E3149"/>
    <w:multiLevelType w:val="hybridMultilevel"/>
    <w:lvl w:ilvl="0">
      <w:lvlJc w:val="left"/>
      <w:lvlText w:val="(%1)"/>
      <w:numFmt w:val="lowerLetter"/>
      <w:start w:val="1"/>
    </w:lvl>
  </w:abstractNum>
  <w:abstractNum w:abstractNumId="43">
    <w:nsid w:val="2C6E4AFD"/>
    <w:multiLevelType w:val="hybridMultilevel"/>
    <w:lvl w:ilvl="0">
      <w:lvlJc w:val="left"/>
      <w:lvlText w:val="•"/>
      <w:numFmt w:val="bullet"/>
      <w:start w:val="1"/>
    </w:lvl>
  </w:abstractNum>
  <w:abstractNum w:abstractNumId="44">
    <w:nsid w:val="17A1B582"/>
    <w:multiLevelType w:val="hybridMultilevel"/>
    <w:lvl w:ilvl="0">
      <w:lvlJc w:val="left"/>
      <w:lvlText w:val="•"/>
      <w:numFmt w:val="bullet"/>
      <w:start w:val="1"/>
    </w:lvl>
  </w:abstractNum>
  <w:abstractNum w:abstractNumId="45">
    <w:nsid w:val="4DF72E4E"/>
    <w:multiLevelType w:val="hybridMultilevel"/>
    <w:lvl w:ilvl="0">
      <w:lvlJc w:val="left"/>
      <w:lvlText w:val="•"/>
      <w:numFmt w:val="bullet"/>
      <w:start w:val="1"/>
    </w:lvl>
  </w:abstractNum>
  <w:abstractNum w:abstractNumId="46">
    <w:nsid w:val="5046B5A9"/>
    <w:multiLevelType w:val="hybridMultilevel"/>
    <w:lvl w:ilvl="0">
      <w:lvlJc w:val="left"/>
      <w:lvlText w:val="•"/>
      <w:numFmt w:val="bullet"/>
      <w:start w:val="1"/>
    </w:lvl>
  </w:abstractNum>
  <w:abstractNum w:abstractNumId="47">
    <w:nsid w:val="5D888A08"/>
    <w:multiLevelType w:val="hybridMultilevel"/>
    <w:lvl w:ilvl="0">
      <w:lvlJc w:val="left"/>
      <w:lvlText w:val="•"/>
      <w:numFmt w:val="bullet"/>
      <w:start w:val="1"/>
    </w:lvl>
    <w:lvl w:ilvl="1">
      <w:lvlJc w:val="left"/>
      <w:lvlText w:val="•"/>
      <w:numFmt w:val="bullet"/>
      <w:start w:val="1"/>
    </w:lvl>
  </w:abstractNum>
  <w:abstractNum w:abstractNumId="48">
    <w:nsid w:val="2A082C70"/>
    <w:multiLevelType w:val="hybridMultilevel"/>
    <w:lvl w:ilvl="0">
      <w:lvlJc w:val="left"/>
      <w:lvlText w:val="•"/>
      <w:numFmt w:val="bullet"/>
      <w:start w:val="1"/>
    </w:lvl>
  </w:abstractNum>
  <w:abstractNum w:abstractNumId="49">
    <w:nsid w:val="5EC6AFD4"/>
    <w:multiLevelType w:val="hybridMultilevel"/>
    <w:lvl w:ilvl="0">
      <w:lvlJc w:val="left"/>
      <w:lvlText w:val="•"/>
      <w:numFmt w:val="bullet"/>
      <w:start w:val="1"/>
    </w:lvl>
  </w:abstractNum>
  <w:abstractNum w:abstractNumId="50">
    <w:nsid w:val="19E21BB2"/>
    <w:multiLevelType w:val="hybridMultilevel"/>
    <w:lvl w:ilvl="0">
      <w:lvlJc w:val="left"/>
      <w:lvlText w:val="(%1)"/>
      <w:numFmt w:val="lowerLetter"/>
      <w:start w:val="1"/>
    </w:lvl>
  </w:abstractNum>
  <w:abstractNum w:abstractNumId="51">
    <w:nsid w:val="75E0858A"/>
    <w:multiLevelType w:val="hybridMultilevel"/>
    <w:lvl w:ilvl="0">
      <w:lvlJc w:val="left"/>
      <w:lvlText w:val="(%1)"/>
      <w:numFmt w:val="lowerLetter"/>
      <w:start w:val="1"/>
    </w:lvl>
  </w:abstractNum>
  <w:abstractNum w:abstractNumId="52">
    <w:nsid w:val="57A61A29"/>
    <w:multiLevelType w:val="hybridMultilevel"/>
    <w:lvl w:ilvl="0">
      <w:lvlJc w:val="left"/>
      <w:lvlText w:val="(%1)"/>
      <w:numFmt w:val="lowerLetter"/>
      <w:start w:val="1"/>
    </w:lvl>
  </w:abstractNum>
  <w:abstractNum w:abstractNumId="53">
    <w:nsid w:val="5399C654"/>
    <w:multiLevelType w:val="hybridMultilevel"/>
    <w:lvl w:ilvl="0">
      <w:lvlJc w:val="left"/>
      <w:lvlText w:val="(%1)"/>
      <w:numFmt w:val="lowerLetter"/>
      <w:start w:val="1"/>
    </w:lvl>
  </w:abstractNum>
  <w:abstractNum w:abstractNumId="54">
    <w:nsid w:val="20EE1348"/>
    <w:multiLevelType w:val="hybridMultilevel"/>
    <w:lvl w:ilvl="0">
      <w:lvlJc w:val="left"/>
      <w:lvlText w:val="(%1)"/>
      <w:numFmt w:val="lowerLetter"/>
      <w:start w:val="1"/>
    </w:lvl>
  </w:abstractNum>
  <w:abstractNum w:abstractNumId="55">
    <w:nsid w:val="4427069A"/>
    <w:multiLevelType w:val="hybridMultilevel"/>
    <w:lvl w:ilvl="0">
      <w:lvlJc w:val="left"/>
      <w:lvlText w:val="•"/>
      <w:numFmt w:val="bullet"/>
      <w:start w:val="1"/>
    </w:lvl>
  </w:abstractNum>
  <w:abstractNum w:abstractNumId="56">
    <w:nsid w:val="B37E80A"/>
    <w:multiLevelType w:val="hybridMultilevel"/>
    <w:lvl w:ilvl="0">
      <w:lvlJc w:val="left"/>
      <w:lvlText w:val="(%1)"/>
      <w:numFmt w:val="decimal"/>
      <w:start w:val="1"/>
    </w:lvl>
  </w:abstractNum>
  <w:abstractNum w:abstractNumId="57">
    <w:nsid w:val="2157F6BC"/>
    <w:multiLevelType w:val="hybridMultilevel"/>
    <w:lvl w:ilvl="0">
      <w:lvlJc w:val="left"/>
      <w:lvlText w:val="(%1)"/>
      <w:numFmt w:val="lowerLetter"/>
      <w:start w:val="1"/>
    </w:lvl>
  </w:abstractNum>
  <w:abstractNum w:abstractNumId="58">
    <w:nsid w:val="704E1DD5"/>
    <w:multiLevelType w:val="hybridMultilevel"/>
    <w:lvl w:ilvl="0">
      <w:lvlJc w:val="left"/>
      <w:lvlText w:val="•"/>
      <w:numFmt w:val="bullet"/>
      <w:start w:val="1"/>
    </w:lvl>
  </w:abstractNum>
  <w:abstractNum w:abstractNumId="59">
    <w:nsid w:val="57D2F10E"/>
    <w:multiLevelType w:val="hybridMultilevel"/>
    <w:lvl w:ilvl="0">
      <w:lvlJc w:val="left"/>
      <w:lvlText w:val="•"/>
      <w:numFmt w:val="bullet"/>
      <w:start w:val="1"/>
    </w:lvl>
  </w:abstractNum>
  <w:abstractNum w:abstractNumId="60">
    <w:nsid w:val="BFFAE18"/>
    <w:multiLevelType w:val="hybridMultilevel"/>
    <w:lvl w:ilvl="0">
      <w:lvlJc w:val="left"/>
      <w:lvlText w:val="•"/>
      <w:numFmt w:val="bullet"/>
      <w:start w:val="1"/>
    </w:lvl>
  </w:abstractNum>
  <w:abstractNum w:abstractNumId="61">
    <w:nsid w:val="E3E47A8"/>
    <w:multiLevelType w:val="hybridMultilevel"/>
    <w:lvl w:ilvl="0">
      <w:lvlJc w:val="left"/>
      <w:lvlText w:val="(%1)"/>
      <w:numFmt w:val="lowerLetter"/>
      <w:start w:val="1"/>
    </w:lvl>
  </w:abstractNum>
  <w:abstractNum w:abstractNumId="62">
    <w:nsid w:val="2E48F044"/>
    <w:multiLevelType w:val="hybridMultilevel"/>
    <w:lvl w:ilvl="0">
      <w:lvlJc w:val="left"/>
      <w:lvlText w:val="(%1)"/>
      <w:numFmt w:val="lowerLetter"/>
      <w:start w:val="1"/>
    </w:lvl>
  </w:abstractNum>
  <w:abstractNum w:abstractNumId="63">
    <w:nsid w:val="49D0FEAC"/>
    <w:multiLevelType w:val="hybridMultilevel"/>
    <w:lvl w:ilvl="0">
      <w:lvlJc w:val="left"/>
      <w:lvlText w:val="(%1)"/>
      <w:numFmt w:val="lowerLetter"/>
      <w:start w:val="1"/>
    </w:lvl>
  </w:abstractNum>
  <w:abstractNum w:abstractNumId="64">
    <w:nsid w:val="4BEE5A5B"/>
    <w:multiLevelType w:val="hybridMultilevel"/>
    <w:lvl w:ilvl="0">
      <w:lvlJc w:val="left"/>
      <w:lvlText w:val="(%1)"/>
      <w:numFmt w:val="lowerLetter"/>
      <w:start w:val="1"/>
    </w:lvl>
  </w:abstractNum>
  <w:abstractNum w:abstractNumId="65">
    <w:nsid w:val="5551B9F3"/>
    <w:multiLevelType w:val="hybridMultilevel"/>
    <w:lvl w:ilvl="0">
      <w:lvlJc w:val="left"/>
      <w:lvlText w:val="•"/>
      <w:numFmt w:val="bullet"/>
      <w:start w:val="1"/>
    </w:lvl>
  </w:abstractNum>
  <w:abstractNum w:abstractNumId="66">
    <w:nsid w:val="24F6AB8E"/>
    <w:multiLevelType w:val="hybridMultilevel"/>
    <w:lvl w:ilvl="0">
      <w:lvlJc w:val="left"/>
      <w:lvlText w:val="(%1)"/>
      <w:numFmt w:val="lowerLetter"/>
      <w:start w:val="1"/>
    </w:lvl>
  </w:abstractNum>
  <w:abstractNum w:abstractNumId="67">
    <w:nsid w:val="634C574C"/>
    <w:multiLevelType w:val="hybridMultilevel"/>
    <w:lvl w:ilvl="0">
      <w:lvlJc w:val="left"/>
      <w:lvlText w:val="(%1)"/>
      <w:numFmt w:val="lowerLetter"/>
      <w:start w:val="1"/>
    </w:lvl>
  </w:abstractNum>
  <w:abstractNum w:abstractNumId="68">
    <w:nsid w:val="24E99DD7"/>
    <w:multiLevelType w:val="hybridMultilevel"/>
    <w:lvl w:ilvl="0">
      <w:lvlJc w:val="left"/>
      <w:lvlText w:val="(%1)"/>
      <w:numFmt w:val="lowerLetter"/>
      <w:start w:val="1"/>
    </w:lvl>
  </w:abstractNum>
  <w:abstractNum w:abstractNumId="69">
    <w:nsid w:val="2A31B62D"/>
    <w:multiLevelType w:val="hybridMultilevel"/>
    <w:lvl w:ilvl="0">
      <w:lvlJc w:val="left"/>
      <w:lvlText w:val="(%1)"/>
      <w:numFmt w:val="lowerLetter"/>
      <w:start w:val="1"/>
    </w:lvl>
  </w:abstractNum>
  <w:abstractNum w:abstractNumId="70">
    <w:nsid w:val="1849C29B"/>
    <w:multiLevelType w:val="hybridMultilevel"/>
    <w:lvl w:ilvl="0">
      <w:lvlJc w:val="left"/>
      <w:lvlText w:val="(%1)"/>
      <w:numFmt w:val="lowerLetter"/>
      <w:start w:val="1"/>
    </w:lvl>
  </w:abstractNum>
  <w:abstractNum w:abstractNumId="71">
    <w:nsid w:val="7DFF9D09"/>
    <w:multiLevelType w:val="hybridMultilevel"/>
    <w:lvl w:ilvl="0">
      <w:lvlJc w:val="left"/>
      <w:lvlText w:val="(%1)"/>
      <w:numFmt w:val="lowerLetter"/>
      <w:start w:val="1"/>
    </w:lvl>
  </w:abstractNum>
  <w:abstractNum w:abstractNumId="72">
    <w:nsid w:val="754342"/>
    <w:multiLevelType w:val="hybridMultilevel"/>
    <w:lvl w:ilvl="0">
      <w:lvlJc w:val="left"/>
      <w:lvlText w:val="•"/>
      <w:numFmt w:val="bullet"/>
      <w:start w:val="1"/>
    </w:lvl>
  </w:abstractNum>
  <w:abstractNum w:abstractNumId="73">
    <w:nsid w:val="69E7F3E5"/>
    <w:multiLevelType w:val="hybridMultilevel"/>
    <w:lvl w:ilvl="0">
      <w:lvlJc w:val="left"/>
      <w:lvlText w:val="(%1)"/>
      <w:numFmt w:val="decimal"/>
      <w:start w:val="6"/>
    </w:lvl>
    <w:lvl w:ilvl="1">
      <w:lvlJc w:val="left"/>
      <w:lvlText w:val="•"/>
      <w:numFmt w:val="bullet"/>
      <w:start w:val="1"/>
    </w:lvl>
  </w:abstractNum>
  <w:abstractNum w:abstractNumId="74">
    <w:nsid w:val="2A6DE806"/>
    <w:multiLevelType w:val="hybridMultilevel"/>
    <w:lvl w:ilvl="0">
      <w:lvlJc w:val="left"/>
      <w:lvlText w:val="(%1)"/>
      <w:numFmt w:val="lowerLetter"/>
      <w:start w:val="1"/>
    </w:lvl>
  </w:abstractNum>
  <w:abstractNum w:abstractNumId="75">
    <w:nsid w:val="1816F8C4"/>
    <w:multiLevelType w:val="hybridMultilevel"/>
    <w:lvl w:ilvl="0">
      <w:lvlJc w:val="left"/>
      <w:lvlText w:val="•"/>
      <w:numFmt w:val="bullet"/>
      <w:start w:val="1"/>
    </w:lvl>
  </w:abstractNum>
  <w:abstractNum w:abstractNumId="76">
    <w:nsid w:val="37DF2233"/>
    <w:multiLevelType w:val="hybridMultilevel"/>
    <w:lvl w:ilvl="0">
      <w:lvlJc w:val="left"/>
      <w:lvlText w:val="(%1)"/>
      <w:numFmt w:val="lowerLetter"/>
      <w:start w:val="1"/>
    </w:lvl>
  </w:abstractNum>
  <w:abstractNum w:abstractNumId="77">
    <w:nsid w:val="7AB49DAF"/>
    <w:multiLevelType w:val="hybridMultilevel"/>
    <w:lvl w:ilvl="0">
      <w:lvlJc w:val="left"/>
      <w:lvlText w:val="(%1)"/>
      <w:numFmt w:val="lowerLetter"/>
      <w:start w:val="1"/>
    </w:lvl>
  </w:abstractNum>
  <w:abstractNum w:abstractNumId="78">
    <w:nsid w:val="759F82CD"/>
    <w:multiLevelType w:val="hybridMultilevel"/>
    <w:lvl w:ilvl="0">
      <w:lvlJc w:val="left"/>
      <w:lvlText w:val="(%1)"/>
      <w:numFmt w:val="lowerLetter"/>
      <w:start w:val="1"/>
    </w:lvl>
  </w:abstractNum>
  <w:abstractNum w:abstractNumId="79">
    <w:nsid w:val="61E74EA3"/>
    <w:multiLevelType w:val="hybridMultilevel"/>
    <w:lvl w:ilvl="0">
      <w:lvlJc w:val="left"/>
      <w:lvlText w:val="(%1)"/>
      <w:numFmt w:val="lowerLetter"/>
      <w:start w:val="1"/>
    </w:lvl>
  </w:abstractNum>
  <w:abstractNum w:abstractNumId="80">
    <w:nsid w:val="597B4D84"/>
    <w:multiLevelType w:val="hybridMultilevel"/>
    <w:lvl w:ilvl="0">
      <w:lvlJc w:val="left"/>
      <w:lvlText w:val="(%1)"/>
      <w:numFmt w:val="decimal"/>
      <w:start w:val="15"/>
    </w:lvl>
  </w:abstractNum>
  <w:abstractNum w:abstractNumId="81">
    <w:nsid w:val="F819E7F"/>
    <w:multiLevelType w:val="hybridMultilevel"/>
    <w:lvl w:ilvl="0">
      <w:lvlJc w:val="left"/>
      <w:lvlText w:val="(%1)"/>
      <w:numFmt w:val="lowerLetter"/>
      <w:start w:val="1"/>
    </w:lvl>
  </w:abstractNum>
  <w:abstractNum w:abstractNumId="82">
    <w:nsid w:val="57C7D42D"/>
    <w:multiLevelType w:val="hybridMultilevel"/>
    <w:lvl w:ilvl="0">
      <w:lvlJc w:val="left"/>
      <w:lvlText w:val="(%1)"/>
      <w:numFmt w:val="lowerLetter"/>
      <w:start w:val="1"/>
    </w:lvl>
  </w:abstractNum>
  <w:abstractNum w:abstractNumId="83">
    <w:nsid w:val="312167AD"/>
    <w:multiLevelType w:val="hybridMultilevel"/>
    <w:lvl w:ilvl="0">
      <w:lvlJc w:val="left"/>
      <w:lvlText w:val="(%1)"/>
      <w:numFmt w:val="decimal"/>
      <w:start w:val="18"/>
    </w:lvl>
  </w:abstractNum>
  <w:abstractNum w:abstractNumId="84">
    <w:nsid w:val="631B64D4"/>
    <w:multiLevelType w:val="hybridMultilevel"/>
    <w:lvl w:ilvl="0">
      <w:lvlJc w:val="left"/>
      <w:lvlText w:val="(%1)"/>
      <w:numFmt w:val="lowerLetter"/>
      <w:start w:val="1"/>
    </w:lvl>
  </w:abstractNum>
  <w:abstractNum w:abstractNumId="85">
    <w:nsid w:val="78B5E776"/>
    <w:multiLevelType w:val="hybridMultilevel"/>
    <w:lvl w:ilvl="0">
      <w:lvlJc w:val="left"/>
      <w:lvlText w:val="(%1)"/>
      <w:numFmt w:val="lowerLetter"/>
      <w:start w:val="1"/>
    </w:lvl>
  </w:abstractNum>
  <w:abstractNum w:abstractNumId="86">
    <w:nsid w:val="75486E47"/>
    <w:multiLevelType w:val="hybridMultilevel"/>
    <w:lvl w:ilvl="0">
      <w:lvlJc w:val="left"/>
      <w:lvlText w:val="(%1)"/>
      <w:numFmt w:val="decimal"/>
      <w:start w:val="19"/>
    </w:lvl>
  </w:abstractNum>
  <w:abstractNum w:abstractNumId="87">
    <w:nsid w:val="6E534CDE"/>
    <w:multiLevelType w:val="hybridMultilevel"/>
    <w:lvl w:ilvl="0">
      <w:lvlJc w:val="left"/>
      <w:lvlText w:val="•"/>
      <w:numFmt w:val="bullet"/>
      <w:start w:val="1"/>
    </w:lvl>
  </w:abstractNum>
  <w:abstractNum w:abstractNumId="88">
    <w:nsid w:val="1A0DDE32"/>
    <w:multiLevelType w:val="hybridMultilevel"/>
    <w:lvl w:ilvl="0">
      <w:lvlJc w:val="left"/>
      <w:lvlText w:val="•"/>
      <w:numFmt w:val="bullet"/>
      <w:start w:val="1"/>
    </w:lvl>
  </w:abstractNum>
  <w:abstractNum w:abstractNumId="89">
    <w:nsid w:val="65968C1C"/>
    <w:multiLevelType w:val="hybridMultilevel"/>
    <w:lvl w:ilvl="0">
      <w:lvlJc w:val="left"/>
      <w:lvlText w:val="(%1)"/>
      <w:numFmt w:val="lowerLetter"/>
      <w:start w:val="1"/>
    </w:lvl>
  </w:abstractNum>
  <w:abstractNum w:abstractNumId="90">
    <w:nsid w:val="46263DEC"/>
    <w:multiLevelType w:val="hybridMultilevel"/>
    <w:lvl w:ilvl="0">
      <w:lvlJc w:val="left"/>
      <w:lvlText w:val="•"/>
      <w:numFmt w:val="bullet"/>
      <w:start w:val="1"/>
    </w:lvl>
  </w:abstractNum>
  <w:abstractNum w:abstractNumId="91">
    <w:nsid w:val="260D8C4A"/>
    <w:multiLevelType w:val="hybridMultilevel"/>
    <w:lvl w:ilvl="0">
      <w:lvlJc w:val="left"/>
      <w:lvlText w:val="•"/>
      <w:numFmt w:val="bullet"/>
      <w:start w:val="1"/>
    </w:lvl>
  </w:abstractNum>
  <w:abstractNum w:abstractNumId="92">
    <w:nsid w:val="73D4D3C4"/>
    <w:multiLevelType w:val="hybridMultilevel"/>
    <w:lvl w:ilvl="0">
      <w:lvlJc w:val="left"/>
      <w:lvlText w:val="•"/>
      <w:numFmt w:val="bullet"/>
      <w:start w:val="1"/>
    </w:lvl>
  </w:abstractNum>
  <w:abstractNum w:abstractNumId="93">
    <w:nsid w:val="746F2E30"/>
    <w:multiLevelType w:val="hybridMultilevel"/>
    <w:lvl w:ilvl="0">
      <w:lvlJc w:val="left"/>
      <w:lvlText w:val="(%1)"/>
      <w:numFmt w:val="lowerLetter"/>
      <w:start w:val="1"/>
    </w:lvl>
  </w:abstractNum>
  <w:abstractNum w:abstractNumId="94">
    <w:nsid w:val="6FDE8AF6"/>
    <w:multiLevelType w:val="hybridMultilevel"/>
    <w:lvl w:ilvl="0">
      <w:lvlJc w:val="left"/>
      <w:lvlText w:val="(%1)"/>
      <w:numFmt w:val="decimal"/>
      <w:start w:val="1"/>
    </w:lvl>
  </w:abstractNum>
  <w:abstractNum w:abstractNumId="95">
    <w:nsid w:val="3FC32E20"/>
    <w:multiLevelType w:val="hybridMultilevel"/>
    <w:lvl w:ilvl="0">
      <w:lvlJc w:val="left"/>
      <w:lvlText w:val="(%1)"/>
      <w:numFmt w:val="lowerLetter"/>
      <w:start w:val="1"/>
    </w:lvl>
  </w:abstractNum>
  <w:abstractNum w:abstractNumId="96">
    <w:nsid w:val="49C0E823"/>
    <w:multiLevelType w:val="hybridMultilevel"/>
    <w:lvl w:ilvl="0">
      <w:lvlJc w:val="left"/>
      <w:lvlText w:val="%1."/>
      <w:numFmt w:val="decimal"/>
      <w:start w:val="2"/>
    </w:lvl>
  </w:abstractNum>
  <w:abstractNum w:abstractNumId="97">
    <w:nsid w:val="14D53685"/>
    <w:multiLevelType w:val="hybridMultilevel"/>
    <w:lvl w:ilvl="0">
      <w:lvlJc w:val="left"/>
      <w:lvlText w:val="%1."/>
      <w:numFmt w:val="decimal"/>
      <w:start w:val="3"/>
    </w:lvl>
  </w:abstractNum>
  <w:abstractNum w:abstractNumId="98">
    <w:nsid w:val="230F856C"/>
    <w:multiLevelType w:val="hybridMultilevel"/>
    <w:lvl w:ilvl="0">
      <w:lvlJc w:val="left"/>
      <w:lvlText w:val="%1"/>
      <w:numFmt w:val="decimal"/>
      <w:start w:val="21"/>
    </w:lvl>
  </w:abstractNum>
  <w:abstractNum w:abstractNumId="99">
    <w:nsid w:val="6EAA85FB"/>
    <w:multiLevelType w:val="hybridMultilevel"/>
    <w:lvl w:ilvl="0">
      <w:lvlJc w:val="left"/>
      <w:lvlText w:val="%1"/>
      <w:numFmt w:val="decimal"/>
      <w:start w:val="95"/>
    </w:lvl>
  </w:abstractNum>
  <w:abstractNum w:abstractNumId="100">
    <w:nsid w:val="3F06ECB2"/>
    <w:multiLevelType w:val="hybridMultilevel"/>
    <w:lvl w:ilvl="0">
      <w:lvlJc w:val="left"/>
      <w:lvlText w:val="*"/>
      <w:numFmt w:val="bullet"/>
      <w:start w:val="1"/>
    </w:lvl>
    <w:lvl w:ilvl="1">
      <w:lvlJc w:val="left"/>
      <w:lvlText w:val="%2"/>
      <w:numFmt w:val="decimal"/>
      <w:start w:val="104"/>
    </w:lvl>
  </w:abstractNum>
  <w:abstractNum w:abstractNumId="101">
    <w:nsid w:val="3B594807"/>
    <w:multiLevelType w:val="hybridMultilevel"/>
    <w:lvl w:ilvl="0">
      <w:lvlJc w:val="left"/>
      <w:lvlText w:val="†"/>
      <w:numFmt w:val="bullet"/>
      <w:start w:val="1"/>
    </w:lvl>
  </w:abstractNum>
  <w:abstractNum w:abstractNumId="102">
    <w:nsid w:val="6CAA2304"/>
    <w:multiLevelType w:val="hybridMultilevel"/>
    <w:lvl w:ilvl="0">
      <w:lvlJc w:val="left"/>
      <w:lvlText w:val="•"/>
      <w:numFmt w:val="bullet"/>
      <w:start w:val="1"/>
    </w:lvl>
  </w:abstractNum>
  <w:abstractNum w:abstractNumId="103">
    <w:nsid w:val="3F7C2FF4"/>
    <w:multiLevelType w:val="hybridMultilevel"/>
    <w:lvl w:ilvl="0">
      <w:lvlJc w:val="left"/>
      <w:lvlText w:val="•"/>
      <w:numFmt w:val="bullet"/>
      <w:start w:val="1"/>
    </w:lvl>
  </w:abstractNum>
  <w:abstractNum w:abstractNumId="104">
    <w:nsid w:val="25413BEC"/>
    <w:multiLevelType w:val="hybridMultilevel"/>
    <w:lvl w:ilvl="0">
      <w:lvlJc w:val="left"/>
      <w:lvlText w:val="(%1)"/>
      <w:numFmt w:val="lowerLetter"/>
      <w:start w:val="1"/>
    </w:lvl>
  </w:abstractNum>
  <w:abstractNum w:abstractNumId="105">
    <w:nsid w:val="17180B0B"/>
    <w:multiLevelType w:val="hybridMultilevel"/>
    <w:lvl w:ilvl="0">
      <w:lvlJc w:val="left"/>
      <w:lvlText w:val="(%1)"/>
      <w:numFmt w:val="lowerLetter"/>
      <w:start w:val="4"/>
    </w:lvl>
  </w:abstractNum>
  <w:abstractNum w:abstractNumId="106">
    <w:nsid w:val="579328B9"/>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0"/>
    </w:lvl>
  </w:abstractNum>
  <w:abstractNum w:abstractNumId="107">
    <w:nsid w:val="5D205E20"/>
    <w:multiLevelType w:val="hybridMultilevel"/>
    <w:lvl w:ilvl="0">
      <w:lvlJc w:val="left"/>
      <w:lvlText w:val="%1"/>
      <w:numFmt w:val="lowerLetter"/>
      <w:start w:val="1"/>
    </w:lvl>
    <w:lvl w:ilvl="1">
      <w:lvlJc w:val="left"/>
      <w:lvlText w:val="%2"/>
      <w:numFmt w:val="lowerRoman"/>
      <w:start w:val="1"/>
    </w:lvl>
    <w:lvl w:ilvl="2">
      <w:lvlJc w:val="left"/>
      <w:lvlText w:val="(%3)"/>
      <w:numFmt w:val="lowerLetter"/>
      <w:start w:val="25"/>
    </w:lvl>
  </w:abstractNum>
  <w:abstractNum w:abstractNumId="108">
    <w:nsid w:val="11CCA8BA"/>
    <w:multiLevelType w:val="hybridMultilevel"/>
    <w:lvl w:ilvl="0">
      <w:lvlJc w:val="left"/>
      <w:lvlText w:val="%1"/>
      <w:numFmt w:val="lowerLetter"/>
      <w:start w:val="1"/>
    </w:lvl>
    <w:lvl w:ilvl="1">
      <w:lvlJc w:val="left"/>
      <w:lvlText w:val="(%2)"/>
      <w:numFmt w:val="lowerRoman"/>
      <w:start w:val="4"/>
    </w:lvl>
    <w:lvl w:ilvl="2">
      <w:lvlJc w:val="left"/>
      <w:lvlText w:val="%3"/>
      <w:numFmt w:val="lowerLetter"/>
      <w:start w:val="1"/>
    </w:lvl>
  </w:abstractNum>
  <w:abstractNum w:abstractNumId="109">
    <w:nsid w:val="4D32AB86"/>
    <w:multiLevelType w:val="hybridMultilevel"/>
    <w:lvl w:ilvl="0">
      <w:lvlJc w:val="left"/>
      <w:lvlText w:val="(%1)"/>
      <w:numFmt w:val="lowerLetter"/>
      <w:start w:val="3"/>
    </w:lvl>
    <w:lvl w:ilvl="1">
      <w:lvlJc w:val="left"/>
      <w:lvlText w:val="(%2)"/>
      <w:numFmt w:val="lowerRoman"/>
      <w:start w:val="1"/>
    </w:lvl>
    <w:lvl w:ilvl="2">
      <w:lvlJc w:val="left"/>
      <w:lvlText w:val="%3"/>
      <w:numFmt w:val="lowerLetter"/>
      <w:start w:val="1"/>
    </w:lvl>
  </w:abstractNum>
  <w:abstractNum w:abstractNumId="110">
    <w:nsid w:val="3F07ACC3"/>
    <w:multiLevelType w:val="hybridMultilevel"/>
    <w:lvl w:ilvl="0">
      <w:lvlJc w:val="left"/>
      <w:lvlText w:val="(%1)"/>
      <w:numFmt w:val="lowerLetter"/>
      <w:start w:val="4"/>
    </w:lvl>
    <w:lvl w:ilvl="1">
      <w:lvlJc w:val="left"/>
      <w:lvlText w:val="(%2)"/>
      <w:numFmt w:val="lowerLetter"/>
      <w:start w:val="9"/>
    </w:lvl>
    <w:lvl w:ilvl="2">
      <w:lvlJc w:val="left"/>
      <w:lvlText w:val="(%3)"/>
      <w:numFmt w:val="lowerLetter"/>
      <w:start w:val="21"/>
    </w:lvl>
  </w:abstractNum>
  <w:abstractNum w:abstractNumId="111">
    <w:nsid w:val="6B47F63E"/>
    <w:multiLevelType w:val="hybridMultilevel"/>
    <w:lvl w:ilvl="0">
      <w:lvlJc w:val="left"/>
      <w:lvlText w:val="%1"/>
      <w:numFmt w:val="lowerLetter"/>
      <w:start w:val="1"/>
    </w:lvl>
    <w:lvl w:ilvl="1">
      <w:lvlJc w:val="left"/>
      <w:lvlText w:val="(%2)"/>
      <w:numFmt w:val="lowerLetter"/>
      <w:start w:val="24"/>
    </w:lvl>
  </w:abstractNum>
  <w:abstractNum w:abstractNumId="112">
    <w:nsid w:val="5CB44A05"/>
    <w:multiLevelType w:val="hybridMultilevel"/>
    <w:lvl w:ilvl="0">
      <w:lvlJc w:val="left"/>
      <w:lvlText w:val="(%1)"/>
      <w:numFmt w:val="lowerLetter"/>
      <w:start w:val="35"/>
    </w:lvl>
    <w:lvl w:ilvl="1">
      <w:lvlJc w:val="left"/>
      <w:lvlText w:val="%2"/>
      <w:numFmt w:val="lowerLetter"/>
      <w:start w:val="1"/>
    </w:lvl>
  </w:abstractNum>
  <w:abstractNum w:abstractNumId="113">
    <w:nsid w:val="16CF80F1"/>
    <w:multiLevelType w:val="hybridMultilevel"/>
    <w:lvl w:ilvl="0">
      <w:lvlJc w:val="left"/>
      <w:lvlText w:val="(%1)"/>
      <w:numFmt w:val="lowerLetter"/>
      <w:start w:val="6"/>
    </w:lvl>
  </w:abstractNum>
  <w:abstractNum w:abstractNumId="114">
    <w:nsid w:val="1C695DEC"/>
    <w:multiLevelType w:val="hybridMultilevel"/>
    <w:lvl w:ilvl="0">
      <w:lvlJc w:val="left"/>
      <w:lvlText w:val="(%1)"/>
      <w:numFmt w:val="lowerLetter"/>
      <w:start w:val="1"/>
    </w:lvl>
  </w:abstractNum>
  <w:abstractNum w:abstractNumId="115">
    <w:nsid w:val="3FCFAED9"/>
    <w:multiLevelType w:val="hybridMultilevel"/>
    <w:lvl w:ilvl="0">
      <w:lvlJc w:val="left"/>
      <w:lvlText w:val="(%1)"/>
      <w:numFmt w:val="lowerLetter"/>
      <w:start w:val="1"/>
    </w:lvl>
  </w:abstractNum>
  <w:abstractNum w:abstractNumId="116">
    <w:nsid w:val="F856867"/>
    <w:multiLevelType w:val="hybridMultilevel"/>
    <w:lvl w:ilvl="0">
      <w:lvlJc w:val="left"/>
      <w:lvlText w:val="%1"/>
      <w:numFmt w:val="lowerLetter"/>
      <w:start w:val="1"/>
    </w:lvl>
    <w:lvl w:ilvl="1">
      <w:lvlJc w:val="left"/>
      <w:lvlText w:val="(%2)"/>
      <w:numFmt w:val="lowerLetter"/>
      <w:start w:val="8"/>
    </w:lvl>
  </w:abstractNum>
  <w:abstractNum w:abstractNumId="117">
    <w:nsid w:val="11B1CC33"/>
    <w:multiLevelType w:val="hybridMultilevel"/>
    <w:lvl w:ilvl="0">
      <w:lvlJc w:val="left"/>
      <w:lvlText w:val="(%1)"/>
      <w:numFmt w:val="lowerLetter"/>
      <w:start w:val="9"/>
    </w:lvl>
    <w:lvl w:ilvl="1">
      <w:lvlJc w:val="left"/>
      <w:lvlText w:val="%2"/>
      <w:numFmt w:val="lowerLetter"/>
      <w:start w:val="1"/>
    </w:lvl>
  </w:abstractNum>
  <w:abstractNum w:abstractNumId="118">
    <w:nsid w:val="2E22FBB7"/>
    <w:multiLevelType w:val="hybridMultilevel"/>
    <w:lvl w:ilvl="0">
      <w:lvlJc w:val="left"/>
      <w:lvlText w:val="%1."/>
      <w:numFmt w:val="decimal"/>
      <w:start w:val="1"/>
    </w:lvl>
  </w:abstractNum>
  <w:abstractNum w:abstractNumId="119">
    <w:nsid w:val="29934699"/>
    <w:multiLevelType w:val="hybridMultilevel"/>
    <w:lvl w:ilvl="0">
      <w:lvlJc w:val="left"/>
      <w:lvlText w:val="%1."/>
      <w:numFmt w:val="decimal"/>
      <w:start w:val="2"/>
    </w:lvl>
  </w:abstractNum>
  <w:abstractNum w:abstractNumId="120">
    <w:nsid w:val="77485850"/>
    <w:multiLevelType w:val="hybridMultilevel"/>
    <w:lvl w:ilvl="0">
      <w:lvlJc w:val="left"/>
      <w:lvlText w:val="%1"/>
      <w:numFmt w:val="lowerLetter"/>
      <w:start w:val="1"/>
    </w:lvl>
    <w:lvl w:ilvl="1">
      <w:lvlJc w:val="left"/>
      <w:lvlText w:val="(%2)"/>
      <w:numFmt w:val="lowerLetter"/>
      <w:start w:val="1"/>
    </w:lvl>
  </w:abstractNum>
  <w:abstractNum w:abstractNumId="121">
    <w:nsid w:val="744939A3"/>
    <w:multiLevelType w:val="hybridMultilevel"/>
    <w:lvl w:ilvl="0">
      <w:lvlJc w:val="left"/>
      <w:lvlText w:val="(%1)"/>
      <w:numFmt w:val="lowerLetter"/>
      <w:start w:val="2"/>
    </w:lvl>
    <w:lvl w:ilvl="1">
      <w:lvlJc w:val="left"/>
      <w:lvlText w:val="%2"/>
      <w:numFmt w:val="lowerLetter"/>
      <w:start w:val="1"/>
    </w:lvl>
  </w:abstractNum>
  <w:abstractNum w:abstractNumId="122">
    <w:nsid w:val="4FA0D2E3"/>
    <w:multiLevelType w:val="hybridMultilevel"/>
    <w:lvl w:ilvl="0">
      <w:lvlJc w:val="left"/>
      <w:lvlText w:val="(%1)"/>
      <w:numFmt w:val="lowerLetter"/>
      <w:start w:val="3"/>
    </w:lvl>
  </w:abstractNum>
  <w:abstractNum w:abstractNumId="123">
    <w:nsid w:val="6B1D2C14"/>
    <w:multiLevelType w:val="hybridMultilevel"/>
    <w:lvl w:ilvl="0">
      <w:lvlJc w:val="left"/>
      <w:lvlText w:val="%1."/>
      <w:numFmt w:val="decimal"/>
      <w:start w:val="3"/>
    </w:lvl>
  </w:abstractNum>
  <w:abstractNum w:abstractNumId="124">
    <w:nsid w:val="68B867D3"/>
    <w:multiLevelType w:val="hybridMultilevel"/>
    <w:lvl w:ilvl="0">
      <w:lvlJc w:val="left"/>
      <w:lvlText w:val="%1."/>
      <w:numFmt w:val="decimal"/>
      <w:start w:val="4"/>
    </w:lvl>
  </w:abstractNum>
  <w:abstractNum w:abstractNumId="125">
    <w:nsid w:val="3F7F5DD9"/>
    <w:multiLevelType w:val="hybridMultilevel"/>
    <w:lvl w:ilvl="0">
      <w:lvlJc w:val="left"/>
      <w:lvlText w:val="%1."/>
      <w:numFmt w:val="decimal"/>
      <w:start w:val="5"/>
    </w:lvl>
  </w:abstractNum>
  <w:abstractNum w:abstractNumId="126">
    <w:nsid w:val="2AE05A34"/>
    <w:multiLevelType w:val="hybridMultilevel"/>
    <w:lvl w:ilvl="0">
      <w:lvlJc w:val="left"/>
      <w:lvlText w:val="%1."/>
      <w:numFmt w:val="decimal"/>
      <w:start w:val="6"/>
    </w:lvl>
  </w:abstractNum>
  <w:abstractNum w:abstractNumId="127">
    <w:nsid w:val="32794FF7"/>
    <w:multiLevelType w:val="hybridMultilevel"/>
    <w:lvl w:ilvl="0">
      <w:lvlJc w:val="left"/>
      <w:lvlText w:val="%1."/>
      <w:numFmt w:val="decimal"/>
      <w:start w:val="7"/>
    </w:lvl>
  </w:abstractNum>
  <w:abstractNum w:abstractNumId="128">
    <w:nsid w:val="5454945E"/>
    <w:multiLevelType w:val="hybridMultilevel"/>
    <w:lvl w:ilvl="0">
      <w:lvlJc w:val="left"/>
      <w:lvlText w:val="%1."/>
      <w:numFmt w:val="decimal"/>
      <w:start w:val="8"/>
    </w:lvl>
    <w:lvl w:ilvl="1">
      <w:lvlJc w:val="left"/>
      <w:lvlText w:val="(%2)"/>
      <w:numFmt w:val="lowerLetter"/>
      <w:start w:val="1"/>
    </w:lvl>
  </w:abstractNum>
  <w:abstractNum w:abstractNumId="129">
    <w:nsid w:val="4DEFDFA0"/>
    <w:multiLevelType w:val="hybridMultilevel"/>
    <w:lvl w:ilvl="0">
      <w:lvlJc w:val="left"/>
      <w:lvlText w:val="%1"/>
      <w:numFmt w:val="decimal"/>
      <w:start w:val="1"/>
    </w:lvl>
    <w:lvl w:ilvl="1">
      <w:lvlJc w:val="left"/>
      <w:lvlText w:val="(%2)"/>
      <w:numFmt w:val="lowerLetter"/>
      <w:start w:val="2"/>
    </w:lvl>
  </w:abstractNum>
  <w:abstractNum w:abstractNumId="130">
    <w:nsid w:val="2123D5F2"/>
    <w:multiLevelType w:val="hybridMultilevel"/>
    <w:lvl w:ilvl="0">
      <w:lvlJc w:val="left"/>
      <w:lvlText w:val="%1."/>
      <w:numFmt w:val="decimal"/>
      <w:start w:val="9"/>
    </w:lvl>
    <w:lvl w:ilvl="1">
      <w:lvlJc w:val="left"/>
      <w:lvlText w:val="(%2)"/>
      <w:numFmt w:val="lowerLetter"/>
      <w:start w:val="1"/>
    </w:lvl>
  </w:abstractNum>
  <w:abstractNum w:abstractNumId="131">
    <w:nsid w:val="135B8110"/>
    <w:multiLevelType w:val="hybridMultilevel"/>
    <w:lvl w:ilvl="0">
      <w:lvlJc w:val="left"/>
      <w:lvlText w:val="(%1)"/>
      <w:numFmt w:val="lowerLetter"/>
      <w:start w:val="3"/>
    </w:lvl>
    <w:lvl w:ilvl="1">
      <w:lvlJc w:val="left"/>
      <w:lvlText w:val="(%2)"/>
      <w:numFmt w:val="lowerLetter"/>
      <w:start w:val="9"/>
    </w:lvl>
  </w:abstractNum>
  <w:abstractNum w:abstractNumId="132">
    <w:nsid w:val="94927A8"/>
    <w:multiLevelType w:val="hybridMultilevel"/>
    <w:lvl w:ilvl="0">
      <w:lvlJc w:val="left"/>
      <w:lvlText w:val="(%1)"/>
      <w:numFmt w:val="lowerRoman"/>
      <w:start w:val="2"/>
    </w:lvl>
    <w:lvl w:ilvl="1">
      <w:lvlJc w:val="left"/>
      <w:lvlText w:val="(%2)"/>
      <w:numFmt w:val="lowerRoman"/>
      <w:start w:val="3"/>
    </w:lvl>
  </w:abstractNum>
  <w:abstractNum w:abstractNumId="133">
    <w:nsid w:val="DCDF8F6"/>
    <w:multiLevelType w:val="hybridMultilevel"/>
    <w:lvl w:ilvl="0">
      <w:lvlJc w:val="left"/>
      <w:lvlText w:val="(%1)"/>
      <w:numFmt w:val="lowerRoman"/>
      <w:start w:val="5"/>
    </w:lvl>
  </w:abstractNum>
  <w:abstractNum w:abstractNumId="134">
    <w:nsid w:val="52D7B105"/>
    <w:multiLevelType w:val="hybridMultilevel"/>
    <w:lvl w:ilvl="0">
      <w:lvlJc w:val="left"/>
      <w:lvlText w:val="%1."/>
      <w:numFmt w:val="decimal"/>
      <w:start w:val="10"/>
    </w:lvl>
  </w:abstractNum>
  <w:abstractNum w:abstractNumId="135">
    <w:nsid w:val="2E8A6394"/>
    <w:multiLevelType w:val="hybridMultilevel"/>
    <w:lvl w:ilvl="0">
      <w:lvlJc w:val="left"/>
      <w:lvlText w:val="(%1)"/>
      <w:numFmt w:val="lowerLetter"/>
      <w:start w:val="1"/>
    </w:lvl>
    <w:lvl w:ilvl="1">
      <w:lvlJc w:val="left"/>
      <w:lvlText w:val="(%2)"/>
      <w:numFmt w:val="lowerRoman"/>
      <w:start w:val="3"/>
    </w:lvl>
    <w:lvl w:ilvl="2">
      <w:lvlJc w:val="left"/>
      <w:lvlText w:val="(%3)"/>
      <w:numFmt w:val="lowerRoman"/>
      <w:start w:val="1"/>
    </w:lvl>
  </w:abstractNum>
  <w:abstractNum w:abstractNumId="136">
    <w:nsid w:val="24E60401"/>
    <w:multiLevelType w:val="hybridMultilevel"/>
    <w:lvl w:ilvl="0">
      <w:lvlJc w:val="left"/>
      <w:lvlText w:val="(%1)"/>
      <w:numFmt w:val="lowerRoman"/>
      <w:start w:val="5"/>
    </w:lvl>
    <w:lvl w:ilvl="1">
      <w:lvlJc w:val="left"/>
      <w:lvlText w:val="%2"/>
      <w:numFmt w:val="lowerRoman"/>
      <w:start w:val="1"/>
    </w:lvl>
  </w:abstractNum>
  <w:abstractNum w:abstractNumId="137">
    <w:nsid w:val="2A6AD9BE"/>
    <w:multiLevelType w:val="hybridMultilevel"/>
    <w:lvl w:ilvl="0">
      <w:lvlJc w:val="left"/>
      <w:lvlText w:val="(%1)"/>
      <w:numFmt w:val="lowerRoman"/>
      <w:start w:val="2"/>
    </w:lvl>
    <w:lvl w:ilvl="1">
      <w:lvlJc w:val="left"/>
      <w:lvlText w:val="(%2)"/>
      <w:numFmt w:val="lowerRoman"/>
      <w:start w:val="6"/>
    </w:lvl>
  </w:abstractNum>
  <w:abstractNum w:abstractNumId="138">
    <w:nsid w:val="BAAC1B4"/>
    <w:multiLevelType w:val="hybridMultilevel"/>
    <w:lvl w:ilvl="0">
      <w:lvlJc w:val="left"/>
      <w:lvlText w:val="(%1)"/>
      <w:numFmt w:val="lowerRoman"/>
      <w:start w:val="1"/>
    </w:lvl>
  </w:abstractNum>
  <w:abstractNum w:abstractNumId="139">
    <w:nsid w:val="36B2ACBC"/>
    <w:multiLevelType w:val="hybridMultilevel"/>
    <w:lvl w:ilvl="0">
      <w:lvlJc w:val="left"/>
      <w:lvlText w:val="%1."/>
      <w:numFmt w:val="decimal"/>
      <w:start w:val="11"/>
    </w:lvl>
  </w:abstractNum>
  <w:abstractNum w:abstractNumId="140">
    <w:nsid w:val="779D8544"/>
    <w:multiLevelType w:val="hybridMultilevel"/>
    <w:lvl w:ilvl="0">
      <w:lvlJc w:val="left"/>
      <w:lvlText w:val="%1."/>
      <w:numFmt w:val="decimal"/>
      <w:start w:val="12"/>
    </w:lvl>
  </w:abstractNum>
  <w:abstractNum w:abstractNumId="141">
    <w:nsid w:val="4AB26E78"/>
    <w:multiLevelType w:val="hybridMultilevel"/>
    <w:lvl w:ilvl="0">
      <w:lvlJc w:val="left"/>
      <w:lvlText w:val="%1."/>
      <w:numFmt w:val="decimal"/>
      <w:start w:val="13"/>
    </w:lvl>
  </w:abstractNum>
  <w:abstractNum w:abstractNumId="142">
    <w:nsid w:val="21FAA2FA"/>
    <w:multiLevelType w:val="hybridMultilevel"/>
    <w:lvl w:ilvl="0">
      <w:lvlJc w:val="left"/>
      <w:lvlText w:val="(%1)"/>
      <w:numFmt w:val="decimal"/>
      <w:start w:val="6"/>
    </w:lvl>
    <w:lvl w:ilvl="1">
      <w:lvlJc w:val="left"/>
      <w:lvlText w:val="%2."/>
      <w:numFmt w:val="decimal"/>
      <w:start w:val="14"/>
    </w:lvl>
  </w:abstractNum>
  <w:abstractNum w:abstractNumId="143">
    <w:nsid w:val="5451CF49"/>
    <w:multiLevelType w:val="hybridMultilevel"/>
    <w:lvl w:ilvl="0">
      <w:lvlJc w:val="left"/>
      <w:lvlText w:val="%1."/>
      <w:numFmt w:val="decimal"/>
      <w:start w:val="15"/>
    </w:lvl>
  </w:abstractNum>
  <w:abstractNum w:abstractNumId="144">
    <w:nsid w:val="6181EF69"/>
    <w:multiLevelType w:val="hybridMultilevel"/>
    <w:lvl w:ilvl="0">
      <w:lvlJc w:val="left"/>
      <w:lvlText w:val="%1."/>
      <w:numFmt w:val="decimal"/>
      <w:start w:val="16"/>
    </w:lvl>
  </w:abstractNum>
  <w:abstractNum w:abstractNumId="145">
    <w:nsid w:val="3E6400E6"/>
    <w:multiLevelType w:val="hybridMultilevel"/>
    <w:lvl w:ilvl="0">
      <w:lvlJc w:val="left"/>
      <w:lvlText w:val="%1."/>
      <w:numFmt w:val="decimal"/>
      <w:start w:val="17"/>
    </w:lvl>
  </w:abstractNum>
  <w:abstractNum w:abstractNumId="146">
    <w:nsid w:val="14217E23"/>
    <w:multiLevelType w:val="hybridMultilevel"/>
    <w:lvl w:ilvl="0">
      <w:lvlJc w:val="left"/>
      <w:lvlText w:val="%1."/>
      <w:numFmt w:val="decimal"/>
      <w:start w:val="18"/>
    </w:lvl>
  </w:abstractNum>
  <w:abstractNum w:abstractNumId="147">
    <w:nsid w:val="710757D0"/>
    <w:multiLevelType w:val="hybridMultilevel"/>
    <w:lvl w:ilvl="0">
      <w:lvlJc w:val="left"/>
      <w:lvlText w:val="%1."/>
      <w:numFmt w:val="decimal"/>
      <w:start w:val="19"/>
    </w:lvl>
  </w:abstractNum>
  <w:abstractNum w:abstractNumId="148">
    <w:nsid w:val="5015CD1A"/>
    <w:multiLevelType w:val="hybridMultilevel"/>
    <w:lvl w:ilvl="0">
      <w:lvlJc w:val="left"/>
      <w:lvlText w:val="%1."/>
      <w:numFmt w:val="decimal"/>
      <w:start w:val="21"/>
    </w:lvl>
  </w:abstractNum>
  <w:abstractNum w:abstractNumId="149">
    <w:nsid w:val="424479DA"/>
    <w:multiLevelType w:val="hybridMultilevel"/>
    <w:lvl w:ilvl="0">
      <w:lvlJc w:val="left"/>
      <w:lvlText w:val="%1."/>
      <w:numFmt w:val="decimal"/>
      <w:start w:val="22"/>
    </w:lvl>
  </w:abstractNum>
  <w:abstractNum w:abstractNumId="150">
    <w:nsid w:val="1A9A9E69"/>
    <w:multiLevelType w:val="hybridMultilevel"/>
    <w:lvl w:ilvl="0">
      <w:lvlJc w:val="left"/>
      <w:lvlText w:val="%1."/>
      <w:numFmt w:val="decimal"/>
      <w:start w:val="23"/>
    </w:lvl>
  </w:abstractNum>
  <w:abstractNum w:abstractNumId="151">
    <w:nsid w:val="475E256A"/>
    <w:multiLevelType w:val="hybridMultilevel"/>
    <w:lvl w:ilvl="0">
      <w:lvlJc w:val="left"/>
      <w:lvlText w:val="%1."/>
      <w:numFmt w:val="decimal"/>
      <w:start w:val="1"/>
    </w:lvl>
  </w:abstractNum>
  <w:abstractNum w:abstractNumId="152">
    <w:nsid w:val="368DB37E"/>
    <w:multiLevelType w:val="hybridMultilevel"/>
    <w:lvl w:ilvl="0">
      <w:lvlJc w:val="left"/>
      <w:lvlText w:val="%1."/>
      <w:numFmt w:val="lowerLetter"/>
      <w:start w:val="1"/>
    </w:lvl>
  </w:abstractNum>
  <w:abstractNum w:abstractNumId="153">
    <w:nsid w:val="6A3B714C"/>
    <w:multiLevelType w:val="hybridMultilevel"/>
    <w:lvl w:ilvl="0">
      <w:lvlJc w:val="left"/>
      <w:lvlText w:val="%1."/>
      <w:numFmt w:val="decimal"/>
      <w:start w:val="2"/>
    </w:lvl>
  </w:abstractNum>
  <w:abstractNum w:abstractNumId="154">
    <w:nsid w:val="327B517E"/>
    <w:multiLevelType w:val="hybridMultilevel"/>
    <w:lvl w:ilvl="0">
      <w:lvlJc w:val="left"/>
      <w:lvlText w:val="%1."/>
      <w:numFmt w:val="decimal"/>
      <w:start w:val="3"/>
    </w:lvl>
    <w:lvl w:ilvl="1">
      <w:lvlJc w:val="left"/>
      <w:lvlText w:val="%2."/>
      <w:numFmt w:val="decimal"/>
      <w:start w:val="4"/>
    </w:lvl>
  </w:abstractNum>
  <w:abstractNum w:abstractNumId="155">
    <w:nsid w:val="1F461B51"/>
    <w:multiLevelType w:val="hybridMultilevel"/>
    <w:lvl w:ilvl="0">
      <w:lvlJc w:val="left"/>
      <w:lvlText w:val="%1."/>
      <w:numFmt w:val="decimal"/>
      <w:start w:val="6"/>
    </w:lvl>
  </w:abstractNum>
  <w:abstractNum w:abstractNumId="156">
    <w:nsid w:val="29BACF25"/>
    <w:multiLevelType w:val="hybridMultilevel"/>
    <w:lvl w:ilvl="0">
      <w:lvlJc w:val="left"/>
      <w:lvlText w:val="%1."/>
      <w:numFmt w:val="decimal"/>
      <w:start w:val="9"/>
    </w:lvl>
  </w:abstractNum>
  <w:abstractNum w:abstractNumId="157">
    <w:nsid w:val="5D5BABB3"/>
    <w:multiLevelType w:val="hybridMultilevel"/>
    <w:lvl w:ilvl="0">
      <w:lvlJc w:val="left"/>
      <w:lvlText w:val="%1."/>
      <w:numFmt w:val="decimal"/>
      <w:start w:val="17"/>
    </w:lvl>
  </w:abstractNum>
  <w:abstractNum w:abstractNumId="158">
    <w:nsid w:val="51BF6B48"/>
    <w:multiLevelType w:val="hybridMultilevel"/>
    <w:lvl w:ilvl="0">
      <w:lvlJc w:val="left"/>
      <w:lvlText w:val="%1."/>
      <w:numFmt w:val="decimal"/>
      <w:start w:val="1"/>
    </w:lvl>
  </w:abstractNum>
  <w:abstractNum w:abstractNumId="159">
    <w:nsid w:val="7E0F6384"/>
    <w:multiLevelType w:val="hybridMultilevel"/>
    <w:lvl w:ilvl="0">
      <w:lvlJc w:val="left"/>
      <w:lvlText w:val="%1."/>
      <w:numFmt w:val="decimal"/>
      <w:start w:val="2"/>
    </w:lvl>
  </w:abstractNum>
  <w:abstractNum w:abstractNumId="160">
    <w:nsid w:val="2B4B8B53"/>
    <w:multiLevelType w:val="hybridMultilevel"/>
    <w:lvl w:ilvl="0">
      <w:lvlJc w:val="left"/>
      <w:lvlText w:val="(%1)"/>
      <w:numFmt w:val="lowerLetter"/>
      <w:start w:val="1"/>
    </w:lvl>
  </w:abstractNum>
  <w:abstractNum w:abstractNumId="161">
    <w:nsid w:val="72E3413A"/>
    <w:multiLevelType w:val="hybridMultilevel"/>
    <w:lvl w:ilvl="0">
      <w:lvlJc w:val="left"/>
      <w:lvlText w:val="(%1)"/>
      <w:numFmt w:val="lowerLetter"/>
      <w:start w:val="3"/>
    </w:lvl>
  </w:abstractNum>
  <w:abstractNum w:abstractNumId="162">
    <w:nsid w:val="116AE494"/>
    <w:multiLevelType w:val="hybridMultilevel"/>
    <w:lvl w:ilvl="0">
      <w:lvlJc w:val="left"/>
      <w:lvlText w:val="%1."/>
      <w:numFmt w:val="decimal"/>
      <w:start w:val="3"/>
    </w:lvl>
  </w:abstractNum>
  <w:abstractNum w:abstractNumId="163">
    <w:nsid w:val="3494B2FB"/>
    <w:multiLevelType w:val="hybridMultilevel"/>
    <w:lvl w:ilvl="0">
      <w:lvlJc w:val="left"/>
      <w:lvlText w:val="%1."/>
      <w:numFmt w:val="decimal"/>
      <w:start w:val="4"/>
    </w:lvl>
  </w:abstractNum>
  <w:abstractNum w:abstractNumId="164">
    <w:nsid w:val="B13A31"/>
    <w:multiLevelType w:val="hybridMultilevel"/>
    <w:lvl w:ilvl="0">
      <w:lvlJc w:val="left"/>
      <w:lvlText w:val="%1."/>
      <w:numFmt w:val="decimal"/>
      <w:start w:val="5"/>
    </w:lvl>
  </w:abstractNum>
  <w:abstractNum w:abstractNumId="165">
    <w:nsid w:val="64429599"/>
    <w:multiLevelType w:val="hybridMultilevel"/>
    <w:lvl w:ilvl="0">
      <w:lvlJc w:val="left"/>
      <w:lvlText w:val="%1."/>
      <w:numFmt w:val="decimal"/>
      <w:start w:val="6"/>
    </w:lvl>
  </w:abstractNum>
  <w:abstractNum w:abstractNumId="166">
    <w:nsid w:val="631F1690"/>
    <w:multiLevelType w:val="hybridMultilevel"/>
    <w:lvl w:ilvl="0">
      <w:lvlJc w:val="left"/>
      <w:lvlText w:val="%1."/>
      <w:numFmt w:val="decimal"/>
      <w:start w:val="7"/>
    </w:lvl>
  </w:abstractNum>
  <w:abstractNum w:abstractNumId="167">
    <w:nsid w:val="25973E32"/>
    <w:multiLevelType w:val="hybridMultilevel"/>
    <w:lvl w:ilvl="0">
      <w:lvlJc w:val="left"/>
      <w:lvlText w:val="%1."/>
      <w:numFmt w:val="decimal"/>
      <w:start w:val="8"/>
    </w:lvl>
    <w:lvl w:ilvl="1">
      <w:lvlJc w:val="left"/>
      <w:lvlText w:val="(%2)"/>
      <w:numFmt w:val="lowerLetter"/>
      <w:start w:val="1"/>
    </w:lvl>
    <w:lvl w:ilvl="2">
      <w:lvlJc w:val="left"/>
      <w:lvlText w:val="(%3)"/>
      <w:numFmt w:val="lowerLetter"/>
      <w:start w:val="1"/>
    </w:lvl>
  </w:abstractNum>
  <w:abstractNum w:abstractNumId="168">
    <w:nsid w:val="EAD6F57"/>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lvl w:ilvl="3">
      <w:lvlJc w:val="left"/>
      <w:lvlText w:val="%4"/>
      <w:numFmt w:val="lowerRoman"/>
      <w:start w:val="1"/>
    </w:lvl>
  </w:abstractNum>
  <w:abstractNum w:abstractNumId="169">
    <w:nsid w:val="6EC9D844"/>
    <w:multiLevelType w:val="hybridMultilevel"/>
    <w:lvl w:ilvl="0">
      <w:lvlJc w:val="left"/>
      <w:lvlText w:val="%1."/>
      <w:numFmt w:val="decimal"/>
      <w:start w:val="9"/>
    </w:lvl>
    <w:lvl w:ilvl="1">
      <w:lvlJc w:val="left"/>
      <w:lvlText w:val="%2"/>
      <w:numFmt w:val="lowerLetter"/>
      <w:start w:val="1"/>
    </w:lvl>
    <w:lvl w:ilvl="2">
      <w:lvlJc w:val="left"/>
      <w:lvlText w:val="(%3)"/>
      <w:numFmt w:val="lowerLetter"/>
      <w:start w:val="1"/>
    </w:lvl>
    <w:lvl w:ilvl="3">
      <w:lvlJc w:val="left"/>
      <w:lvlText w:val="(%4)"/>
      <w:numFmt w:val="lowerRoman"/>
      <w:start w:val="1"/>
    </w:lvl>
  </w:abstractNum>
  <w:abstractNum w:abstractNumId="170">
    <w:nsid w:val="5C49EAEE"/>
    <w:multiLevelType w:val="hybridMultilevel"/>
    <w:lvl w:ilvl="0">
      <w:lvlJc w:val="left"/>
      <w:lvlText w:val="(%1)"/>
      <w:numFmt w:val="lowerRoman"/>
      <w:start w:val="3"/>
    </w:lvl>
  </w:abstractNum>
  <w:abstractNum w:abstractNumId="171">
    <w:nsid w:val="64AF49B"/>
    <w:multiLevelType w:val="hybridMultilevel"/>
    <w:lvl w:ilvl="0">
      <w:lvlJc w:val="left"/>
      <w:lvlText w:val="%1."/>
      <w:numFmt w:val="decimal"/>
      <w:start w:val="10"/>
    </w:lvl>
  </w:abstractNum>
  <w:abstractNum w:abstractNumId="172">
    <w:nsid w:val="397C46BC"/>
    <w:multiLevelType w:val="hybridMultilevel"/>
    <w:lvl w:ilvl="0">
      <w:lvlJc w:val="left"/>
      <w:lvlText w:val="(%1)"/>
      <w:numFmt w:val="lowerLetter"/>
      <w:start w:val="1"/>
    </w:lvl>
  </w:abstractNum>
  <w:abstractNum w:abstractNumId="173">
    <w:nsid w:val="7E448DE9"/>
    <w:multiLevelType w:val="hybridMultilevel"/>
    <w:lvl w:ilvl="0">
      <w:lvlJc w:val="left"/>
      <w:lvlText w:val="(%1)"/>
      <w:numFmt w:val="lowerLetter"/>
      <w:start w:val="2"/>
    </w:lvl>
    <w:lvl w:ilvl="1">
      <w:lvlJc w:val="left"/>
      <w:lvlText w:val="(%2)"/>
      <w:numFmt w:val="lowerRoman"/>
      <w:start w:val="3"/>
    </w:lvl>
    <w:lvl w:ilvl="2">
      <w:lvlJc w:val="left"/>
      <w:lvlText w:val="(%3)"/>
      <w:numFmt w:val="lowerRoman"/>
      <w:start w:val="1"/>
    </w:lvl>
  </w:abstractNum>
  <w:abstractNum w:abstractNumId="174">
    <w:nsid w:val="5A9CC3E5"/>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5"/>
    </w:lvl>
  </w:abstractNum>
  <w:abstractNum w:abstractNumId="175">
    <w:nsid w:val="1AFE3625"/>
    <w:multiLevelType w:val="hybridMultilevel"/>
    <w:lvl w:ilvl="0">
      <w:lvlJc w:val="left"/>
      <w:lvlText w:val="(%1)"/>
      <w:numFmt w:val="lowerRoman"/>
      <w:start w:val="6"/>
    </w:lvl>
  </w:abstractNum>
  <w:abstractNum w:abstractNumId="176">
    <w:nsid w:val="3CA88ECF"/>
    <w:multiLevelType w:val="hybridMultilevel"/>
    <w:lvl w:ilvl="0">
      <w:lvlJc w:val="left"/>
      <w:lvlText w:val="(%1)"/>
      <w:numFmt w:val="lowerRoman"/>
      <w:start w:val="1"/>
    </w:lvl>
  </w:abstractNum>
  <w:abstractNum w:abstractNumId="177">
    <w:nsid w:val="6EBE4208"/>
    <w:multiLevelType w:val="hybridMultilevel"/>
    <w:lvl w:ilvl="0">
      <w:lvlJc w:val="left"/>
      <w:lvlText w:val="(%1)"/>
      <w:numFmt w:val="lowerRoman"/>
      <w:start w:val="2"/>
    </w:lvl>
  </w:abstractNum>
  <w:abstractNum w:abstractNumId="178">
    <w:nsid w:val="C058DF5"/>
    <w:multiLevelType w:val="hybridMultilevel"/>
    <w:lvl w:ilvl="0">
      <w:lvlJc w:val="left"/>
      <w:lvlText w:val="%1."/>
      <w:numFmt w:val="decimal"/>
      <w:start w:val="11"/>
    </w:lvl>
  </w:abstractNum>
  <w:abstractNum w:abstractNumId="179">
    <w:nsid w:val="CBE5BE9"/>
    <w:multiLevelType w:val="hybridMultilevel"/>
    <w:lvl w:ilvl="0">
      <w:lvlJc w:val="left"/>
      <w:lvlText w:val="%1."/>
      <w:numFmt w:val="decimal"/>
      <w:start w:val="12"/>
    </w:lvl>
  </w:abstractNum>
  <w:abstractNum w:abstractNumId="180">
    <w:nsid w:val="3102BBE2"/>
    <w:multiLevelType w:val="hybridMultilevel"/>
    <w:lvl w:ilvl="0">
      <w:lvlJc w:val="left"/>
      <w:lvlText w:val="%1."/>
      <w:numFmt w:val="decimal"/>
      <w:start w:val="13"/>
    </w:lvl>
  </w:abstractNum>
  <w:abstractNum w:abstractNumId="181">
    <w:nsid w:val="26A02C5E"/>
    <w:multiLevelType w:val="hybridMultilevel"/>
    <w:lvl w:ilvl="0">
      <w:lvlJc w:val="left"/>
      <w:lvlText w:val="%1"/>
      <w:numFmt w:val="decimal"/>
      <w:start w:val="1"/>
    </w:lvl>
    <w:lvl w:ilvl="1">
      <w:lvlJc w:val="left"/>
      <w:lvlText w:val="(%2)"/>
      <w:numFmt w:val="decimal"/>
      <w:start w:val="6"/>
    </w:lvl>
  </w:abstractNum>
  <w:abstractNum w:abstractNumId="182">
    <w:nsid w:val="541C8153"/>
    <w:multiLevelType w:val="hybridMultilevel"/>
    <w:lvl w:ilvl="0">
      <w:lvlJc w:val="left"/>
      <w:lvlText w:val="%1."/>
      <w:numFmt w:val="decimal"/>
      <w:start w:val="14"/>
    </w:lvl>
    <w:lvl w:ilvl="1">
      <w:lvlJc w:val="left"/>
      <w:lvlText w:val="%2"/>
      <w:numFmt w:val="decimal"/>
      <w:start w:val="1"/>
    </w:lvl>
  </w:abstractNum>
  <w:abstractNum w:abstractNumId="183">
    <w:nsid w:val="67906F60"/>
    <w:multiLevelType w:val="hybridMultilevel"/>
    <w:lvl w:ilvl="0">
      <w:lvlJc w:val="left"/>
      <w:lvlText w:val="%1."/>
      <w:numFmt w:val="decimal"/>
      <w:start w:val="15"/>
    </w:lvl>
  </w:abstractNum>
  <w:abstractNum w:abstractNumId="184">
    <w:nsid w:val="10DB9DAA"/>
    <w:multiLevelType w:val="hybridMultilevel"/>
    <w:lvl w:ilvl="0">
      <w:lvlJc w:val="left"/>
      <w:lvlText w:val="%1."/>
      <w:numFmt w:val="decimal"/>
      <w:start w:val="16"/>
    </w:lvl>
  </w:abstractNum>
  <w:abstractNum w:abstractNumId="185">
    <w:nsid w:val="697D2D2"/>
    <w:multiLevelType w:val="hybridMultilevel"/>
    <w:lvl w:ilvl="0">
      <w:lvlJc w:val="left"/>
      <w:lvlText w:val="%1."/>
      <w:numFmt w:val="decimal"/>
      <w:start w:val="17"/>
    </w:lvl>
  </w:abstractNum>
  <w:abstractNum w:abstractNumId="186">
    <w:nsid w:val="6D68AB2"/>
    <w:multiLevelType w:val="hybridMultilevel"/>
    <w:lvl w:ilvl="0">
      <w:lvlJc w:val="left"/>
      <w:lvlText w:val="%1."/>
      <w:numFmt w:val="decimal"/>
      <w:start w:val="18"/>
    </w:lvl>
  </w:abstractNum>
  <w:abstractNum w:abstractNumId="187">
    <w:nsid w:val="3A966CD0"/>
    <w:multiLevelType w:val="hybridMultilevel"/>
    <w:lvl w:ilvl="0">
      <w:lvlJc w:val="left"/>
      <w:lvlText w:val="%1."/>
      <w:numFmt w:val="decimal"/>
      <w:start w:val="19"/>
    </w:lvl>
  </w:abstractNum>
  <w:abstractNum w:abstractNumId="188">
    <w:nsid w:val="63F37E85"/>
    <w:multiLevelType w:val="hybridMultilevel"/>
    <w:lvl w:ilvl="0">
      <w:lvlJc w:val="left"/>
      <w:lvlText w:val="%1."/>
      <w:numFmt w:val="decimal"/>
      <w:start w:val="21"/>
    </w:lvl>
  </w:abstractNum>
  <w:abstractNum w:abstractNumId="189">
    <w:nsid w:val="5895F5FA"/>
    <w:multiLevelType w:val="hybridMultilevel"/>
    <w:lvl w:ilvl="0">
      <w:lvlJc w:val="left"/>
      <w:lvlText w:val="%1."/>
      <w:numFmt w:val="decimal"/>
      <w:start w:val="22"/>
    </w:lvl>
  </w:abstractNum>
  <w:abstractNum w:abstractNumId="190">
    <w:nsid w:val="38A5D054"/>
    <w:multiLevelType w:val="hybridMultilevel"/>
    <w:lvl w:ilvl="0">
      <w:lvlJc w:val="left"/>
      <w:lvlText w:val="%1."/>
      <w:numFmt w:val="decimal"/>
      <w:start w:val="23"/>
    </w:lvl>
  </w:abstractNum>
  <w:abstractNum w:abstractNumId="191">
    <w:nsid w:val="F3F09D8"/>
    <w:multiLevelType w:val="hybridMultilevel"/>
    <w:lvl w:ilvl="0">
      <w:lvlJc w:val="left"/>
      <w:lvlText w:val="%1"/>
      <w:numFmt w:val="lowerRoman"/>
      <w:start w:val="1"/>
    </w:lvl>
    <w:lvl w:ilvl="1">
      <w:lvlJc w:val="left"/>
      <w:lvlText w:val="%2."/>
      <w:numFmt w:val="decimal"/>
      <w:start w:val="1"/>
    </w:lvl>
  </w:abstractNum>
  <w:abstractNum w:abstractNumId="192">
    <w:nsid w:val="4B793735"/>
    <w:multiLevelType w:val="hybridMultilevel"/>
    <w:lvl w:ilvl="0">
      <w:lvlJc w:val="left"/>
      <w:lvlText w:val="(%1)"/>
      <w:numFmt w:val="lowerRoman"/>
      <w:start w:val="2"/>
    </w:lvl>
    <w:lvl w:ilvl="1">
      <w:lvlJc w:val="left"/>
      <w:lvlText w:val="%2"/>
      <w:numFmt w:val="decimal"/>
      <w:start w:val="1"/>
    </w:lvl>
  </w:abstractNum>
  <w:abstractNum w:abstractNumId="193">
    <w:nsid w:val="4A10B4E8"/>
    <w:multiLevelType w:val="hybridMultilevel"/>
    <w:lvl w:ilvl="0">
      <w:lvlJc w:val="left"/>
      <w:lvlText w:val="%1."/>
      <w:numFmt w:val="lowerLetter"/>
      <w:start w:val="1"/>
    </w:lvl>
  </w:abstractNum>
  <w:abstractNum w:abstractNumId="194">
    <w:nsid w:val="43D3BCD4"/>
    <w:multiLevelType w:val="hybridMultilevel"/>
    <w:lvl w:ilvl="0">
      <w:lvlJc w:val="left"/>
      <w:lvlText w:val="%1"/>
      <w:numFmt w:val="decimal"/>
      <w:start w:val="1"/>
    </w:lvl>
    <w:lvl w:ilvl="1">
      <w:lvlJc w:val="left"/>
      <w:lvlText w:val="%2."/>
      <w:numFmt w:val="decimal"/>
      <w:start w:val="2"/>
    </w:lvl>
  </w:abstractNum>
  <w:abstractNum w:abstractNumId="195">
    <w:nsid w:val="4C2A7166"/>
    <w:multiLevelType w:val="hybridMultilevel"/>
    <w:lvl w:ilvl="0">
      <w:lvlJc w:val="left"/>
      <w:lvlText w:val="%1."/>
      <w:numFmt w:val="decimal"/>
      <w:start w:val="3"/>
    </w:lvl>
    <w:lvl w:ilvl="1">
      <w:lvlJc w:val="left"/>
      <w:lvlText w:val="%2."/>
      <w:numFmt w:val="decimal"/>
      <w:start w:val="4"/>
    </w:lvl>
  </w:abstractNum>
  <w:abstractNum w:abstractNumId="196">
    <w:nsid w:val="2E534A82"/>
    <w:multiLevelType w:val="hybridMultilevel"/>
    <w:lvl w:ilvl="0">
      <w:lvlJc w:val="left"/>
      <w:lvlText w:val="%1"/>
      <w:numFmt w:val="decimal"/>
      <w:start w:val="1"/>
    </w:lvl>
    <w:lvl w:ilvl="1">
      <w:lvlJc w:val="left"/>
      <w:lvlText w:val="%2."/>
      <w:numFmt w:val="decimal"/>
      <w:start w:val="6"/>
    </w:lvl>
  </w:abstractNum>
  <w:abstractNum w:abstractNumId="197">
    <w:nsid w:val="26F2D364"/>
    <w:multiLevelType w:val="hybridMultilevel"/>
    <w:lvl w:ilvl="0">
      <w:lvlJc w:val="left"/>
      <w:lvlText w:val="%1."/>
      <w:numFmt w:val="decimal"/>
      <w:start w:val="8"/>
    </w:lvl>
    <w:lvl w:ilvl="1">
      <w:lvlJc w:val="left"/>
      <w:lvlText w:val="%2."/>
      <w:numFmt w:val="decimal"/>
      <w:start w:val="13"/>
    </w:lvl>
  </w:abstractNum>
  <w:abstractNum w:abstractNumId="198">
    <w:nsid w:val="71C1AF98"/>
    <w:multiLevelType w:val="hybridMultilevel"/>
    <w:lvl w:ilvl="0">
      <w:lvlJc w:val="left"/>
      <w:lvlText w:val="%1."/>
      <w:numFmt w:val="decimal"/>
      <w:start w:val="14"/>
    </w:lvl>
    <w:lvl w:ilvl="1">
      <w:lvlJc w:val="left"/>
      <w:lvlText w:val="%2."/>
      <w:numFmt w:val="decimal"/>
      <w:start w:val="15"/>
    </w:lvl>
  </w:abstractNum>
  <w:abstractNum w:abstractNumId="199">
    <w:nsid w:val="3D00B9D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Roman"/>
      <w:start w:val="2"/>
    </w:lvl>
  </w:abstractNum>
  <w:abstractNum w:abstractNumId="200">
    <w:nsid w:val="15BCABA8"/>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201">
    <w:nsid w:val="4E0B9A87"/>
    <w:multiLevelType w:val="hybridMultilevel"/>
    <w:lvl w:ilvl="0">
      <w:lvlJc w:val="left"/>
      <w:lvlText w:val="%1."/>
      <w:numFmt w:val="decimal"/>
      <w:start w:val="4"/>
    </w:lvl>
  </w:abstractNum>
  <w:abstractNum w:abstractNumId="202">
    <w:nsid w:val="434BAE75"/>
    <w:multiLevelType w:val="hybridMultilevel"/>
    <w:lvl w:ilvl="0">
      <w:lvlJc w:val="left"/>
      <w:lvlText w:val="*"/>
      <w:numFmt w:val="bullet"/>
      <w:start w:val="1"/>
    </w:lvl>
  </w:abstractNum>
  <w:abstractNum w:abstractNumId="203">
    <w:nsid w:val="4F38F265"/>
    <w:multiLevelType w:val="hybridMultilevel"/>
    <w:lvl w:ilvl="0">
      <w:lvlJc w:val="left"/>
      <w:lvlText w:val="%1."/>
      <w:numFmt w:val="decimal"/>
      <w:start w:val="1"/>
    </w:lvl>
    <w:lvl w:ilvl="1">
      <w:lvlJc w:val="left"/>
      <w:lvlText w:val="%2)"/>
      <w:numFmt w:val="lowerLetter"/>
      <w:start w:val="1"/>
    </w:lvl>
  </w:abstractNum>
  <w:abstractNum w:abstractNumId="204">
    <w:nsid w:val="4C502870"/>
    <w:multiLevelType w:val="hybridMultilevel"/>
    <w:lvl w:ilvl="0">
      <w:lvlJc w:val="left"/>
      <w:lvlText w:val="%1."/>
      <w:numFmt w:val="decimal"/>
      <w:start w:val="1"/>
    </w:lvl>
    <w:lvl w:ilvl="1">
      <w:lvlJc w:val="left"/>
      <w:lvlText w:val="%2)"/>
      <w:numFmt w:val="lowerLetter"/>
      <w:start w:val="1"/>
    </w:lvl>
  </w:abstractNum>
  <w:abstractNum w:abstractNumId="205">
    <w:nsid w:val="1DE8725A"/>
    <w:multiLevelType w:val="hybridMultilevel"/>
    <w:lvl w:ilvl="0">
      <w:lvlJc w:val="left"/>
      <w:lvlText w:val="(%1)"/>
      <w:numFmt w:val="decimal"/>
      <w:start w:val="1"/>
    </w:lvl>
  </w:abstractNum>
  <w:abstractNum w:abstractNumId="206">
    <w:nsid w:val="6A37288A"/>
    <w:multiLevelType w:val="hybridMultilevel"/>
    <w:lvl w:ilvl="0">
      <w:lvlJc w:val="left"/>
      <w:lvlText w:val="(%1)"/>
      <w:numFmt w:val="decimal"/>
      <w:start w:val="1"/>
    </w:lvl>
  </w:abstractNum>
  <w:abstractNum w:abstractNumId="207">
    <w:nsid w:val="8F8B73F"/>
    <w:multiLevelType w:val="hybridMultilevel"/>
    <w:lvl w:ilvl="0">
      <w:lvlJc w:val="left"/>
      <w:lvlText w:val="•"/>
      <w:numFmt w:val="bullet"/>
      <w:start w:val="1"/>
    </w:lvl>
  </w:abstractNum>
  <w:abstractNum w:abstractNumId="208">
    <w:nsid w:val="CA6B46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109" Type="http://schemas.openxmlformats.org/officeDocument/2006/relationships/image" Target="media/image48.png"/><Relationship Id="rId110" Type="http://schemas.openxmlformats.org/officeDocument/2006/relationships/image" Target="media/image49.png"/><Relationship Id="rId111" Type="http://schemas.openxmlformats.org/officeDocument/2006/relationships/image" Target="media/image50.png"/><Relationship Id="rId112" Type="http://schemas.openxmlformats.org/officeDocument/2006/relationships/image" Target="media/image51.png"/><Relationship Id="rId113" Type="http://schemas.openxmlformats.org/officeDocument/2006/relationships/image" Target="media/image52.png"/><Relationship Id="rId114" Type="http://schemas.openxmlformats.org/officeDocument/2006/relationships/image" Target="media/image53.png"/><Relationship Id="rId115" Type="http://schemas.openxmlformats.org/officeDocument/2006/relationships/image" Target="media/image54.png"/><Relationship Id="rId116" Type="http://schemas.openxmlformats.org/officeDocument/2006/relationships/image" Target="media/image55.png"/><Relationship Id="rId117" Type="http://schemas.openxmlformats.org/officeDocument/2006/relationships/image" Target="media/image56.png"/><Relationship Id="rId118" Type="http://schemas.openxmlformats.org/officeDocument/2006/relationships/image" Target="media/image57.png"/><Relationship Id="rId55" Type="http://schemas.openxmlformats.org/officeDocument/2006/relationships/hyperlink" Target="http://www.sec.gov/Archives/edgar/data/1130464/000113046415000133/ex21purchaseandsaleagr.htm" TargetMode="External"/><Relationship Id="rId56" Type="http://schemas.openxmlformats.org/officeDocument/2006/relationships/hyperlink" Target="http://www.sec.gov/Archives/edgar/data/1130464/000113046416000176/bkhex-221stamdpurchasesale.htm" TargetMode="External"/><Relationship Id="rId57" Type="http://schemas.openxmlformats.org/officeDocument/2006/relationships/hyperlink" Target="http://www.sec.gov/Archives/edgar/data/1130464/000113046415000133/ex22optionagreement.htm" TargetMode="External"/><Relationship Id="rId58" Type="http://schemas.openxmlformats.org/officeDocument/2006/relationships/hyperlink" Target="http://www.sec.gov/Archives/edgar/data/1130464/000113046418000007/bhcamendedarticles.htm" TargetMode="External"/><Relationship Id="rId59" Type="http://schemas.openxmlformats.org/officeDocument/2006/relationships/hyperlink" Target="http://www.sec.gov/Archives/edgar/data/1130464/000113046417000016/bkhexh3-amdrestatedbylawso.htm" TargetMode="External"/><Relationship Id="rId60" Type="http://schemas.openxmlformats.org/officeDocument/2006/relationships/hyperlink" Target="http://www.sec.gov/Archives/edgar/data/1130464/000113046403000214/ex4-1_10q603.htm" TargetMode="External"/><Relationship Id="rId61" Type="http://schemas.openxmlformats.org/officeDocument/2006/relationships/hyperlink" Target="http://www.sec.gov/Archives/edgar/data/1130464/000113046403000214/ex4-2_10q603.htm" TargetMode="External"/><Relationship Id="rId62" Type="http://schemas.openxmlformats.org/officeDocument/2006/relationships/hyperlink" Target="http://www.sec.gov/Archives/edgar/data/1130464/000110465909032244/a09-13238_3ex4.htm" TargetMode="External"/><Relationship Id="rId63" Type="http://schemas.openxmlformats.org/officeDocument/2006/relationships/hyperlink" Target="http://www.sec.gov/Archives/edgar/data/1130464/000110465910038202/a10-11184_5ex4.htm" TargetMode="External"/><Relationship Id="rId64" Type="http://schemas.openxmlformats.org/officeDocument/2006/relationships/hyperlink" Target="http://www.sec.gov/Archives/edgar/data/1130464/000110465913085420/a13-24110_4ex4.htm" TargetMode="External"/><Relationship Id="rId65" Type="http://schemas.openxmlformats.org/officeDocument/2006/relationships/hyperlink" Target="http://www.sec.gov/Archives/edgar/data/1130464/000110465916089656/a16-1059_4ex4d1.htm" TargetMode="External"/><Relationship Id="rId66" Type="http://schemas.openxmlformats.org/officeDocument/2006/relationships/hyperlink" Target="http://www.sec.gov/Archives/edgar/data/1130464/000110465916140657/a16-17027_1ex4d1.htm" TargetMode="External"/><Relationship Id="rId67" Type="http://schemas.openxmlformats.org/officeDocument/2006/relationships/hyperlink" Target="http://www.sec.gov/Archives/edgar/data/1130464/000110465918052602/a18-18564_4ex4d2.htm" TargetMode="External"/><Relationship Id="rId68" Type="http://schemas.openxmlformats.org/officeDocument/2006/relationships/hyperlink" Target="http://www.sec.gov/Archives/edgar/data/1130464/000141057819001533/tv530573_ex4-1.htm" TargetMode="External"/><Relationship Id="rId69" Type="http://schemas.openxmlformats.org/officeDocument/2006/relationships/hyperlink" Target="http://www.sec.gov/Archives/edgar/data/12400/000104746909009108/a2195001zex-4_19.htm" TargetMode="External"/><Relationship Id="rId70" Type="http://schemas.openxmlformats.org/officeDocument/2006/relationships/hyperlink" Target="http://www.sec.gov/Archives/edgar/data/12400/000104746909009108/a2195001zex-4_20.htm" TargetMode="External"/><Relationship Id="rId71" Type="http://schemas.openxmlformats.org/officeDocument/2006/relationships/hyperlink" Target="http://www.sec.gov/Archives/edgar/data/12400/000110465909060487/a09-31821_7ex4d21.htm" TargetMode="External"/><Relationship Id="rId72" Type="http://schemas.openxmlformats.org/officeDocument/2006/relationships/hyperlink" Target="http://www.sec.gov/Archives/edgar/data/12400/000113046414000164/ex_10-1thirdsuppindentureb.htm" TargetMode="External"/><Relationship Id="rId73" Type="http://schemas.openxmlformats.org/officeDocument/2006/relationships/hyperlink" Target="http://www.sec.gov/Archives/edgar/data/12400/000113046414000164/ex_10-2restatedindenture.htm" TargetMode="External"/><Relationship Id="rId74" Type="http://schemas.openxmlformats.org/officeDocument/2006/relationships/hyperlink" Target="http://www.sec.gov/Archives/edgar/data/12400/000113046414000164/ex_10-3clfpfirstsupplement.htm" TargetMode="External"/><Relationship Id="rId75" Type="http://schemas.openxmlformats.org/officeDocument/2006/relationships/hyperlink" Target="http://www.sec.gov/Archives/edgar/data/12400/000113046414000164/ex_10-4clfpsupplementalind.htm" TargetMode="External"/><Relationship Id="rId76" Type="http://schemas.openxmlformats.org/officeDocument/2006/relationships/hyperlink" Target="http://www.sec.gov/Archives/edgar/data/1130464/000001240001000024/0000012400-01-000024-0002.txt" TargetMode="External"/><Relationship Id="rId77" Type="http://schemas.openxmlformats.org/officeDocument/2006/relationships/hyperlink" Target="http://www.sec.gov/Archives/edgar/data/1130464/000113046402000010/ex10_11.txt" TargetMode="External"/><Relationship Id="rId78" Type="http://schemas.openxmlformats.org/officeDocument/2006/relationships/hyperlink" Target="http://www.sec.gov/Archives/edgar/data/1130464/000113046403000054/ex_amendpension10k.htm" TargetMode="External"/><Relationship Id="rId79" Type="http://schemas.openxmlformats.org/officeDocument/2006/relationships/hyperlink" Target="http://www.sec.gov/Archives/edgar/data/1130464/000113046409000099/ex10-2_pepamendment.htm" TargetMode="External"/><Relationship Id="rId80" Type="http://schemas.openxmlformats.org/officeDocument/2006/relationships/hyperlink" Target="http://www.sec.gov/Archives/edgar/data/1130464/000113046409000099/ex10-3_2005pepplan.htm" TargetMode="External"/><Relationship Id="rId81" Type="http://schemas.openxmlformats.org/officeDocument/2006/relationships/hyperlink" Target="http://www.sec.gov/Archives/edgar/data/1130464/000113046409000099/ex10-5_restorationplan.htm" TargetMode="External"/><Relationship Id="rId82" Type="http://schemas.openxmlformats.org/officeDocument/2006/relationships/hyperlink" Target="http://www.sec.gov/Archives/edgar/data/1130464/000113046411000066/exhibit102.htm" TargetMode="External"/><Relationship Id="rId83" Type="http://schemas.openxmlformats.org/officeDocument/2006/relationships/hyperlink" Target="http://www.sec.gov/Archives/edgar/data/1130464/000113046411000027/exhibit104.htm" TargetMode="External"/><Relationship Id="rId84" Type="http://schemas.openxmlformats.org/officeDocument/2006/relationships/hyperlink" Target="http://www.sec.gov/Archives/edgar/data/1130464/000113046419000012/bkhex-105firstamendmentton.htm" TargetMode="External"/><Relationship Id="rId85" Type="http://schemas.openxmlformats.org/officeDocument/2006/relationships/hyperlink" Target="http://www.sec.gov/Archives/edgar/data/1130464/000113046419000012/bkhex-106bhcpostx2018nqdcp.htm" TargetMode="External"/><Relationship Id="rId86" Type="http://schemas.openxmlformats.org/officeDocument/2006/relationships/hyperlink" Target="http://www.sec.gov/Archives/edgar/data/1130464/000110465905016238/a05-6134_1def14a.htm" TargetMode="External"/><Relationship Id="rId87" Type="http://schemas.openxmlformats.org/officeDocument/2006/relationships/hyperlink" Target="http://www.sec.gov/Archives/edgar/data/1130464/000113046409000099/ex10-11_2005omnibusplanamend.htm" TargetMode="External"/><Relationship Id="rId88" Type="http://schemas.openxmlformats.org/officeDocument/2006/relationships/hyperlink" Target="http://www.sec.gov/Archives/edgar/data/1130464/000113046410000055/ex10_omnibusplan-2ndamend.htm" TargetMode="External"/><Relationship Id="rId89" Type="http://schemas.openxmlformats.org/officeDocument/2006/relationships/hyperlink" Target="http://www.sec.gov/Archives/edgar/data/1130464/000113046415000110/blackhillscorporation2014.htm" TargetMode="External"/><Relationship Id="rId90" Type="http://schemas.openxmlformats.org/officeDocument/2006/relationships/hyperlink" Target="http://www.sec.gov/Archives/edgar/data/1130464/000113046414000056/bkhex-107122013.htm" TargetMode="External"/><Relationship Id="rId91" Type="http://schemas.openxmlformats.org/officeDocument/2006/relationships/hyperlink" Target="http://www.sec.gov/Archives/edgar/data/1130464/000113046416000176/bkhex-108stockoptionawarda.htm" TargetMode="External"/><Relationship Id="rId92" Type="http://schemas.openxmlformats.org/officeDocument/2006/relationships/hyperlink" Target="http://www.sec.gov/Archives/edgar/data/1130464/000113046416000176/bkhex-1010formofrestricted.htm" TargetMode="External"/><Relationship Id="rId93" Type="http://schemas.openxmlformats.org/officeDocument/2006/relationships/hyperlink" Target="http://www.sec.gov/Archives/edgar/data/1130464/000113046416000176/bkhex-1012formofrestricted.htm" TargetMode="External"/><Relationship Id="rId94" Type="http://schemas.openxmlformats.org/officeDocument/2006/relationships/hyperlink" Target="http://www.sec.gov/Archives/edgar/data/1130464/000113046416000199/bkhex-106pspawardagr2015om.htm" TargetMode="External"/><Relationship Id="rId95" Type="http://schemas.openxmlformats.org/officeDocument/2006/relationships/hyperlink" Target="http://www.sec.gov/Archives/edgar/data/1130464/000113046416000199/bkhex-107formofstipawardag.htm" TargetMode="External"/><Relationship Id="rId96" Type="http://schemas.openxmlformats.org/officeDocument/2006/relationships/hyperlink" Target="http://www.sec.gov/Archives/edgar/data/1130464/000113046404000296/ex10-5sep3_8k.htm" TargetMode="External"/><Relationship Id="rId97" Type="http://schemas.openxmlformats.org/officeDocument/2006/relationships/hyperlink" Target="http://www.sec.gov/Archives/edgar/data/1130464/000113046409000099/ex10-23_directorcompplan.htm" TargetMode="External"/><Relationship Id="rId98" Type="http://schemas.openxmlformats.org/officeDocument/2006/relationships/hyperlink" Target="http://www.sec.gov/Archives/edgar/data/1130464/000113046411000027/exhibit1016.htm" TargetMode="External"/><Relationship Id="rId99" Type="http://schemas.openxmlformats.org/officeDocument/2006/relationships/hyperlink" Target="http://www.sec.gov/Archives/edgar/data/1130464/000113046413000071/bkhex-1015122012.htm" TargetMode="External"/><Relationship Id="rId100" Type="http://schemas.openxmlformats.org/officeDocument/2006/relationships/hyperlink" Target="http://www.sec.gov/Archives/edgar/data/1130464/000113046415000083/bkhex-1016122014.htm" TargetMode="External"/><Relationship Id="rId101" Type="http://schemas.openxmlformats.org/officeDocument/2006/relationships/hyperlink" Target="http://www.sec.gov/Archives/edgar/data/1130464/000113046416000217/bkhex-104q32016fourthamddi.htm" TargetMode="External"/><Relationship Id="rId102" Type="http://schemas.openxmlformats.org/officeDocument/2006/relationships/hyperlink" Target="http://www.sec.gov/Archives/edgar/data/1130464/000113046418000014/bkhex-1016directorcompplan.htm" TargetMode="External"/><Relationship Id="rId103" Type="http://schemas.openxmlformats.org/officeDocument/2006/relationships/hyperlink" Target="http://www.sec.gov/Archives/edgar/data/1130464/000113046419000012/bkhex1018bodoutsidedircomp.htm" TargetMode="External"/><Relationship Id="rId104" Type="http://schemas.openxmlformats.org/officeDocument/2006/relationships/hyperlink" Target="http://www.sec.gov/Archives/edgar/data/1130464/000113046416000199/bkhex-108nonxdisclosureand.htm" TargetMode="External"/><Relationship Id="rId105" Type="http://schemas.openxmlformats.org/officeDocument/2006/relationships/hyperlink" Target="http://www.sec.gov/Archives/edgar/data/1130464/000110465917049625/a17-18806_4ex1d1.htm" TargetMode="External"/><Relationship Id="rId106" Type="http://schemas.openxmlformats.org/officeDocument/2006/relationships/hyperlink" Target="http://www.sec.gov/Archives/edgar/data/1130464/000110465918048322/a18-17931_1ex10d1.htm" TargetMode="External"/><Relationship Id="rId107" Type="http://schemas.openxmlformats.org/officeDocument/2006/relationships/hyperlink" Target="http://www.sec.gov/Archives/edgar/data/1130464/000110465918048322/a18-17931_1ex10d2.htm" TargetMode="External"/><Relationship Id="rId108" Type="http://schemas.openxmlformats.org/officeDocument/2006/relationships/hyperlink" Target="http://www.sec.gov/Archives/edgar/data/1130464/000113046419000025/exhibit101amendmentno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2020-02-14T15:11:34Z</dcterms:created>
  <dcterms:modified xsi:type="dcterms:W3CDTF">2020-02-14T15:11:34Z</dcterms:modified>
</cp:coreProperties>
</file>