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262" w:lineRule="exact"/>
        <w:rPr>
          <w:sz w:val="24"/>
          <w:szCs w:val="24"/>
          <w:color w:val="auto"/>
        </w:rPr>
      </w:pPr>
    </w:p>
    <w:p>
      <w:pPr>
        <w:jc w:val="center"/>
        <w:ind w:left="3780" w:right="1400" w:hanging="2379"/>
        <w:spacing w:after="0" w:line="256" w:lineRule="auto"/>
        <w:tabs>
          <w:tab w:leader="none" w:pos="15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5" w:lineRule="exact"/>
        <w:rPr>
          <w:sz w:val="24"/>
          <w:szCs w:val="24"/>
          <w:color w:val="auto"/>
        </w:rPr>
      </w:pPr>
    </w:p>
    <w:p>
      <w:pPr>
        <w:jc w:val="center"/>
        <w:ind w:left="3520" w:right="1400" w:hanging="2122"/>
        <w:spacing w:after="0" w:line="270" w:lineRule="auto"/>
        <w:tabs>
          <w:tab w:leader="none" w:pos="158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Incorporated in South Dakota IRS Identification Number 46-0458824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32" w:lineRule="exact"/>
        <w:rPr>
          <w:sz w:val="24"/>
          <w:szCs w:val="24"/>
          <w:color w:val="auto"/>
        </w:rPr>
      </w:pPr>
    </w:p>
    <w:p>
      <w:pPr>
        <w:jc w:val="both"/>
        <w:ind w:right="400"/>
        <w:spacing w:after="0" w:line="18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1" w:lineRule="exact"/>
        <w:rPr>
          <w:sz w:val="24"/>
          <w:szCs w:val="24"/>
          <w:color w:val="auto"/>
        </w:rPr>
      </w:pPr>
    </w:p>
    <w:p>
      <w:pPr>
        <w:ind w:right="420"/>
        <w:spacing w:after="0" w:line="20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40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Arial" w:cs="Arial" w:eastAsia="Arial" w:hAnsi="Arial"/>
                <w:sz w:val="16"/>
                <w:szCs w:val="16"/>
                <w:color w:val="auto"/>
              </w:rPr>
              <w:t>x</w:t>
            </w:r>
          </w:p>
        </w:tc>
        <w:tc>
          <w:tcPr>
            <w:tcW w:w="264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32"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320" w:space="720"/>
            <w:col w:w="1460" w:space="720"/>
            <w:col w:w="4020"/>
          </w:cols>
          <w:pgMar w:left="320" w:top="233"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600" w:space="720"/>
            <w:col w:w="3380"/>
          </w:cols>
          <w:pgMar w:left="320" w:top="233" w:right="339" w:bottom="1440" w:gutter="0" w:footer="0" w:header="0"/>
          <w:type w:val="continuous"/>
        </w:sectPr>
      </w:pP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ind w:left="3900"/>
              <w:spacing w:after="0"/>
              <w:rPr>
                <w:sz w:val="20"/>
                <w:szCs w:val="20"/>
                <w:color w:val="auto"/>
              </w:rPr>
            </w:pPr>
            <w:r>
              <w:rPr>
                <w:rFonts w:ascii="Arial" w:cs="Arial" w:eastAsia="Arial" w:hAnsi="Arial"/>
                <w:sz w:val="16"/>
                <w:szCs w:val="16"/>
                <w:color w:val="auto"/>
              </w:rPr>
              <w:t>Class</w:t>
            </w:r>
          </w:p>
        </w:tc>
        <w:tc>
          <w:tcPr>
            <w:tcW w:w="5400" w:type="dxa"/>
            <w:vAlign w:val="bottom"/>
          </w:tcPr>
          <w:p>
            <w:pPr>
              <w:ind w:left="280"/>
              <w:spacing w:after="0"/>
              <w:rPr>
                <w:sz w:val="20"/>
                <w:szCs w:val="20"/>
                <w:color w:val="auto"/>
              </w:rPr>
            </w:pPr>
            <w:r>
              <w:rPr>
                <w:rFonts w:ascii="Arial" w:cs="Arial" w:eastAsia="Arial" w:hAnsi="Arial"/>
                <w:sz w:val="16"/>
                <w:szCs w:val="16"/>
                <w:color w:val="auto"/>
              </w:rPr>
              <w:t>Outstanding at October 31, 2022</w:t>
            </w:r>
          </w:p>
        </w:tc>
      </w:tr>
      <w:tr>
        <w:trPr>
          <w:trHeight w:val="216"/>
        </w:trPr>
        <w:tc>
          <w:tcPr>
            <w:tcW w:w="5840" w:type="dxa"/>
            <w:vAlign w:val="bottom"/>
          </w:tcPr>
          <w:p>
            <w:pPr>
              <w:ind w:left="3260"/>
              <w:spacing w:after="0"/>
              <w:rPr>
                <w:sz w:val="20"/>
                <w:szCs w:val="20"/>
                <w:color w:val="auto"/>
              </w:rPr>
            </w:pPr>
            <w:r>
              <w:rPr>
                <w:rFonts w:ascii="Arial" w:cs="Arial" w:eastAsia="Arial" w:hAnsi="Arial"/>
                <w:sz w:val="16"/>
                <w:szCs w:val="16"/>
                <w:color w:val="auto"/>
              </w:rPr>
              <w:t>Common stock, $1.00 par value</w:t>
            </w:r>
          </w:p>
        </w:tc>
        <w:tc>
          <w:tcPr>
            <w:tcW w:w="5400" w:type="dxa"/>
            <w:vAlign w:val="bottom"/>
          </w:tcPr>
          <w:p>
            <w:pPr>
              <w:ind w:left="580"/>
              <w:spacing w:after="0"/>
              <w:rPr>
                <w:sz w:val="20"/>
                <w:szCs w:val="20"/>
                <w:color w:val="auto"/>
              </w:rPr>
            </w:pPr>
            <w:r>
              <w:rPr>
                <w:rFonts w:ascii="Arial" w:cs="Arial" w:eastAsia="Arial" w:hAnsi="Arial"/>
                <w:sz w:val="16"/>
                <w:szCs w:val="16"/>
                <w:color w:val="auto"/>
              </w:rPr>
              <w:t>65,078,259 shares</w:t>
            </w:r>
          </w:p>
        </w:tc>
      </w:tr>
      <w:tr>
        <w:trPr>
          <w:trHeight w:val="1008"/>
        </w:trPr>
        <w:tc>
          <w:tcPr>
            <w:tcW w:w="58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20" w:type="dxa"/>
            <w:vAlign w:val="bottom"/>
            <w:gridSpan w:val="8"/>
          </w:tcPr>
          <w:p>
            <w:pPr>
              <w:ind w:left="60"/>
              <w:spacing w:after="0"/>
              <w:rPr>
                <w:sz w:val="20"/>
                <w:szCs w:val="20"/>
                <w:color w:val="auto"/>
              </w:rPr>
            </w:pPr>
            <w:r>
              <w:rPr>
                <w:rFonts w:ascii="Arial" w:cs="Arial" w:eastAsia="Arial" w:hAnsi="Arial"/>
                <w:sz w:val="16"/>
                <w:szCs w:val="16"/>
                <w:b w:val="1"/>
                <w:bCs w:val="1"/>
                <w:color w:val="auto"/>
              </w:rPr>
              <w:t>TABLE OF CONTENTS</w:t>
            </w:r>
          </w:p>
        </w:tc>
        <w:tc>
          <w:tcPr>
            <w:tcW w:w="1500" w:type="dxa"/>
            <w:vAlign w:val="bottom"/>
            <w:gridSpan w:val="5"/>
            <w:vMerge w:val="restart"/>
          </w:tcPr>
          <w:p>
            <w:pPr>
              <w:ind w:left="5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9"/>
        </w:trPr>
        <w:tc>
          <w:tcPr>
            <w:tcW w:w="20" w:type="dxa"/>
            <w:vAlign w:val="bottom"/>
            <w:tcBorders>
              <w:bottom w:val="single" w:sz="8" w:color="CEFFE7"/>
            </w:tcBorders>
          </w:tcPr>
          <w:p>
            <w:pPr>
              <w:spacing w:after="0"/>
              <w:rPr>
                <w:sz w:val="18"/>
                <w:szCs w:val="18"/>
                <w:color w:val="auto"/>
              </w:rPr>
            </w:pPr>
          </w:p>
        </w:tc>
        <w:tc>
          <w:tcPr>
            <w:tcW w:w="20" w:type="dxa"/>
            <w:vAlign w:val="bottom"/>
            <w:tcBorders>
              <w:bottom w:val="single" w:sz="8" w:color="CEFFE7"/>
            </w:tcBorders>
          </w:tcPr>
          <w:p>
            <w:pPr>
              <w:spacing w:after="0"/>
              <w:rPr>
                <w:sz w:val="18"/>
                <w:szCs w:val="18"/>
                <w:color w:val="auto"/>
              </w:rPr>
            </w:pPr>
          </w:p>
        </w:tc>
        <w:tc>
          <w:tcPr>
            <w:tcW w:w="1400" w:type="dxa"/>
            <w:vAlign w:val="bottom"/>
            <w:tcBorders>
              <w:bottom w:val="single" w:sz="8" w:color="CEFFE7"/>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80" w:type="dxa"/>
            <w:vAlign w:val="bottom"/>
            <w:tcBorders>
              <w:bottom w:val="single" w:sz="8" w:color="CEFFE7"/>
            </w:tcBorders>
          </w:tcPr>
          <w:p>
            <w:pPr>
              <w:spacing w:after="0"/>
              <w:rPr>
                <w:sz w:val="18"/>
                <w:szCs w:val="18"/>
                <w:color w:val="auto"/>
              </w:rPr>
            </w:pPr>
          </w:p>
        </w:tc>
        <w:tc>
          <w:tcPr>
            <w:tcW w:w="460" w:type="dxa"/>
            <w:vAlign w:val="bottom"/>
            <w:tcBorders>
              <w:bottom w:val="single" w:sz="8" w:color="CEFFE7"/>
            </w:tcBorders>
          </w:tcPr>
          <w:p>
            <w:pPr>
              <w:spacing w:after="0"/>
              <w:rPr>
                <w:sz w:val="18"/>
                <w:szCs w:val="18"/>
                <w:color w:val="auto"/>
              </w:rPr>
            </w:pPr>
          </w:p>
        </w:tc>
        <w:tc>
          <w:tcPr>
            <w:tcW w:w="52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380" w:type="dxa"/>
            <w:vAlign w:val="bottom"/>
            <w:tcBorders>
              <w:bottom w:val="single" w:sz="8" w:color="CEFFE7"/>
            </w:tcBorders>
          </w:tcPr>
          <w:p>
            <w:pPr>
              <w:spacing w:after="0"/>
              <w:rPr>
                <w:sz w:val="18"/>
                <w:szCs w:val="18"/>
                <w:color w:val="auto"/>
              </w:rPr>
            </w:pPr>
          </w:p>
        </w:tc>
        <w:tc>
          <w:tcPr>
            <w:tcW w:w="3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180" w:type="dxa"/>
            <w:vAlign w:val="bottom"/>
            <w:tcBorders>
              <w:bottom w:val="single" w:sz="8" w:color="CEFFE7"/>
            </w:tcBorders>
          </w:tcPr>
          <w:p>
            <w:pPr>
              <w:spacing w:after="0"/>
              <w:rPr>
                <w:sz w:val="18"/>
                <w:szCs w:val="18"/>
                <w:color w:val="auto"/>
              </w:rPr>
            </w:pPr>
          </w:p>
        </w:tc>
        <w:tc>
          <w:tcPr>
            <w:tcW w:w="220" w:type="dxa"/>
            <w:vAlign w:val="bottom"/>
            <w:tcBorders>
              <w:bottom w:val="single" w:sz="8" w:color="CEFFE7"/>
            </w:tcBorders>
          </w:tcPr>
          <w:p>
            <w:pPr>
              <w:spacing w:after="0"/>
              <w:rPr>
                <w:sz w:val="18"/>
                <w:szCs w:val="18"/>
                <w:color w:val="auto"/>
              </w:rPr>
            </w:pPr>
          </w:p>
        </w:tc>
        <w:tc>
          <w:tcPr>
            <w:tcW w:w="20" w:type="dxa"/>
            <w:vAlign w:val="bottom"/>
            <w:tcBorders>
              <w:bottom w:val="single" w:sz="8" w:color="CEFFE7"/>
            </w:tcBorders>
          </w:tcPr>
          <w:p>
            <w:pPr>
              <w:spacing w:after="0"/>
              <w:rPr>
                <w:sz w:val="18"/>
                <w:szCs w:val="18"/>
                <w:color w:val="auto"/>
              </w:rPr>
            </w:pPr>
          </w:p>
        </w:tc>
        <w:tc>
          <w:tcPr>
            <w:tcW w:w="320" w:type="dxa"/>
            <w:vAlign w:val="bottom"/>
            <w:tcBorders>
              <w:bottom w:val="single" w:sz="8" w:color="CEFFE7"/>
            </w:tcBorders>
          </w:tcPr>
          <w:p>
            <w:pPr>
              <w:spacing w:after="0"/>
              <w:rPr>
                <w:sz w:val="18"/>
                <w:szCs w:val="18"/>
                <w:color w:val="auto"/>
              </w:rPr>
            </w:pPr>
          </w:p>
        </w:tc>
        <w:tc>
          <w:tcPr>
            <w:tcW w:w="140" w:type="dxa"/>
            <w:vAlign w:val="bottom"/>
            <w:tcBorders>
              <w:bottom w:val="single" w:sz="8" w:color="CEFFE7"/>
            </w:tcBorders>
          </w:tcPr>
          <w:p>
            <w:pPr>
              <w:spacing w:after="0"/>
              <w:rPr>
                <w:sz w:val="18"/>
                <w:szCs w:val="18"/>
                <w:color w:val="auto"/>
              </w:rPr>
            </w:pPr>
          </w:p>
        </w:tc>
        <w:tc>
          <w:tcPr>
            <w:tcW w:w="60" w:type="dxa"/>
            <w:vAlign w:val="bottom"/>
            <w:tcBorders>
              <w:bottom w:val="single" w:sz="8" w:color="CEFFE7"/>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80" w:type="dxa"/>
            <w:vAlign w:val="bottom"/>
            <w:tcBorders>
              <w:bottom w:val="single" w:sz="8" w:color="CEFFE7"/>
            </w:tcBorders>
          </w:tcPr>
          <w:p>
            <w:pPr>
              <w:spacing w:after="0"/>
              <w:rPr>
                <w:sz w:val="18"/>
                <w:szCs w:val="18"/>
                <w:color w:val="auto"/>
              </w:rPr>
            </w:pPr>
          </w:p>
        </w:tc>
        <w:tc>
          <w:tcPr>
            <w:tcW w:w="32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60" w:type="dxa"/>
            <w:vAlign w:val="bottom"/>
            <w:tcBorders>
              <w:bottom w:val="single" w:sz="8" w:color="CEFFE7"/>
            </w:tcBorders>
          </w:tcPr>
          <w:p>
            <w:pPr>
              <w:spacing w:after="0"/>
              <w:rPr>
                <w:sz w:val="18"/>
                <w:szCs w:val="18"/>
                <w:color w:val="auto"/>
              </w:rPr>
            </w:pPr>
          </w:p>
        </w:tc>
        <w:tc>
          <w:tcPr>
            <w:tcW w:w="600" w:type="dxa"/>
            <w:vAlign w:val="bottom"/>
            <w:tcBorders>
              <w:bottom w:val="single" w:sz="8" w:color="CEFFE7"/>
            </w:tcBorders>
          </w:tcPr>
          <w:p>
            <w:pPr>
              <w:spacing w:after="0"/>
              <w:rPr>
                <w:sz w:val="18"/>
                <w:szCs w:val="18"/>
                <w:color w:val="auto"/>
              </w:rPr>
            </w:pPr>
          </w:p>
        </w:tc>
        <w:tc>
          <w:tcPr>
            <w:tcW w:w="3520" w:type="dxa"/>
            <w:vAlign w:val="bottom"/>
            <w:tcBorders>
              <w:bottom w:val="single" w:sz="8" w:color="CEFFE7"/>
            </w:tcBorders>
          </w:tcPr>
          <w:p>
            <w:pPr>
              <w:spacing w:after="0"/>
              <w:rPr>
                <w:sz w:val="18"/>
                <w:szCs w:val="18"/>
                <w:color w:val="auto"/>
              </w:rPr>
            </w:pPr>
          </w:p>
        </w:tc>
        <w:tc>
          <w:tcPr>
            <w:tcW w:w="150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700" w:type="dxa"/>
            <w:vAlign w:val="bottom"/>
            <w:gridSpan w:val="28"/>
            <w:shd w:val="clear" w:color="auto" w:fill="CEFFE7"/>
          </w:tcPr>
          <w:p>
            <w:pPr>
              <w:ind w:left="20"/>
              <w:spacing w:after="0" w:line="170" w:lineRule="exact"/>
              <w:rPr>
                <w:sz w:val="20"/>
                <w:szCs w:val="20"/>
                <w:color w:val="auto"/>
              </w:rPr>
            </w:pPr>
            <w:r>
              <w:rPr>
                <w:rFonts w:ascii="Arial" w:cs="Arial" w:eastAsia="Arial" w:hAnsi="Arial"/>
                <w:sz w:val="16"/>
                <w:szCs w:val="16"/>
                <w:color w:val="0000FF"/>
              </w:rPr>
              <w:t>Glossary of Terms and Abbreviations</w:t>
            </w:r>
          </w:p>
        </w:tc>
        <w:tc>
          <w:tcPr>
            <w:tcW w:w="800" w:type="dxa"/>
            <w:vAlign w:val="bottom"/>
            <w:gridSpan w:val="3"/>
            <w:shd w:val="clear" w:color="auto" w:fill="CEFFE7"/>
          </w:tcPr>
          <w:p>
            <w:pPr>
              <w:jc w:val="center"/>
              <w:ind w:left="619"/>
              <w:spacing w:after="0" w:line="170" w:lineRule="exact"/>
              <w:rPr>
                <w:sz w:val="20"/>
                <w:szCs w:val="20"/>
                <w:color w:val="auto"/>
              </w:rPr>
            </w:pPr>
            <w:r>
              <w:rPr>
                <w:rFonts w:ascii="Arial" w:cs="Arial" w:eastAsia="Arial" w:hAnsi="Arial"/>
                <w:sz w:val="16"/>
                <w:szCs w:val="16"/>
                <w:color w:val="0000FF"/>
              </w:rPr>
              <w:t>4</w:t>
            </w:r>
          </w:p>
        </w:tc>
        <w:tc>
          <w:tcPr>
            <w:tcW w:w="40" w:type="dxa"/>
            <w:vAlign w:val="bottom"/>
            <w:shd w:val="clear" w:color="auto" w:fill="CEFFE7"/>
          </w:tcPr>
          <w:p>
            <w:pPr>
              <w:spacing w:after="0"/>
              <w:rPr>
                <w:sz w:val="16"/>
                <w:szCs w:val="16"/>
                <w:color w:val="auto"/>
              </w:rPr>
            </w:pPr>
          </w:p>
        </w:tc>
        <w:tc>
          <w:tcPr>
            <w:tcW w:w="66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EFFE7"/>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20" w:type="dxa"/>
            <w:vAlign w:val="bottom"/>
            <w:tcBorders>
              <w:top w:val="single" w:sz="8" w:color="0000FF"/>
            </w:tcBorders>
            <w:gridSpan w:val="6"/>
          </w:tcPr>
          <w:p>
            <w:pPr>
              <w:spacing w:after="0" w:line="175" w:lineRule="exact"/>
              <w:rPr>
                <w:sz w:val="20"/>
                <w:szCs w:val="20"/>
                <w:color w:val="auto"/>
              </w:rPr>
            </w:pPr>
            <w:r>
              <w:rPr>
                <w:rFonts w:ascii="Arial" w:cs="Arial" w:eastAsia="Arial" w:hAnsi="Arial"/>
                <w:sz w:val="16"/>
                <w:szCs w:val="16"/>
                <w:color w:val="0000FF"/>
              </w:rPr>
              <w:t>Forward-Looking Information</w:t>
            </w:r>
          </w:p>
        </w:tc>
        <w:tc>
          <w:tcPr>
            <w:tcW w:w="7040" w:type="dxa"/>
            <w:vAlign w:val="bottom"/>
            <w:tcBorders>
              <w:top w:val="single" w:sz="8" w:color="CEFFE7"/>
            </w:tcBorders>
            <w:gridSpan w:val="20"/>
          </w:tcPr>
          <w:p>
            <w:pPr>
              <w:spacing w:after="0"/>
              <w:rPr>
                <w:sz w:val="15"/>
                <w:szCs w:val="15"/>
                <w:color w:val="auto"/>
              </w:rPr>
            </w:pPr>
          </w:p>
        </w:tc>
        <w:tc>
          <w:tcPr>
            <w:tcW w:w="700" w:type="dxa"/>
            <w:vAlign w:val="bottom"/>
            <w:tcBorders>
              <w:top w:val="single" w:sz="8" w:color="CEFFE7"/>
            </w:tcBorders>
            <w:gridSpan w:val="2"/>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Arial" w:cs="Arial" w:eastAsia="Arial" w:hAnsi="Arial"/>
                <w:sz w:val="16"/>
                <w:szCs w:val="16"/>
                <w:color w:val="0000FF"/>
              </w:rPr>
              <w:t>7</w:t>
            </w:r>
          </w:p>
        </w:tc>
        <w:tc>
          <w:tcPr>
            <w:tcW w:w="40" w:type="dxa"/>
            <w:vAlign w:val="bottom"/>
            <w:tcBorders>
              <w:top w:val="single" w:sz="8" w:color="CEFFE7"/>
            </w:tcBorders>
          </w:tcPr>
          <w:p>
            <w:pPr>
              <w:spacing w:after="0"/>
              <w:rPr>
                <w:sz w:val="15"/>
                <w:szCs w:val="15"/>
                <w:color w:val="auto"/>
              </w:rPr>
            </w:pPr>
          </w:p>
        </w:tc>
        <w:tc>
          <w:tcPr>
            <w:tcW w:w="660" w:type="dxa"/>
            <w:vAlign w:val="bottom"/>
            <w:tcBorders>
              <w:top w:val="single" w:sz="8" w:color="CEFFE7"/>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520" w:type="dxa"/>
            <w:vAlign w:val="bottom"/>
            <w:gridSpan w:val="2"/>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700" w:type="dxa"/>
            <w:vAlign w:val="bottom"/>
            <w:gridSpan w:val="28"/>
          </w:tcPr>
          <w:p>
            <w:pPr>
              <w:ind w:left="20"/>
              <w:spacing w:after="0" w:line="175" w:lineRule="exact"/>
              <w:rPr>
                <w:sz w:val="20"/>
                <w:szCs w:val="20"/>
                <w:color w:val="auto"/>
              </w:rPr>
            </w:pPr>
            <w:r>
              <w:rPr>
                <w:rFonts w:ascii="Arial" w:cs="Arial" w:eastAsia="Arial" w:hAnsi="Arial"/>
                <w:sz w:val="16"/>
                <w:szCs w:val="16"/>
                <w:color w:val="0000FF"/>
              </w:rPr>
              <w:t>PART I. FINANCIAL INFORMATION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44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1.</w:t>
            </w:r>
          </w:p>
        </w:tc>
        <w:tc>
          <w:tcPr>
            <w:tcW w:w="8260" w:type="dxa"/>
            <w:vAlign w:val="bottom"/>
            <w:gridSpan w:val="25"/>
          </w:tcPr>
          <w:p>
            <w:pPr>
              <w:spacing w:after="0" w:line="175" w:lineRule="exact"/>
              <w:rPr>
                <w:sz w:val="20"/>
                <w:szCs w:val="20"/>
                <w:color w:val="auto"/>
              </w:rPr>
            </w:pPr>
            <w:r>
              <w:rPr>
                <w:rFonts w:ascii="Arial" w:cs="Arial" w:eastAsia="Arial" w:hAnsi="Arial"/>
                <w:sz w:val="16"/>
                <w:szCs w:val="16"/>
                <w:color w:val="0000FF"/>
              </w:rPr>
              <w:t>Financial Statements - unaudited</w:t>
            </w:r>
          </w:p>
        </w:tc>
        <w:tc>
          <w:tcPr>
            <w:tcW w:w="800" w:type="dxa"/>
            <w:vAlign w:val="bottom"/>
            <w:gridSpan w:val="3"/>
          </w:tcPr>
          <w:p>
            <w:pPr>
              <w:jc w:val="center"/>
              <w:ind w:left="619"/>
              <w:spacing w:after="0" w:line="175" w:lineRule="exact"/>
              <w:rPr>
                <w:sz w:val="20"/>
                <w:szCs w:val="20"/>
                <w:color w:val="auto"/>
              </w:rPr>
            </w:pPr>
            <w:r>
              <w:rPr>
                <w:rFonts w:ascii="Arial" w:cs="Arial" w:eastAsia="Arial" w:hAnsi="Arial"/>
                <w:sz w:val="16"/>
                <w:szCs w:val="16"/>
                <w:color w:val="0000FF"/>
              </w:rPr>
              <w:t>8</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Statements of Income</w:t>
            </w:r>
          </w:p>
        </w:tc>
        <w:tc>
          <w:tcPr>
            <w:tcW w:w="800" w:type="dxa"/>
            <w:vAlign w:val="bottom"/>
            <w:gridSpan w:val="3"/>
            <w:shd w:val="clear" w:color="auto" w:fill="CEFFE7"/>
          </w:tcPr>
          <w:p>
            <w:pPr>
              <w:jc w:val="center"/>
              <w:ind w:left="619"/>
              <w:spacing w:after="0" w:line="175" w:lineRule="exact"/>
              <w:rPr>
                <w:sz w:val="20"/>
                <w:szCs w:val="20"/>
                <w:color w:val="auto"/>
              </w:rPr>
            </w:pPr>
            <w:r>
              <w:rPr>
                <w:rFonts w:ascii="Arial" w:cs="Arial" w:eastAsia="Arial" w:hAnsi="Arial"/>
                <w:sz w:val="16"/>
                <w:szCs w:val="16"/>
                <w:color w:val="0000FF"/>
              </w:rPr>
              <w:t>8</w:t>
            </w:r>
          </w:p>
        </w:tc>
        <w:tc>
          <w:tcPr>
            <w:tcW w:w="40" w:type="dxa"/>
            <w:vAlign w:val="bottom"/>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sz w:val="20"/>
                <w:szCs w:val="20"/>
                <w:color w:val="auto"/>
              </w:rPr>
            </w:pPr>
            <w:r>
              <w:rPr>
                <w:rFonts w:ascii="Arial" w:cs="Arial" w:eastAsia="Arial" w:hAnsi="Arial"/>
                <w:sz w:val="16"/>
                <w:szCs w:val="16"/>
                <w:color w:val="0000FF"/>
              </w:rPr>
              <w:t>Condensed Consolidated Statements of Comprehensive Income</w:t>
            </w:r>
          </w:p>
        </w:tc>
        <w:tc>
          <w:tcPr>
            <w:tcW w:w="800" w:type="dxa"/>
            <w:vAlign w:val="bottom"/>
            <w:gridSpan w:val="3"/>
          </w:tcPr>
          <w:p>
            <w:pPr>
              <w:jc w:val="center"/>
              <w:ind w:left="619"/>
              <w:spacing w:after="0" w:line="175" w:lineRule="exact"/>
              <w:rPr>
                <w:sz w:val="20"/>
                <w:szCs w:val="20"/>
                <w:color w:val="auto"/>
              </w:rPr>
            </w:pPr>
            <w:r>
              <w:rPr>
                <w:rFonts w:ascii="Arial" w:cs="Arial" w:eastAsia="Arial" w:hAnsi="Arial"/>
                <w:sz w:val="16"/>
                <w:szCs w:val="16"/>
                <w:color w:val="0000FF"/>
              </w:rPr>
              <w:t>9</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Balance Sheets</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10</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sz w:val="20"/>
                <w:szCs w:val="20"/>
                <w:color w:val="auto"/>
              </w:rPr>
            </w:pPr>
            <w:r>
              <w:rPr>
                <w:rFonts w:ascii="Arial" w:cs="Arial" w:eastAsia="Arial" w:hAnsi="Arial"/>
                <w:sz w:val="16"/>
                <w:szCs w:val="16"/>
                <w:color w:val="0000FF"/>
              </w:rPr>
              <w:t>Condensed Consolidated Statements of Cash Flows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Statements of Equity</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sz w:val="20"/>
                <w:szCs w:val="20"/>
                <w:color w:val="auto"/>
              </w:rPr>
            </w:pPr>
            <w:r>
              <w:rPr>
                <w:rFonts w:ascii="Arial" w:cs="Arial" w:eastAsia="Arial" w:hAnsi="Arial"/>
                <w:sz w:val="16"/>
                <w:szCs w:val="16"/>
                <w:color w:val="0000FF"/>
              </w:rPr>
              <w:t>Notes to Condensed Consolidated Financial Statements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1. Management’s Statement</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15</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2. Regulatory Matters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3. Commitments, Contingencies and Guarantees</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18</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4. Revenue</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5. Financing</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21</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3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6. Earnings Per Share</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7. Risk Management and Derivatives</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22</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8. Fair Value Measurements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9. Other Comprehensive Income</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28</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10. Employee Benefit Plans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11. Income Taxes</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30</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12. Business Segment Information</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13. Selected Balance Sheet Information</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32</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1"/>
        </w:trPr>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gridSpan w:val="5"/>
          </w:tcPr>
          <w:p>
            <w:pPr>
              <w:ind w:left="240"/>
              <w:spacing w:after="0"/>
              <w:rPr>
                <w:sz w:val="20"/>
                <w:szCs w:val="20"/>
                <w:color w:val="auto"/>
              </w:rPr>
            </w:pPr>
            <w:r>
              <w:rPr>
                <w:rFonts w:ascii="Arial" w:cs="Arial" w:eastAsia="Arial" w:hAnsi="Arial"/>
                <w:sz w:val="16"/>
                <w:szCs w:val="16"/>
                <w:b w:val="1"/>
                <w:bCs w:val="1"/>
                <w:color w:val="auto"/>
              </w:rPr>
              <w:t>TABLE OF CONTENTS</w:t>
            </w:r>
          </w:p>
        </w:tc>
        <w:tc>
          <w:tcPr>
            <w:tcW w:w="1520" w:type="dxa"/>
            <w:vAlign w:val="bottom"/>
            <w:gridSpan w:val="4"/>
            <w:vMerge w:val="restart"/>
          </w:tcPr>
          <w:p>
            <w:pPr>
              <w:jc w:val="center"/>
              <w:ind w:right="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 w:type="dxa"/>
            <w:vAlign w:val="bottom"/>
            <w:tcBorders>
              <w:right w:val="single" w:sz="8" w:color="CEFFE7"/>
            </w:tcBorders>
          </w:tcPr>
          <w:p>
            <w:pPr>
              <w:spacing w:after="0"/>
              <w:rPr>
                <w:sz w:val="14"/>
                <w:szCs w:val="14"/>
                <w:color w:val="auto"/>
              </w:rPr>
            </w:pPr>
          </w:p>
        </w:tc>
        <w:tc>
          <w:tcPr>
            <w:tcW w:w="1420" w:type="dxa"/>
            <w:vAlign w:val="bottom"/>
            <w:tcBorders>
              <w:top w:val="single" w:sz="8" w:color="CEFFE7"/>
            </w:tcBorders>
            <w:gridSpan w:val="3"/>
            <w:shd w:val="clear" w:color="auto" w:fill="CEFFE7"/>
          </w:tcPr>
          <w:p>
            <w:pPr>
              <w:spacing w:after="0" w:line="170" w:lineRule="exact"/>
              <w:rPr>
                <w:sz w:val="20"/>
                <w:szCs w:val="20"/>
                <w:color w:val="auto"/>
              </w:rPr>
            </w:pPr>
            <w:r>
              <w:rPr>
                <w:rFonts w:ascii="Arial" w:cs="Arial" w:eastAsia="Arial" w:hAnsi="Arial"/>
                <w:sz w:val="16"/>
                <w:szCs w:val="16"/>
                <w:color w:val="auto"/>
              </w:rPr>
              <w:t>Item 2.</w:t>
            </w:r>
          </w:p>
        </w:tc>
        <w:tc>
          <w:tcPr>
            <w:tcW w:w="8260" w:type="dxa"/>
            <w:vAlign w:val="bottom"/>
            <w:tcBorders>
              <w:top w:val="single" w:sz="8" w:color="CEFFE7"/>
            </w:tcBorders>
            <w:gridSpan w:val="27"/>
            <w:shd w:val="clear" w:color="auto" w:fill="CEFFE7"/>
          </w:tcPr>
          <w:p>
            <w:pPr>
              <w:spacing w:after="0" w:line="170"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00" w:type="dxa"/>
            <w:vAlign w:val="bottom"/>
            <w:tcBorders>
              <w:top w:val="single" w:sz="8" w:color="auto"/>
            </w:tcBorders>
            <w:gridSpan w:val="3"/>
            <w:shd w:val="clear" w:color="auto" w:fill="CEFFE7"/>
          </w:tcPr>
          <w:p>
            <w:pPr>
              <w:jc w:val="center"/>
              <w:spacing w:after="0" w:line="170" w:lineRule="exact"/>
              <w:rPr>
                <w:sz w:val="20"/>
                <w:szCs w:val="20"/>
                <w:color w:val="auto"/>
              </w:rPr>
            </w:pPr>
            <w:r>
              <w:rPr>
                <w:rFonts w:ascii="Arial" w:cs="Arial" w:eastAsia="Arial" w:hAnsi="Arial"/>
                <w:sz w:val="16"/>
                <w:szCs w:val="16"/>
                <w:color w:val="0000FF"/>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900" w:type="dxa"/>
            <w:vAlign w:val="bottom"/>
            <w:tcBorders>
              <w:top w:val="single" w:sz="8" w:color="0000FF"/>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60" w:type="dxa"/>
            <w:vAlign w:val="bottom"/>
            <w:gridSpan w:val="26"/>
          </w:tcPr>
          <w:p>
            <w:pPr>
              <w:ind w:left="120"/>
              <w:spacing w:after="0" w:line="175" w:lineRule="exact"/>
              <w:rPr>
                <w:sz w:val="20"/>
                <w:szCs w:val="20"/>
                <w:color w:val="auto"/>
              </w:rPr>
            </w:pPr>
            <w:r>
              <w:rPr>
                <w:rFonts w:ascii="Arial" w:cs="Arial" w:eastAsia="Arial" w:hAnsi="Arial"/>
                <w:sz w:val="16"/>
                <w:szCs w:val="16"/>
                <w:color w:val="0000FF"/>
              </w:rPr>
              <w:t>Executive Summary</w:t>
            </w: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Recent Developments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27"/>
          </w:tcPr>
          <w:p>
            <w:pPr>
              <w:ind w:left="120"/>
              <w:spacing w:after="0" w:line="175" w:lineRule="exact"/>
              <w:rPr>
                <w:sz w:val="20"/>
                <w:szCs w:val="20"/>
                <w:color w:val="auto"/>
              </w:rPr>
            </w:pPr>
            <w:r>
              <w:rPr>
                <w:rFonts w:ascii="Arial" w:cs="Arial" w:eastAsia="Arial" w:hAnsi="Arial"/>
                <w:sz w:val="16"/>
                <w:szCs w:val="16"/>
                <w:color w:val="0000FF"/>
              </w:rPr>
              <w:t>Results of Operations</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ind w:left="20"/>
              <w:spacing w:after="0" w:line="175" w:lineRule="exact"/>
              <w:rPr>
                <w:sz w:val="20"/>
                <w:szCs w:val="20"/>
                <w:color w:val="auto"/>
              </w:rPr>
            </w:pPr>
            <w:r>
              <w:rPr>
                <w:rFonts w:ascii="Arial" w:cs="Arial" w:eastAsia="Arial" w:hAnsi="Arial"/>
                <w:sz w:val="16"/>
                <w:szCs w:val="16"/>
                <w:color w:val="0000FF"/>
              </w:rPr>
              <w:t>Consolidated Summary and Overview</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5"/>
          </w:tcPr>
          <w:p>
            <w:pPr>
              <w:ind w:left="20"/>
              <w:spacing w:after="0" w:line="175" w:lineRule="exact"/>
              <w:rPr>
                <w:sz w:val="20"/>
                <w:szCs w:val="20"/>
                <w:color w:val="auto"/>
              </w:rPr>
            </w:pPr>
            <w:r>
              <w:rPr>
                <w:rFonts w:ascii="Arial" w:cs="Arial" w:eastAsia="Arial" w:hAnsi="Arial"/>
                <w:sz w:val="16"/>
                <w:szCs w:val="16"/>
                <w:color w:val="0000FF"/>
              </w:rPr>
              <w:t>Non-GAAP Financial Measure</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100" w:type="dxa"/>
            <w:vAlign w:val="bottom"/>
            <w:gridSpan w:val="7"/>
            <w:shd w:val="clear" w:color="auto" w:fill="CEFFE7"/>
          </w:tcPr>
          <w:p>
            <w:pPr>
              <w:spacing w:after="0" w:line="175" w:lineRule="exact"/>
              <w:rPr>
                <w:sz w:val="20"/>
                <w:szCs w:val="20"/>
                <w:color w:val="auto"/>
              </w:rPr>
            </w:pPr>
            <w:r>
              <w:rPr>
                <w:rFonts w:ascii="Arial" w:cs="Arial" w:eastAsia="Arial" w:hAnsi="Arial"/>
                <w:sz w:val="16"/>
                <w:szCs w:val="16"/>
                <w:color w:val="0000FF"/>
                <w:w w:val="99"/>
              </w:rPr>
              <w:t>Electric Utilities</w:t>
            </w:r>
          </w:p>
        </w:tc>
        <w:tc>
          <w:tcPr>
            <w:tcW w:w="6840" w:type="dxa"/>
            <w:vAlign w:val="bottom"/>
            <w:gridSpan w:val="18"/>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7"/>
          </w:tcPr>
          <w:p>
            <w:pPr>
              <w:spacing w:after="0" w:line="175" w:lineRule="exact"/>
              <w:rPr>
                <w:sz w:val="20"/>
                <w:szCs w:val="20"/>
                <w:color w:val="auto"/>
              </w:rPr>
            </w:pPr>
            <w:r>
              <w:rPr>
                <w:rFonts w:ascii="Arial" w:cs="Arial" w:eastAsia="Arial" w:hAnsi="Arial"/>
                <w:sz w:val="16"/>
                <w:szCs w:val="16"/>
                <w:color w:val="0000FF"/>
              </w:rPr>
              <w:t>Gas Utilities</w:t>
            </w:r>
          </w:p>
        </w:tc>
        <w:tc>
          <w:tcPr>
            <w:tcW w:w="684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spacing w:after="0" w:line="175" w:lineRule="exact"/>
              <w:rPr>
                <w:sz w:val="20"/>
                <w:szCs w:val="20"/>
                <w:color w:val="auto"/>
              </w:rPr>
            </w:pPr>
            <w:r>
              <w:rPr>
                <w:rFonts w:ascii="Arial" w:cs="Arial" w:eastAsia="Arial" w:hAnsi="Arial"/>
                <w:sz w:val="16"/>
                <w:szCs w:val="16"/>
                <w:color w:val="0000FF"/>
              </w:rPr>
              <w:t>Corporate and Other</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5"/>
          </w:tcPr>
          <w:p>
            <w:pPr>
              <w:spacing w:after="0" w:line="175" w:lineRule="exact"/>
              <w:rPr>
                <w:sz w:val="20"/>
                <w:szCs w:val="20"/>
                <w:color w:val="auto"/>
              </w:rPr>
            </w:pPr>
            <w:r>
              <w:rPr>
                <w:rFonts w:ascii="Arial" w:cs="Arial" w:eastAsia="Arial" w:hAnsi="Arial"/>
                <w:sz w:val="16"/>
                <w:szCs w:val="16"/>
                <w:color w:val="0000FF"/>
              </w:rPr>
              <w:t>Consolidated Interest Expense, Other Income and Income Tax Expense</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Liquidity and Capital Resources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17"/>
          </w:tcPr>
          <w:p>
            <w:pPr>
              <w:spacing w:after="0" w:line="175" w:lineRule="exact"/>
              <w:rPr>
                <w:sz w:val="20"/>
                <w:szCs w:val="20"/>
                <w:color w:val="auto"/>
              </w:rPr>
            </w:pPr>
            <w:r>
              <w:rPr>
                <w:rFonts w:ascii="Arial" w:cs="Arial" w:eastAsia="Arial" w:hAnsi="Arial"/>
                <w:sz w:val="16"/>
                <w:szCs w:val="16"/>
                <w:color w:val="0000FF"/>
              </w:rPr>
              <w:t>Cash Flow Activities</w:t>
            </w:r>
          </w:p>
        </w:tc>
        <w:tc>
          <w:tcPr>
            <w:tcW w:w="586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spacing w:after="0" w:line="175" w:lineRule="exact"/>
              <w:rPr>
                <w:sz w:val="20"/>
                <w:szCs w:val="20"/>
                <w:color w:val="auto"/>
              </w:rPr>
            </w:pPr>
            <w:r>
              <w:rPr>
                <w:rFonts w:ascii="Arial" w:cs="Arial" w:eastAsia="Arial" w:hAnsi="Arial"/>
                <w:sz w:val="16"/>
                <w:szCs w:val="16"/>
                <w:color w:val="0000FF"/>
              </w:rPr>
              <w:t>Capital Resources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9"/>
          </w:tcPr>
          <w:p>
            <w:pPr>
              <w:spacing w:after="0" w:line="175" w:lineRule="exact"/>
              <w:rPr>
                <w:sz w:val="20"/>
                <w:szCs w:val="20"/>
                <w:color w:val="auto"/>
              </w:rPr>
            </w:pPr>
            <w:r>
              <w:rPr>
                <w:rFonts w:ascii="Arial" w:cs="Arial" w:eastAsia="Arial" w:hAnsi="Arial"/>
                <w:sz w:val="16"/>
                <w:szCs w:val="16"/>
                <w:color w:val="0000FF"/>
              </w:rPr>
              <w:t>Credit Ratings</w:t>
            </w:r>
          </w:p>
        </w:tc>
        <w:tc>
          <w:tcPr>
            <w:tcW w:w="662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560" w:type="dxa"/>
            <w:vAlign w:val="bottom"/>
            <w:gridSpan w:val="15"/>
            <w:shd w:val="clear" w:color="auto" w:fill="CEFFE7"/>
          </w:tcPr>
          <w:p>
            <w:pPr>
              <w:spacing w:after="0" w:line="175" w:lineRule="exact"/>
              <w:rPr>
                <w:sz w:val="20"/>
                <w:szCs w:val="20"/>
                <w:color w:val="auto"/>
              </w:rPr>
            </w:pPr>
            <w:r>
              <w:rPr>
                <w:rFonts w:ascii="Arial" w:cs="Arial" w:eastAsia="Arial" w:hAnsi="Arial"/>
                <w:sz w:val="16"/>
                <w:szCs w:val="16"/>
                <w:color w:val="0000FF"/>
              </w:rPr>
              <w:t>Capital Requirements</w:t>
            </w:r>
          </w:p>
        </w:tc>
        <w:tc>
          <w:tcPr>
            <w:tcW w:w="6380" w:type="dxa"/>
            <w:vAlign w:val="bottom"/>
            <w:gridSpan w:val="10"/>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27"/>
          </w:tcPr>
          <w:p>
            <w:pPr>
              <w:ind w:left="120"/>
              <w:spacing w:after="0" w:line="175" w:lineRule="exact"/>
              <w:rPr>
                <w:sz w:val="20"/>
                <w:szCs w:val="20"/>
                <w:color w:val="auto"/>
              </w:rPr>
            </w:pPr>
            <w:r>
              <w:rPr>
                <w:rFonts w:ascii="Arial" w:cs="Arial" w:eastAsia="Arial" w:hAnsi="Arial"/>
                <w:sz w:val="16"/>
                <w:szCs w:val="16"/>
                <w:color w:val="0000FF"/>
              </w:rPr>
              <w:t>Critical Accounting Estimates</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5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New Accounting Pronouncements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180" w:type="dxa"/>
            <w:vAlign w:val="bottom"/>
            <w:tcBorders>
              <w:top w:val="single" w:sz="8" w:color="CEFFE7"/>
            </w:tcBorders>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1100" w:type="dxa"/>
            <w:vAlign w:val="bottom"/>
            <w:tcBorders>
              <w:top w:val="single" w:sz="8" w:color="CEFFE7"/>
            </w:tcBorders>
          </w:tcPr>
          <w:p>
            <w:pPr>
              <w:spacing w:after="0"/>
              <w:rPr>
                <w:sz w:val="23"/>
                <w:szCs w:val="23"/>
                <w:color w:val="auto"/>
              </w:rPr>
            </w:pPr>
          </w:p>
        </w:tc>
        <w:tc>
          <w:tcPr>
            <w:tcW w:w="900" w:type="dxa"/>
            <w:vAlign w:val="bottom"/>
            <w:tcBorders>
              <w:top w:val="single" w:sz="8" w:color="CEFFE7"/>
            </w:tcBorders>
          </w:tcPr>
          <w:p>
            <w:pPr>
              <w:spacing w:after="0"/>
              <w:rPr>
                <w:sz w:val="23"/>
                <w:szCs w:val="23"/>
                <w:color w:val="auto"/>
              </w:rPr>
            </w:pPr>
          </w:p>
        </w:tc>
        <w:tc>
          <w:tcPr>
            <w:tcW w:w="190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3.</w:t>
            </w:r>
          </w:p>
        </w:tc>
        <w:tc>
          <w:tcPr>
            <w:tcW w:w="4240" w:type="dxa"/>
            <w:vAlign w:val="bottom"/>
            <w:gridSpan w:val="23"/>
            <w:shd w:val="clear" w:color="auto" w:fill="CEFFE7"/>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w:t>
            </w:r>
          </w:p>
        </w:tc>
        <w:tc>
          <w:tcPr>
            <w:tcW w:w="4020" w:type="dxa"/>
            <w:vAlign w:val="bottom"/>
            <w:gridSpan w:val="4"/>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4.</w:t>
            </w:r>
          </w:p>
        </w:tc>
        <w:tc>
          <w:tcPr>
            <w:tcW w:w="4240" w:type="dxa"/>
            <w:vAlign w:val="bottom"/>
            <w:gridSpan w:val="23"/>
          </w:tcPr>
          <w:p>
            <w:pPr>
              <w:spacing w:after="0" w:line="175" w:lineRule="exact"/>
              <w:rPr>
                <w:sz w:val="20"/>
                <w:szCs w:val="20"/>
                <w:color w:val="auto"/>
              </w:rPr>
            </w:pPr>
            <w:r>
              <w:rPr>
                <w:rFonts w:ascii="Arial" w:cs="Arial" w:eastAsia="Arial" w:hAnsi="Arial"/>
                <w:sz w:val="16"/>
                <w:szCs w:val="16"/>
                <w:color w:val="0000FF"/>
              </w:rPr>
              <w:t>Controls and Procedures</w:t>
            </w:r>
          </w:p>
        </w:tc>
        <w:tc>
          <w:tcPr>
            <w:tcW w:w="402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EFFE7"/>
            </w:tcBorders>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760" w:type="dxa"/>
            <w:vAlign w:val="bottom"/>
            <w:gridSpan w:val="3"/>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100" w:type="dxa"/>
            <w:vAlign w:val="bottom"/>
            <w:shd w:val="clear" w:color="auto" w:fill="CEFFE7"/>
          </w:tcPr>
          <w:p>
            <w:pPr>
              <w:spacing w:after="0"/>
              <w:rPr>
                <w:sz w:val="23"/>
                <w:szCs w:val="23"/>
                <w:color w:val="auto"/>
              </w:rPr>
            </w:pPr>
          </w:p>
        </w:tc>
        <w:tc>
          <w:tcPr>
            <w:tcW w:w="900" w:type="dxa"/>
            <w:vAlign w:val="bottom"/>
            <w:shd w:val="clear" w:color="auto" w:fill="CEFFE7"/>
          </w:tcPr>
          <w:p>
            <w:pPr>
              <w:spacing w:after="0"/>
              <w:rPr>
                <w:sz w:val="23"/>
                <w:szCs w:val="23"/>
                <w:color w:val="auto"/>
              </w:rPr>
            </w:pPr>
          </w:p>
        </w:tc>
        <w:tc>
          <w:tcPr>
            <w:tcW w:w="190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680" w:type="dxa"/>
            <w:vAlign w:val="bottom"/>
            <w:gridSpan w:val="30"/>
          </w:tcPr>
          <w:p>
            <w:pPr>
              <w:spacing w:after="0" w:line="175" w:lineRule="exact"/>
              <w:rPr>
                <w:sz w:val="20"/>
                <w:szCs w:val="20"/>
                <w:color w:val="auto"/>
              </w:rPr>
            </w:pPr>
            <w:r>
              <w:rPr>
                <w:rFonts w:ascii="Arial" w:cs="Arial" w:eastAsia="Arial" w:hAnsi="Arial"/>
                <w:sz w:val="16"/>
                <w:szCs w:val="16"/>
                <w:color w:val="0000FF"/>
              </w:rPr>
              <w:t>PART II. OTHER INFORMATION</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1.</w:t>
            </w:r>
          </w:p>
        </w:tc>
        <w:tc>
          <w:tcPr>
            <w:tcW w:w="134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w w:val="99"/>
              </w:rPr>
              <w:t>Legal Proceedings</w:t>
            </w:r>
          </w:p>
        </w:tc>
        <w:tc>
          <w:tcPr>
            <w:tcW w:w="6920" w:type="dxa"/>
            <w:vAlign w:val="bottom"/>
            <w:gridSpan w:val="19"/>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1A.</w:t>
            </w:r>
          </w:p>
        </w:tc>
        <w:tc>
          <w:tcPr>
            <w:tcW w:w="1340" w:type="dxa"/>
            <w:vAlign w:val="bottom"/>
            <w:gridSpan w:val="8"/>
          </w:tcPr>
          <w:p>
            <w:pPr>
              <w:spacing w:after="0" w:line="175" w:lineRule="exact"/>
              <w:rPr>
                <w:sz w:val="20"/>
                <w:szCs w:val="20"/>
                <w:color w:val="auto"/>
              </w:rPr>
            </w:pPr>
            <w:r>
              <w:rPr>
                <w:rFonts w:ascii="Arial" w:cs="Arial" w:eastAsia="Arial" w:hAnsi="Arial"/>
                <w:sz w:val="16"/>
                <w:szCs w:val="16"/>
                <w:color w:val="0000FF"/>
              </w:rPr>
              <w:t>Risk Factors</w:t>
            </w:r>
          </w:p>
        </w:tc>
        <w:tc>
          <w:tcPr>
            <w:tcW w:w="692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2.</w:t>
            </w:r>
          </w:p>
        </w:tc>
        <w:tc>
          <w:tcPr>
            <w:tcW w:w="8260" w:type="dxa"/>
            <w:vAlign w:val="bottom"/>
            <w:gridSpan w:val="27"/>
            <w:shd w:val="clear" w:color="auto" w:fill="CEFFE7"/>
          </w:tcPr>
          <w:p>
            <w:pPr>
              <w:spacing w:after="0" w:line="175" w:lineRule="exact"/>
              <w:rPr>
                <w:sz w:val="20"/>
                <w:szCs w:val="20"/>
                <w:color w:val="auto"/>
              </w:rPr>
            </w:pPr>
            <w:r>
              <w:rPr>
                <w:rFonts w:ascii="Arial" w:cs="Arial" w:eastAsia="Arial" w:hAnsi="Arial"/>
                <w:sz w:val="16"/>
                <w:szCs w:val="16"/>
                <w:color w:val="0000FF"/>
              </w:rPr>
              <w:t>Unregistered Sales of Equity Securities and Use of Proceeds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4.</w:t>
            </w:r>
          </w:p>
        </w:tc>
        <w:tc>
          <w:tcPr>
            <w:tcW w:w="4360" w:type="dxa"/>
            <w:vAlign w:val="bottom"/>
            <w:gridSpan w:val="24"/>
          </w:tcPr>
          <w:p>
            <w:pPr>
              <w:spacing w:after="0" w:line="175" w:lineRule="exact"/>
              <w:rPr>
                <w:sz w:val="20"/>
                <w:szCs w:val="20"/>
                <w:color w:val="auto"/>
              </w:rPr>
            </w:pPr>
            <w:r>
              <w:rPr>
                <w:rFonts w:ascii="Arial" w:cs="Arial" w:eastAsia="Arial" w:hAnsi="Arial"/>
                <w:sz w:val="16"/>
                <w:szCs w:val="16"/>
                <w:color w:val="0000FF"/>
              </w:rPr>
              <w:t>Mine Safety Disclosures</w:t>
            </w:r>
          </w:p>
        </w:tc>
        <w:tc>
          <w:tcPr>
            <w:tcW w:w="390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6.</w:t>
            </w:r>
          </w:p>
        </w:tc>
        <w:tc>
          <w:tcPr>
            <w:tcW w:w="8260" w:type="dxa"/>
            <w:vAlign w:val="bottom"/>
            <w:gridSpan w:val="27"/>
            <w:shd w:val="clear" w:color="auto" w:fill="CEFFE7"/>
          </w:tcPr>
          <w:p>
            <w:pPr>
              <w:spacing w:after="0" w:line="175" w:lineRule="exact"/>
              <w:rPr>
                <w:sz w:val="20"/>
                <w:szCs w:val="20"/>
                <w:color w:val="auto"/>
              </w:rPr>
            </w:pPr>
            <w:r>
              <w:rPr>
                <w:rFonts w:ascii="Arial" w:cs="Arial" w:eastAsia="Arial" w:hAnsi="Arial"/>
                <w:sz w:val="16"/>
                <w:szCs w:val="16"/>
                <w:color w:val="0000FF"/>
              </w:rPr>
              <w:t>Exhibits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220" w:type="dxa"/>
            <w:vAlign w:val="bottom"/>
            <w:tcBorders>
              <w:top w:val="single" w:sz="8" w:color="CEFFE7"/>
            </w:tcBorders>
          </w:tcPr>
          <w:p>
            <w:pPr>
              <w:spacing w:after="0"/>
              <w:rPr>
                <w:sz w:val="23"/>
                <w:szCs w:val="23"/>
                <w:color w:val="auto"/>
              </w:rPr>
            </w:pPr>
          </w:p>
        </w:tc>
        <w:tc>
          <w:tcPr>
            <w:tcW w:w="16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4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340" w:type="dxa"/>
            <w:vAlign w:val="bottom"/>
            <w:tcBorders>
              <w:top w:val="single" w:sz="8" w:color="CEFFE7"/>
            </w:tcBorders>
          </w:tcPr>
          <w:p>
            <w:pPr>
              <w:spacing w:after="0"/>
              <w:rPr>
                <w:sz w:val="23"/>
                <w:szCs w:val="23"/>
                <w:color w:val="auto"/>
              </w:rPr>
            </w:pPr>
          </w:p>
        </w:tc>
        <w:tc>
          <w:tcPr>
            <w:tcW w:w="18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180" w:type="dxa"/>
            <w:vAlign w:val="bottom"/>
            <w:tcBorders>
              <w:top w:val="single" w:sz="8" w:color="CEFFE7"/>
            </w:tcBorders>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1100" w:type="dxa"/>
            <w:vAlign w:val="bottom"/>
            <w:tcBorders>
              <w:top w:val="single" w:sz="8" w:color="CEFFE7"/>
            </w:tcBorders>
          </w:tcPr>
          <w:p>
            <w:pPr>
              <w:spacing w:after="0"/>
              <w:rPr>
                <w:sz w:val="23"/>
                <w:szCs w:val="23"/>
                <w:color w:val="auto"/>
              </w:rPr>
            </w:pPr>
          </w:p>
        </w:tc>
        <w:tc>
          <w:tcPr>
            <w:tcW w:w="900" w:type="dxa"/>
            <w:vAlign w:val="bottom"/>
            <w:tcBorders>
              <w:top w:val="single" w:sz="8" w:color="CEFFE7"/>
            </w:tcBorders>
          </w:tcPr>
          <w:p>
            <w:pPr>
              <w:spacing w:after="0"/>
              <w:rPr>
                <w:sz w:val="23"/>
                <w:szCs w:val="23"/>
                <w:color w:val="auto"/>
              </w:rPr>
            </w:pPr>
          </w:p>
        </w:tc>
        <w:tc>
          <w:tcPr>
            <w:tcW w:w="190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0000FF"/>
              </w:rPr>
              <w:t>Signatures</w:t>
            </w:r>
          </w:p>
        </w:tc>
        <w:tc>
          <w:tcPr>
            <w:tcW w:w="12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500" w:type="dxa"/>
            <w:vAlign w:val="bottom"/>
            <w:shd w:val="clear" w:color="auto" w:fill="CEFFE7"/>
          </w:tcPr>
          <w:p>
            <w:pPr>
              <w:spacing w:after="0"/>
              <w:rPr>
                <w:sz w:val="17"/>
                <w:szCs w:val="17"/>
                <w:color w:val="auto"/>
              </w:rPr>
            </w:pPr>
          </w:p>
        </w:tc>
        <w:tc>
          <w:tcPr>
            <w:tcW w:w="1180" w:type="dxa"/>
            <w:vAlign w:val="bottom"/>
            <w:shd w:val="clear" w:color="auto" w:fill="CEFFE7"/>
          </w:tcPr>
          <w:p>
            <w:pPr>
              <w:spacing w:after="0"/>
              <w:rPr>
                <w:sz w:val="17"/>
                <w:szCs w:val="17"/>
                <w:color w:val="auto"/>
              </w:rPr>
            </w:pPr>
          </w:p>
        </w:tc>
        <w:tc>
          <w:tcPr>
            <w:tcW w:w="12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1900" w:type="dxa"/>
            <w:vAlign w:val="bottom"/>
            <w:shd w:val="clear" w:color="auto" w:fill="CEFFE7"/>
          </w:tcPr>
          <w:p>
            <w:pPr>
              <w:spacing w:after="0"/>
              <w:rPr>
                <w:sz w:val="17"/>
                <w:szCs w:val="17"/>
                <w:color w:val="auto"/>
              </w:rPr>
            </w:pP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9"/>
        </w:trPr>
        <w:tc>
          <w:tcPr>
            <w:tcW w:w="4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4240" w:type="dxa"/>
            <w:vAlign w:val="bottom"/>
            <w:tcBorders>
              <w:top w:val="single" w:sz="8" w:color="CEFFE7"/>
            </w:tcBorders>
            <w:gridSpan w:val="23"/>
          </w:tcPr>
          <w:p>
            <w:pPr>
              <w:ind w:left="4120"/>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EFFE7"/>
            </w:tcBorders>
          </w:tcPr>
          <w:p>
            <w:pPr>
              <w:spacing w:after="0"/>
              <w:rPr>
                <w:sz w:val="24"/>
                <w:szCs w:val="24"/>
                <w:color w:val="auto"/>
              </w:rPr>
            </w:pPr>
          </w:p>
        </w:tc>
        <w:tc>
          <w:tcPr>
            <w:tcW w:w="1100" w:type="dxa"/>
            <w:vAlign w:val="bottom"/>
            <w:tcBorders>
              <w:top w:val="single" w:sz="8" w:color="CEFFE7"/>
            </w:tcBorders>
          </w:tcPr>
          <w:p>
            <w:pPr>
              <w:spacing w:after="0"/>
              <w:rPr>
                <w:sz w:val="24"/>
                <w:szCs w:val="24"/>
                <w:color w:val="auto"/>
              </w:rPr>
            </w:pPr>
          </w:p>
        </w:tc>
        <w:tc>
          <w:tcPr>
            <w:tcW w:w="900" w:type="dxa"/>
            <w:vAlign w:val="bottom"/>
            <w:tcBorders>
              <w:top w:val="single" w:sz="8" w:color="CEFFE7"/>
            </w:tcBorders>
          </w:tcPr>
          <w:p>
            <w:pPr>
              <w:spacing w:after="0"/>
              <w:rPr>
                <w:sz w:val="24"/>
                <w:szCs w:val="24"/>
                <w:color w:val="auto"/>
              </w:rPr>
            </w:pPr>
          </w:p>
        </w:tc>
        <w:tc>
          <w:tcPr>
            <w:tcW w:w="1900" w:type="dxa"/>
            <w:vAlign w:val="bottom"/>
            <w:tcBorders>
              <w:top w:val="single" w:sz="8" w:color="CEFFE7"/>
            </w:tcBorders>
          </w:tcPr>
          <w:p>
            <w:pPr>
              <w:spacing w:after="0"/>
              <w:rPr>
                <w:sz w:val="24"/>
                <w:szCs w:val="24"/>
                <w:color w:val="auto"/>
              </w:rPr>
            </w:pPr>
          </w:p>
        </w:tc>
        <w:tc>
          <w:tcPr>
            <w:tcW w:w="660" w:type="dxa"/>
            <w:vAlign w:val="bottom"/>
            <w:tcBorders>
              <w:top w:val="single" w:sz="8" w:color="CEFFE7"/>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CEFFE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8540" w:type="dxa"/>
            <w:vAlign w:val="bottom"/>
          </w:tcPr>
          <w:p>
            <w:pPr>
              <w:ind w:left="114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424"/>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10"/>
        </w:trPr>
        <w:tc>
          <w:tcPr>
            <w:tcW w:w="2700" w:type="dxa"/>
            <w:vAlign w:val="bottom"/>
          </w:tcPr>
          <w:p>
            <w:pPr>
              <w:spacing w:after="0"/>
              <w:rPr>
                <w:sz w:val="9"/>
                <w:szCs w:val="9"/>
                <w:color w:val="auto"/>
              </w:rPr>
            </w:pPr>
          </w:p>
        </w:tc>
        <w:tc>
          <w:tcPr>
            <w:tcW w:w="8540" w:type="dxa"/>
            <w:vAlign w:val="bottom"/>
          </w:tcPr>
          <w:p>
            <w:pPr>
              <w:spacing w:after="0"/>
              <w:rPr>
                <w:sz w:val="9"/>
                <w:szCs w:val="9"/>
                <w:color w:val="auto"/>
              </w:rPr>
            </w:pPr>
          </w:p>
        </w:tc>
      </w:tr>
      <w:tr>
        <w:trPr>
          <w:trHeight w:val="216"/>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AFUDC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AOCI</w:t>
            </w:r>
          </w:p>
        </w:tc>
        <w:tc>
          <w:tcPr>
            <w:tcW w:w="854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APSC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Arkansas Public Service Commission</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Arkansas Gas</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ASU</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Accounting Standards Update issued by the FASB</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ATM</w:t>
            </w:r>
          </w:p>
        </w:tc>
        <w:tc>
          <w:tcPr>
            <w:tcW w:w="8540" w:type="dxa"/>
            <w:vAlign w:val="bottom"/>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Availability</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BHC</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Colorado IPP</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Black Hills Electric Generation</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Energy</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Black Hills Energy Services</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 providing</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natural gas commodity supply for the Choice Gas Programs (doing business as Black Hills Energy).</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Non-regulated Holdings</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Black Hills Utility Holdings</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Utility Holdings, Inc., a direct, wholly-owned subsidiary of Black Hills Corporation (doing business as</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Energy)</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Wyoming</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Blockchain Interruptible Service</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The BCIS tariff was proposed by Wyoming Electric and approved by the WPSC in 2019. The tariff was developed to</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(BCIS) tariff</w:t>
            </w:r>
          </w:p>
        </w:tc>
        <w:tc>
          <w:tcPr>
            <w:tcW w:w="8540" w:type="dxa"/>
            <w:vAlign w:val="bottom"/>
          </w:tcPr>
          <w:p>
            <w:pPr>
              <w:ind w:left="160"/>
              <w:spacing w:after="0"/>
              <w:rPr>
                <w:sz w:val="20"/>
                <w:szCs w:val="20"/>
                <w:color w:val="auto"/>
              </w:rPr>
            </w:pPr>
            <w:r>
              <w:rPr>
                <w:rFonts w:ascii="Arial" w:cs="Arial" w:eastAsia="Arial" w:hAnsi="Arial"/>
                <w:sz w:val="16"/>
                <w:szCs w:val="16"/>
                <w:color w:val="auto"/>
              </w:rPr>
              <w:t>attract new large electric loads related to blockchain and other industry growth with high energy demand.</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Cheyenne Light</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electric service in the Cheyenne, Wyoming area (doing business as Black Hills Energy). Also known as Wyoming</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Electric.</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Chief Operating Decision Maker</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Chief Executive Officer</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(CODM)</w:t>
            </w:r>
          </w:p>
        </w:tc>
        <w:tc>
          <w:tcPr>
            <w:tcW w:w="8540" w:type="dxa"/>
            <w:vAlign w:val="bottom"/>
          </w:tcPr>
          <w:p>
            <w:pPr>
              <w:spacing w:after="0"/>
              <w:rPr>
                <w:sz w:val="18"/>
                <w:szCs w:val="18"/>
                <w:color w:val="auto"/>
              </w:rPr>
            </w:pP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Choice Gas Program</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Regulator-approved programs in Wyoming and Nebraska that allow certain utility customers to select their natural</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gas commodity supplier, providing for the unbundling of the commodity service from the distribution delivery service.</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Colorado Electric</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Colorado Electric, LLC, a direct, wholly-owned subsidiary of Black Hills Utility Holdings, providing electric</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service to customers in Colorado (doing business as Black Hills Energy).</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Colorado Gas</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Colorado Gas, Inc., an indirect, wholly-owned subsidiary of Black Hills Utility Holdings, providing natural</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gas services to customers in Colorado (doing business as Black Hills Energy).</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Common Use System</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The Common Use System is a jointly operated transmission system we participate in with Basin Electric Power</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Cooperative and Powder River Energy Corporation. The Common Use System provides transmission service over</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these utilities' combined 230-kilovolt (kV) and limited 69-kV transmission facilities within areas of southwestern South</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Dakota and northeastern Wyoming.</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Consolidated Indebtedness to</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 net worth</w:t>
            </w:r>
          </w:p>
        </w:tc>
      </w:tr>
      <w:tr>
        <w:trPr>
          <w:trHeight w:val="162"/>
        </w:trPr>
        <w:tc>
          <w:tcPr>
            <w:tcW w:w="2700" w:type="dxa"/>
            <w:vAlign w:val="bottom"/>
            <w:shd w:val="clear" w:color="auto" w:fill="CEFFE7"/>
          </w:tcPr>
          <w:p>
            <w:pPr>
              <w:ind w:left="20"/>
              <w:spacing w:after="0" w:line="162" w:lineRule="exact"/>
              <w:rPr>
                <w:sz w:val="20"/>
                <w:szCs w:val="20"/>
                <w:color w:val="auto"/>
              </w:rPr>
            </w:pPr>
            <w:r>
              <w:rPr>
                <w:rFonts w:ascii="Arial" w:cs="Arial" w:eastAsia="Arial" w:hAnsi="Arial"/>
                <w:sz w:val="16"/>
                <w:szCs w:val="16"/>
                <w:color w:val="auto"/>
              </w:rPr>
              <w:t>Capitalization Ratio</w:t>
            </w: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(excluding non-controlling interest) plus consolidated indebtedness (including letters of credit and certain guarantees</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issued) as defined within the current Revolving Credit Facility.</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Cooling Degree Day</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A cooling degree day is equivalent to each degree that the average of the high and low temperatures for a day is</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above 65 degrees. The warmer the climate, the greater the number of cooling degree days. Cooling degree days are</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used in the utility industry to measure the relative warmth and to compare relative temperatures between one</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locations.</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CPCN</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Certificate of Public Convenience and Necessity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CP Program</w:t>
            </w:r>
          </w:p>
        </w:tc>
        <w:tc>
          <w:tcPr>
            <w:tcW w:w="8540" w:type="dxa"/>
            <w:vAlign w:val="bottom"/>
          </w:tcPr>
          <w:p>
            <w:pPr>
              <w:ind w:left="160"/>
              <w:spacing w:after="0"/>
              <w:rPr>
                <w:sz w:val="20"/>
                <w:szCs w:val="20"/>
                <w:color w:val="auto"/>
              </w:rPr>
            </w:pPr>
            <w:r>
              <w:rPr>
                <w:rFonts w:ascii="Arial" w:cs="Arial" w:eastAsia="Arial" w:hAnsi="Arial"/>
                <w:sz w:val="16"/>
                <w:szCs w:val="16"/>
                <w:color w:val="auto"/>
              </w:rPr>
              <w:t>Commercial Paper Program</w:t>
            </w:r>
          </w:p>
        </w:tc>
      </w:tr>
      <w:tr>
        <w:trPr>
          <w:trHeight w:val="634"/>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6"/>
                <w:szCs w:val="16"/>
                <w:color w:val="auto"/>
              </w:rPr>
              <w:t>4</w:t>
            </w:r>
          </w:p>
        </w:tc>
      </w:tr>
      <w:tr>
        <w:trPr>
          <w:trHeight w:val="346"/>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3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860" w:type="dxa"/>
            <w:vAlign w:val="bottom"/>
          </w:tcPr>
          <w:p>
            <w:pPr>
              <w:spacing w:after="0"/>
              <w:rPr>
                <w:sz w:val="16"/>
                <w:szCs w:val="16"/>
                <w:color w:val="auto"/>
              </w:rPr>
            </w:pPr>
          </w:p>
        </w:tc>
      </w:tr>
      <w:tr>
        <w:trPr>
          <w:trHeight w:val="709"/>
        </w:trPr>
        <w:tc>
          <w:tcPr>
            <w:tcW w:w="136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8860" w:type="dxa"/>
            <w:vAlign w:val="bottom"/>
          </w:tcPr>
          <w:p>
            <w:pPr>
              <w:spacing w:after="0"/>
              <w:rPr>
                <w:sz w:val="24"/>
                <w:szCs w:val="24"/>
                <w:color w:val="auto"/>
              </w:rPr>
            </w:pPr>
          </w:p>
        </w:tc>
      </w:tr>
      <w:tr>
        <w:trPr>
          <w:trHeight w:val="216"/>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CPUC</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Colorado Public Utilities Commission</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Dth</w:t>
            </w:r>
          </w:p>
        </w:tc>
        <w:tc>
          <w:tcPr>
            <w:tcW w:w="8860" w:type="dxa"/>
            <w:vAlign w:val="bottom"/>
          </w:tcPr>
          <w:p>
            <w:pPr>
              <w:ind w:left="480"/>
              <w:spacing w:after="0"/>
              <w:rPr>
                <w:sz w:val="20"/>
                <w:szCs w:val="20"/>
                <w:color w:val="auto"/>
              </w:rPr>
            </w:pPr>
            <w:r>
              <w:rPr>
                <w:rFonts w:ascii="Arial" w:cs="Arial" w:eastAsia="Arial" w:hAnsi="Arial"/>
                <w:sz w:val="16"/>
                <w:szCs w:val="16"/>
                <w:color w:val="auto"/>
              </w:rPr>
              <w:t>Dekatherm. A unit of energy equal to 10 therms or approximately one million British thermal units (MMBtu)</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EPA</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United States Environmental Protection Agency</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FASB</w:t>
            </w:r>
          </w:p>
        </w:tc>
        <w:tc>
          <w:tcPr>
            <w:tcW w:w="8860" w:type="dxa"/>
            <w:vAlign w:val="bottom"/>
          </w:tcPr>
          <w:p>
            <w:pPr>
              <w:ind w:left="480"/>
              <w:spacing w:after="0"/>
              <w:rPr>
                <w:sz w:val="20"/>
                <w:szCs w:val="20"/>
                <w:color w:val="auto"/>
              </w:rPr>
            </w:pPr>
            <w:r>
              <w:rPr>
                <w:rFonts w:ascii="Arial" w:cs="Arial" w:eastAsia="Arial" w:hAnsi="Arial"/>
                <w:sz w:val="16"/>
                <w:szCs w:val="16"/>
                <w:color w:val="auto"/>
              </w:rPr>
              <w:t>Financial Accounting Standards Board</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Fitch</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Fitch Ratings Inc.</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8860" w:type="dxa"/>
            <w:vAlign w:val="bottom"/>
          </w:tcPr>
          <w:p>
            <w:pPr>
              <w:ind w:left="48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63"/>
        </w:trPr>
        <w:tc>
          <w:tcPr>
            <w:tcW w:w="238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Heating Degree Day</w:t>
            </w:r>
          </w:p>
        </w:tc>
        <w:tc>
          <w:tcPr>
            <w:tcW w:w="8860" w:type="dxa"/>
            <w:vAlign w:val="bottom"/>
            <w:shd w:val="clear" w:color="auto" w:fill="CEFFE7"/>
          </w:tcPr>
          <w:p>
            <w:pPr>
              <w:ind w:left="480"/>
              <w:spacing w:after="0" w:line="163"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 for a day is</w:t>
            </w:r>
          </w:p>
        </w:tc>
      </w:tr>
      <w:tr>
        <w:trPr>
          <w:trHeight w:val="162"/>
        </w:trPr>
        <w:tc>
          <w:tcPr>
            <w:tcW w:w="1360" w:type="dxa"/>
            <w:vAlign w:val="bottom"/>
            <w:shd w:val="clear" w:color="auto" w:fill="CEFFE7"/>
          </w:tcPr>
          <w:p>
            <w:pPr>
              <w:spacing w:after="0"/>
              <w:rPr>
                <w:sz w:val="14"/>
                <w:szCs w:val="14"/>
                <w:color w:val="auto"/>
              </w:rPr>
            </w:pPr>
          </w:p>
        </w:tc>
        <w:tc>
          <w:tcPr>
            <w:tcW w:w="1020" w:type="dxa"/>
            <w:vAlign w:val="bottom"/>
            <w:shd w:val="clear" w:color="auto" w:fill="CEFFE7"/>
          </w:tcPr>
          <w:p>
            <w:pPr>
              <w:spacing w:after="0"/>
              <w:rPr>
                <w:sz w:val="14"/>
                <w:szCs w:val="14"/>
                <w:color w:val="auto"/>
              </w:rPr>
            </w:pPr>
          </w:p>
        </w:tc>
        <w:tc>
          <w:tcPr>
            <w:tcW w:w="8860" w:type="dxa"/>
            <w:vAlign w:val="bottom"/>
            <w:shd w:val="clear" w:color="auto" w:fill="CEFFE7"/>
          </w:tcPr>
          <w:p>
            <w:pPr>
              <w:ind w:left="480"/>
              <w:spacing w:after="0" w:line="162" w:lineRule="exact"/>
              <w:rPr>
                <w:sz w:val="20"/>
                <w:szCs w:val="20"/>
                <w:color w:val="auto"/>
              </w:rPr>
            </w:pPr>
            <w:r>
              <w:rPr>
                <w:rFonts w:ascii="Arial" w:cs="Arial" w:eastAsia="Arial" w:hAnsi="Arial"/>
                <w:sz w:val="16"/>
                <w:szCs w:val="16"/>
                <w:color w:val="auto"/>
              </w:rPr>
              <w:t>below 65 degrees. The colder the climate, the greater the number of heating degree days. Heating degree days are</w:t>
            </w:r>
          </w:p>
        </w:tc>
      </w:tr>
      <w:tr>
        <w:trPr>
          <w:trHeight w:val="162"/>
        </w:trPr>
        <w:tc>
          <w:tcPr>
            <w:tcW w:w="1360" w:type="dxa"/>
            <w:vAlign w:val="bottom"/>
            <w:shd w:val="clear" w:color="auto" w:fill="CEFFE7"/>
          </w:tcPr>
          <w:p>
            <w:pPr>
              <w:spacing w:after="0"/>
              <w:rPr>
                <w:sz w:val="14"/>
                <w:szCs w:val="14"/>
                <w:color w:val="auto"/>
              </w:rPr>
            </w:pPr>
          </w:p>
        </w:tc>
        <w:tc>
          <w:tcPr>
            <w:tcW w:w="1020" w:type="dxa"/>
            <w:vAlign w:val="bottom"/>
            <w:shd w:val="clear" w:color="auto" w:fill="CEFFE7"/>
          </w:tcPr>
          <w:p>
            <w:pPr>
              <w:spacing w:after="0"/>
              <w:rPr>
                <w:sz w:val="14"/>
                <w:szCs w:val="14"/>
                <w:color w:val="auto"/>
              </w:rPr>
            </w:pPr>
          </w:p>
        </w:tc>
        <w:tc>
          <w:tcPr>
            <w:tcW w:w="8860" w:type="dxa"/>
            <w:vAlign w:val="bottom"/>
            <w:shd w:val="clear" w:color="auto" w:fill="CEFFE7"/>
          </w:tcPr>
          <w:p>
            <w:pPr>
              <w:ind w:left="480"/>
              <w:spacing w:after="0" w:line="162" w:lineRule="exact"/>
              <w:rPr>
                <w:sz w:val="20"/>
                <w:szCs w:val="20"/>
                <w:color w:val="auto"/>
              </w:rPr>
            </w:pPr>
            <w:r>
              <w:rPr>
                <w:rFonts w:ascii="Arial" w:cs="Arial" w:eastAsia="Arial" w:hAnsi="Arial"/>
                <w:sz w:val="16"/>
                <w:szCs w:val="16"/>
                <w:color w:val="auto"/>
              </w:rPr>
              <w:t>used in the utility industry to measure the relative coldness and to compare relative temperatures between one</w:t>
            </w:r>
          </w:p>
        </w:tc>
      </w:tr>
      <w:tr>
        <w:trPr>
          <w:trHeight w:val="162"/>
        </w:trPr>
        <w:tc>
          <w:tcPr>
            <w:tcW w:w="1360" w:type="dxa"/>
            <w:vAlign w:val="bottom"/>
            <w:shd w:val="clear" w:color="auto" w:fill="CEFFE7"/>
          </w:tcPr>
          <w:p>
            <w:pPr>
              <w:spacing w:after="0"/>
              <w:rPr>
                <w:sz w:val="14"/>
                <w:szCs w:val="14"/>
                <w:color w:val="auto"/>
              </w:rPr>
            </w:pPr>
          </w:p>
        </w:tc>
        <w:tc>
          <w:tcPr>
            <w:tcW w:w="1020" w:type="dxa"/>
            <w:vAlign w:val="bottom"/>
            <w:shd w:val="clear" w:color="auto" w:fill="CEFFE7"/>
          </w:tcPr>
          <w:p>
            <w:pPr>
              <w:spacing w:after="0"/>
              <w:rPr>
                <w:sz w:val="14"/>
                <w:szCs w:val="14"/>
                <w:color w:val="auto"/>
              </w:rPr>
            </w:pPr>
          </w:p>
        </w:tc>
        <w:tc>
          <w:tcPr>
            <w:tcW w:w="8860" w:type="dxa"/>
            <w:vAlign w:val="bottom"/>
            <w:shd w:val="clear" w:color="auto" w:fill="CEFFE7"/>
          </w:tcPr>
          <w:p>
            <w:pPr>
              <w:ind w:left="48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16"/>
        </w:trPr>
        <w:tc>
          <w:tcPr>
            <w:tcW w:w="136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locations.</w:t>
            </w: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Integrated Generation</w:t>
            </w:r>
          </w:p>
        </w:tc>
        <w:tc>
          <w:tcPr>
            <w:tcW w:w="8860" w:type="dxa"/>
            <w:vAlign w:val="bottom"/>
          </w:tcPr>
          <w:p>
            <w:pPr>
              <w:ind w:left="480"/>
              <w:spacing w:after="0" w:line="162" w:lineRule="exact"/>
              <w:rPr>
                <w:sz w:val="20"/>
                <w:szCs w:val="20"/>
                <w:color w:val="auto"/>
              </w:rPr>
            </w:pPr>
            <w:r>
              <w:rPr>
                <w:rFonts w:ascii="Arial" w:cs="Arial" w:eastAsia="Arial" w:hAnsi="Arial"/>
                <w:sz w:val="16"/>
                <w:szCs w:val="16"/>
                <w:color w:val="auto"/>
              </w:rPr>
              <w:t>Non-regulated power generation and mining businesses that are vertically integrated within our Electric Utilities</w:t>
            </w:r>
          </w:p>
        </w:tc>
      </w:tr>
      <w:tr>
        <w:trPr>
          <w:trHeight w:val="215"/>
        </w:trPr>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60" w:type="dxa"/>
            <w:vAlign w:val="bottom"/>
          </w:tcPr>
          <w:p>
            <w:pPr>
              <w:ind w:left="480"/>
              <w:spacing w:after="0"/>
              <w:rPr>
                <w:sz w:val="20"/>
                <w:szCs w:val="20"/>
                <w:color w:val="auto"/>
              </w:rPr>
            </w:pPr>
            <w:r>
              <w:rPr>
                <w:rFonts w:ascii="Arial" w:cs="Arial" w:eastAsia="Arial" w:hAnsi="Arial"/>
                <w:sz w:val="16"/>
                <w:szCs w:val="16"/>
                <w:color w:val="auto"/>
              </w:rPr>
              <w:t>segment.</w:t>
            </w:r>
          </w:p>
        </w:tc>
      </w:tr>
      <w:tr>
        <w:trPr>
          <w:trHeight w:val="163"/>
        </w:trPr>
        <w:tc>
          <w:tcPr>
            <w:tcW w:w="238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Iowa Gas</w:t>
            </w:r>
          </w:p>
        </w:tc>
        <w:tc>
          <w:tcPr>
            <w:tcW w:w="8860" w:type="dxa"/>
            <w:vAlign w:val="bottom"/>
            <w:shd w:val="clear" w:color="auto" w:fill="CEFFE7"/>
          </w:tcPr>
          <w:p>
            <w:pPr>
              <w:ind w:left="480"/>
              <w:spacing w:after="0" w:line="163"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 providing</w:t>
            </w:r>
          </w:p>
        </w:tc>
      </w:tr>
      <w:tr>
        <w:trPr>
          <w:trHeight w:val="216"/>
        </w:trPr>
        <w:tc>
          <w:tcPr>
            <w:tcW w:w="136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natural gas services to customers in Iowa (doing business as Black Hills Energy).</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IPP</w:t>
            </w:r>
          </w:p>
        </w:tc>
        <w:tc>
          <w:tcPr>
            <w:tcW w:w="8860" w:type="dxa"/>
            <w:vAlign w:val="bottom"/>
          </w:tcPr>
          <w:p>
            <w:pPr>
              <w:ind w:left="480"/>
              <w:spacing w:after="0"/>
              <w:rPr>
                <w:sz w:val="20"/>
                <w:szCs w:val="20"/>
                <w:color w:val="auto"/>
              </w:rPr>
            </w:pPr>
            <w:r>
              <w:rPr>
                <w:rFonts w:ascii="Arial" w:cs="Arial" w:eastAsia="Arial" w:hAnsi="Arial"/>
                <w:sz w:val="16"/>
                <w:szCs w:val="16"/>
                <w:color w:val="auto"/>
              </w:rPr>
              <w:t>Independent Power Producer</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IRS</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United States Internal Revenue Service</w:t>
            </w: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Kansas Gas</w:t>
            </w:r>
          </w:p>
        </w:tc>
        <w:tc>
          <w:tcPr>
            <w:tcW w:w="8860" w:type="dxa"/>
            <w:vAlign w:val="bottom"/>
          </w:tcPr>
          <w:p>
            <w:pPr>
              <w:ind w:left="480"/>
              <w:spacing w:after="0" w:line="162" w:lineRule="exact"/>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215"/>
        </w:trPr>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60" w:type="dxa"/>
            <w:vAlign w:val="bottom"/>
          </w:tcPr>
          <w:p>
            <w:pPr>
              <w:ind w:left="48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KCC</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Kansas Corporation Commission</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kV</w:t>
            </w:r>
          </w:p>
        </w:tc>
        <w:tc>
          <w:tcPr>
            <w:tcW w:w="8860" w:type="dxa"/>
            <w:vAlign w:val="bottom"/>
          </w:tcPr>
          <w:p>
            <w:pPr>
              <w:ind w:left="480"/>
              <w:spacing w:after="0"/>
              <w:rPr>
                <w:sz w:val="20"/>
                <w:szCs w:val="20"/>
                <w:color w:val="auto"/>
              </w:rPr>
            </w:pPr>
            <w:r>
              <w:rPr>
                <w:rFonts w:ascii="Arial" w:cs="Arial" w:eastAsia="Arial" w:hAnsi="Arial"/>
                <w:sz w:val="16"/>
                <w:szCs w:val="16"/>
                <w:color w:val="auto"/>
              </w:rPr>
              <w:t>Kilovolt</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LIBOR</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London Interbank Offered Rate</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MEAN</w:t>
            </w:r>
          </w:p>
        </w:tc>
        <w:tc>
          <w:tcPr>
            <w:tcW w:w="8860" w:type="dxa"/>
            <w:vAlign w:val="bottom"/>
          </w:tcPr>
          <w:p>
            <w:pPr>
              <w:ind w:left="480"/>
              <w:spacing w:after="0"/>
              <w:rPr>
                <w:sz w:val="20"/>
                <w:szCs w:val="20"/>
                <w:color w:val="auto"/>
              </w:rPr>
            </w:pPr>
            <w:r>
              <w:rPr>
                <w:rFonts w:ascii="Arial" w:cs="Arial" w:eastAsia="Arial" w:hAnsi="Arial"/>
                <w:sz w:val="16"/>
                <w:szCs w:val="16"/>
                <w:color w:val="auto"/>
              </w:rPr>
              <w:t>Municipal Energy Agency of Nebraska</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MMBtu</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Million British thermal units</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Moody’s</w:t>
            </w:r>
          </w:p>
        </w:tc>
        <w:tc>
          <w:tcPr>
            <w:tcW w:w="8860" w:type="dxa"/>
            <w:vAlign w:val="bottom"/>
          </w:tcPr>
          <w:p>
            <w:pPr>
              <w:ind w:left="480"/>
              <w:spacing w:after="0"/>
              <w:rPr>
                <w:sz w:val="20"/>
                <w:szCs w:val="20"/>
                <w:color w:val="auto"/>
              </w:rPr>
            </w:pPr>
            <w:r>
              <w:rPr>
                <w:rFonts w:ascii="Arial" w:cs="Arial" w:eastAsia="Arial" w:hAnsi="Arial"/>
                <w:sz w:val="16"/>
                <w:szCs w:val="16"/>
                <w:color w:val="auto"/>
              </w:rPr>
              <w:t>Moody’s Investors Service, Inc.</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MW</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Megawatts</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MWh</w:t>
            </w:r>
          </w:p>
        </w:tc>
        <w:tc>
          <w:tcPr>
            <w:tcW w:w="8860" w:type="dxa"/>
            <w:vAlign w:val="bottom"/>
          </w:tcPr>
          <w:p>
            <w:pPr>
              <w:ind w:left="480"/>
              <w:spacing w:after="0"/>
              <w:rPr>
                <w:sz w:val="20"/>
                <w:szCs w:val="20"/>
                <w:color w:val="auto"/>
              </w:rPr>
            </w:pPr>
            <w:r>
              <w:rPr>
                <w:rFonts w:ascii="Arial" w:cs="Arial" w:eastAsia="Arial" w:hAnsi="Arial"/>
                <w:sz w:val="16"/>
                <w:szCs w:val="16"/>
                <w:color w:val="auto"/>
              </w:rPr>
              <w:t>Megawatt-hours</w:t>
            </w:r>
          </w:p>
        </w:tc>
      </w:tr>
      <w:tr>
        <w:trPr>
          <w:trHeight w:val="163"/>
        </w:trPr>
        <w:tc>
          <w:tcPr>
            <w:tcW w:w="238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Nebraska Gas</w:t>
            </w:r>
          </w:p>
        </w:tc>
        <w:tc>
          <w:tcPr>
            <w:tcW w:w="8860" w:type="dxa"/>
            <w:vAlign w:val="bottom"/>
            <w:shd w:val="clear" w:color="auto" w:fill="CEFFE7"/>
          </w:tcPr>
          <w:p>
            <w:pPr>
              <w:ind w:left="480"/>
              <w:spacing w:after="0" w:line="163" w:lineRule="exact"/>
              <w:rPr>
                <w:sz w:val="20"/>
                <w:szCs w:val="20"/>
                <w:color w:val="auto"/>
              </w:rPr>
            </w:pPr>
            <w:r>
              <w:rPr>
                <w:rFonts w:ascii="Arial" w:cs="Arial" w:eastAsia="Arial" w:hAnsi="Arial"/>
                <w:sz w:val="16"/>
                <w:szCs w:val="16"/>
                <w:color w:val="auto"/>
              </w:rPr>
              <w:t>Black Hills Nebraska Gas, LLC, an indirect, wholly-owned subsidiary of Black Hills Utility Holdings, providing natural</w:t>
            </w:r>
          </w:p>
        </w:tc>
      </w:tr>
      <w:tr>
        <w:trPr>
          <w:trHeight w:val="216"/>
        </w:trPr>
        <w:tc>
          <w:tcPr>
            <w:tcW w:w="136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gas services to customers in Nebraska (doing business as Black Hills Energy).</w:t>
            </w: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Neil Simpson II</w:t>
            </w:r>
          </w:p>
        </w:tc>
        <w:tc>
          <w:tcPr>
            <w:tcW w:w="8860" w:type="dxa"/>
            <w:vAlign w:val="bottom"/>
          </w:tcPr>
          <w:p>
            <w:pPr>
              <w:ind w:left="480"/>
              <w:spacing w:after="0" w:line="162" w:lineRule="exact"/>
              <w:rPr>
                <w:sz w:val="20"/>
                <w:szCs w:val="20"/>
                <w:color w:val="auto"/>
              </w:rPr>
            </w:pPr>
            <w:r>
              <w:rPr>
                <w:rFonts w:ascii="Arial" w:cs="Arial" w:eastAsia="Arial" w:hAnsi="Arial"/>
                <w:sz w:val="16"/>
                <w:szCs w:val="16"/>
                <w:color w:val="auto"/>
              </w:rPr>
              <w:t>A mine-mouth, coal-fired power plant owned and operated by South Dakota Electric with a total capacity of 90 MW</w:t>
            </w:r>
          </w:p>
        </w:tc>
      </w:tr>
      <w:tr>
        <w:trPr>
          <w:trHeight w:val="215"/>
        </w:trPr>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60" w:type="dxa"/>
            <w:vAlign w:val="bottom"/>
          </w:tcPr>
          <w:p>
            <w:pPr>
              <w:ind w:left="480"/>
              <w:spacing w:after="0"/>
              <w:rPr>
                <w:sz w:val="20"/>
                <w:szCs w:val="20"/>
                <w:color w:val="auto"/>
              </w:rPr>
            </w:pPr>
            <w:r>
              <w:rPr>
                <w:rFonts w:ascii="Arial" w:cs="Arial" w:eastAsia="Arial" w:hAnsi="Arial"/>
                <w:sz w:val="16"/>
                <w:szCs w:val="16"/>
                <w:color w:val="auto"/>
              </w:rPr>
              <w:t>located at our Gillette, Wyoming energy complex.</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NO</w:t>
            </w:r>
            <w:r>
              <w:rPr>
                <w:rFonts w:ascii="Arial" w:cs="Arial" w:eastAsia="Arial" w:hAnsi="Arial"/>
                <w:sz w:val="10"/>
                <w:szCs w:val="10"/>
                <w:color w:val="auto"/>
              </w:rPr>
              <w:t>x</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Nitrogen oxide</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NPSC</w:t>
            </w:r>
          </w:p>
        </w:tc>
        <w:tc>
          <w:tcPr>
            <w:tcW w:w="8860" w:type="dxa"/>
            <w:vAlign w:val="bottom"/>
          </w:tcPr>
          <w:p>
            <w:pPr>
              <w:ind w:left="480"/>
              <w:spacing w:after="0"/>
              <w:rPr>
                <w:sz w:val="20"/>
                <w:szCs w:val="20"/>
                <w:color w:val="auto"/>
              </w:rPr>
            </w:pPr>
            <w:r>
              <w:rPr>
                <w:rFonts w:ascii="Arial" w:cs="Arial" w:eastAsia="Arial" w:hAnsi="Arial"/>
                <w:sz w:val="16"/>
                <w:szCs w:val="16"/>
                <w:color w:val="auto"/>
              </w:rPr>
              <w:t>Nebraska Public Service Commission</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OCI</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Other Comprehensive Income</w:t>
            </w:r>
          </w:p>
        </w:tc>
      </w:tr>
      <w:tr>
        <w:trPr>
          <w:trHeight w:val="215"/>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PPA</w:t>
            </w:r>
          </w:p>
        </w:tc>
        <w:tc>
          <w:tcPr>
            <w:tcW w:w="8860" w:type="dxa"/>
            <w:vAlign w:val="bottom"/>
          </w:tcPr>
          <w:p>
            <w:pPr>
              <w:ind w:left="480"/>
              <w:spacing w:after="0"/>
              <w:rPr>
                <w:sz w:val="20"/>
                <w:szCs w:val="20"/>
                <w:color w:val="auto"/>
              </w:rPr>
            </w:pPr>
            <w:r>
              <w:rPr>
                <w:rFonts w:ascii="Arial" w:cs="Arial" w:eastAsia="Arial" w:hAnsi="Arial"/>
                <w:sz w:val="16"/>
                <w:szCs w:val="16"/>
                <w:color w:val="auto"/>
              </w:rPr>
              <w:t>Power Purchase Agreement</w:t>
            </w:r>
          </w:p>
        </w:tc>
      </w:tr>
      <w:tr>
        <w:trPr>
          <w:trHeight w:val="217"/>
        </w:trPr>
        <w:tc>
          <w:tcPr>
            <w:tcW w:w="23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PTC</w:t>
            </w: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Production Tax Credit</w:t>
            </w: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Pueblo Airport Generation</w:t>
            </w:r>
          </w:p>
        </w:tc>
        <w:tc>
          <w:tcPr>
            <w:tcW w:w="8860" w:type="dxa"/>
            <w:vAlign w:val="bottom"/>
          </w:tcPr>
          <w:p>
            <w:pPr>
              <w:ind w:left="480"/>
              <w:spacing w:after="0" w:line="162" w:lineRule="exact"/>
              <w:rPr>
                <w:sz w:val="20"/>
                <w:szCs w:val="20"/>
                <w:color w:val="auto"/>
              </w:rPr>
            </w:pPr>
            <w:r>
              <w:rPr>
                <w:rFonts w:ascii="Arial" w:cs="Arial" w:eastAsia="Arial" w:hAnsi="Arial"/>
                <w:sz w:val="16"/>
                <w:szCs w:val="16"/>
                <w:color w:val="auto"/>
              </w:rPr>
              <w:t>The 420 MW combined cycle gas-fired power generating plants jointly owned by Colorado Electric (220 MW) and</w:t>
            </w:r>
          </w:p>
        </w:tc>
      </w:tr>
      <w:tr>
        <w:trPr>
          <w:trHeight w:val="162"/>
        </w:trPr>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60" w:type="dxa"/>
            <w:vAlign w:val="bottom"/>
          </w:tcPr>
          <w:p>
            <w:pPr>
              <w:ind w:left="480"/>
              <w:spacing w:after="0" w:line="162" w:lineRule="exact"/>
              <w:rPr>
                <w:sz w:val="20"/>
                <w:szCs w:val="20"/>
                <w:color w:val="auto"/>
              </w:rPr>
            </w:pPr>
            <w:r>
              <w:rPr>
                <w:rFonts w:ascii="Arial" w:cs="Arial" w:eastAsia="Arial" w:hAnsi="Arial"/>
                <w:sz w:val="16"/>
                <w:szCs w:val="16"/>
                <w:color w:val="auto"/>
              </w:rPr>
              <w:t>Black Hills Colorado IPP (200 MW). Black Hills Colorado IPP operates this facility. The plants commenced operation</w:t>
            </w:r>
          </w:p>
        </w:tc>
      </w:tr>
      <w:tr>
        <w:trPr>
          <w:trHeight w:val="215"/>
        </w:trPr>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60" w:type="dxa"/>
            <w:vAlign w:val="bottom"/>
          </w:tcPr>
          <w:p>
            <w:pPr>
              <w:ind w:left="480"/>
              <w:spacing w:after="0"/>
              <w:rPr>
                <w:sz w:val="20"/>
                <w:szCs w:val="20"/>
                <w:color w:val="auto"/>
              </w:rPr>
            </w:pPr>
            <w:r>
              <w:rPr>
                <w:rFonts w:ascii="Arial" w:cs="Arial" w:eastAsia="Arial" w:hAnsi="Arial"/>
                <w:sz w:val="16"/>
                <w:szCs w:val="16"/>
                <w:color w:val="auto"/>
              </w:rPr>
              <w:t>on January 1, 2012.</w:t>
            </w:r>
          </w:p>
        </w:tc>
      </w:tr>
      <w:tr>
        <w:trPr>
          <w:trHeight w:val="163"/>
        </w:trPr>
        <w:tc>
          <w:tcPr>
            <w:tcW w:w="238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i w:val="1"/>
                <w:iCs w:val="1"/>
                <w:color w:val="auto"/>
              </w:rPr>
              <w:t>Ready Wyoming</w:t>
            </w:r>
          </w:p>
        </w:tc>
        <w:tc>
          <w:tcPr>
            <w:tcW w:w="8860" w:type="dxa"/>
            <w:vAlign w:val="bottom"/>
            <w:shd w:val="clear" w:color="auto" w:fill="CEFFE7"/>
          </w:tcPr>
          <w:p>
            <w:pPr>
              <w:ind w:left="480"/>
              <w:spacing w:after="0" w:line="163" w:lineRule="exact"/>
              <w:rPr>
                <w:sz w:val="20"/>
                <w:szCs w:val="20"/>
                <w:color w:val="auto"/>
              </w:rPr>
            </w:pPr>
            <w:r>
              <w:rPr>
                <w:rFonts w:ascii="Arial" w:cs="Arial" w:eastAsia="Arial" w:hAnsi="Arial"/>
                <w:sz w:val="16"/>
                <w:szCs w:val="16"/>
                <w:color w:val="auto"/>
              </w:rPr>
              <w:t>A 260-mile, multi-phase transmission expansion project in Wyoming. This transmission project will serve the growing</w:t>
            </w:r>
          </w:p>
        </w:tc>
      </w:tr>
      <w:tr>
        <w:trPr>
          <w:trHeight w:val="162"/>
        </w:trPr>
        <w:tc>
          <w:tcPr>
            <w:tcW w:w="1360" w:type="dxa"/>
            <w:vAlign w:val="bottom"/>
            <w:shd w:val="clear" w:color="auto" w:fill="CEFFE7"/>
          </w:tcPr>
          <w:p>
            <w:pPr>
              <w:spacing w:after="0"/>
              <w:rPr>
                <w:sz w:val="14"/>
                <w:szCs w:val="14"/>
                <w:color w:val="auto"/>
              </w:rPr>
            </w:pPr>
          </w:p>
        </w:tc>
        <w:tc>
          <w:tcPr>
            <w:tcW w:w="1020" w:type="dxa"/>
            <w:vAlign w:val="bottom"/>
            <w:shd w:val="clear" w:color="auto" w:fill="CEFFE7"/>
          </w:tcPr>
          <w:p>
            <w:pPr>
              <w:spacing w:after="0"/>
              <w:rPr>
                <w:sz w:val="14"/>
                <w:szCs w:val="14"/>
                <w:color w:val="auto"/>
              </w:rPr>
            </w:pPr>
          </w:p>
        </w:tc>
        <w:tc>
          <w:tcPr>
            <w:tcW w:w="8860" w:type="dxa"/>
            <w:vAlign w:val="bottom"/>
            <w:shd w:val="clear" w:color="auto" w:fill="CEFFE7"/>
          </w:tcPr>
          <w:p>
            <w:pPr>
              <w:ind w:left="480"/>
              <w:spacing w:after="0" w:line="162" w:lineRule="exact"/>
              <w:rPr>
                <w:sz w:val="20"/>
                <w:szCs w:val="20"/>
                <w:color w:val="auto"/>
              </w:rPr>
            </w:pPr>
            <w:r>
              <w:rPr>
                <w:rFonts w:ascii="Arial" w:cs="Arial" w:eastAsia="Arial" w:hAnsi="Arial"/>
                <w:sz w:val="16"/>
                <w:szCs w:val="16"/>
                <w:color w:val="auto"/>
              </w:rPr>
              <w:t>needs of customers by enhancing resiliency of Wyoming Electric’s overall electric system and expanding access to</w:t>
            </w:r>
          </w:p>
        </w:tc>
      </w:tr>
      <w:tr>
        <w:trPr>
          <w:trHeight w:val="162"/>
        </w:trPr>
        <w:tc>
          <w:tcPr>
            <w:tcW w:w="1360" w:type="dxa"/>
            <w:vAlign w:val="bottom"/>
            <w:shd w:val="clear" w:color="auto" w:fill="CEFFE7"/>
          </w:tcPr>
          <w:p>
            <w:pPr>
              <w:spacing w:after="0"/>
              <w:rPr>
                <w:sz w:val="14"/>
                <w:szCs w:val="14"/>
                <w:color w:val="auto"/>
              </w:rPr>
            </w:pPr>
          </w:p>
        </w:tc>
        <w:tc>
          <w:tcPr>
            <w:tcW w:w="1020" w:type="dxa"/>
            <w:vAlign w:val="bottom"/>
            <w:shd w:val="clear" w:color="auto" w:fill="CEFFE7"/>
          </w:tcPr>
          <w:p>
            <w:pPr>
              <w:spacing w:after="0"/>
              <w:rPr>
                <w:sz w:val="14"/>
                <w:szCs w:val="14"/>
                <w:color w:val="auto"/>
              </w:rPr>
            </w:pPr>
          </w:p>
        </w:tc>
        <w:tc>
          <w:tcPr>
            <w:tcW w:w="8860" w:type="dxa"/>
            <w:vAlign w:val="bottom"/>
            <w:shd w:val="clear" w:color="auto" w:fill="CEFFE7"/>
          </w:tcPr>
          <w:p>
            <w:pPr>
              <w:ind w:left="480"/>
              <w:spacing w:after="0" w:line="162" w:lineRule="exact"/>
              <w:rPr>
                <w:sz w:val="20"/>
                <w:szCs w:val="20"/>
                <w:color w:val="auto"/>
              </w:rPr>
            </w:pPr>
            <w:r>
              <w:rPr>
                <w:rFonts w:ascii="Arial" w:cs="Arial" w:eastAsia="Arial" w:hAnsi="Arial"/>
                <w:sz w:val="16"/>
                <w:szCs w:val="16"/>
                <w:color w:val="auto"/>
              </w:rPr>
              <w:t>power markets and renewable resources. The project will help Wyoming Electric maintain top-quartile reliability and</w:t>
            </w:r>
          </w:p>
        </w:tc>
      </w:tr>
      <w:tr>
        <w:trPr>
          <w:trHeight w:val="216"/>
        </w:trPr>
        <w:tc>
          <w:tcPr>
            <w:tcW w:w="136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enable economic development in the Cheyenne, Wyoming region.</w:t>
            </w: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Renewable Ready</w:t>
            </w:r>
          </w:p>
        </w:tc>
        <w:tc>
          <w:tcPr>
            <w:tcW w:w="8860" w:type="dxa"/>
            <w:vAlign w:val="bottom"/>
          </w:tcPr>
          <w:p>
            <w:pPr>
              <w:ind w:left="480"/>
              <w:spacing w:after="0" w:line="162" w:lineRule="exact"/>
              <w:rPr>
                <w:sz w:val="20"/>
                <w:szCs w:val="20"/>
                <w:color w:val="auto"/>
              </w:rPr>
            </w:pPr>
            <w:r>
              <w:rPr>
                <w:rFonts w:ascii="Arial" w:cs="Arial" w:eastAsia="Arial" w:hAnsi="Arial"/>
                <w:sz w:val="16"/>
                <w:szCs w:val="16"/>
                <w:color w:val="auto"/>
              </w:rPr>
              <w:t>Voluntary renewable energy subscription program for large commercial, industrial and governmental agency</w:t>
            </w:r>
          </w:p>
        </w:tc>
      </w:tr>
      <w:tr>
        <w:trPr>
          <w:trHeight w:val="215"/>
        </w:trPr>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60" w:type="dxa"/>
            <w:vAlign w:val="bottom"/>
          </w:tcPr>
          <w:p>
            <w:pPr>
              <w:ind w:left="480"/>
              <w:spacing w:after="0"/>
              <w:rPr>
                <w:sz w:val="20"/>
                <w:szCs w:val="20"/>
                <w:color w:val="auto"/>
              </w:rPr>
            </w:pPr>
            <w:r>
              <w:rPr>
                <w:rFonts w:ascii="Arial" w:cs="Arial" w:eastAsia="Arial" w:hAnsi="Arial"/>
                <w:sz w:val="16"/>
                <w:szCs w:val="16"/>
                <w:color w:val="auto"/>
              </w:rPr>
              <w:t>customers in South Dakota and Wyoming.</w:t>
            </w:r>
          </w:p>
        </w:tc>
      </w:tr>
      <w:tr>
        <w:trPr>
          <w:trHeight w:val="163"/>
        </w:trPr>
        <w:tc>
          <w:tcPr>
            <w:tcW w:w="238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Revolving Credit Facility</w:t>
            </w:r>
          </w:p>
        </w:tc>
        <w:tc>
          <w:tcPr>
            <w:tcW w:w="8860" w:type="dxa"/>
            <w:vAlign w:val="bottom"/>
            <w:shd w:val="clear" w:color="auto" w:fill="CEFFE7"/>
          </w:tcPr>
          <w:p>
            <w:pPr>
              <w:ind w:left="480"/>
              <w:spacing w:after="0" w:line="163"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 purposes,</w:t>
            </w:r>
          </w:p>
        </w:tc>
      </w:tr>
      <w:tr>
        <w:trPr>
          <w:trHeight w:val="216"/>
        </w:trPr>
        <w:tc>
          <w:tcPr>
            <w:tcW w:w="136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8860" w:type="dxa"/>
            <w:vAlign w:val="bottom"/>
            <w:shd w:val="clear" w:color="auto" w:fill="CEFFE7"/>
          </w:tcPr>
          <w:p>
            <w:pPr>
              <w:ind w:left="480"/>
              <w:spacing w:after="0"/>
              <w:rPr>
                <w:sz w:val="20"/>
                <w:szCs w:val="20"/>
                <w:color w:val="auto"/>
              </w:rPr>
            </w:pPr>
            <w:r>
              <w:rPr>
                <w:rFonts w:ascii="Arial" w:cs="Arial" w:eastAsia="Arial" w:hAnsi="Arial"/>
                <w:sz w:val="16"/>
                <w:szCs w:val="16"/>
                <w:color w:val="auto"/>
              </w:rPr>
              <w:t>which was amended and restated on July 19, 2021, and now terminates on July 19, 2026.</w:t>
            </w: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RMNG</w:t>
            </w:r>
          </w:p>
        </w:tc>
        <w:tc>
          <w:tcPr>
            <w:tcW w:w="8860" w:type="dxa"/>
            <w:vAlign w:val="bottom"/>
          </w:tcPr>
          <w:p>
            <w:pPr>
              <w:ind w:left="480"/>
              <w:spacing w:after="0" w:line="162" w:lineRule="exact"/>
              <w:rPr>
                <w:sz w:val="20"/>
                <w:szCs w:val="20"/>
                <w:color w:val="auto"/>
              </w:rPr>
            </w:pPr>
            <w:r>
              <w:rPr>
                <w:rFonts w:ascii="Arial" w:cs="Arial" w:eastAsia="Arial" w:hAnsi="Arial"/>
                <w:sz w:val="16"/>
                <w:szCs w:val="16"/>
                <w:color w:val="auto"/>
              </w:rPr>
              <w:t>Rocky Mountain Natural Gas LLC, an indirect, wholly-owned subsidiary of Black Hills Utility Holdings, providing</w:t>
            </w:r>
          </w:p>
        </w:tc>
      </w:tr>
      <w:tr>
        <w:trPr>
          <w:trHeight w:val="215"/>
        </w:trPr>
        <w:tc>
          <w:tcPr>
            <w:tcW w:w="1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60" w:type="dxa"/>
            <w:vAlign w:val="bottom"/>
          </w:tcPr>
          <w:p>
            <w:pPr>
              <w:ind w:left="480"/>
              <w:spacing w:after="0"/>
              <w:rPr>
                <w:sz w:val="20"/>
                <w:szCs w:val="20"/>
                <w:color w:val="auto"/>
              </w:rPr>
            </w:pPr>
            <w:r>
              <w:rPr>
                <w:rFonts w:ascii="Arial" w:cs="Arial" w:eastAsia="Arial" w:hAnsi="Arial"/>
                <w:sz w:val="16"/>
                <w:szCs w:val="16"/>
                <w:color w:val="auto"/>
              </w:rPr>
              <w:t>natural gas transmission and wholesale services in western Colorado (doing business as Black Hills Energy).</w:t>
            </w:r>
          </w:p>
        </w:tc>
      </w:tr>
      <w:tr>
        <w:trPr>
          <w:trHeight w:val="620"/>
        </w:trPr>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60" w:type="dxa"/>
            <w:vAlign w:val="bottom"/>
          </w:tcPr>
          <w:p>
            <w:pPr>
              <w:ind w:left="3200"/>
              <w:spacing w:after="0"/>
              <w:rPr>
                <w:sz w:val="20"/>
                <w:szCs w:val="20"/>
                <w:color w:val="auto"/>
              </w:rPr>
            </w:pPr>
            <w:r>
              <w:rPr>
                <w:rFonts w:ascii="Arial" w:cs="Arial" w:eastAsia="Arial" w:hAnsi="Arial"/>
                <w:sz w:val="16"/>
                <w:szCs w:val="16"/>
                <w:color w:val="auto"/>
              </w:rPr>
              <w:t>5</w:t>
            </w:r>
          </w:p>
        </w:tc>
      </w:tr>
      <w:tr>
        <w:trPr>
          <w:trHeight w:val="347"/>
        </w:trPr>
        <w:tc>
          <w:tcPr>
            <w:tcW w:w="1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780" w:type="dxa"/>
            <w:vAlign w:val="bottom"/>
          </w:tcPr>
          <w:p>
            <w:pPr>
              <w:spacing w:after="0"/>
              <w:rPr>
                <w:sz w:val="16"/>
                <w:szCs w:val="16"/>
                <w:color w:val="auto"/>
              </w:rPr>
            </w:pPr>
          </w:p>
        </w:tc>
      </w:tr>
      <w:tr>
        <w:trPr>
          <w:trHeight w:val="709"/>
        </w:trPr>
        <w:tc>
          <w:tcPr>
            <w:tcW w:w="13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216"/>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RNG</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Renewable Natural Gas</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SEC</w:t>
            </w:r>
          </w:p>
        </w:tc>
        <w:tc>
          <w:tcPr>
            <w:tcW w:w="8780" w:type="dxa"/>
            <w:vAlign w:val="bottom"/>
          </w:tcPr>
          <w:p>
            <w:pPr>
              <w:ind w:left="400"/>
              <w:spacing w:after="0"/>
              <w:rPr>
                <w:sz w:val="20"/>
                <w:szCs w:val="20"/>
                <w:color w:val="auto"/>
              </w:rPr>
            </w:pPr>
            <w:r>
              <w:rPr>
                <w:rFonts w:ascii="Arial" w:cs="Arial" w:eastAsia="Arial" w:hAnsi="Arial"/>
                <w:sz w:val="16"/>
                <w:szCs w:val="16"/>
                <w:color w:val="auto"/>
              </w:rPr>
              <w:t>United States Securities and Exchange Commission</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Service Guard Comfort Plan</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agreements to residential utility customers.</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S&amp;P</w:t>
            </w:r>
          </w:p>
        </w:tc>
        <w:tc>
          <w:tcPr>
            <w:tcW w:w="8780" w:type="dxa"/>
            <w:vAlign w:val="bottom"/>
          </w:tcPr>
          <w:p>
            <w:pPr>
              <w:ind w:left="400"/>
              <w:spacing w:after="0"/>
              <w:rPr>
                <w:sz w:val="20"/>
                <w:szCs w:val="20"/>
                <w:color w:val="auto"/>
              </w:rPr>
            </w:pPr>
            <w:r>
              <w:rPr>
                <w:rFonts w:ascii="Arial" w:cs="Arial" w:eastAsia="Arial" w:hAnsi="Arial"/>
                <w:sz w:val="16"/>
                <w:szCs w:val="16"/>
                <w:color w:val="auto"/>
              </w:rPr>
              <w:t>S&amp;P Global Ratings, a division of S&amp;P Global Inc.</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South Dakota Electric</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 service to</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customers in Montana, South Dakota and Wyoming (doing business as Black Hills Energy).</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SSIR</w:t>
            </w:r>
          </w:p>
        </w:tc>
        <w:tc>
          <w:tcPr>
            <w:tcW w:w="8780" w:type="dxa"/>
            <w:vAlign w:val="bottom"/>
          </w:tcPr>
          <w:p>
            <w:pPr>
              <w:ind w:left="400"/>
              <w:spacing w:after="0"/>
              <w:rPr>
                <w:sz w:val="20"/>
                <w:szCs w:val="20"/>
                <w:color w:val="auto"/>
              </w:rPr>
            </w:pPr>
            <w:r>
              <w:rPr>
                <w:rFonts w:ascii="Arial" w:cs="Arial" w:eastAsia="Arial" w:hAnsi="Arial"/>
                <w:sz w:val="16"/>
                <w:szCs w:val="16"/>
                <w:color w:val="auto"/>
              </w:rPr>
              <w:t>System Safety and Integrity Rider</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SPP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Southwest Power Pool</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TCJA</w:t>
            </w:r>
          </w:p>
        </w:tc>
        <w:tc>
          <w:tcPr>
            <w:tcW w:w="8780" w:type="dxa"/>
            <w:vAlign w:val="bottom"/>
          </w:tcPr>
          <w:p>
            <w:pPr>
              <w:ind w:left="400"/>
              <w:spacing w:after="0"/>
              <w:rPr>
                <w:sz w:val="20"/>
                <w:szCs w:val="20"/>
                <w:color w:val="auto"/>
              </w:rPr>
            </w:pPr>
            <w:r>
              <w:rPr>
                <w:rFonts w:ascii="Arial" w:cs="Arial" w:eastAsia="Arial" w:hAnsi="Arial"/>
                <w:sz w:val="16"/>
                <w:szCs w:val="16"/>
                <w:color w:val="auto"/>
              </w:rPr>
              <w:t>Tax Cuts and Jobs Act</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Tech Services</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 services to large</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industrial customers of our electric utilities, and 2) serve gas transportation customers throughout its service territory</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by constructing and maintaining customer-owned gas infrastructure facilities, typically through one-time contracts.</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Utilities</w:t>
            </w:r>
          </w:p>
        </w:tc>
        <w:tc>
          <w:tcPr>
            <w:tcW w:w="8780" w:type="dxa"/>
            <w:vAlign w:val="bottom"/>
          </w:tcPr>
          <w:p>
            <w:pPr>
              <w:ind w:left="400"/>
              <w:spacing w:after="0"/>
              <w:rPr>
                <w:sz w:val="20"/>
                <w:szCs w:val="20"/>
                <w:color w:val="auto"/>
              </w:rPr>
            </w:pPr>
            <w:r>
              <w:rPr>
                <w:rFonts w:ascii="Arial" w:cs="Arial" w:eastAsia="Arial" w:hAnsi="Arial"/>
                <w:sz w:val="16"/>
                <w:szCs w:val="16"/>
                <w:color w:val="auto"/>
              </w:rPr>
              <w:t>Black Hills’ Electric and Gas Utilities</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Wind Capacity Factor</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 potential.</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Winter Storm Uri</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February 2021 winter weather event that caused extreme cold temperatures in the central United States and led to</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unprecedented fluctuations in customer demand and market pricing for natural gas and energy.</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WPSC</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Wyoming Public Service Commission</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Wygen I</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A mine-mouth, coal-fired power plant with a total capacity of 90 MW located at our Gillette, Wyoming energy</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complex. Black Hills Wyoming owns 76.5% of the facility and Municipal Energy Agency of Nebraska (MEAN) owns</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the remaining 23.5%.</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Wygen II</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A mine-mouth, coal-fired power plant owned by Wyoming Electric with a total capacity of 95 MW located at our</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Gillette, Wyoming energy complex.</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Wygen III</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A mine-mouth, coal-fired power plant operated by South Dakota Electric with a total capacity of 110 MW located at</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our Gillette, Wyoming energy complex. South Dakota Electric owns 52% of the power plant, MDU owns 25% and the</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City of Gillette owns the remaining 23%.</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Wyodak Plant</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The 362 MW mine-mouth, coal-fired generating facility near Gillette, Wyoming, jointly owned by PacifiCorp (80%)</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and South Dakota Electric (20%). Our WRDC mine supplies all of the fuel for the facility.</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Wyoming Electric</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electric service to customers in the Cheyenne, Wyoming area (doing business as Black Hills Energy).</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Wyoming Gas</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Black Hills Wyoming Gas, LLC, an indirect and wholly-owned subsidiary of Black Hills Utility Holdings, providing</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619"/>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6"/>
                <w:szCs w:val="16"/>
                <w:color w:val="auto"/>
              </w:rPr>
              <w:t>6</w:t>
            </w:r>
          </w:p>
        </w:tc>
      </w:tr>
      <w:tr>
        <w:trPr>
          <w:trHeight w:val="346"/>
        </w:trPr>
        <w:tc>
          <w:tcPr>
            <w:tcW w:w="1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2021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10-Q and other reports that we file with the SEC from time to time, and the following:</w:t>
      </w:r>
    </w:p>
    <w:p>
      <w:pPr>
        <w:spacing w:after="0" w:line="232" w:lineRule="exact"/>
        <w:rPr>
          <w:sz w:val="20"/>
          <w:szCs w:val="20"/>
          <w:color w:val="auto"/>
        </w:rPr>
      </w:pPr>
    </w:p>
    <w:p>
      <w:pPr>
        <w:ind w:left="340" w:right="300" w:hanging="332"/>
        <w:spacing w:after="0" w:line="275" w:lineRule="auto"/>
        <w:tabs>
          <w:tab w:leader="none" w:pos="32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9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execute our financing plans;</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changing interest rates;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our greenhouse gas emissions intensity reduction goals;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Board of Directors’ approval of any future quarterly dividends;</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future governmental regulation;</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inflation and volatile energy prices; and</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discussed from time to time in our filings with the SEC.</w:t>
      </w:r>
    </w:p>
    <w:p>
      <w:pPr>
        <w:spacing w:after="0" w:line="248"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00" w:type="dxa"/>
            <w:vAlign w:val="bottom"/>
          </w:tcPr>
          <w:p>
            <w:pPr>
              <w:spacing w:after="0"/>
              <w:rPr>
                <w:sz w:val="18"/>
                <w:szCs w:val="18"/>
                <w:color w:val="auto"/>
              </w:rPr>
            </w:pPr>
          </w:p>
        </w:tc>
        <w:tc>
          <w:tcPr>
            <w:tcW w:w="2720" w:type="dxa"/>
            <w:vAlign w:val="bottom"/>
            <w:gridSpan w:val="3"/>
          </w:tcPr>
          <w:p>
            <w:pPr>
              <w:jc w:val="right"/>
              <w:ind w:right="19"/>
              <w:spacing w:after="0"/>
              <w:rPr>
                <w:sz w:val="20"/>
                <w:szCs w:val="20"/>
                <w:color w:val="auto"/>
              </w:rPr>
            </w:pPr>
            <w:r>
              <w:rPr>
                <w:rFonts w:ascii="Arial" w:cs="Arial" w:eastAsia="Arial" w:hAnsi="Arial"/>
                <w:sz w:val="16"/>
                <w:szCs w:val="16"/>
                <w:color w:val="auto"/>
              </w:rPr>
              <w:t>Three Months Ended September 30,</w:t>
            </w:r>
          </w:p>
        </w:tc>
        <w:tc>
          <w:tcPr>
            <w:tcW w:w="140" w:type="dxa"/>
            <w:vAlign w:val="bottom"/>
          </w:tcPr>
          <w:p>
            <w:pPr>
              <w:spacing w:after="0"/>
              <w:rPr>
                <w:sz w:val="18"/>
                <w:szCs w:val="18"/>
                <w:color w:val="auto"/>
              </w:rPr>
            </w:pPr>
          </w:p>
        </w:tc>
        <w:tc>
          <w:tcPr>
            <w:tcW w:w="2700" w:type="dxa"/>
            <w:vAlign w:val="bottom"/>
            <w:gridSpan w:val="3"/>
          </w:tcPr>
          <w:p>
            <w:pPr>
              <w:jc w:val="right"/>
              <w:ind w:right="59"/>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gridSpan w:val="6"/>
          </w:tcPr>
          <w:p>
            <w:pPr>
              <w:jc w:val="right"/>
              <w:ind w:right="159"/>
              <w:spacing w:after="0"/>
              <w:rPr>
                <w:sz w:val="20"/>
                <w:szCs w:val="20"/>
                <w:color w:val="auto"/>
              </w:rPr>
            </w:pPr>
            <w:r>
              <w:rPr>
                <w:rFonts w:ascii="Arial" w:cs="Arial" w:eastAsia="Arial" w:hAnsi="Arial"/>
                <w:sz w:val="16"/>
                <w:szCs w:val="16"/>
                <w:color w:val="auto"/>
              </w:rPr>
              <w:t>(in thousands, except per share amounts)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462,612</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380,590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1,760,377</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1,386,594</w:t>
            </w:r>
          </w:p>
        </w:tc>
        <w:tc>
          <w:tcPr>
            <w:tcW w:w="0" w:type="dxa"/>
            <w:vAlign w:val="bottom"/>
          </w:tcPr>
          <w:p>
            <w:pPr>
              <w:spacing w:after="0"/>
              <w:rPr>
                <w:sz w:val="1"/>
                <w:szCs w:val="1"/>
                <w:color w:val="auto"/>
              </w:rPr>
            </w:pPr>
          </w:p>
        </w:tc>
      </w:tr>
      <w:tr>
        <w:trPr>
          <w:trHeight w:val="251"/>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168,535</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94,057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793,632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495,678</w:t>
            </w:r>
          </w:p>
        </w:tc>
        <w:tc>
          <w:tcPr>
            <w:tcW w:w="0" w:type="dxa"/>
            <w:vAlign w:val="bottom"/>
          </w:tcPr>
          <w:p>
            <w:pPr>
              <w:spacing w:after="0"/>
              <w:rPr>
                <w:sz w:val="1"/>
                <w:szCs w:val="1"/>
                <w:color w:val="auto"/>
              </w:rPr>
            </w:pPr>
          </w:p>
        </w:tc>
      </w:tr>
      <w:tr>
        <w:trPr>
          <w:trHeight w:val="217"/>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10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134,449</w:t>
            </w: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122,277</w:t>
            </w:r>
          </w:p>
        </w:tc>
        <w:tc>
          <w:tcPr>
            <w:tcW w:w="14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403,549</w:t>
            </w:r>
          </w:p>
        </w:tc>
        <w:tc>
          <w:tcPr>
            <w:tcW w:w="32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375,201</w:t>
            </w:r>
          </w:p>
        </w:tc>
        <w:tc>
          <w:tcPr>
            <w:tcW w:w="0" w:type="dxa"/>
            <w:vAlign w:val="bottom"/>
          </w:tcPr>
          <w:p>
            <w:pPr>
              <w:spacing w:after="0"/>
              <w:rPr>
                <w:sz w:val="1"/>
                <w:szCs w:val="1"/>
                <w:color w:val="auto"/>
              </w:rPr>
            </w:pPr>
          </w:p>
        </w:tc>
      </w:tr>
      <w:tr>
        <w:trPr>
          <w:trHeight w:val="242"/>
        </w:trPr>
        <w:tc>
          <w:tcPr>
            <w:tcW w:w="554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64,019</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59,159</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188,610</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174,871</w:t>
            </w:r>
          </w:p>
        </w:tc>
        <w:tc>
          <w:tcPr>
            <w:tcW w:w="0" w:type="dxa"/>
            <w:vAlign w:val="bottom"/>
          </w:tcPr>
          <w:p>
            <w:pPr>
              <w:spacing w:after="0"/>
              <w:rPr>
                <w:sz w:val="1"/>
                <w:szCs w:val="1"/>
                <w:color w:val="auto"/>
              </w:rPr>
            </w:pPr>
          </w:p>
        </w:tc>
      </w:tr>
      <w:tr>
        <w:trPr>
          <w:trHeight w:val="217"/>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10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16,130</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15,224</w:t>
            </w:r>
          </w:p>
        </w:tc>
        <w:tc>
          <w:tcPr>
            <w:tcW w:w="14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49,365</w:t>
            </w:r>
          </w:p>
        </w:tc>
        <w:tc>
          <w:tcPr>
            <w:tcW w:w="32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45,390</w:t>
            </w:r>
          </w:p>
        </w:tc>
        <w:tc>
          <w:tcPr>
            <w:tcW w:w="0" w:type="dxa"/>
            <w:vAlign w:val="bottom"/>
          </w:tcPr>
          <w:p>
            <w:pPr>
              <w:spacing w:after="0"/>
              <w:rPr>
                <w:sz w:val="1"/>
                <w:szCs w:val="1"/>
                <w:color w:val="auto"/>
              </w:rPr>
            </w:pPr>
          </w:p>
        </w:tc>
      </w:tr>
      <w:tr>
        <w:trPr>
          <w:trHeight w:val="209"/>
        </w:trPr>
        <w:tc>
          <w:tcPr>
            <w:tcW w:w="554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383,133</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290,717</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1,435,156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1,091,140</w:t>
            </w:r>
          </w:p>
        </w:tc>
        <w:tc>
          <w:tcPr>
            <w:tcW w:w="0" w:type="dxa"/>
            <w:vAlign w:val="bottom"/>
          </w:tcPr>
          <w:p>
            <w:pPr>
              <w:spacing w:after="0"/>
              <w:rPr>
                <w:sz w:val="1"/>
                <w:szCs w:val="1"/>
                <w:color w:val="auto"/>
              </w:rPr>
            </w:pPr>
          </w:p>
        </w:tc>
      </w:tr>
      <w:tr>
        <w:trPr>
          <w:trHeight w:val="271"/>
        </w:trPr>
        <w:tc>
          <w:tcPr>
            <w:tcW w:w="55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130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12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1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5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Operating income</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79,479</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89,873</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325,221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295,454</w:t>
            </w:r>
          </w:p>
        </w:tc>
        <w:tc>
          <w:tcPr>
            <w:tcW w:w="0" w:type="dxa"/>
            <w:vAlign w:val="bottom"/>
          </w:tcPr>
          <w:p>
            <w:pPr>
              <w:spacing w:after="0"/>
              <w:rPr>
                <w:sz w:val="1"/>
                <w:szCs w:val="1"/>
                <w:color w:val="auto"/>
              </w:rPr>
            </w:pPr>
          </w:p>
        </w:tc>
      </w:tr>
      <w:tr>
        <w:trPr>
          <w:trHeight w:val="251"/>
        </w:trPr>
        <w:tc>
          <w:tcPr>
            <w:tcW w:w="5540" w:type="dxa"/>
            <w:vAlign w:val="bottom"/>
            <w:shd w:val="clear" w:color="auto" w:fill="CEFFE7"/>
          </w:tcPr>
          <w:p>
            <w:pPr>
              <w:spacing w:after="0"/>
              <w:rPr>
                <w:sz w:val="21"/>
                <w:szCs w:val="21"/>
                <w:color w:val="auto"/>
              </w:rPr>
            </w:pPr>
          </w:p>
        </w:tc>
        <w:tc>
          <w:tcPr>
            <w:tcW w:w="100" w:type="dxa"/>
            <w:vAlign w:val="bottom"/>
            <w:shd w:val="clear" w:color="auto" w:fill="CEFFE7"/>
          </w:tcPr>
          <w:p>
            <w:pPr>
              <w:spacing w:after="0"/>
              <w:rPr>
                <w:sz w:val="21"/>
                <w:szCs w:val="21"/>
                <w:color w:val="auto"/>
              </w:rPr>
            </w:pPr>
          </w:p>
        </w:tc>
        <w:tc>
          <w:tcPr>
            <w:tcW w:w="130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108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1280" w:type="dxa"/>
            <w:vAlign w:val="bottom"/>
            <w:shd w:val="clear" w:color="auto" w:fill="CEFFE7"/>
          </w:tcPr>
          <w:p>
            <w:pPr>
              <w:spacing w:after="0"/>
              <w:rPr>
                <w:sz w:val="21"/>
                <w:szCs w:val="21"/>
                <w:color w:val="auto"/>
              </w:rPr>
            </w:pPr>
          </w:p>
        </w:tc>
        <w:tc>
          <w:tcPr>
            <w:tcW w:w="320" w:type="dxa"/>
            <w:vAlign w:val="bottom"/>
            <w:shd w:val="clear" w:color="auto" w:fill="CEFFE7"/>
          </w:tcPr>
          <w:p>
            <w:pPr>
              <w:spacing w:after="0"/>
              <w:rPr>
                <w:sz w:val="21"/>
                <w:szCs w:val="21"/>
                <w:color w:val="auto"/>
              </w:rPr>
            </w:pPr>
          </w:p>
        </w:tc>
        <w:tc>
          <w:tcPr>
            <w:tcW w:w="110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54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Interest expense incurred net of amounts capitalized (including amortization</w:t>
            </w:r>
          </w:p>
        </w:tc>
        <w:tc>
          <w:tcPr>
            <w:tcW w:w="100" w:type="dxa"/>
            <w:vAlign w:val="bottom"/>
            <w:shd w:val="clear" w:color="auto" w:fill="CEFFE7"/>
          </w:tcPr>
          <w:p>
            <w:pPr>
              <w:spacing w:after="0"/>
              <w:rPr>
                <w:sz w:val="14"/>
                <w:szCs w:val="14"/>
                <w:color w:val="auto"/>
              </w:rPr>
            </w:pPr>
          </w:p>
        </w:tc>
        <w:tc>
          <w:tcPr>
            <w:tcW w:w="13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(40,580)</w:t>
            </w:r>
          </w:p>
        </w:tc>
        <w:tc>
          <w:tcPr>
            <w:tcW w:w="340" w:type="dxa"/>
            <w:vAlign w:val="bottom"/>
            <w:shd w:val="clear" w:color="auto" w:fill="CEFFE7"/>
          </w:tcPr>
          <w:p>
            <w:pPr>
              <w:spacing w:after="0"/>
              <w:rPr>
                <w:sz w:val="14"/>
                <w:szCs w:val="14"/>
                <w:color w:val="auto"/>
              </w:rPr>
            </w:pP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(38,604)</w:t>
            </w:r>
          </w:p>
        </w:tc>
        <w:tc>
          <w:tcPr>
            <w:tcW w:w="140" w:type="dxa"/>
            <w:vAlign w:val="bottom"/>
            <w:shd w:val="clear" w:color="auto" w:fill="CEFFE7"/>
          </w:tcPr>
          <w:p>
            <w:pPr>
              <w:spacing w:after="0"/>
              <w:rPr>
                <w:sz w:val="14"/>
                <w:szCs w:val="14"/>
                <w:color w:val="auto"/>
              </w:rPr>
            </w:pPr>
          </w:p>
        </w:tc>
        <w:tc>
          <w:tcPr>
            <w:tcW w:w="12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(118,454)</w:t>
            </w:r>
          </w:p>
        </w:tc>
        <w:tc>
          <w:tcPr>
            <w:tcW w:w="320" w:type="dxa"/>
            <w:vAlign w:val="bottom"/>
            <w:shd w:val="clear" w:color="auto" w:fill="CEFFE7"/>
          </w:tcPr>
          <w:p>
            <w:pPr>
              <w:spacing w:after="0"/>
              <w:rPr>
                <w:sz w:val="14"/>
                <w:szCs w:val="14"/>
                <w:color w:val="auto"/>
              </w:rPr>
            </w:pPr>
          </w:p>
        </w:tc>
        <w:tc>
          <w:tcPr>
            <w:tcW w:w="11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(115,098)</w:t>
            </w:r>
          </w:p>
        </w:tc>
        <w:tc>
          <w:tcPr>
            <w:tcW w:w="0" w:type="dxa"/>
            <w:vAlign w:val="bottom"/>
          </w:tcPr>
          <w:p>
            <w:pPr>
              <w:spacing w:after="0"/>
              <w:rPr>
                <w:sz w:val="1"/>
                <w:szCs w:val="1"/>
                <w:color w:val="auto"/>
              </w:rPr>
            </w:pPr>
          </w:p>
        </w:tc>
      </w:tr>
      <w:tr>
        <w:trPr>
          <w:trHeight w:val="216"/>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of debt issuance costs, premiums and discounts)</w:t>
            </w:r>
          </w:p>
        </w:tc>
        <w:tc>
          <w:tcPr>
            <w:tcW w:w="100" w:type="dxa"/>
            <w:vAlign w:val="bottom"/>
            <w:shd w:val="clear" w:color="auto" w:fill="CEFFE7"/>
          </w:tcPr>
          <w:p>
            <w:pPr>
              <w:spacing w:after="0"/>
              <w:rPr>
                <w:sz w:val="18"/>
                <w:szCs w:val="18"/>
                <w:color w:val="auto"/>
              </w:rPr>
            </w:pPr>
          </w:p>
        </w:tc>
        <w:tc>
          <w:tcPr>
            <w:tcW w:w="1300" w:type="dxa"/>
            <w:vAlign w:val="bottom"/>
            <w:vMerge w:val="continue"/>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080" w:type="dxa"/>
            <w:vAlign w:val="bottom"/>
            <w:vMerge w:val="continue"/>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80" w:type="dxa"/>
            <w:vAlign w:val="bottom"/>
            <w:vMerge w:val="continue"/>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0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586</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7"/>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464</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1,560</w:t>
            </w:r>
          </w:p>
        </w:tc>
        <w:tc>
          <w:tcPr>
            <w:tcW w:w="14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2,731</w:t>
            </w:r>
          </w:p>
        </w:tc>
        <w:tc>
          <w:tcPr>
            <w:tcW w:w="32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EFFE7"/>
            </w:tcBorders>
          </w:tcPr>
          <w:p>
            <w:pPr>
              <w:ind w:left="460"/>
              <w:spacing w:after="0"/>
              <w:rPr>
                <w:sz w:val="20"/>
                <w:szCs w:val="20"/>
                <w:color w:val="auto"/>
              </w:rPr>
            </w:pPr>
            <w:r>
              <w:rPr>
                <w:rFonts w:ascii="Arial" w:cs="Arial" w:eastAsia="Arial" w:hAnsi="Arial"/>
                <w:sz w:val="16"/>
                <w:szCs w:val="16"/>
                <w:color w:val="auto"/>
              </w:rPr>
              <w:t>Total other income (expense)</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(39,555)</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(36,458)</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(114,597)</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(112,185)</w:t>
            </w:r>
          </w:p>
        </w:tc>
        <w:tc>
          <w:tcPr>
            <w:tcW w:w="0" w:type="dxa"/>
            <w:vAlign w:val="bottom"/>
          </w:tcPr>
          <w:p>
            <w:pPr>
              <w:spacing w:after="0"/>
              <w:rPr>
                <w:sz w:val="1"/>
                <w:szCs w:val="1"/>
                <w:color w:val="auto"/>
              </w:rPr>
            </w:pPr>
          </w:p>
        </w:tc>
      </w:tr>
      <w:tr>
        <w:trPr>
          <w:trHeight w:val="251"/>
        </w:trPr>
        <w:tc>
          <w:tcPr>
            <w:tcW w:w="5540" w:type="dxa"/>
            <w:vAlign w:val="bottom"/>
            <w:shd w:val="clear" w:color="auto" w:fill="CEFFE7"/>
          </w:tcPr>
          <w:p>
            <w:pPr>
              <w:spacing w:after="0"/>
              <w:rPr>
                <w:sz w:val="21"/>
                <w:szCs w:val="21"/>
                <w:color w:val="auto"/>
              </w:rPr>
            </w:pPr>
          </w:p>
        </w:tc>
        <w:tc>
          <w:tcPr>
            <w:tcW w:w="100" w:type="dxa"/>
            <w:vAlign w:val="bottom"/>
            <w:shd w:val="clear" w:color="auto" w:fill="CEFFE7"/>
          </w:tcPr>
          <w:p>
            <w:pPr>
              <w:spacing w:after="0"/>
              <w:rPr>
                <w:sz w:val="21"/>
                <w:szCs w:val="21"/>
                <w:color w:val="auto"/>
              </w:rPr>
            </w:pPr>
          </w:p>
        </w:tc>
        <w:tc>
          <w:tcPr>
            <w:tcW w:w="130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108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1280" w:type="dxa"/>
            <w:vAlign w:val="bottom"/>
            <w:shd w:val="clear" w:color="auto" w:fill="CEFFE7"/>
          </w:tcPr>
          <w:p>
            <w:pPr>
              <w:spacing w:after="0"/>
              <w:rPr>
                <w:sz w:val="21"/>
                <w:szCs w:val="21"/>
                <w:color w:val="auto"/>
              </w:rPr>
            </w:pPr>
          </w:p>
        </w:tc>
        <w:tc>
          <w:tcPr>
            <w:tcW w:w="320" w:type="dxa"/>
            <w:vAlign w:val="bottom"/>
            <w:shd w:val="clear" w:color="auto" w:fill="CEFFE7"/>
          </w:tcPr>
          <w:p>
            <w:pPr>
              <w:spacing w:after="0"/>
              <w:rPr>
                <w:sz w:val="21"/>
                <w:szCs w:val="21"/>
                <w:color w:val="auto"/>
              </w:rPr>
            </w:pPr>
          </w:p>
        </w:tc>
        <w:tc>
          <w:tcPr>
            <w:tcW w:w="110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39,924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53,415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210,624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183,269</w:t>
            </w:r>
          </w:p>
        </w:tc>
        <w:tc>
          <w:tcPr>
            <w:tcW w:w="0" w:type="dxa"/>
            <w:vAlign w:val="bottom"/>
          </w:tcPr>
          <w:p>
            <w:pPr>
              <w:spacing w:after="0"/>
              <w:rPr>
                <w:sz w:val="1"/>
                <w:szCs w:val="1"/>
                <w:color w:val="auto"/>
              </w:rPr>
            </w:pPr>
          </w:p>
        </w:tc>
      </w:tr>
      <w:tr>
        <w:trPr>
          <w:trHeight w:val="217"/>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(2,090)</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(5,253)</w:t>
            </w:r>
          </w:p>
        </w:tc>
        <w:tc>
          <w:tcPr>
            <w:tcW w:w="14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(15,920)</w:t>
            </w:r>
          </w:p>
        </w:tc>
        <w:tc>
          <w:tcPr>
            <w:tcW w:w="32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(6,333)</w:t>
            </w:r>
          </w:p>
        </w:tc>
        <w:tc>
          <w:tcPr>
            <w:tcW w:w="0" w:type="dxa"/>
            <w:vAlign w:val="bottom"/>
          </w:tcPr>
          <w:p>
            <w:pPr>
              <w:spacing w:after="0"/>
              <w:rPr>
                <w:sz w:val="1"/>
                <w:szCs w:val="1"/>
                <w:color w:val="auto"/>
              </w:rPr>
            </w:pPr>
          </w:p>
        </w:tc>
      </w:tr>
      <w:tr>
        <w:trPr>
          <w:trHeight w:val="209"/>
        </w:trPr>
        <w:tc>
          <w:tcPr>
            <w:tcW w:w="55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37,834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48,162</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194,704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176,936</w:t>
            </w:r>
          </w:p>
        </w:tc>
        <w:tc>
          <w:tcPr>
            <w:tcW w:w="0" w:type="dxa"/>
            <w:vAlign w:val="bottom"/>
          </w:tcPr>
          <w:p>
            <w:pPr>
              <w:spacing w:after="0"/>
              <w:rPr>
                <w:sz w:val="1"/>
                <w:szCs w:val="1"/>
                <w:color w:val="auto"/>
              </w:rPr>
            </w:pPr>
          </w:p>
        </w:tc>
      </w:tr>
      <w:tr>
        <w:trPr>
          <w:trHeight w:val="216"/>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0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(2,861)</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(4,050)</w:t>
            </w:r>
          </w:p>
        </w:tc>
        <w:tc>
          <w:tcPr>
            <w:tcW w:w="14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(8,790)</w:t>
            </w:r>
          </w:p>
        </w:tc>
        <w:tc>
          <w:tcPr>
            <w:tcW w:w="32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(11,347)</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34,973</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185,914</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165,589</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EFFE7"/>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EFFE7"/>
          </w:tcPr>
          <w:p>
            <w:pPr>
              <w:spacing w:after="0"/>
              <w:rPr>
                <w:sz w:val="20"/>
                <w:szCs w:val="20"/>
                <w:color w:val="auto"/>
              </w:rPr>
            </w:pPr>
          </w:p>
        </w:tc>
        <w:tc>
          <w:tcPr>
            <w:tcW w:w="10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32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Earnings per share, Basic</w:t>
            </w:r>
          </w:p>
        </w:tc>
        <w:tc>
          <w:tcPr>
            <w:tcW w:w="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0.54</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0.70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2.87</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
        </w:trPr>
        <w:tc>
          <w:tcPr>
            <w:tcW w:w="554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40" w:type="dxa"/>
            <w:vAlign w:val="bottom"/>
          </w:tcPr>
          <w:p>
            <w:pPr>
              <w:ind w:left="180"/>
              <w:spacing w:after="0"/>
              <w:rPr>
                <w:sz w:val="20"/>
                <w:szCs w:val="20"/>
                <w:color w:val="auto"/>
              </w:rPr>
            </w:pPr>
            <w:r>
              <w:rPr>
                <w:rFonts w:ascii="Arial" w:cs="Arial" w:eastAsia="Arial" w:hAnsi="Arial"/>
                <w:sz w:val="16"/>
                <w:szCs w:val="16"/>
                <w:color w:val="auto"/>
              </w:rPr>
              <w:t>Earnings per share,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EFFE7"/>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EFFE7"/>
          </w:tcPr>
          <w:p>
            <w:pPr>
              <w:spacing w:after="0"/>
              <w:rPr>
                <w:sz w:val="20"/>
                <w:szCs w:val="20"/>
                <w:color w:val="auto"/>
              </w:rPr>
            </w:pPr>
          </w:p>
        </w:tc>
        <w:tc>
          <w:tcPr>
            <w:tcW w:w="10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32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auto"/>
            </w:tcBorders>
            <w:shd w:val="clear" w:color="auto" w:fill="CEFFE7"/>
          </w:tcPr>
          <w:p>
            <w:pPr>
              <w:spacing w:after="0"/>
              <w:rPr>
                <w:sz w:val="20"/>
                <w:szCs w:val="20"/>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64,876</w:t>
            </w:r>
          </w:p>
        </w:tc>
        <w:tc>
          <w:tcPr>
            <w:tcW w:w="34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63,341</w:t>
            </w:r>
          </w:p>
        </w:tc>
        <w:tc>
          <w:tcPr>
            <w:tcW w:w="140" w:type="dxa"/>
            <w:vAlign w:val="bottom"/>
            <w:tcBorders>
              <w:bottom w:val="single" w:sz="8" w:color="auto"/>
            </w:tcBorders>
            <w:shd w:val="clear" w:color="auto" w:fill="CEFFE7"/>
          </w:tcPr>
          <w:p>
            <w:pPr>
              <w:spacing w:after="0"/>
              <w:rPr>
                <w:sz w:val="20"/>
                <w:szCs w:val="20"/>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64,722</w:t>
            </w:r>
          </w:p>
        </w:tc>
        <w:tc>
          <w:tcPr>
            <w:tcW w:w="320" w:type="dxa"/>
            <w:vAlign w:val="bottom"/>
            <w:tcBorders>
              <w:bottom w:val="single" w:sz="8" w:color="auto"/>
            </w:tcBorders>
            <w:shd w:val="clear" w:color="auto" w:fill="CEFFE7"/>
          </w:tcPr>
          <w:p>
            <w:pPr>
              <w:spacing w:after="0"/>
              <w:rPr>
                <w:sz w:val="20"/>
                <w:szCs w:val="20"/>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62,950</w:t>
            </w:r>
          </w:p>
        </w:tc>
        <w:tc>
          <w:tcPr>
            <w:tcW w:w="0" w:type="dxa"/>
            <w:vAlign w:val="bottom"/>
          </w:tcPr>
          <w:p>
            <w:pPr>
              <w:spacing w:after="0"/>
              <w:rPr>
                <w:sz w:val="1"/>
                <w:szCs w:val="1"/>
                <w:color w:val="auto"/>
              </w:rPr>
            </w:pPr>
          </w:p>
        </w:tc>
      </w:tr>
      <w:tr>
        <w:trPr>
          <w:trHeight w:val="20"/>
        </w:trPr>
        <w:tc>
          <w:tcPr>
            <w:tcW w:w="554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40" w:type="dxa"/>
            <w:vAlign w:val="bottom"/>
          </w:tcPr>
          <w:p>
            <w:pPr>
              <w:ind w:left="180"/>
              <w:spacing w:after="0"/>
              <w:rPr>
                <w:sz w:val="20"/>
                <w:szCs w:val="20"/>
                <w:color w:val="auto"/>
              </w:rPr>
            </w:pPr>
            <w:r>
              <w:rPr>
                <w:rFonts w:ascii="Arial" w:cs="Arial" w:eastAsia="Arial" w:hAnsi="Arial"/>
                <w:sz w:val="16"/>
                <w:szCs w:val="16"/>
                <w:color w:val="auto"/>
              </w:rPr>
              <w:t>Diluted</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65,061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63,436</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64,910</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70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5660" w:type="dxa"/>
            <w:vAlign w:val="bottom"/>
          </w:tcPr>
          <w:p>
            <w:pPr>
              <w:ind w:left="3100"/>
              <w:spacing w:after="0"/>
              <w:rPr>
                <w:sz w:val="20"/>
                <w:szCs w:val="20"/>
                <w:color w:val="auto"/>
              </w:rPr>
            </w:pPr>
            <w:r>
              <w:rPr>
                <w:rFonts w:ascii="Arial" w:cs="Arial" w:eastAsia="Arial" w:hAnsi="Arial"/>
                <w:sz w:val="16"/>
                <w:szCs w:val="16"/>
                <w:b w:val="1"/>
                <w:bCs w:val="1"/>
                <w:color w:val="auto"/>
              </w:rPr>
              <w:t>BLACK HILLS CORPORATION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76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CONDENSED CONSOLIDATED STATEMENTS OF COMPREHENSIVE INCOME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24"/>
                <w:szCs w:val="24"/>
                <w:color w:val="auto"/>
              </w:rPr>
            </w:pPr>
          </w:p>
        </w:tc>
        <w:tc>
          <w:tcPr>
            <w:tcW w:w="1880" w:type="dxa"/>
            <w:vAlign w:val="bottom"/>
            <w:gridSpan w:val="3"/>
          </w:tcPr>
          <w:p>
            <w:pPr>
              <w:jc w:val="right"/>
              <w:ind w:right="199"/>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24"/>
                <w:szCs w:val="24"/>
                <w:color w:val="auto"/>
              </w:rPr>
            </w:pPr>
          </w:p>
        </w:tc>
        <w:tc>
          <w:tcPr>
            <w:tcW w:w="1880" w:type="dxa"/>
            <w:vAlign w:val="bottom"/>
            <w:gridSpan w:val="3"/>
          </w:tcPr>
          <w:p>
            <w:pPr>
              <w:jc w:val="right"/>
              <w:ind w:right="25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15"/>
        </w:trPr>
        <w:tc>
          <w:tcPr>
            <w:tcW w:w="7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right"/>
              <w:ind w:right="419"/>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8"/>
                <w:szCs w:val="18"/>
                <w:color w:val="auto"/>
              </w:rPr>
            </w:pPr>
          </w:p>
        </w:tc>
        <w:tc>
          <w:tcPr>
            <w:tcW w:w="1880" w:type="dxa"/>
            <w:vAlign w:val="bottom"/>
            <w:gridSpan w:val="3"/>
          </w:tcPr>
          <w:p>
            <w:pPr>
              <w:jc w:val="right"/>
              <w:ind w:right="43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right"/>
              <w:ind w:right="459"/>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37,834</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48,162</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194,704</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176,936</w:t>
            </w:r>
          </w:p>
        </w:tc>
        <w:tc>
          <w:tcPr>
            <w:tcW w:w="0" w:type="dxa"/>
            <w:vAlign w:val="bottom"/>
          </w:tcPr>
          <w:p>
            <w:pPr>
              <w:spacing w:after="0"/>
              <w:rPr>
                <w:sz w:val="1"/>
                <w:szCs w:val="1"/>
                <w:color w:val="auto"/>
              </w:rPr>
            </w:pPr>
          </w:p>
        </w:tc>
      </w:tr>
      <w:tr>
        <w:trPr>
          <w:trHeight w:val="251"/>
        </w:trPr>
        <w:tc>
          <w:tcPr>
            <w:tcW w:w="136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Reclassification adjustments of benefit plan liability - prior service cost (net of tax of $8, $6,</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7020" w:type="dxa"/>
            <w:vAlign w:val="bottom"/>
            <w:gridSpan w:val="2"/>
          </w:tcPr>
          <w:p>
            <w:pPr>
              <w:ind w:left="360"/>
              <w:spacing w:after="0"/>
              <w:rPr>
                <w:sz w:val="20"/>
                <w:szCs w:val="20"/>
                <w:color w:val="auto"/>
              </w:rPr>
            </w:pPr>
            <w:r>
              <w:rPr>
                <w:rFonts w:ascii="Arial" w:cs="Arial" w:eastAsia="Arial" w:hAnsi="Arial"/>
                <w:sz w:val="16"/>
                <w:szCs w:val="16"/>
                <w:color w:val="auto"/>
              </w:rPr>
              <w:t>$22 and $21, respectively)</w:t>
            </w: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20" w:type="dxa"/>
            <w:vAlign w:val="bottom"/>
            <w:gridSpan w:val="2"/>
            <w:shd w:val="clear" w:color="auto" w:fill="CEFFE7"/>
          </w:tcPr>
          <w:p>
            <w:pPr>
              <w:ind w:left="360"/>
              <w:spacing w:after="0" w:line="163" w:lineRule="exact"/>
              <w:rPr>
                <w:sz w:val="20"/>
                <w:szCs w:val="20"/>
                <w:color w:val="auto"/>
              </w:rPr>
            </w:pPr>
            <w:r>
              <w:rPr>
                <w:rFonts w:ascii="Arial" w:cs="Arial" w:eastAsia="Arial" w:hAnsi="Arial"/>
                <w:sz w:val="16"/>
                <w:szCs w:val="16"/>
                <w:color w:val="auto"/>
              </w:rPr>
              <w:t>Reclassification adjustments of benefit plan liability - net loss (net of tax of $(66), $(139),</w:t>
            </w:r>
          </w:p>
        </w:tc>
        <w:tc>
          <w:tcPr>
            <w:tcW w:w="220" w:type="dxa"/>
            <w:vAlign w:val="bottom"/>
            <w:shd w:val="clear" w:color="auto" w:fill="CEFFE7"/>
          </w:tcPr>
          <w:p>
            <w:pPr>
              <w:spacing w:after="0"/>
              <w:rPr>
                <w:sz w:val="14"/>
                <w:szCs w:val="14"/>
                <w:color w:val="auto"/>
              </w:rPr>
            </w:pP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122</w:t>
            </w:r>
          </w:p>
        </w:tc>
        <w:tc>
          <w:tcPr>
            <w:tcW w:w="22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459</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384</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$(179) and $(513), respectively)</w:t>
            </w:r>
          </w:p>
        </w:tc>
        <w:tc>
          <w:tcPr>
            <w:tcW w:w="220" w:type="dxa"/>
            <w:vAlign w:val="bottom"/>
            <w:shd w:val="clear" w:color="auto" w:fill="CEFFE7"/>
          </w:tcPr>
          <w:p>
            <w:pPr>
              <w:spacing w:after="0"/>
              <w:rPr>
                <w:sz w:val="18"/>
                <w:szCs w:val="18"/>
                <w:color w:val="auto"/>
              </w:rPr>
            </w:pPr>
          </w:p>
        </w:tc>
        <w:tc>
          <w:tcPr>
            <w:tcW w:w="840" w:type="dxa"/>
            <w:vAlign w:val="bottom"/>
            <w:vMerge w:val="continue"/>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20" w:type="dxa"/>
            <w:vAlign w:val="bottom"/>
            <w:gridSpan w:val="2"/>
            <w:shd w:val="clear" w:color="auto" w:fill="CEFFE7"/>
          </w:tcPr>
          <w:p>
            <w:pPr>
              <w:ind w:left="360"/>
              <w:spacing w:after="0" w:line="163" w:lineRule="exact"/>
              <w:rPr>
                <w:sz w:val="20"/>
                <w:szCs w:val="20"/>
                <w:color w:val="auto"/>
              </w:rPr>
            </w:pPr>
            <w:r>
              <w:rPr>
                <w:rFonts w:ascii="Arial" w:cs="Arial" w:eastAsia="Arial" w:hAnsi="Arial"/>
                <w:sz w:val="16"/>
                <w:szCs w:val="16"/>
                <w:color w:val="auto"/>
              </w:rPr>
              <w:t>Reclassification of net realized losses on settled/amortized interest rate swaps (net of tax of</w:t>
            </w:r>
          </w:p>
        </w:tc>
        <w:tc>
          <w:tcPr>
            <w:tcW w:w="220" w:type="dxa"/>
            <w:vAlign w:val="bottom"/>
            <w:shd w:val="clear" w:color="auto" w:fill="CEFFE7"/>
          </w:tcPr>
          <w:p>
            <w:pPr>
              <w:spacing w:after="0"/>
              <w:rPr>
                <w:sz w:val="14"/>
                <w:szCs w:val="14"/>
                <w:color w:val="auto"/>
              </w:rPr>
            </w:pP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578</w:t>
            </w:r>
          </w:p>
        </w:tc>
        <w:tc>
          <w:tcPr>
            <w:tcW w:w="22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657</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1,589</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$(134), $(55), $(549) and $(395), respectively)</w:t>
            </w:r>
          </w:p>
        </w:tc>
        <w:tc>
          <w:tcPr>
            <w:tcW w:w="220" w:type="dxa"/>
            <w:vAlign w:val="bottom"/>
            <w:shd w:val="clear" w:color="auto" w:fill="CEFFE7"/>
          </w:tcPr>
          <w:p>
            <w:pPr>
              <w:spacing w:after="0"/>
              <w:rPr>
                <w:sz w:val="18"/>
                <w:szCs w:val="18"/>
                <w:color w:val="auto"/>
              </w:rPr>
            </w:pPr>
          </w:p>
        </w:tc>
        <w:tc>
          <w:tcPr>
            <w:tcW w:w="840" w:type="dxa"/>
            <w:vAlign w:val="bottom"/>
            <w:vMerge w:val="continue"/>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Net unrealized gains on commodity derivatives (net of tax of $(559), $(1,437), $(165) and</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1,776</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4,430</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509</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5,476</w:t>
            </w:r>
          </w:p>
        </w:tc>
        <w:tc>
          <w:tcPr>
            <w:tcW w:w="0" w:type="dxa"/>
            <w:vAlign w:val="bottom"/>
          </w:tcPr>
          <w:p>
            <w:pPr>
              <w:spacing w:after="0"/>
              <w:rPr>
                <w:sz w:val="1"/>
                <w:szCs w:val="1"/>
                <w:color w:val="auto"/>
              </w:rPr>
            </w:pPr>
          </w:p>
        </w:tc>
      </w:tr>
      <w:tr>
        <w:trPr>
          <w:trHeight w:val="215"/>
        </w:trPr>
        <w:tc>
          <w:tcPr>
            <w:tcW w:w="7020" w:type="dxa"/>
            <w:vAlign w:val="bottom"/>
            <w:gridSpan w:val="2"/>
          </w:tcPr>
          <w:p>
            <w:pPr>
              <w:ind w:left="360"/>
              <w:spacing w:after="0"/>
              <w:rPr>
                <w:sz w:val="20"/>
                <w:szCs w:val="20"/>
                <w:color w:val="auto"/>
              </w:rPr>
            </w:pPr>
            <w:r>
              <w:rPr>
                <w:rFonts w:ascii="Arial" w:cs="Arial" w:eastAsia="Arial" w:hAnsi="Arial"/>
                <w:sz w:val="16"/>
                <w:szCs w:val="16"/>
                <w:color w:val="auto"/>
              </w:rPr>
              <w:t>$(1,776), respectively)</w:t>
            </w: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20" w:type="dxa"/>
            <w:vAlign w:val="bottom"/>
            <w:gridSpan w:val="2"/>
            <w:shd w:val="clear" w:color="auto" w:fill="CEFFE7"/>
          </w:tcPr>
          <w:p>
            <w:pPr>
              <w:ind w:left="360"/>
              <w:spacing w:after="0" w:line="163" w:lineRule="exact"/>
              <w:rPr>
                <w:sz w:val="20"/>
                <w:szCs w:val="20"/>
                <w:color w:val="auto"/>
              </w:rPr>
            </w:pPr>
            <w:r>
              <w:rPr>
                <w:rFonts w:ascii="Arial" w:cs="Arial" w:eastAsia="Arial" w:hAnsi="Arial"/>
                <w:sz w:val="16"/>
                <w:szCs w:val="16"/>
                <w:color w:val="auto"/>
              </w:rPr>
              <w:t>Reclassification of net realized (gains) on settled commodity derivatives (net of tax of $10,</w:t>
            </w:r>
          </w:p>
        </w:tc>
        <w:tc>
          <w:tcPr>
            <w:tcW w:w="220" w:type="dxa"/>
            <w:vAlign w:val="bottom"/>
            <w:shd w:val="clear" w:color="auto" w:fill="CEFFE7"/>
          </w:tcPr>
          <w:p>
            <w:pPr>
              <w:spacing w:after="0"/>
              <w:rPr>
                <w:sz w:val="14"/>
                <w:szCs w:val="14"/>
                <w:color w:val="auto"/>
              </w:rPr>
            </w:pP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(250)</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(2,739)</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$81, $881 and $87, respectively)</w:t>
            </w: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vMerge w:val="continue"/>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5,277</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8,177</w:t>
            </w:r>
          </w:p>
        </w:tc>
        <w:tc>
          <w:tcPr>
            <w:tcW w:w="0" w:type="dxa"/>
            <w:vAlign w:val="bottom"/>
          </w:tcPr>
          <w:p>
            <w:pPr>
              <w:spacing w:after="0"/>
              <w:rPr>
                <w:sz w:val="1"/>
                <w:szCs w:val="1"/>
                <w:color w:val="auto"/>
              </w:rPr>
            </w:pPr>
          </w:p>
        </w:tc>
      </w:tr>
      <w:tr>
        <w:trPr>
          <w:trHeight w:val="251"/>
        </w:trPr>
        <w:tc>
          <w:tcPr>
            <w:tcW w:w="1360" w:type="dxa"/>
            <w:vAlign w:val="bottom"/>
            <w:shd w:val="clear" w:color="auto" w:fill="CEFFE7"/>
          </w:tcPr>
          <w:p>
            <w:pPr>
              <w:spacing w:after="0"/>
              <w:rPr>
                <w:sz w:val="21"/>
                <w:szCs w:val="21"/>
                <w:color w:val="auto"/>
              </w:rPr>
            </w:pPr>
          </w:p>
        </w:tc>
        <w:tc>
          <w:tcPr>
            <w:tcW w:w="566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84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40,261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53,439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194,399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185,113</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(2,861)</w:t>
            </w:r>
          </w:p>
        </w:tc>
        <w:tc>
          <w:tcPr>
            <w:tcW w:w="22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(4,050)</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(8,790)</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(11,347)</w:t>
            </w:r>
          </w:p>
        </w:tc>
        <w:tc>
          <w:tcPr>
            <w:tcW w:w="0" w:type="dxa"/>
            <w:vAlign w:val="bottom"/>
          </w:tcPr>
          <w:p>
            <w:pPr>
              <w:spacing w:after="0"/>
              <w:rPr>
                <w:sz w:val="1"/>
                <w:szCs w:val="1"/>
                <w:color w:val="auto"/>
              </w:rPr>
            </w:pP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49,389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185,609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173,766</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9</w:t>
      </w:r>
      <w:r>
        <w:rPr>
          <w:rFonts w:ascii="Arial" w:cs="Arial" w:eastAsia="Arial" w:hAnsi="Arial"/>
          <w:sz w:val="14"/>
          <w:szCs w:val="14"/>
          <w:color w:val="auto"/>
        </w:rPr>
        <w:t xml:space="preserve"> for additional disclosures.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35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BLACK HILLS CORPORATION</w:t>
            </w: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20" w:type="dxa"/>
            <w:vAlign w:val="bottom"/>
            <w:gridSpan w:val="3"/>
          </w:tcPr>
          <w:p>
            <w:pPr>
              <w:jc w:val="right"/>
              <w:ind w:right="1539"/>
              <w:spacing w:after="0"/>
              <w:rPr>
                <w:sz w:val="20"/>
                <w:szCs w:val="20"/>
                <w:color w:val="auto"/>
              </w:rPr>
            </w:pPr>
            <w:r>
              <w:rPr>
                <w:rFonts w:ascii="Arial" w:cs="Arial" w:eastAsia="Arial" w:hAnsi="Arial"/>
                <w:sz w:val="16"/>
                <w:szCs w:val="16"/>
                <w:b w:val="1"/>
                <w:bCs w:val="1"/>
                <w:color w:val="auto"/>
              </w:rPr>
              <w:t>CONDENSED CONSOLIDATED BALANCE SHEETS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5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September 30, 2022</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09"/>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3"/>
          </w:tcPr>
          <w:p>
            <w:pPr>
              <w:jc w:val="right"/>
              <w:ind w:right="1439"/>
              <w:spacing w:after="0"/>
              <w:rPr>
                <w:sz w:val="20"/>
                <w:szCs w:val="20"/>
                <w:color w:val="auto"/>
              </w:rPr>
            </w:pPr>
            <w:r>
              <w:rPr>
                <w:rFonts w:ascii="Arial" w:cs="Arial" w:eastAsia="Arial" w:hAnsi="Arial"/>
                <w:sz w:val="16"/>
                <w:szCs w:val="16"/>
                <w:color w:val="auto"/>
              </w:rPr>
              <w:t>(in thousands)</w:t>
            </w:r>
          </w:p>
        </w:tc>
      </w:tr>
      <w:tr>
        <w:trPr>
          <w:trHeight w:val="217"/>
        </w:trPr>
        <w:tc>
          <w:tcPr>
            <w:tcW w:w="1360" w:type="dxa"/>
            <w:vAlign w:val="bottom"/>
          </w:tcPr>
          <w:p>
            <w:pPr>
              <w:spacing w:after="0"/>
              <w:rPr>
                <w:sz w:val="18"/>
                <w:szCs w:val="18"/>
                <w:color w:val="auto"/>
              </w:rPr>
            </w:pPr>
          </w:p>
        </w:tc>
        <w:tc>
          <w:tcPr>
            <w:tcW w:w="5980" w:type="dxa"/>
            <w:vAlign w:val="bottom"/>
            <w:gridSpan w:val="3"/>
          </w:tcPr>
          <w:p>
            <w:pPr>
              <w:jc w:val="right"/>
              <w:ind w:right="3440"/>
              <w:spacing w:after="0"/>
              <w:rPr>
                <w:sz w:val="20"/>
                <w:szCs w:val="20"/>
                <w:color w:val="auto"/>
              </w:rPr>
            </w:pPr>
            <w:r>
              <w:rPr>
                <w:rFonts w:ascii="Arial" w:cs="Arial" w:eastAsia="Arial" w:hAnsi="Arial"/>
                <w:sz w:val="16"/>
                <w:szCs w:val="16"/>
                <w:b w:val="1"/>
                <w:bCs w:val="1"/>
                <w:color w:val="auto"/>
              </w:rPr>
              <w:t>ASSETS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Cash and cash equivalents</w:t>
            </w:r>
          </w:p>
        </w:tc>
        <w:tc>
          <w:tcPr>
            <w:tcW w:w="376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11,693</w:t>
            </w:r>
          </w:p>
        </w:tc>
        <w:tc>
          <w:tcPr>
            <w:tcW w:w="2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8,921</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Restricted cash and equivalents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5,399</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4,889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Accounts receivable, net</w:t>
            </w:r>
          </w:p>
        </w:tc>
        <w:tc>
          <w:tcPr>
            <w:tcW w:w="35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249,747</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321,652</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Materials, supplies and fuel</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223,162</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150,979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Derivative assets, current</w:t>
            </w:r>
          </w:p>
        </w:tc>
        <w:tc>
          <w:tcPr>
            <w:tcW w:w="35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3,868</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4,373</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Income tax receivable, net</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17,112</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18,017</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Regulatory assets, current</w:t>
            </w:r>
          </w:p>
        </w:tc>
        <w:tc>
          <w:tcPr>
            <w:tcW w:w="35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290,087</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270,290</w:t>
            </w:r>
          </w:p>
        </w:tc>
      </w:tr>
      <w:tr>
        <w:trPr>
          <w:trHeight w:val="215"/>
        </w:trPr>
        <w:tc>
          <w:tcPr>
            <w:tcW w:w="358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Other current assets</w:t>
            </w:r>
          </w:p>
        </w:tc>
        <w:tc>
          <w:tcPr>
            <w:tcW w:w="358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48,180</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29,012</w:t>
            </w:r>
          </w:p>
        </w:tc>
      </w:tr>
      <w:tr>
        <w:trPr>
          <w:trHeight w:val="210"/>
        </w:trPr>
        <w:tc>
          <w:tcPr>
            <w:tcW w:w="3580" w:type="dxa"/>
            <w:vAlign w:val="bottom"/>
            <w:gridSpan w:val="2"/>
            <w:shd w:val="clear" w:color="auto" w:fill="CEFFE7"/>
          </w:tcPr>
          <w:p>
            <w:pPr>
              <w:ind w:left="560"/>
              <w:spacing w:after="0"/>
              <w:rPr>
                <w:sz w:val="20"/>
                <w:szCs w:val="20"/>
                <w:color w:val="auto"/>
              </w:rPr>
            </w:pPr>
            <w:r>
              <w:rPr>
                <w:rFonts w:ascii="Arial" w:cs="Arial" w:eastAsia="Arial" w:hAnsi="Arial"/>
                <w:sz w:val="16"/>
                <w:szCs w:val="16"/>
                <w:color w:val="auto"/>
              </w:rPr>
              <w:t>Total current assets</w:t>
            </w:r>
          </w:p>
        </w:tc>
        <w:tc>
          <w:tcPr>
            <w:tcW w:w="35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849,248</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808,133</w:t>
            </w:r>
          </w:p>
        </w:tc>
      </w:tr>
      <w:tr>
        <w:trPr>
          <w:trHeight w:val="257"/>
        </w:trPr>
        <w:tc>
          <w:tcPr>
            <w:tcW w:w="3580" w:type="dxa"/>
            <w:vAlign w:val="bottom"/>
            <w:gridSpan w:val="2"/>
          </w:tcPr>
          <w:p>
            <w:pPr>
              <w:spacing w:after="0"/>
              <w:rPr>
                <w:sz w:val="22"/>
                <w:szCs w:val="22"/>
                <w:color w:val="auto"/>
              </w:rPr>
            </w:pPr>
          </w:p>
        </w:tc>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16"/>
        </w:trPr>
        <w:tc>
          <w:tcPr>
            <w:tcW w:w="3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Property, plant and equipment</w:t>
            </w:r>
          </w:p>
        </w:tc>
        <w:tc>
          <w:tcPr>
            <w:tcW w:w="35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8,236,053</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7,856,573</w:t>
            </w:r>
          </w:p>
        </w:tc>
      </w:tr>
      <w:tr>
        <w:trPr>
          <w:trHeight w:val="215"/>
        </w:trPr>
        <w:tc>
          <w:tcPr>
            <w:tcW w:w="358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Less: accumulated depreciation and depletion</w:t>
            </w:r>
          </w:p>
        </w:tc>
        <w:tc>
          <w:tcPr>
            <w:tcW w:w="358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(1,538,731)</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(1,407,397)</w:t>
            </w:r>
          </w:p>
        </w:tc>
      </w:tr>
      <w:tr>
        <w:trPr>
          <w:trHeight w:val="209"/>
        </w:trPr>
        <w:tc>
          <w:tcPr>
            <w:tcW w:w="3580" w:type="dxa"/>
            <w:vAlign w:val="bottom"/>
            <w:gridSpan w:val="2"/>
            <w:shd w:val="clear" w:color="auto" w:fill="CEFFE7"/>
          </w:tcPr>
          <w:p>
            <w:pPr>
              <w:ind w:left="560"/>
              <w:spacing w:after="0"/>
              <w:rPr>
                <w:sz w:val="20"/>
                <w:szCs w:val="20"/>
                <w:color w:val="auto"/>
              </w:rPr>
            </w:pPr>
            <w:r>
              <w:rPr>
                <w:rFonts w:ascii="Arial" w:cs="Arial" w:eastAsia="Arial" w:hAnsi="Arial"/>
                <w:sz w:val="16"/>
                <w:szCs w:val="16"/>
                <w:color w:val="auto"/>
              </w:rPr>
              <w:t>Total property, plant and equipment, net</w:t>
            </w:r>
          </w:p>
        </w:tc>
        <w:tc>
          <w:tcPr>
            <w:tcW w:w="358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6,697,322</w:t>
            </w:r>
          </w:p>
        </w:tc>
        <w:tc>
          <w:tcPr>
            <w:tcW w:w="26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6,449,176</w:t>
            </w:r>
          </w:p>
        </w:tc>
      </w:tr>
      <w:tr>
        <w:trPr>
          <w:trHeight w:val="237"/>
        </w:trPr>
        <w:tc>
          <w:tcPr>
            <w:tcW w:w="1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6"/>
        </w:trPr>
        <w:tc>
          <w:tcPr>
            <w:tcW w:w="3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 assets:</w:t>
            </w:r>
          </w:p>
        </w:tc>
        <w:tc>
          <w:tcPr>
            <w:tcW w:w="35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spacing w:after="0"/>
              <w:rPr>
                <w:sz w:val="18"/>
                <w:szCs w:val="18"/>
                <w:color w:val="auto"/>
              </w:rPr>
            </w:pP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1,299,454</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1,299,454</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Intangible assets, net</w:t>
            </w:r>
          </w:p>
        </w:tc>
        <w:tc>
          <w:tcPr>
            <w:tcW w:w="358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9,883</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10,770</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Regulatory assets, non-current</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416,119</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526,309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Other assets, non-current</w:t>
            </w:r>
          </w:p>
        </w:tc>
        <w:tc>
          <w:tcPr>
            <w:tcW w:w="358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50,268</w:t>
            </w:r>
          </w:p>
        </w:tc>
        <w:tc>
          <w:tcPr>
            <w:tcW w:w="26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38,054</w:t>
            </w:r>
          </w:p>
        </w:tc>
      </w:tr>
      <w:tr>
        <w:trPr>
          <w:trHeight w:val="209"/>
        </w:trPr>
        <w:tc>
          <w:tcPr>
            <w:tcW w:w="3580" w:type="dxa"/>
            <w:vAlign w:val="bottom"/>
            <w:tcBorders>
              <w:bottom w:val="single" w:sz="8" w:color="CEFFE7"/>
            </w:tcBorders>
            <w:gridSpan w:val="2"/>
          </w:tcPr>
          <w:p>
            <w:pPr>
              <w:ind w:left="560"/>
              <w:spacing w:after="0"/>
              <w:rPr>
                <w:sz w:val="20"/>
                <w:szCs w:val="20"/>
                <w:color w:val="auto"/>
              </w:rPr>
            </w:pPr>
            <w:r>
              <w:rPr>
                <w:rFonts w:ascii="Arial" w:cs="Arial" w:eastAsia="Arial" w:hAnsi="Arial"/>
                <w:sz w:val="16"/>
                <w:szCs w:val="16"/>
                <w:color w:val="auto"/>
              </w:rPr>
              <w:t>Total other assets, non-current</w:t>
            </w:r>
          </w:p>
        </w:tc>
        <w:tc>
          <w:tcPr>
            <w:tcW w:w="358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1,775,724</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1,874,587</w:t>
            </w:r>
          </w:p>
        </w:tc>
      </w:tr>
      <w:tr>
        <w:trPr>
          <w:trHeight w:val="237"/>
        </w:trPr>
        <w:tc>
          <w:tcPr>
            <w:tcW w:w="1360" w:type="dxa"/>
            <w:vAlign w:val="bottom"/>
            <w:shd w:val="clear" w:color="auto" w:fill="CEFFE7"/>
          </w:tcPr>
          <w:p>
            <w:pPr>
              <w:spacing w:after="0"/>
              <w:rPr>
                <w:sz w:val="20"/>
                <w:szCs w:val="20"/>
                <w:color w:val="auto"/>
              </w:rPr>
            </w:pPr>
          </w:p>
        </w:tc>
        <w:tc>
          <w:tcPr>
            <w:tcW w:w="2220" w:type="dxa"/>
            <w:vAlign w:val="bottom"/>
            <w:shd w:val="clear" w:color="auto" w:fill="CEFFE7"/>
          </w:tcPr>
          <w:p>
            <w:pPr>
              <w:spacing w:after="0"/>
              <w:rPr>
                <w:sz w:val="20"/>
                <w:szCs w:val="20"/>
                <w:color w:val="auto"/>
              </w:rPr>
            </w:pPr>
          </w:p>
        </w:tc>
        <w:tc>
          <w:tcPr>
            <w:tcW w:w="358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86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1780" w:type="dxa"/>
            <w:vAlign w:val="bottom"/>
            <w:shd w:val="clear" w:color="auto" w:fill="CEFFE7"/>
          </w:tcPr>
          <w:p>
            <w:pPr>
              <w:spacing w:after="0"/>
              <w:rPr>
                <w:sz w:val="20"/>
                <w:szCs w:val="20"/>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3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9,322,294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9,131,896</w:t>
            </w:r>
          </w:p>
        </w:tc>
      </w:tr>
      <w:tr>
        <w:trPr>
          <w:trHeight w:val="20"/>
        </w:trPr>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33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404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rPr>
              <w:t>BLACK HILLS CORPORATION</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80" w:type="dxa"/>
            <w:vAlign w:val="bottom"/>
            <w:gridSpan w:val="3"/>
          </w:tcPr>
          <w:p>
            <w:pPr>
              <w:jc w:val="center"/>
              <w:ind w:right="1139"/>
              <w:spacing w:after="0"/>
              <w:rPr>
                <w:sz w:val="20"/>
                <w:szCs w:val="20"/>
                <w:color w:val="auto"/>
              </w:rPr>
            </w:pPr>
            <w:r>
              <w:rPr>
                <w:rFonts w:ascii="Arial" w:cs="Arial" w:eastAsia="Arial" w:hAnsi="Arial"/>
                <w:sz w:val="16"/>
                <w:szCs w:val="16"/>
                <w:b w:val="1"/>
                <w:bCs w:val="1"/>
                <w:color w:val="auto"/>
              </w:rPr>
              <w:t>CONDENSED CONSOLIDATED BALANCE SHEETS</w:t>
            </w: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3"/>
        </w:trPr>
        <w:tc>
          <w:tcPr>
            <w:tcW w:w="1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4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rPr>
              <w:t>(Continued)</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1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September 30, 2022</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09"/>
        </w:trPr>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3"/>
          </w:tcPr>
          <w:p>
            <w:pPr>
              <w:jc w:val="right"/>
              <w:ind w:right="599"/>
              <w:spacing w:after="0"/>
              <w:rPr>
                <w:sz w:val="20"/>
                <w:szCs w:val="20"/>
                <w:color w:val="auto"/>
              </w:rPr>
            </w:pPr>
            <w:r>
              <w:rPr>
                <w:rFonts w:ascii="Arial" w:cs="Arial" w:eastAsia="Arial" w:hAnsi="Arial"/>
                <w:sz w:val="16"/>
                <w:szCs w:val="16"/>
                <w:color w:val="auto"/>
              </w:rPr>
              <w:t>(in thousands, except share amounts)</w:t>
            </w:r>
          </w:p>
        </w:tc>
      </w:tr>
      <w:tr>
        <w:trPr>
          <w:trHeight w:val="217"/>
        </w:trPr>
        <w:tc>
          <w:tcPr>
            <w:tcW w:w="1360" w:type="dxa"/>
            <w:vAlign w:val="bottom"/>
          </w:tcPr>
          <w:p>
            <w:pPr>
              <w:spacing w:after="0"/>
              <w:rPr>
                <w:sz w:val="18"/>
                <w:szCs w:val="18"/>
                <w:color w:val="auto"/>
              </w:rPr>
            </w:pPr>
          </w:p>
        </w:tc>
        <w:tc>
          <w:tcPr>
            <w:tcW w:w="5980" w:type="dxa"/>
            <w:vAlign w:val="bottom"/>
            <w:gridSpan w:val="3"/>
          </w:tcPr>
          <w:p>
            <w:pPr>
              <w:jc w:val="right"/>
              <w:ind w:right="2760"/>
              <w:spacing w:after="0"/>
              <w:rPr>
                <w:sz w:val="20"/>
                <w:szCs w:val="20"/>
                <w:color w:val="auto"/>
              </w:rPr>
            </w:pPr>
            <w:r>
              <w:rPr>
                <w:rFonts w:ascii="Arial" w:cs="Arial" w:eastAsia="Arial" w:hAnsi="Arial"/>
                <w:sz w:val="16"/>
                <w:szCs w:val="16"/>
                <w:b w:val="1"/>
                <w:bCs w:val="1"/>
                <w:color w:val="auto"/>
              </w:rPr>
              <w:t>LIABILITIES AND EQUITY</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330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Accounts payable</w:t>
            </w:r>
          </w:p>
        </w:tc>
        <w:tc>
          <w:tcPr>
            <w:tcW w:w="404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187,046</w:t>
            </w:r>
          </w:p>
        </w:tc>
        <w:tc>
          <w:tcPr>
            <w:tcW w:w="2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217,761</w:t>
            </w:r>
          </w:p>
        </w:tc>
      </w:tr>
      <w:tr>
        <w:trPr>
          <w:trHeight w:val="215"/>
        </w:trPr>
        <w:tc>
          <w:tcPr>
            <w:tcW w:w="3300" w:type="dxa"/>
            <w:vAlign w:val="bottom"/>
            <w:gridSpan w:val="2"/>
          </w:tcPr>
          <w:p>
            <w:pPr>
              <w:ind w:left="180"/>
              <w:spacing w:after="0"/>
              <w:rPr>
                <w:sz w:val="20"/>
                <w:szCs w:val="20"/>
                <w:color w:val="auto"/>
              </w:rPr>
            </w:pPr>
            <w:r>
              <w:rPr>
                <w:rFonts w:ascii="Arial" w:cs="Arial" w:eastAsia="Arial" w:hAnsi="Arial"/>
                <w:sz w:val="16"/>
                <w:szCs w:val="16"/>
                <w:color w:val="auto"/>
              </w:rPr>
              <w:t>Accrued liabilities</w:t>
            </w: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250,835</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244,759</w:t>
            </w:r>
          </w:p>
        </w:tc>
      </w:tr>
      <w:tr>
        <w:trPr>
          <w:trHeight w:val="217"/>
        </w:trPr>
        <w:tc>
          <w:tcPr>
            <w:tcW w:w="330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Derivative liabilities, current</w:t>
            </w:r>
          </w:p>
        </w:tc>
        <w:tc>
          <w:tcPr>
            <w:tcW w:w="386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5,569</w:t>
            </w:r>
          </w:p>
        </w:tc>
        <w:tc>
          <w:tcPr>
            <w:tcW w:w="28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1,439</w:t>
            </w:r>
          </w:p>
        </w:tc>
      </w:tr>
      <w:tr>
        <w:trPr>
          <w:trHeight w:val="215"/>
        </w:trPr>
        <w:tc>
          <w:tcPr>
            <w:tcW w:w="3300" w:type="dxa"/>
            <w:vAlign w:val="bottom"/>
            <w:gridSpan w:val="2"/>
          </w:tcPr>
          <w:p>
            <w:pPr>
              <w:ind w:left="180"/>
              <w:spacing w:after="0"/>
              <w:rPr>
                <w:sz w:val="20"/>
                <w:szCs w:val="20"/>
                <w:color w:val="auto"/>
              </w:rPr>
            </w:pPr>
            <w:r>
              <w:rPr>
                <w:rFonts w:ascii="Arial" w:cs="Arial" w:eastAsia="Arial" w:hAnsi="Arial"/>
                <w:sz w:val="16"/>
                <w:szCs w:val="16"/>
                <w:color w:val="auto"/>
              </w:rPr>
              <w:t>Regulatory liabilities, current</w:t>
            </w: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24,797</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17,574</w:t>
            </w:r>
          </w:p>
        </w:tc>
      </w:tr>
      <w:tr>
        <w:trPr>
          <w:trHeight w:val="217"/>
        </w:trPr>
        <w:tc>
          <w:tcPr>
            <w:tcW w:w="330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Notes payable</w:t>
            </w:r>
          </w:p>
        </w:tc>
        <w:tc>
          <w:tcPr>
            <w:tcW w:w="386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501,350</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420,180</w:t>
            </w:r>
          </w:p>
        </w:tc>
      </w:tr>
      <w:tr>
        <w:trPr>
          <w:trHeight w:val="209"/>
        </w:trPr>
        <w:tc>
          <w:tcPr>
            <w:tcW w:w="3300" w:type="dxa"/>
            <w:vAlign w:val="bottom"/>
            <w:tcBorders>
              <w:bottom w:val="single" w:sz="8" w:color="CEFFE7"/>
            </w:tcBorders>
            <w:gridSpan w:val="2"/>
          </w:tcPr>
          <w:p>
            <w:pPr>
              <w:ind w:left="560"/>
              <w:spacing w:after="0"/>
              <w:rPr>
                <w:sz w:val="20"/>
                <w:szCs w:val="20"/>
                <w:color w:val="auto"/>
              </w:rPr>
            </w:pPr>
            <w:r>
              <w:rPr>
                <w:rFonts w:ascii="Arial" w:cs="Arial" w:eastAsia="Arial" w:hAnsi="Arial"/>
                <w:sz w:val="16"/>
                <w:szCs w:val="16"/>
                <w:color w:val="auto"/>
              </w:rPr>
              <w:t>Total current liabilities</w:t>
            </w:r>
          </w:p>
        </w:tc>
        <w:tc>
          <w:tcPr>
            <w:tcW w:w="386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969,597</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901,713</w:t>
            </w:r>
          </w:p>
        </w:tc>
      </w:tr>
      <w:tr>
        <w:trPr>
          <w:trHeight w:val="237"/>
        </w:trPr>
        <w:tc>
          <w:tcPr>
            <w:tcW w:w="1360" w:type="dxa"/>
            <w:vAlign w:val="bottom"/>
            <w:shd w:val="clear" w:color="auto" w:fill="CEFFE7"/>
          </w:tcPr>
          <w:p>
            <w:pPr>
              <w:spacing w:after="0"/>
              <w:rPr>
                <w:sz w:val="20"/>
                <w:szCs w:val="20"/>
                <w:color w:val="auto"/>
              </w:rPr>
            </w:pPr>
          </w:p>
        </w:tc>
        <w:tc>
          <w:tcPr>
            <w:tcW w:w="1940" w:type="dxa"/>
            <w:vAlign w:val="bottom"/>
            <w:shd w:val="clear" w:color="auto" w:fill="CEFFE7"/>
          </w:tcPr>
          <w:p>
            <w:pPr>
              <w:spacing w:after="0"/>
              <w:rPr>
                <w:sz w:val="20"/>
                <w:szCs w:val="20"/>
                <w:color w:val="auto"/>
              </w:rPr>
            </w:pPr>
          </w:p>
        </w:tc>
        <w:tc>
          <w:tcPr>
            <w:tcW w:w="386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84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1780" w:type="dxa"/>
            <w:vAlign w:val="bottom"/>
            <w:shd w:val="clear" w:color="auto" w:fill="CEFFE7"/>
          </w:tcPr>
          <w:p>
            <w:pPr>
              <w:spacing w:after="0"/>
              <w:rPr>
                <w:sz w:val="20"/>
                <w:szCs w:val="20"/>
                <w:color w:val="auto"/>
              </w:rPr>
            </w:pPr>
          </w:p>
        </w:tc>
      </w:tr>
      <w:tr>
        <w:trPr>
          <w:trHeight w:val="215"/>
        </w:trPr>
        <w:tc>
          <w:tcPr>
            <w:tcW w:w="330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386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4,131,033</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4,126,923</w:t>
            </w:r>
          </w:p>
        </w:tc>
      </w:tr>
      <w:tr>
        <w:trPr>
          <w:trHeight w:val="237"/>
        </w:trPr>
        <w:tc>
          <w:tcPr>
            <w:tcW w:w="1360" w:type="dxa"/>
            <w:vAlign w:val="bottom"/>
            <w:shd w:val="clear" w:color="auto" w:fill="CEFFE7"/>
          </w:tcPr>
          <w:p>
            <w:pPr>
              <w:spacing w:after="0"/>
              <w:rPr>
                <w:sz w:val="20"/>
                <w:szCs w:val="20"/>
                <w:color w:val="auto"/>
              </w:rPr>
            </w:pPr>
          </w:p>
        </w:tc>
        <w:tc>
          <w:tcPr>
            <w:tcW w:w="1940" w:type="dxa"/>
            <w:vAlign w:val="bottom"/>
            <w:shd w:val="clear" w:color="auto" w:fill="CEFFE7"/>
          </w:tcPr>
          <w:p>
            <w:pPr>
              <w:spacing w:after="0"/>
              <w:rPr>
                <w:sz w:val="20"/>
                <w:szCs w:val="20"/>
                <w:color w:val="auto"/>
              </w:rPr>
            </w:pPr>
          </w:p>
        </w:tc>
        <w:tc>
          <w:tcPr>
            <w:tcW w:w="386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84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1780" w:type="dxa"/>
            <w:vAlign w:val="bottom"/>
            <w:shd w:val="clear" w:color="auto" w:fill="CEFFE7"/>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Deferred credits and other liabilities: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Regulatory liabilities, non-current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deferred credits and other liabilities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491,859</w:t>
            </w:r>
          </w:p>
        </w:tc>
        <w:tc>
          <w:tcPr>
            <w:tcW w:w="1480" w:type="dxa"/>
            <w:vAlign w:val="bottom"/>
          </w:tcPr>
          <w:p>
            <w:pPr>
              <w:jc w:val="right"/>
              <w:spacing w:after="0"/>
              <w:rPr>
                <w:sz w:val="20"/>
                <w:szCs w:val="20"/>
                <w:color w:val="auto"/>
              </w:rPr>
            </w:pPr>
            <w:r>
              <w:rPr>
                <w:rFonts w:ascii="Arial" w:cs="Arial" w:eastAsia="Arial" w:hAnsi="Arial"/>
                <w:sz w:val="16"/>
                <w:szCs w:val="16"/>
                <w:color w:val="auto"/>
              </w:rPr>
              <w:t>465,388</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469,963</w:t>
            </w:r>
          </w:p>
        </w:tc>
        <w:tc>
          <w:tcPr>
            <w:tcW w:w="1480" w:type="dxa"/>
            <w:vAlign w:val="bottom"/>
          </w:tcPr>
          <w:p>
            <w:pPr>
              <w:jc w:val="right"/>
              <w:spacing w:after="0"/>
              <w:rPr>
                <w:sz w:val="20"/>
                <w:szCs w:val="20"/>
                <w:color w:val="auto"/>
              </w:rPr>
            </w:pPr>
            <w:r>
              <w:rPr>
                <w:rFonts w:ascii="Arial" w:cs="Arial" w:eastAsia="Arial" w:hAnsi="Arial"/>
                <w:sz w:val="16"/>
                <w:szCs w:val="16"/>
                <w:color w:val="auto"/>
              </w:rPr>
              <w:t>485,377</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120,629</w:t>
            </w:r>
          </w:p>
        </w:tc>
        <w:tc>
          <w:tcPr>
            <w:tcW w:w="1480" w:type="dxa"/>
            <w:vAlign w:val="bottom"/>
          </w:tcPr>
          <w:p>
            <w:pPr>
              <w:jc w:val="right"/>
              <w:spacing w:after="0"/>
              <w:rPr>
                <w:sz w:val="20"/>
                <w:szCs w:val="20"/>
                <w:color w:val="auto"/>
              </w:rPr>
            </w:pPr>
            <w:r>
              <w:rPr>
                <w:rFonts w:ascii="Arial" w:cs="Arial" w:eastAsia="Arial" w:hAnsi="Arial"/>
                <w:sz w:val="16"/>
                <w:szCs w:val="16"/>
                <w:color w:val="auto"/>
              </w:rPr>
              <w:t>123,925</w:t>
            </w:r>
          </w:p>
        </w:tc>
      </w:tr>
      <w:tr>
        <w:trPr>
          <w:trHeight w:val="217"/>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155,456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141,447</w:t>
            </w:r>
          </w:p>
        </w:tc>
      </w:tr>
      <w:tr>
        <w:trPr>
          <w:trHeight w:val="210"/>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1,237,907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-702310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-427990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-153670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080"/>
          </w:cols>
          <w:pgMar w:left="320" w:top="118"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6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Commitments, contingencies and guarantees (</w:t>
            </w:r>
            <w:r>
              <w:rPr>
                <w:rFonts w:ascii="Arial" w:cs="Arial" w:eastAsia="Arial" w:hAnsi="Arial"/>
                <w:sz w:val="16"/>
                <w:szCs w:val="16"/>
                <w:color w:val="0000FF"/>
              </w:rPr>
              <w:t>Note 3</w:t>
            </w:r>
            <w:r>
              <w:rPr>
                <w:rFonts w:ascii="Arial" w:cs="Arial" w:eastAsia="Arial" w:hAnsi="Arial"/>
                <w:sz w:val="16"/>
                <w:szCs w:val="16"/>
                <w:color w:val="auto"/>
              </w:rPr>
              <w:t>)</w:t>
            </w:r>
          </w:p>
        </w:tc>
        <w:tc>
          <w:tcPr>
            <w:tcW w:w="660" w:type="dxa"/>
            <w:vAlign w:val="bottom"/>
            <w:shd w:val="clear" w:color="auto" w:fill="CEFFE7"/>
          </w:tcPr>
          <w:p>
            <w:pPr>
              <w:spacing w:after="0"/>
              <w:rPr>
                <w:sz w:val="17"/>
                <w:szCs w:val="17"/>
                <w:color w:val="auto"/>
              </w:rPr>
            </w:pPr>
          </w:p>
        </w:tc>
        <w:tc>
          <w:tcPr>
            <w:tcW w:w="1380" w:type="dxa"/>
            <w:vAlign w:val="bottom"/>
            <w:shd w:val="clear" w:color="auto" w:fill="CEFFE7"/>
          </w:tcPr>
          <w:p>
            <w:pPr>
              <w:spacing w:after="0"/>
              <w:rPr>
                <w:sz w:val="17"/>
                <w:szCs w:val="17"/>
                <w:color w:val="auto"/>
              </w:rPr>
            </w:pPr>
          </w:p>
        </w:tc>
        <w:tc>
          <w:tcPr>
            <w:tcW w:w="700" w:type="dxa"/>
            <w:vAlign w:val="bottom"/>
            <w:shd w:val="clear" w:color="auto" w:fill="CEFFE7"/>
          </w:tcPr>
          <w:p>
            <w:pPr>
              <w:spacing w:after="0"/>
              <w:rPr>
                <w:sz w:val="17"/>
                <w:szCs w:val="17"/>
                <w:color w:val="auto"/>
              </w:rPr>
            </w:pPr>
          </w:p>
        </w:tc>
        <w:tc>
          <w:tcPr>
            <w:tcW w:w="134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380" w:type="dxa"/>
            <w:vAlign w:val="bottom"/>
            <w:tcBorders>
              <w:top w:val="single" w:sz="8" w:color="CEFFE7"/>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300" w:type="dxa"/>
            <w:vAlign w:val="bottom"/>
            <w:tcBorders>
              <w:top w:val="single" w:sz="8" w:color="CEFFE7"/>
            </w:tcBorders>
          </w:tcPr>
          <w:p>
            <w:pPr>
              <w:spacing w:after="0"/>
              <w:rPr>
                <w:sz w:val="22"/>
                <w:szCs w:val="22"/>
                <w:color w:val="auto"/>
              </w:rPr>
            </w:pPr>
          </w:p>
        </w:tc>
        <w:tc>
          <w:tcPr>
            <w:tcW w:w="660" w:type="dxa"/>
            <w:vAlign w:val="bottom"/>
            <w:tcBorders>
              <w:top w:val="single" w:sz="8" w:color="CEFFE7"/>
            </w:tcBorders>
          </w:tcPr>
          <w:p>
            <w:pPr>
              <w:spacing w:after="0"/>
              <w:rPr>
                <w:sz w:val="22"/>
                <w:szCs w:val="22"/>
                <w:color w:val="auto"/>
              </w:rPr>
            </w:pPr>
          </w:p>
        </w:tc>
        <w:tc>
          <w:tcPr>
            <w:tcW w:w="1380" w:type="dxa"/>
            <w:vAlign w:val="bottom"/>
            <w:tcBorders>
              <w:top w:val="single" w:sz="8" w:color="CEFFE7"/>
            </w:tcBorders>
          </w:tcPr>
          <w:p>
            <w:pPr>
              <w:spacing w:after="0"/>
              <w:rPr>
                <w:sz w:val="22"/>
                <w:szCs w:val="22"/>
                <w:color w:val="auto"/>
              </w:rPr>
            </w:pPr>
          </w:p>
        </w:tc>
        <w:tc>
          <w:tcPr>
            <w:tcW w:w="700" w:type="dxa"/>
            <w:vAlign w:val="bottom"/>
            <w:tcBorders>
              <w:top w:val="single" w:sz="8" w:color="CEFFE7"/>
            </w:tcBorders>
          </w:tcPr>
          <w:p>
            <w:pPr>
              <w:spacing w:after="0"/>
              <w:rPr>
                <w:sz w:val="22"/>
                <w:szCs w:val="22"/>
                <w:color w:val="auto"/>
              </w:rPr>
            </w:pPr>
          </w:p>
        </w:tc>
        <w:tc>
          <w:tcPr>
            <w:tcW w:w="1340" w:type="dxa"/>
            <w:vAlign w:val="bottom"/>
            <w:tcBorders>
              <w:top w:val="single" w:sz="8" w:color="CEFFE7"/>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Equity:</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gridSpan w:val="3"/>
          </w:tcPr>
          <w:p>
            <w:pPr>
              <w:jc w:val="center"/>
              <w:ind w:right="5140"/>
              <w:spacing w:after="0"/>
              <w:rPr>
                <w:sz w:val="20"/>
                <w:szCs w:val="20"/>
                <w:color w:val="auto"/>
              </w:rPr>
            </w:pPr>
            <w:r>
              <w:rPr>
                <w:rFonts w:ascii="Arial" w:cs="Arial" w:eastAsia="Arial" w:hAnsi="Arial"/>
                <w:sz w:val="16"/>
                <w:szCs w:val="16"/>
                <w:color w:val="auto"/>
              </w:rPr>
              <w:t>Stockholders’ equity —</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160" w:type="dxa"/>
            <w:vAlign w:val="bottom"/>
            <w:gridSpan w:val="3"/>
            <w:shd w:val="clear" w:color="auto" w:fill="CEFFE7"/>
          </w:tcPr>
          <w:p>
            <w:pPr>
              <w:ind w:left="220"/>
              <w:spacing w:after="0" w:line="163" w:lineRule="exact"/>
              <w:rPr>
                <w:sz w:val="20"/>
                <w:szCs w:val="20"/>
                <w:color w:val="auto"/>
              </w:rPr>
            </w:pPr>
            <w:r>
              <w:rPr>
                <w:rFonts w:ascii="Arial" w:cs="Arial" w:eastAsia="Arial" w:hAnsi="Arial"/>
                <w:sz w:val="16"/>
                <w:szCs w:val="16"/>
                <w:color w:val="auto"/>
              </w:rPr>
              <w:t>Common stock $1 par value; 100,000,000 shares authorized; issued 65,105,205 and</w:t>
            </w:r>
          </w:p>
        </w:tc>
        <w:tc>
          <w:tcPr>
            <w:tcW w:w="660" w:type="dxa"/>
            <w:vAlign w:val="bottom"/>
            <w:shd w:val="clear" w:color="auto" w:fill="CEFFE7"/>
          </w:tcPr>
          <w:p>
            <w:pPr>
              <w:spacing w:after="0"/>
              <w:rPr>
                <w:sz w:val="14"/>
                <w:szCs w:val="14"/>
                <w:color w:val="auto"/>
              </w:rPr>
            </w:pPr>
          </w:p>
        </w:tc>
        <w:tc>
          <w:tcPr>
            <w:tcW w:w="138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65,105</w:t>
            </w:r>
          </w:p>
        </w:tc>
        <w:tc>
          <w:tcPr>
            <w:tcW w:w="700" w:type="dxa"/>
            <w:vAlign w:val="bottom"/>
            <w:shd w:val="clear" w:color="auto" w:fill="CEFFE7"/>
          </w:tcPr>
          <w:p>
            <w:pPr>
              <w:spacing w:after="0"/>
              <w:rPr>
                <w:sz w:val="14"/>
                <w:szCs w:val="14"/>
                <w:color w:val="auto"/>
              </w:rPr>
            </w:pPr>
          </w:p>
        </w:tc>
        <w:tc>
          <w:tcPr>
            <w:tcW w:w="13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64,793</w:t>
            </w: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64,793,095 shares, respectively</w:t>
            </w:r>
          </w:p>
        </w:tc>
        <w:tc>
          <w:tcPr>
            <w:tcW w:w="660" w:type="dxa"/>
            <w:vAlign w:val="bottom"/>
            <w:shd w:val="clear" w:color="auto" w:fill="CEFFE7"/>
          </w:tcPr>
          <w:p>
            <w:pPr>
              <w:spacing w:after="0"/>
              <w:rPr>
                <w:sz w:val="18"/>
                <w:szCs w:val="18"/>
                <w:color w:val="auto"/>
              </w:rPr>
            </w:pPr>
          </w:p>
        </w:tc>
        <w:tc>
          <w:tcPr>
            <w:tcW w:w="1380" w:type="dxa"/>
            <w:vAlign w:val="bottom"/>
            <w:vMerge w:val="continue"/>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34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gridSpan w:val="3"/>
          </w:tcPr>
          <w:p>
            <w:pPr>
              <w:ind w:left="220"/>
              <w:spacing w:after="0"/>
              <w:rPr>
                <w:sz w:val="20"/>
                <w:szCs w:val="20"/>
                <w:color w:val="auto"/>
              </w:rPr>
            </w:pPr>
            <w:r>
              <w:rPr>
                <w:rFonts w:ascii="Arial" w:cs="Arial" w:eastAsia="Arial" w:hAnsi="Arial"/>
                <w:sz w:val="16"/>
                <w:szCs w:val="16"/>
                <w:color w:val="auto"/>
              </w:rPr>
              <w:t>Additional paid-in capital</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1,811,093</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1,783,436</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Retained earnings</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1,032,522</w:t>
            </w: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962,458</w:t>
            </w:r>
          </w:p>
        </w:tc>
        <w:tc>
          <w:tcPr>
            <w:tcW w:w="0" w:type="dxa"/>
            <w:vAlign w:val="bottom"/>
          </w:tcPr>
          <w:p>
            <w:pPr>
              <w:spacing w:after="0"/>
              <w:rPr>
                <w:sz w:val="1"/>
                <w:szCs w:val="1"/>
                <w:color w:val="auto"/>
              </w:rPr>
            </w:pPr>
          </w:p>
        </w:tc>
      </w:tr>
      <w:tr>
        <w:trPr>
          <w:trHeight w:val="215"/>
        </w:trPr>
        <w:tc>
          <w:tcPr>
            <w:tcW w:w="7160" w:type="dxa"/>
            <w:vAlign w:val="bottom"/>
            <w:gridSpan w:val="3"/>
          </w:tcPr>
          <w:p>
            <w:pPr>
              <w:ind w:left="220"/>
              <w:spacing w:after="0"/>
              <w:rPr>
                <w:sz w:val="20"/>
                <w:szCs w:val="20"/>
                <w:color w:val="auto"/>
              </w:rPr>
            </w:pPr>
            <w:r>
              <w:rPr>
                <w:rFonts w:ascii="Arial" w:cs="Arial" w:eastAsia="Arial" w:hAnsi="Arial"/>
                <w:sz w:val="16"/>
                <w:szCs w:val="16"/>
                <w:color w:val="auto"/>
              </w:rPr>
              <w:t>Treasury stock, at cost – 26,208 and 54,078 shares, respectively</w:t>
            </w:r>
          </w:p>
        </w:tc>
        <w:tc>
          <w:tcPr>
            <w:tcW w:w="6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(1,715)</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Accumulated other comprehensive (loss)</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(20,389)</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(20,084)</w:t>
            </w:r>
          </w:p>
        </w:tc>
        <w:tc>
          <w:tcPr>
            <w:tcW w:w="0" w:type="dxa"/>
            <w:vAlign w:val="bottom"/>
          </w:tcPr>
          <w:p>
            <w:pPr>
              <w:spacing w:after="0"/>
              <w:rPr>
                <w:sz w:val="1"/>
                <w:szCs w:val="1"/>
                <w:color w:val="auto"/>
              </w:rPr>
            </w:pPr>
          </w:p>
        </w:tc>
      </w:tr>
      <w:tr>
        <w:trPr>
          <w:trHeight w:val="209"/>
        </w:trPr>
        <w:tc>
          <w:tcPr>
            <w:tcW w:w="7160" w:type="dxa"/>
            <w:vAlign w:val="bottom"/>
            <w:gridSpan w:val="3"/>
          </w:tcPr>
          <w:p>
            <w:pPr>
              <w:ind w:left="600"/>
              <w:spacing w:after="0"/>
              <w:rPr>
                <w:sz w:val="20"/>
                <w:szCs w:val="20"/>
                <w:color w:val="auto"/>
              </w:rPr>
            </w:pPr>
            <w:r>
              <w:rPr>
                <w:rFonts w:ascii="Arial" w:cs="Arial" w:eastAsia="Arial" w:hAnsi="Arial"/>
                <w:sz w:val="16"/>
                <w:szCs w:val="16"/>
                <w:color w:val="auto"/>
              </w:rPr>
              <w:t>Total stockholders’ equity</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2,886,616</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2,787,094</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jc w:val="center"/>
              <w:ind w:right="5120"/>
              <w:spacing w:after="0"/>
              <w:rPr>
                <w:sz w:val="20"/>
                <w:szCs w:val="20"/>
                <w:color w:val="auto"/>
              </w:rPr>
            </w:pPr>
            <w:r>
              <w:rPr>
                <w:rFonts w:ascii="Arial" w:cs="Arial" w:eastAsia="Arial" w:hAnsi="Arial"/>
                <w:sz w:val="16"/>
                <w:szCs w:val="16"/>
                <w:color w:val="auto"/>
              </w:rPr>
              <w:t>Non-controlling interest</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97,141</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100,029</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EFFE7"/>
            </w:tcBorders>
            <w:gridSpan w:val="3"/>
          </w:tcPr>
          <w:p>
            <w:pPr>
              <w:jc w:val="center"/>
              <w:ind w:right="5140"/>
              <w:spacing w:after="0"/>
              <w:rPr>
                <w:sz w:val="20"/>
                <w:szCs w:val="20"/>
                <w:color w:val="auto"/>
              </w:rPr>
            </w:pPr>
            <w:r>
              <w:rPr>
                <w:rFonts w:ascii="Arial" w:cs="Arial" w:eastAsia="Arial" w:hAnsi="Arial"/>
                <w:sz w:val="16"/>
                <w:szCs w:val="16"/>
                <w:color w:val="auto"/>
                <w:w w:val="99"/>
              </w:rPr>
              <w:t>Total equity</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2,983,757</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2,887,123</w:t>
            </w:r>
          </w:p>
        </w:tc>
        <w:tc>
          <w:tcPr>
            <w:tcW w:w="0" w:type="dxa"/>
            <w:vAlign w:val="bottom"/>
          </w:tcPr>
          <w:p>
            <w:pPr>
              <w:spacing w:after="0"/>
              <w:rPr>
                <w:sz w:val="1"/>
                <w:szCs w:val="1"/>
                <w:color w:val="auto"/>
              </w:rPr>
            </w:pPr>
          </w:p>
        </w:tc>
      </w:tr>
      <w:tr>
        <w:trPr>
          <w:trHeight w:val="237"/>
        </w:trPr>
        <w:tc>
          <w:tcPr>
            <w:tcW w:w="3380" w:type="dxa"/>
            <w:vAlign w:val="bottom"/>
            <w:shd w:val="clear" w:color="auto" w:fill="CEFFE7"/>
          </w:tcPr>
          <w:p>
            <w:pPr>
              <w:spacing w:after="0"/>
              <w:rPr>
                <w:sz w:val="20"/>
                <w:szCs w:val="20"/>
                <w:color w:val="auto"/>
              </w:rPr>
            </w:pPr>
          </w:p>
        </w:tc>
        <w:tc>
          <w:tcPr>
            <w:tcW w:w="480" w:type="dxa"/>
            <w:vAlign w:val="bottom"/>
            <w:shd w:val="clear" w:color="auto" w:fill="CEFFE7"/>
          </w:tcPr>
          <w:p>
            <w:pPr>
              <w:spacing w:after="0"/>
              <w:rPr>
                <w:sz w:val="20"/>
                <w:szCs w:val="20"/>
                <w:color w:val="auto"/>
              </w:rPr>
            </w:pPr>
          </w:p>
        </w:tc>
        <w:tc>
          <w:tcPr>
            <w:tcW w:w="3300" w:type="dxa"/>
            <w:vAlign w:val="bottom"/>
            <w:shd w:val="clear" w:color="auto" w:fill="CEFFE7"/>
          </w:tcPr>
          <w:p>
            <w:pPr>
              <w:spacing w:after="0"/>
              <w:rPr>
                <w:sz w:val="20"/>
                <w:szCs w:val="20"/>
                <w:color w:val="auto"/>
              </w:rPr>
            </w:pPr>
          </w:p>
        </w:tc>
        <w:tc>
          <w:tcPr>
            <w:tcW w:w="660" w:type="dxa"/>
            <w:vAlign w:val="bottom"/>
            <w:shd w:val="clear" w:color="auto" w:fill="CEFFE7"/>
          </w:tcPr>
          <w:p>
            <w:pPr>
              <w:spacing w:after="0"/>
              <w:rPr>
                <w:sz w:val="20"/>
                <w:szCs w:val="20"/>
                <w:color w:val="auto"/>
              </w:rPr>
            </w:pPr>
          </w:p>
        </w:tc>
        <w:tc>
          <w:tcPr>
            <w:tcW w:w="1380" w:type="dxa"/>
            <w:vAlign w:val="bottom"/>
            <w:shd w:val="clear" w:color="auto" w:fill="CEFFE7"/>
          </w:tcPr>
          <w:p>
            <w:pPr>
              <w:spacing w:after="0"/>
              <w:rPr>
                <w:sz w:val="20"/>
                <w:szCs w:val="20"/>
                <w:color w:val="auto"/>
              </w:rPr>
            </w:pPr>
          </w:p>
        </w:tc>
        <w:tc>
          <w:tcPr>
            <w:tcW w:w="70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gridSpan w:val="3"/>
          </w:tcPr>
          <w:p>
            <w:pPr>
              <w:ind w:left="20"/>
              <w:spacing w:after="0"/>
              <w:rPr>
                <w:sz w:val="20"/>
                <w:szCs w:val="20"/>
                <w:color w:val="auto"/>
              </w:rPr>
            </w:pPr>
            <w:r>
              <w:rPr>
                <w:rFonts w:ascii="Arial" w:cs="Arial" w:eastAsia="Arial" w:hAnsi="Arial"/>
                <w:sz w:val="16"/>
                <w:szCs w:val="16"/>
                <w:color w:val="auto"/>
              </w:rPr>
              <w:t>TOTAL LIABILITIES AND TOTAL EQUITY</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9,322,294</w:t>
            </w:r>
          </w:p>
        </w:tc>
        <w:tc>
          <w:tcPr>
            <w:tcW w:w="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9,131,896</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20" w:type="dxa"/>
            <w:vAlign w:val="bottom"/>
          </w:tcPr>
          <w:p>
            <w:pPr>
              <w:ind w:left="20"/>
              <w:spacing w:after="0"/>
              <w:rPr>
                <w:sz w:val="20"/>
                <w:szCs w:val="20"/>
                <w:color w:val="auto"/>
              </w:rPr>
            </w:pPr>
            <w:r>
              <w:rPr>
                <w:rFonts w:ascii="Arial" w:cs="Arial" w:eastAsia="Arial" w:hAnsi="Arial"/>
                <w:sz w:val="15"/>
                <w:szCs w:val="15"/>
                <w:color w:val="auto"/>
              </w:rPr>
              <w:t>(unaudited)</w:t>
            </w:r>
          </w:p>
        </w:tc>
        <w:tc>
          <w:tcPr>
            <w:tcW w:w="260" w:type="dxa"/>
            <w:vAlign w:val="bottom"/>
          </w:tcPr>
          <w:p>
            <w:pPr>
              <w:spacing w:after="0"/>
              <w:rPr>
                <w:sz w:val="17"/>
                <w:szCs w:val="17"/>
                <w:color w:val="auto"/>
              </w:rPr>
            </w:pPr>
          </w:p>
        </w:tc>
        <w:tc>
          <w:tcPr>
            <w:tcW w:w="2920" w:type="dxa"/>
            <w:vAlign w:val="bottom"/>
            <w:gridSpan w:val="3"/>
          </w:tcPr>
          <w:p>
            <w:pPr>
              <w:jc w:val="right"/>
              <w:ind w:right="324"/>
              <w:spacing w:after="0"/>
              <w:rPr>
                <w:sz w:val="20"/>
                <w:szCs w:val="20"/>
                <w:color w:val="auto"/>
              </w:rPr>
            </w:pPr>
            <w:r>
              <w:rPr>
                <w:rFonts w:ascii="Arial" w:cs="Arial" w:eastAsia="Arial" w:hAnsi="Arial"/>
                <w:sz w:val="15"/>
                <w:szCs w:val="15"/>
                <w:color w:val="auto"/>
              </w:rPr>
              <w:t>Nine Months Ended September 30,</w:t>
            </w:r>
          </w:p>
        </w:tc>
      </w:tr>
      <w:tr>
        <w:trPr>
          <w:trHeight w:val="203"/>
        </w:trPr>
        <w:tc>
          <w:tcPr>
            <w:tcW w:w="8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rPr>
              <w:t>2022</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rPr>
              <w:t>2021</w:t>
            </w:r>
          </w:p>
        </w:tc>
      </w:tr>
      <w:tr>
        <w:trPr>
          <w:trHeight w:val="201"/>
        </w:trPr>
        <w:tc>
          <w:tcPr>
            <w:tcW w:w="802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26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5"/>
                <w:szCs w:val="15"/>
                <w:color w:val="auto"/>
              </w:rPr>
              <w:t>(in thousands)</w:t>
            </w:r>
          </w:p>
        </w:tc>
        <w:tc>
          <w:tcPr>
            <w:tcW w:w="1040" w:type="dxa"/>
            <w:vAlign w:val="bottom"/>
          </w:tcPr>
          <w:p>
            <w:pPr>
              <w:spacing w:after="0"/>
              <w:rPr>
                <w:sz w:val="17"/>
                <w:szCs w:val="17"/>
                <w:color w:val="auto"/>
              </w:rPr>
            </w:pPr>
          </w:p>
        </w:tc>
      </w:tr>
      <w:tr>
        <w:trPr>
          <w:trHeight w:val="204"/>
        </w:trPr>
        <w:tc>
          <w:tcPr>
            <w:tcW w:w="8020" w:type="dxa"/>
            <w:vAlign w:val="bottom"/>
            <w:shd w:val="clear" w:color="auto" w:fill="CEFFE7"/>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EFFE7"/>
          </w:tcPr>
          <w:p>
            <w:pPr>
              <w:jc w:val="right"/>
              <w:ind w:right="8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194,704</w:t>
            </w:r>
          </w:p>
        </w:tc>
        <w:tc>
          <w:tcPr>
            <w:tcW w:w="560" w:type="dxa"/>
            <w:vAlign w:val="bottom"/>
            <w:shd w:val="clear" w:color="auto" w:fill="CEFFE7"/>
          </w:tcPr>
          <w:p>
            <w:pPr>
              <w:jc w:val="right"/>
              <w:ind w:right="36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176,936</w:t>
            </w:r>
          </w:p>
        </w:tc>
      </w:tr>
      <w:tr>
        <w:trPr>
          <w:trHeight w:val="201"/>
        </w:trPr>
        <w:tc>
          <w:tcPr>
            <w:tcW w:w="8020" w:type="dxa"/>
            <w:vAlign w:val="bottom"/>
          </w:tcPr>
          <w:p>
            <w:pPr>
              <w:ind w:left="100"/>
              <w:spacing w:after="0"/>
              <w:rPr>
                <w:sz w:val="20"/>
                <w:szCs w:val="20"/>
                <w:color w:val="auto"/>
              </w:rPr>
            </w:pPr>
            <w:r>
              <w:rPr>
                <w:rFonts w:ascii="Arial" w:cs="Arial" w:eastAsia="Arial" w:hAnsi="Arial"/>
                <w:sz w:val="15"/>
                <w:szCs w:val="15"/>
                <w:color w:val="auto"/>
              </w:rPr>
              <w:t>Adjustments to reconcile net income to net cash provided by (used in) operating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8020" w:type="dxa"/>
            <w:vAlign w:val="bottom"/>
            <w:shd w:val="clear" w:color="auto" w:fill="CEFFE7"/>
          </w:tcPr>
          <w:p>
            <w:pPr>
              <w:ind w:left="340"/>
              <w:spacing w:after="0"/>
              <w:rPr>
                <w:sz w:val="20"/>
                <w:szCs w:val="20"/>
                <w:color w:val="auto"/>
              </w:rPr>
            </w:pPr>
            <w:r>
              <w:rPr>
                <w:rFonts w:ascii="Arial" w:cs="Arial" w:eastAsia="Arial" w:hAnsi="Arial"/>
                <w:sz w:val="15"/>
                <w:szCs w:val="15"/>
                <w:color w:val="auto"/>
              </w:rPr>
              <w:t>Depreciation, depletion and amortization</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188,610</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174,871</w:t>
            </w:r>
          </w:p>
        </w:tc>
      </w:tr>
      <w:tr>
        <w:trPr>
          <w:trHeight w:val="201"/>
        </w:trPr>
        <w:tc>
          <w:tcPr>
            <w:tcW w:w="8020" w:type="dxa"/>
            <w:vAlign w:val="bottom"/>
          </w:tcPr>
          <w:p>
            <w:pPr>
              <w:ind w:left="340"/>
              <w:spacing w:after="0"/>
              <w:rPr>
                <w:sz w:val="20"/>
                <w:szCs w:val="20"/>
                <w:color w:val="auto"/>
              </w:rPr>
            </w:pPr>
            <w:r>
              <w:rPr>
                <w:rFonts w:ascii="Arial" w:cs="Arial" w:eastAsia="Arial" w:hAnsi="Arial"/>
                <w:sz w:val="15"/>
                <w:szCs w:val="15"/>
                <w:color w:val="auto"/>
              </w:rPr>
              <w:t>Deferred financing cost amortization</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7,430</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3,892</w:t>
            </w:r>
          </w:p>
        </w:tc>
      </w:tr>
      <w:tr>
        <w:trPr>
          <w:trHeight w:val="204"/>
        </w:trPr>
        <w:tc>
          <w:tcPr>
            <w:tcW w:w="8020" w:type="dxa"/>
            <w:vAlign w:val="bottom"/>
            <w:shd w:val="clear" w:color="auto" w:fill="CEFFE7"/>
          </w:tcPr>
          <w:p>
            <w:pPr>
              <w:ind w:left="340"/>
              <w:spacing w:after="0"/>
              <w:rPr>
                <w:sz w:val="20"/>
                <w:szCs w:val="20"/>
                <w:color w:val="auto"/>
              </w:rPr>
            </w:pPr>
            <w:r>
              <w:rPr>
                <w:rFonts w:ascii="Arial" w:cs="Arial" w:eastAsia="Arial" w:hAnsi="Arial"/>
                <w:sz w:val="15"/>
                <w:szCs w:val="15"/>
                <w:color w:val="auto"/>
              </w:rPr>
              <w:t>Stock compensation</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6,779</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7,245</w:t>
            </w:r>
          </w:p>
        </w:tc>
      </w:tr>
      <w:tr>
        <w:trPr>
          <w:trHeight w:val="201"/>
        </w:trPr>
        <w:tc>
          <w:tcPr>
            <w:tcW w:w="8020" w:type="dxa"/>
            <w:vAlign w:val="bottom"/>
          </w:tcPr>
          <w:p>
            <w:pPr>
              <w:ind w:left="340"/>
              <w:spacing w:after="0"/>
              <w:rPr>
                <w:sz w:val="20"/>
                <w:szCs w:val="20"/>
                <w:color w:val="auto"/>
              </w:rPr>
            </w:pPr>
            <w:r>
              <w:rPr>
                <w:rFonts w:ascii="Arial" w:cs="Arial" w:eastAsia="Arial" w:hAnsi="Arial"/>
                <w:sz w:val="15"/>
                <w:szCs w:val="15"/>
                <w:color w:val="auto"/>
              </w:rPr>
              <w:t>Deferred income taxes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16,062</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5,844</w:t>
            </w:r>
          </w:p>
        </w:tc>
      </w:tr>
      <w:tr>
        <w:trPr>
          <w:trHeight w:val="204"/>
        </w:trPr>
        <w:tc>
          <w:tcPr>
            <w:tcW w:w="8020" w:type="dxa"/>
            <w:vAlign w:val="bottom"/>
            <w:shd w:val="clear" w:color="auto" w:fill="CEFFE7"/>
          </w:tcPr>
          <w:p>
            <w:pPr>
              <w:ind w:left="340"/>
              <w:spacing w:after="0"/>
              <w:rPr>
                <w:sz w:val="20"/>
                <w:szCs w:val="20"/>
                <w:color w:val="auto"/>
              </w:rPr>
            </w:pPr>
            <w:r>
              <w:rPr>
                <w:rFonts w:ascii="Arial" w:cs="Arial" w:eastAsia="Arial" w:hAnsi="Arial"/>
                <w:sz w:val="15"/>
                <w:szCs w:val="15"/>
                <w:color w:val="auto"/>
              </w:rPr>
              <w:t>Employee benefit plans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2,677</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6,779</w:t>
            </w:r>
          </w:p>
        </w:tc>
      </w:tr>
      <w:tr>
        <w:trPr>
          <w:trHeight w:val="201"/>
        </w:trPr>
        <w:tc>
          <w:tcPr>
            <w:tcW w:w="8020" w:type="dxa"/>
            <w:vAlign w:val="bottom"/>
          </w:tcPr>
          <w:p>
            <w:pPr>
              <w:ind w:left="340"/>
              <w:spacing w:after="0"/>
              <w:rPr>
                <w:sz w:val="20"/>
                <w:szCs w:val="20"/>
                <w:color w:val="auto"/>
              </w:rPr>
            </w:pPr>
            <w:r>
              <w:rPr>
                <w:rFonts w:ascii="Arial" w:cs="Arial" w:eastAsia="Arial" w:hAnsi="Arial"/>
                <w:sz w:val="15"/>
                <w:szCs w:val="15"/>
                <w:color w:val="auto"/>
              </w:rPr>
              <w:t>Other adjustments, net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(10,243)</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2,708</w:t>
            </w:r>
          </w:p>
        </w:tc>
      </w:tr>
      <w:tr>
        <w:trPr>
          <w:trHeight w:val="204"/>
        </w:trPr>
        <w:tc>
          <w:tcPr>
            <w:tcW w:w="8020" w:type="dxa"/>
            <w:vAlign w:val="bottom"/>
            <w:shd w:val="clear" w:color="auto" w:fill="CEFFE7"/>
          </w:tcPr>
          <w:p>
            <w:pPr>
              <w:ind w:left="100"/>
              <w:spacing w:after="0"/>
              <w:rPr>
                <w:sz w:val="20"/>
                <w:szCs w:val="20"/>
                <w:color w:val="auto"/>
              </w:rPr>
            </w:pPr>
            <w:r>
              <w:rPr>
                <w:rFonts w:ascii="Arial" w:cs="Arial" w:eastAsia="Arial" w:hAnsi="Arial"/>
                <w:sz w:val="15"/>
                <w:szCs w:val="15"/>
                <w:color w:val="auto"/>
              </w:rPr>
              <w:t>Changes in certain operating assets and liabilities: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spacing w:after="0"/>
              <w:rPr>
                <w:sz w:val="17"/>
                <w:szCs w:val="17"/>
                <w:color w:val="auto"/>
              </w:rPr>
            </w:pP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r>
      <w:tr>
        <w:trPr>
          <w:trHeight w:val="201"/>
        </w:trPr>
        <w:tc>
          <w:tcPr>
            <w:tcW w:w="8020" w:type="dxa"/>
            <w:vAlign w:val="bottom"/>
          </w:tcPr>
          <w:p>
            <w:pPr>
              <w:ind w:left="340"/>
              <w:spacing w:after="0"/>
              <w:rPr>
                <w:sz w:val="20"/>
                <w:szCs w:val="20"/>
                <w:color w:val="auto"/>
              </w:rPr>
            </w:pPr>
            <w:r>
              <w:rPr>
                <w:rFonts w:ascii="Arial" w:cs="Arial" w:eastAsia="Arial" w:hAnsi="Arial"/>
                <w:sz w:val="15"/>
                <w:szCs w:val="15"/>
                <w:color w:val="auto"/>
              </w:rPr>
              <w:t>Materials, supplies and fuel</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(88,405)</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(29,948)</w:t>
            </w:r>
          </w:p>
        </w:tc>
      </w:tr>
      <w:tr>
        <w:trPr>
          <w:trHeight w:val="204"/>
        </w:trPr>
        <w:tc>
          <w:tcPr>
            <w:tcW w:w="8020" w:type="dxa"/>
            <w:vAlign w:val="bottom"/>
            <w:shd w:val="clear" w:color="auto" w:fill="CEFFE7"/>
          </w:tcPr>
          <w:p>
            <w:pPr>
              <w:ind w:left="340"/>
              <w:spacing w:after="0"/>
              <w:rPr>
                <w:sz w:val="20"/>
                <w:szCs w:val="20"/>
                <w:color w:val="auto"/>
              </w:rPr>
            </w:pPr>
            <w:r>
              <w:rPr>
                <w:rFonts w:ascii="Arial" w:cs="Arial" w:eastAsia="Arial" w:hAnsi="Arial"/>
                <w:sz w:val="15"/>
                <w:szCs w:val="15"/>
                <w:color w:val="auto"/>
              </w:rPr>
              <w:t>Accounts receivable and other current assets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64,280</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97,348</w:t>
            </w:r>
          </w:p>
        </w:tc>
      </w:tr>
      <w:tr>
        <w:trPr>
          <w:trHeight w:val="201"/>
        </w:trPr>
        <w:tc>
          <w:tcPr>
            <w:tcW w:w="8020" w:type="dxa"/>
            <w:vAlign w:val="bottom"/>
          </w:tcPr>
          <w:p>
            <w:pPr>
              <w:ind w:left="340"/>
              <w:spacing w:after="0"/>
              <w:rPr>
                <w:sz w:val="20"/>
                <w:szCs w:val="20"/>
                <w:color w:val="auto"/>
              </w:rPr>
            </w:pPr>
            <w:r>
              <w:rPr>
                <w:rFonts w:ascii="Arial" w:cs="Arial" w:eastAsia="Arial" w:hAnsi="Arial"/>
                <w:sz w:val="15"/>
                <w:szCs w:val="15"/>
                <w:color w:val="auto"/>
              </w:rPr>
              <w:t>Accounts payable and other current liabilities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5,963</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(20,094)</w:t>
            </w:r>
          </w:p>
        </w:tc>
      </w:tr>
      <w:tr>
        <w:trPr>
          <w:trHeight w:val="204"/>
        </w:trPr>
        <w:tc>
          <w:tcPr>
            <w:tcW w:w="8020" w:type="dxa"/>
            <w:vAlign w:val="bottom"/>
            <w:shd w:val="clear" w:color="auto" w:fill="CEFFE7"/>
          </w:tcPr>
          <w:p>
            <w:pPr>
              <w:ind w:left="340"/>
              <w:spacing w:after="0"/>
              <w:rPr>
                <w:sz w:val="20"/>
                <w:szCs w:val="20"/>
                <w:color w:val="auto"/>
              </w:rPr>
            </w:pPr>
            <w:r>
              <w:rPr>
                <w:rFonts w:ascii="Arial" w:cs="Arial" w:eastAsia="Arial" w:hAnsi="Arial"/>
                <w:sz w:val="15"/>
                <w:szCs w:val="15"/>
                <w:color w:val="auto"/>
              </w:rPr>
              <w:t>Regulatory assets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118,330</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(559,389)</w:t>
            </w:r>
          </w:p>
        </w:tc>
      </w:tr>
      <w:tr>
        <w:trPr>
          <w:trHeight w:val="201"/>
        </w:trPr>
        <w:tc>
          <w:tcPr>
            <w:tcW w:w="8020" w:type="dxa"/>
            <w:vAlign w:val="bottom"/>
          </w:tcPr>
          <w:p>
            <w:pPr>
              <w:ind w:left="340"/>
              <w:spacing w:after="0"/>
              <w:rPr>
                <w:sz w:val="20"/>
                <w:szCs w:val="20"/>
                <w:color w:val="auto"/>
              </w:rPr>
            </w:pPr>
            <w:r>
              <w:rPr>
                <w:rFonts w:ascii="Arial" w:cs="Arial" w:eastAsia="Arial" w:hAnsi="Arial"/>
                <w:sz w:val="15"/>
                <w:szCs w:val="15"/>
                <w:color w:val="auto"/>
              </w:rPr>
              <w:t>Regulatory liabilities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(9,533)</w:t>
            </w:r>
          </w:p>
        </w:tc>
      </w:tr>
      <w:tr>
        <w:trPr>
          <w:trHeight w:val="204"/>
        </w:trPr>
        <w:tc>
          <w:tcPr>
            <w:tcW w:w="8020" w:type="dxa"/>
            <w:vAlign w:val="bottom"/>
            <w:shd w:val="clear" w:color="auto" w:fill="CEFFE7"/>
          </w:tcPr>
          <w:p>
            <w:pPr>
              <w:ind w:left="140"/>
              <w:spacing w:after="0"/>
              <w:rPr>
                <w:sz w:val="20"/>
                <w:szCs w:val="20"/>
                <w:color w:val="auto"/>
              </w:rPr>
            </w:pPr>
            <w:r>
              <w:rPr>
                <w:rFonts w:ascii="Arial" w:cs="Arial" w:eastAsia="Arial" w:hAnsi="Arial"/>
                <w:sz w:val="15"/>
                <w:szCs w:val="15"/>
                <w:color w:val="auto"/>
              </w:rPr>
              <w:t>Other operating activities, net</w:t>
            </w:r>
          </w:p>
        </w:tc>
        <w:tc>
          <w:tcPr>
            <w:tcW w:w="260" w:type="dxa"/>
            <w:vAlign w:val="bottom"/>
            <w:tcBorders>
              <w:bottom w:val="single" w:sz="8" w:color="auto"/>
            </w:tcBorders>
            <w:shd w:val="clear" w:color="auto" w:fill="CEFFE7"/>
          </w:tcPr>
          <w:p>
            <w:pPr>
              <w:spacing w:after="0"/>
              <w:rPr>
                <w:sz w:val="17"/>
                <w:szCs w:val="17"/>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rPr>
              <w:t>(11,900)</w:t>
            </w:r>
          </w:p>
        </w:tc>
        <w:tc>
          <w:tcPr>
            <w:tcW w:w="560" w:type="dxa"/>
            <w:vAlign w:val="bottom"/>
            <w:tcBorders>
              <w:bottom w:val="single" w:sz="8" w:color="auto"/>
            </w:tcBorders>
            <w:shd w:val="clear" w:color="auto" w:fill="CEFFE7"/>
          </w:tcPr>
          <w:p>
            <w:pPr>
              <w:spacing w:after="0"/>
              <w:rPr>
                <w:sz w:val="17"/>
                <w:szCs w:val="17"/>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rPr>
              <w:t>(1,419)</w:t>
            </w:r>
          </w:p>
        </w:tc>
      </w:tr>
      <w:tr>
        <w:trPr>
          <w:trHeight w:val="195"/>
        </w:trPr>
        <w:tc>
          <w:tcPr>
            <w:tcW w:w="8020" w:type="dxa"/>
            <w:vAlign w:val="bottom"/>
            <w:tcBorders>
              <w:bottom w:val="single" w:sz="8" w:color="CEFFE7"/>
            </w:tcBorders>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494,287</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(144,760)</w:t>
            </w:r>
          </w:p>
        </w:tc>
      </w:tr>
      <w:tr>
        <w:trPr>
          <w:trHeight w:val="197"/>
        </w:trPr>
        <w:tc>
          <w:tcPr>
            <w:tcW w:w="802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spacing w:after="0"/>
              <w:rPr>
                <w:sz w:val="17"/>
                <w:szCs w:val="17"/>
                <w:color w:val="auto"/>
              </w:rPr>
            </w:pP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r>
      <w:tr>
        <w:trPr>
          <w:trHeight w:val="201"/>
        </w:trPr>
        <w:tc>
          <w:tcPr>
            <w:tcW w:w="802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8020" w:type="dxa"/>
            <w:vAlign w:val="bottom"/>
            <w:shd w:val="clear" w:color="auto" w:fill="CEFFE7"/>
          </w:tcPr>
          <w:p>
            <w:pPr>
              <w:ind w:left="180"/>
              <w:spacing w:after="0"/>
              <w:rPr>
                <w:sz w:val="20"/>
                <w:szCs w:val="20"/>
                <w:color w:val="auto"/>
              </w:rPr>
            </w:pPr>
            <w:r>
              <w:rPr>
                <w:rFonts w:ascii="Arial" w:cs="Arial" w:eastAsia="Arial" w:hAnsi="Arial"/>
                <w:sz w:val="15"/>
                <w:szCs w:val="15"/>
                <w:color w:val="auto"/>
              </w:rPr>
              <w:t>Property, plant and equipment additions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(466,302)</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(497,849)</w:t>
            </w:r>
          </w:p>
        </w:tc>
      </w:tr>
      <w:tr>
        <w:trPr>
          <w:trHeight w:val="201"/>
        </w:trPr>
        <w:tc>
          <w:tcPr>
            <w:tcW w:w="8020" w:type="dxa"/>
            <w:vAlign w:val="bottom"/>
            <w:tcBorders>
              <w:bottom w:val="single" w:sz="8" w:color="CEFFE7"/>
            </w:tcBorders>
          </w:tcPr>
          <w:p>
            <w:pPr>
              <w:ind w:left="180"/>
              <w:spacing w:after="0"/>
              <w:rPr>
                <w:sz w:val="20"/>
                <w:szCs w:val="20"/>
                <w:color w:val="auto"/>
              </w:rPr>
            </w:pPr>
            <w:r>
              <w:rPr>
                <w:rFonts w:ascii="Arial" w:cs="Arial" w:eastAsia="Arial" w:hAnsi="Arial"/>
                <w:sz w:val="15"/>
                <w:szCs w:val="15"/>
                <w:color w:val="auto"/>
              </w:rPr>
              <w:t>Other investing activities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13,743</w:t>
            </w:r>
          </w:p>
        </w:tc>
      </w:tr>
      <w:tr>
        <w:trPr>
          <w:trHeight w:val="196"/>
        </w:trPr>
        <w:tc>
          <w:tcPr>
            <w:tcW w:w="8020" w:type="dxa"/>
            <w:vAlign w:val="bottom"/>
            <w:shd w:val="clear" w:color="auto" w:fill="CEFFE7"/>
          </w:tcPr>
          <w:p>
            <w:pPr>
              <w:ind w:left="2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shd w:val="clear" w:color="auto" w:fill="CEFFE7"/>
          </w:tcPr>
          <w:p>
            <w:pPr>
              <w:spacing w:after="0"/>
              <w:rPr>
                <w:sz w:val="17"/>
                <w:szCs w:val="17"/>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rPr>
              <w:t>(466,321)</w:t>
            </w:r>
          </w:p>
        </w:tc>
        <w:tc>
          <w:tcPr>
            <w:tcW w:w="560" w:type="dxa"/>
            <w:vAlign w:val="bottom"/>
            <w:tcBorders>
              <w:bottom w:val="single" w:sz="8" w:color="auto"/>
            </w:tcBorders>
            <w:shd w:val="clear" w:color="auto" w:fill="CEFFE7"/>
          </w:tcPr>
          <w:p>
            <w:pPr>
              <w:spacing w:after="0"/>
              <w:rPr>
                <w:sz w:val="17"/>
                <w:szCs w:val="17"/>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rPr>
              <w:t>(484,106)</w:t>
            </w:r>
          </w:p>
        </w:tc>
      </w:tr>
      <w:tr>
        <w:trPr>
          <w:trHeight w:val="197"/>
        </w:trPr>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8020" w:type="dxa"/>
            <w:vAlign w:val="bottom"/>
            <w:shd w:val="clear" w:color="auto" w:fill="CEFFE7"/>
          </w:tcPr>
          <w:p>
            <w:pPr>
              <w:ind w:left="20"/>
              <w:spacing w:after="0"/>
              <w:rPr>
                <w:sz w:val="20"/>
                <w:szCs w:val="20"/>
                <w:color w:val="auto"/>
              </w:rPr>
            </w:pPr>
            <w:r>
              <w:rPr>
                <w:rFonts w:ascii="Arial" w:cs="Arial" w:eastAsia="Arial" w:hAnsi="Arial"/>
                <w:sz w:val="15"/>
                <w:szCs w:val="15"/>
                <w:color w:val="auto"/>
              </w:rPr>
              <w:t>Financing activities: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spacing w:after="0"/>
              <w:rPr>
                <w:sz w:val="17"/>
                <w:szCs w:val="17"/>
                <w:color w:val="auto"/>
              </w:rPr>
            </w:pP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r>
      <w:tr>
        <w:trPr>
          <w:trHeight w:val="201"/>
        </w:trPr>
        <w:tc>
          <w:tcPr>
            <w:tcW w:w="8020" w:type="dxa"/>
            <w:vAlign w:val="bottom"/>
          </w:tcPr>
          <w:p>
            <w:pPr>
              <w:ind w:left="220"/>
              <w:spacing w:after="0"/>
              <w:rPr>
                <w:sz w:val="20"/>
                <w:szCs w:val="20"/>
                <w:color w:val="auto"/>
              </w:rPr>
            </w:pPr>
            <w:r>
              <w:rPr>
                <w:rFonts w:ascii="Arial" w:cs="Arial" w:eastAsia="Arial" w:hAnsi="Arial"/>
                <w:sz w:val="15"/>
                <w:szCs w:val="15"/>
                <w:color w:val="auto"/>
              </w:rPr>
              <w:t>Dividends paid on common stock</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(115,850)</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(106,957)</w:t>
            </w:r>
          </w:p>
        </w:tc>
      </w:tr>
      <w:tr>
        <w:trPr>
          <w:trHeight w:val="204"/>
        </w:trPr>
        <w:tc>
          <w:tcPr>
            <w:tcW w:w="8020" w:type="dxa"/>
            <w:vAlign w:val="bottom"/>
            <w:shd w:val="clear" w:color="auto" w:fill="CEFFE7"/>
          </w:tcPr>
          <w:p>
            <w:pPr>
              <w:ind w:left="220"/>
              <w:spacing w:after="0"/>
              <w:rPr>
                <w:sz w:val="20"/>
                <w:szCs w:val="20"/>
                <w:color w:val="auto"/>
              </w:rPr>
            </w:pPr>
            <w:r>
              <w:rPr>
                <w:rFonts w:ascii="Arial" w:cs="Arial" w:eastAsia="Arial" w:hAnsi="Arial"/>
                <w:sz w:val="15"/>
                <w:szCs w:val="15"/>
                <w:color w:val="auto"/>
              </w:rPr>
              <w:t>Common stock issued</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20,027</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62,977</w:t>
            </w:r>
          </w:p>
        </w:tc>
      </w:tr>
      <w:tr>
        <w:trPr>
          <w:trHeight w:val="201"/>
        </w:trPr>
        <w:tc>
          <w:tcPr>
            <w:tcW w:w="8020" w:type="dxa"/>
            <w:vAlign w:val="bottom"/>
          </w:tcPr>
          <w:p>
            <w:pPr>
              <w:ind w:left="220"/>
              <w:spacing w:after="0"/>
              <w:rPr>
                <w:sz w:val="20"/>
                <w:szCs w:val="20"/>
                <w:color w:val="auto"/>
              </w:rPr>
            </w:pPr>
            <w:r>
              <w:rPr>
                <w:rFonts w:ascii="Arial" w:cs="Arial" w:eastAsia="Arial" w:hAnsi="Arial"/>
                <w:sz w:val="15"/>
                <w:szCs w:val="15"/>
                <w:color w:val="auto"/>
              </w:rPr>
              <w:t>Term loan - borrowings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800,000</w:t>
            </w:r>
          </w:p>
        </w:tc>
      </w:tr>
      <w:tr>
        <w:trPr>
          <w:trHeight w:val="204"/>
        </w:trPr>
        <w:tc>
          <w:tcPr>
            <w:tcW w:w="8020" w:type="dxa"/>
            <w:vAlign w:val="bottom"/>
            <w:shd w:val="clear" w:color="auto" w:fill="CEFFE7"/>
          </w:tcPr>
          <w:p>
            <w:pPr>
              <w:ind w:left="220"/>
              <w:spacing w:after="0"/>
              <w:rPr>
                <w:sz w:val="20"/>
                <w:szCs w:val="20"/>
                <w:color w:val="auto"/>
              </w:rPr>
            </w:pPr>
            <w:r>
              <w:rPr>
                <w:rFonts w:ascii="Arial" w:cs="Arial" w:eastAsia="Arial" w:hAnsi="Arial"/>
                <w:sz w:val="15"/>
                <w:szCs w:val="15"/>
                <w:color w:val="auto"/>
              </w:rPr>
              <w:t>Term loan - repayments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(800,000)</w:t>
            </w:r>
          </w:p>
        </w:tc>
      </w:tr>
      <w:tr>
        <w:trPr>
          <w:trHeight w:val="201"/>
        </w:trPr>
        <w:tc>
          <w:tcPr>
            <w:tcW w:w="8020" w:type="dxa"/>
            <w:vAlign w:val="bottom"/>
          </w:tcPr>
          <w:p>
            <w:pPr>
              <w:ind w:left="220"/>
              <w:spacing w:after="0"/>
              <w:rPr>
                <w:sz w:val="20"/>
                <w:szCs w:val="20"/>
                <w:color w:val="auto"/>
              </w:rPr>
            </w:pPr>
            <w:r>
              <w:rPr>
                <w:rFonts w:ascii="Arial" w:cs="Arial" w:eastAsia="Arial" w:hAnsi="Arial"/>
                <w:sz w:val="15"/>
                <w:szCs w:val="15"/>
                <w:color w:val="auto"/>
              </w:rPr>
              <w:t>Net borrowings (payments) of Revolving Credit Facility and CP Program</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81,170</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98,485</w:t>
            </w:r>
          </w:p>
        </w:tc>
      </w:tr>
      <w:tr>
        <w:trPr>
          <w:trHeight w:val="204"/>
        </w:trPr>
        <w:tc>
          <w:tcPr>
            <w:tcW w:w="8020" w:type="dxa"/>
            <w:vAlign w:val="bottom"/>
            <w:shd w:val="clear" w:color="auto" w:fill="CEFFE7"/>
          </w:tcPr>
          <w:p>
            <w:pPr>
              <w:ind w:left="220"/>
              <w:spacing w:after="0"/>
              <w:rPr>
                <w:sz w:val="20"/>
                <w:szCs w:val="20"/>
                <w:color w:val="auto"/>
              </w:rPr>
            </w:pPr>
            <w:r>
              <w:rPr>
                <w:rFonts w:ascii="Arial" w:cs="Arial" w:eastAsia="Arial" w:hAnsi="Arial"/>
                <w:sz w:val="15"/>
                <w:szCs w:val="15"/>
                <w:color w:val="auto"/>
              </w:rPr>
              <w:t>Long-term debt - issuances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600,000</w:t>
            </w:r>
          </w:p>
        </w:tc>
      </w:tr>
      <w:tr>
        <w:trPr>
          <w:trHeight w:val="201"/>
        </w:trPr>
        <w:tc>
          <w:tcPr>
            <w:tcW w:w="8020" w:type="dxa"/>
            <w:vAlign w:val="bottom"/>
          </w:tcPr>
          <w:p>
            <w:pPr>
              <w:ind w:left="220"/>
              <w:spacing w:after="0"/>
              <w:rPr>
                <w:sz w:val="20"/>
                <w:szCs w:val="20"/>
                <w:color w:val="auto"/>
              </w:rPr>
            </w:pPr>
            <w:r>
              <w:rPr>
                <w:rFonts w:ascii="Arial" w:cs="Arial" w:eastAsia="Arial" w:hAnsi="Arial"/>
                <w:sz w:val="15"/>
                <w:szCs w:val="15"/>
                <w:color w:val="auto"/>
              </w:rPr>
              <w:t>Long-term debt - repayments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(8,436)</w:t>
            </w:r>
          </w:p>
        </w:tc>
      </w:tr>
      <w:tr>
        <w:trPr>
          <w:trHeight w:val="204"/>
        </w:trPr>
        <w:tc>
          <w:tcPr>
            <w:tcW w:w="8020" w:type="dxa"/>
            <w:vAlign w:val="bottom"/>
            <w:shd w:val="clear" w:color="auto" w:fill="CEFFE7"/>
          </w:tcPr>
          <w:p>
            <w:pPr>
              <w:ind w:left="220"/>
              <w:spacing w:after="0"/>
              <w:rPr>
                <w:sz w:val="20"/>
                <w:szCs w:val="20"/>
                <w:color w:val="auto"/>
              </w:rPr>
            </w:pPr>
            <w:r>
              <w:rPr>
                <w:rFonts w:ascii="Arial" w:cs="Arial" w:eastAsia="Arial" w:hAnsi="Arial"/>
                <w:sz w:val="15"/>
                <w:szCs w:val="15"/>
                <w:color w:val="auto"/>
              </w:rPr>
              <w:t>Distributions to non-controlling interest</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(11,678)</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(10,230)</w:t>
            </w:r>
          </w:p>
        </w:tc>
      </w:tr>
      <w:tr>
        <w:trPr>
          <w:trHeight w:val="201"/>
        </w:trPr>
        <w:tc>
          <w:tcPr>
            <w:tcW w:w="8020" w:type="dxa"/>
            <w:vAlign w:val="bottom"/>
            <w:tcBorders>
              <w:bottom w:val="single" w:sz="8" w:color="CEFFE7"/>
            </w:tcBorders>
          </w:tcPr>
          <w:p>
            <w:pPr>
              <w:ind w:left="220"/>
              <w:spacing w:after="0"/>
              <w:rPr>
                <w:sz w:val="20"/>
                <w:szCs w:val="20"/>
                <w:color w:val="auto"/>
              </w:rPr>
            </w:pPr>
            <w:r>
              <w:rPr>
                <w:rFonts w:ascii="Arial" w:cs="Arial" w:eastAsia="Arial" w:hAnsi="Arial"/>
                <w:sz w:val="15"/>
                <w:szCs w:val="15"/>
                <w:color w:val="auto"/>
              </w:rPr>
              <w:t>Other financing activities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1,647</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(2,778)</w:t>
            </w:r>
          </w:p>
        </w:tc>
      </w:tr>
      <w:tr>
        <w:trPr>
          <w:trHeight w:val="196"/>
        </w:trPr>
        <w:tc>
          <w:tcPr>
            <w:tcW w:w="8020" w:type="dxa"/>
            <w:vAlign w:val="bottom"/>
            <w:shd w:val="clear" w:color="auto" w:fill="CEFFE7"/>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260" w:type="dxa"/>
            <w:vAlign w:val="bottom"/>
            <w:tcBorders>
              <w:bottom w:val="single" w:sz="8" w:color="auto"/>
            </w:tcBorders>
            <w:shd w:val="clear" w:color="auto" w:fill="CEFFE7"/>
          </w:tcPr>
          <w:p>
            <w:pPr>
              <w:spacing w:after="0"/>
              <w:rPr>
                <w:sz w:val="17"/>
                <w:szCs w:val="17"/>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rPr>
              <w:t>(24,684)</w:t>
            </w:r>
          </w:p>
        </w:tc>
        <w:tc>
          <w:tcPr>
            <w:tcW w:w="560" w:type="dxa"/>
            <w:vAlign w:val="bottom"/>
            <w:tcBorders>
              <w:bottom w:val="single" w:sz="8" w:color="auto"/>
            </w:tcBorders>
            <w:shd w:val="clear" w:color="auto" w:fill="CEFFE7"/>
          </w:tcPr>
          <w:p>
            <w:pPr>
              <w:spacing w:after="0"/>
              <w:rPr>
                <w:sz w:val="17"/>
                <w:szCs w:val="17"/>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rPr>
              <w:t>633,061</w:t>
            </w:r>
          </w:p>
        </w:tc>
      </w:tr>
      <w:tr>
        <w:trPr>
          <w:trHeight w:val="197"/>
        </w:trPr>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8020" w:type="dxa"/>
            <w:vAlign w:val="bottom"/>
            <w:shd w:val="clear" w:color="auto" w:fill="CEFFE7"/>
          </w:tcPr>
          <w:p>
            <w:pPr>
              <w:ind w:left="220"/>
              <w:spacing w:after="0"/>
              <w:rPr>
                <w:sz w:val="20"/>
                <w:szCs w:val="20"/>
                <w:color w:val="auto"/>
              </w:rPr>
            </w:pPr>
            <w:r>
              <w:rPr>
                <w:rFonts w:ascii="Arial" w:cs="Arial" w:eastAsia="Arial" w:hAnsi="Arial"/>
                <w:sz w:val="15"/>
                <w:szCs w:val="15"/>
                <w:color w:val="auto"/>
              </w:rPr>
              <w:t>Net change in cash, restricted cash and cash equivalents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3,282</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4,195</w:t>
            </w:r>
          </w:p>
        </w:tc>
      </w:tr>
      <w:tr>
        <w:trPr>
          <w:trHeight w:val="216"/>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1"/>
        </w:trPr>
        <w:tc>
          <w:tcPr>
            <w:tcW w:w="8020" w:type="dxa"/>
            <w:vAlign w:val="bottom"/>
            <w:shd w:val="clear" w:color="auto" w:fill="CEFFE7"/>
          </w:tcPr>
          <w:p>
            <w:pPr>
              <w:ind w:left="20"/>
              <w:spacing w:after="0"/>
              <w:rPr>
                <w:sz w:val="20"/>
                <w:szCs w:val="20"/>
                <w:color w:val="auto"/>
              </w:rPr>
            </w:pPr>
            <w:r>
              <w:rPr>
                <w:rFonts w:ascii="Arial" w:cs="Arial" w:eastAsia="Arial" w:hAnsi="Arial"/>
                <w:sz w:val="15"/>
                <w:szCs w:val="15"/>
                <w:color w:val="auto"/>
              </w:rPr>
              <w:t>Cash, restricted cash and cash equivalents at beginning of period</w:t>
            </w:r>
          </w:p>
        </w:tc>
        <w:tc>
          <w:tcPr>
            <w:tcW w:w="260" w:type="dxa"/>
            <w:vAlign w:val="bottom"/>
            <w:tcBorders>
              <w:bottom w:val="single" w:sz="8" w:color="auto"/>
            </w:tcBorders>
            <w:shd w:val="clear" w:color="auto" w:fill="CEFFE7"/>
          </w:tcPr>
          <w:p>
            <w:pPr>
              <w:spacing w:after="0"/>
              <w:rPr>
                <w:sz w:val="17"/>
                <w:szCs w:val="17"/>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rPr>
              <w:t>13,810</w:t>
            </w:r>
          </w:p>
        </w:tc>
        <w:tc>
          <w:tcPr>
            <w:tcW w:w="560" w:type="dxa"/>
            <w:vAlign w:val="bottom"/>
            <w:tcBorders>
              <w:bottom w:val="single" w:sz="8" w:color="auto"/>
            </w:tcBorders>
            <w:shd w:val="clear" w:color="auto" w:fill="CEFFE7"/>
          </w:tcPr>
          <w:p>
            <w:pPr>
              <w:spacing w:after="0"/>
              <w:rPr>
                <w:sz w:val="17"/>
                <w:szCs w:val="17"/>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rPr>
              <w:t>10,739</w:t>
            </w:r>
          </w:p>
        </w:tc>
      </w:tr>
      <w:tr>
        <w:trPr>
          <w:trHeight w:val="197"/>
        </w:trPr>
        <w:tc>
          <w:tcPr>
            <w:tcW w:w="8020" w:type="dxa"/>
            <w:vAlign w:val="bottom"/>
          </w:tcPr>
          <w:p>
            <w:pPr>
              <w:ind w:left="20"/>
              <w:spacing w:after="0"/>
              <w:rPr>
                <w:sz w:val="20"/>
                <w:szCs w:val="20"/>
                <w:color w:val="auto"/>
              </w:rPr>
            </w:pPr>
            <w:r>
              <w:rPr>
                <w:rFonts w:ascii="Arial" w:cs="Arial" w:eastAsia="Arial" w:hAnsi="Arial"/>
                <w:sz w:val="15"/>
                <w:szCs w:val="15"/>
                <w:color w:val="auto"/>
              </w:rPr>
              <w:t>Cash, restricted cash and cash equivalents at end of period</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17,092</w:t>
            </w:r>
          </w:p>
        </w:tc>
        <w:tc>
          <w:tcPr>
            <w:tcW w:w="5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14,934</w:t>
            </w:r>
          </w:p>
        </w:tc>
      </w:tr>
      <w:tr>
        <w:trPr>
          <w:trHeight w:val="20"/>
        </w:trPr>
        <w:tc>
          <w:tcPr>
            <w:tcW w:w="8020" w:type="dxa"/>
            <w:vAlign w:val="bottom"/>
            <w:tcBorders>
              <w:bottom w:val="single" w:sz="8" w:color="CEFFE7"/>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1040" w:type="dxa"/>
            <w:vAlign w:val="bottom"/>
            <w:shd w:val="clear" w:color="auto" w:fill="CEFFE7"/>
          </w:tcPr>
          <w:p>
            <w:pPr>
              <w:spacing w:after="0"/>
              <w:rPr>
                <w:sz w:val="15"/>
                <w:szCs w:val="15"/>
                <w:color w:val="auto"/>
              </w:rPr>
            </w:pPr>
          </w:p>
        </w:tc>
      </w:tr>
      <w:tr>
        <w:trPr>
          <w:trHeight w:val="201"/>
        </w:trPr>
        <w:tc>
          <w:tcPr>
            <w:tcW w:w="8020" w:type="dxa"/>
            <w:vAlign w:val="bottom"/>
          </w:tcPr>
          <w:p>
            <w:pPr>
              <w:ind w:left="20"/>
              <w:spacing w:after="0"/>
              <w:rPr>
                <w:sz w:val="20"/>
                <w:szCs w:val="20"/>
                <w:color w:val="auto"/>
              </w:rPr>
            </w:pPr>
            <w:r>
              <w:rPr>
                <w:rFonts w:ascii="Arial" w:cs="Arial" w:eastAsia="Arial" w:hAnsi="Arial"/>
                <w:sz w:val="15"/>
                <w:szCs w:val="15"/>
                <w:color w:val="auto"/>
              </w:rPr>
              <w:t>Supplemental cash flow information:</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8020" w:type="dxa"/>
            <w:vAlign w:val="bottom"/>
            <w:shd w:val="clear" w:color="auto" w:fill="CEFFE7"/>
          </w:tcPr>
          <w:p>
            <w:pPr>
              <w:ind w:left="140"/>
              <w:spacing w:after="0"/>
              <w:rPr>
                <w:sz w:val="20"/>
                <w:szCs w:val="20"/>
                <w:color w:val="auto"/>
              </w:rPr>
            </w:pPr>
            <w:r>
              <w:rPr>
                <w:rFonts w:ascii="Arial" w:cs="Arial" w:eastAsia="Arial" w:hAnsi="Arial"/>
                <w:sz w:val="15"/>
                <w:szCs w:val="15"/>
                <w:color w:val="auto"/>
              </w:rPr>
              <w:t>Cash (paid) refunded during the period:</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spacing w:after="0"/>
              <w:rPr>
                <w:sz w:val="17"/>
                <w:szCs w:val="17"/>
                <w:color w:val="auto"/>
              </w:rPr>
            </w:pP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r>
      <w:tr>
        <w:trPr>
          <w:trHeight w:val="201"/>
        </w:trPr>
        <w:tc>
          <w:tcPr>
            <w:tcW w:w="8020" w:type="dxa"/>
            <w:vAlign w:val="bottom"/>
          </w:tcPr>
          <w:p>
            <w:pPr>
              <w:ind w:left="220"/>
              <w:spacing w:after="0"/>
              <w:rPr>
                <w:sz w:val="20"/>
                <w:szCs w:val="20"/>
                <w:color w:val="auto"/>
              </w:rPr>
            </w:pPr>
            <w:r>
              <w:rPr>
                <w:rFonts w:ascii="Arial" w:cs="Arial" w:eastAsia="Arial" w:hAnsi="Arial"/>
                <w:sz w:val="15"/>
                <w:szCs w:val="15"/>
                <w:color w:val="auto"/>
              </w:rPr>
              <w:t>Interest, net of amounts capitalized</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(98,227)</w:t>
            </w:r>
          </w:p>
        </w:tc>
        <w:tc>
          <w:tcPr>
            <w:tcW w:w="560" w:type="dxa"/>
            <w:vAlign w:val="bottom"/>
          </w:tcPr>
          <w:p>
            <w:pPr>
              <w:jc w:val="right"/>
              <w:ind w:right="36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(93,325)</w:t>
            </w:r>
          </w:p>
        </w:tc>
      </w:tr>
      <w:tr>
        <w:trPr>
          <w:trHeight w:val="204"/>
        </w:trPr>
        <w:tc>
          <w:tcPr>
            <w:tcW w:w="8020" w:type="dxa"/>
            <w:vAlign w:val="bottom"/>
            <w:shd w:val="clear" w:color="auto" w:fill="CEFFE7"/>
          </w:tcPr>
          <w:p>
            <w:pPr>
              <w:ind w:left="220"/>
              <w:spacing w:after="0"/>
              <w:rPr>
                <w:sz w:val="20"/>
                <w:szCs w:val="20"/>
                <w:color w:val="auto"/>
              </w:rPr>
            </w:pPr>
            <w:r>
              <w:rPr>
                <w:rFonts w:ascii="Arial" w:cs="Arial" w:eastAsia="Arial" w:hAnsi="Arial"/>
                <w:sz w:val="15"/>
                <w:szCs w:val="15"/>
                <w:color w:val="auto"/>
              </w:rPr>
              <w:t>Income taxes</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746</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1,486</w:t>
            </w:r>
          </w:p>
        </w:tc>
      </w:tr>
      <w:tr>
        <w:trPr>
          <w:trHeight w:val="201"/>
        </w:trPr>
        <w:tc>
          <w:tcPr>
            <w:tcW w:w="8020" w:type="dxa"/>
            <w:vAlign w:val="bottom"/>
          </w:tcPr>
          <w:p>
            <w:pPr>
              <w:ind w:left="140"/>
              <w:spacing w:after="0"/>
              <w:rPr>
                <w:sz w:val="20"/>
                <w:szCs w:val="20"/>
                <w:color w:val="auto"/>
              </w:rPr>
            </w:pPr>
            <w:r>
              <w:rPr>
                <w:rFonts w:ascii="Arial" w:cs="Arial" w:eastAsia="Arial" w:hAnsi="Arial"/>
                <w:sz w:val="15"/>
                <w:szCs w:val="15"/>
                <w:color w:val="auto"/>
              </w:rPr>
              <w:t>Non-cash investing and financing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8020" w:type="dxa"/>
            <w:vAlign w:val="bottom"/>
            <w:shd w:val="clear" w:color="auto" w:fill="CEFFE7"/>
          </w:tcPr>
          <w:p>
            <w:pPr>
              <w:ind w:left="220"/>
              <w:spacing w:after="0"/>
              <w:rPr>
                <w:sz w:val="20"/>
                <w:szCs w:val="20"/>
                <w:color w:val="auto"/>
              </w:rPr>
            </w:pPr>
            <w:r>
              <w:rPr>
                <w:rFonts w:ascii="Arial" w:cs="Arial" w:eastAsia="Arial" w:hAnsi="Arial"/>
                <w:sz w:val="15"/>
                <w:szCs w:val="15"/>
                <w:color w:val="auto"/>
              </w:rPr>
              <w:t>Accrued property, plant and equipment purchases at September 30</w:t>
            </w:r>
          </w:p>
        </w:tc>
        <w:tc>
          <w:tcPr>
            <w:tcW w:w="260" w:type="dxa"/>
            <w:vAlign w:val="bottom"/>
            <w:shd w:val="clear" w:color="auto" w:fill="CEFFE7"/>
          </w:tcPr>
          <w:p>
            <w:pPr>
              <w:spacing w:after="0"/>
              <w:rPr>
                <w:sz w:val="17"/>
                <w:szCs w:val="17"/>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5"/>
                <w:szCs w:val="15"/>
                <w:color w:val="auto"/>
              </w:rPr>
              <w:t>42,687</w:t>
            </w:r>
          </w:p>
        </w:tc>
        <w:tc>
          <w:tcPr>
            <w:tcW w:w="560" w:type="dxa"/>
            <w:vAlign w:val="bottom"/>
            <w:shd w:val="clear" w:color="auto" w:fill="CEFFE7"/>
          </w:tcPr>
          <w:p>
            <w:pPr>
              <w:spacing w:after="0"/>
              <w:rPr>
                <w:sz w:val="17"/>
                <w:szCs w:val="17"/>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5"/>
                <w:szCs w:val="15"/>
                <w:color w:val="auto"/>
              </w:rPr>
              <w:t>55,619</w:t>
            </w: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ind w:left="20"/>
              <w:spacing w:after="0"/>
              <w:rPr>
                <w:sz w:val="20"/>
                <w:szCs w:val="20"/>
                <w:color w:val="auto"/>
              </w:rPr>
            </w:pPr>
            <w:r>
              <w:rPr>
                <w:rFonts w:ascii="Arial" w:cs="Arial" w:eastAsia="Arial" w:hAnsi="Arial"/>
                <w:sz w:val="13"/>
                <w:szCs w:val="13"/>
                <w:color w:val="auto"/>
              </w:rPr>
              <w:t>(unaudited)</w:t>
            </w: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20"/>
              <w:spacing w:after="0" w:line="117" w:lineRule="exact"/>
              <w:rPr>
                <w:sz w:val="20"/>
                <w:szCs w:val="20"/>
                <w:color w:val="auto"/>
              </w:rPr>
            </w:pPr>
            <w:r>
              <w:rPr>
                <w:rFonts w:ascii="Arial" w:cs="Arial" w:eastAsia="Arial" w:hAnsi="Arial"/>
                <w:sz w:val="13"/>
                <w:szCs w:val="13"/>
                <w:color w:val="auto"/>
                <w:w w:val="99"/>
              </w:rPr>
              <w:t>Additional Paid</w:t>
            </w:r>
          </w:p>
        </w:tc>
        <w:tc>
          <w:tcPr>
            <w:tcW w:w="140" w:type="dxa"/>
            <w:vAlign w:val="bottom"/>
          </w:tcPr>
          <w:p>
            <w:pPr>
              <w:spacing w:after="0"/>
              <w:rPr>
                <w:sz w:val="10"/>
                <w:szCs w:val="10"/>
                <w:color w:val="auto"/>
              </w:rPr>
            </w:pPr>
          </w:p>
        </w:tc>
        <w:tc>
          <w:tcPr>
            <w:tcW w:w="720" w:type="dxa"/>
            <w:vAlign w:val="bottom"/>
          </w:tcPr>
          <w:p>
            <w:pPr>
              <w:jc w:val="right"/>
              <w:ind w:right="117"/>
              <w:spacing w:after="0" w:line="117" w:lineRule="exact"/>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40"/>
              <w:spacing w:after="0" w:line="117" w:lineRule="exact"/>
              <w:rPr>
                <w:sz w:val="20"/>
                <w:szCs w:val="20"/>
                <w:color w:val="auto"/>
              </w:rPr>
            </w:pPr>
            <w:r>
              <w:rPr>
                <w:rFonts w:ascii="Arial" w:cs="Arial" w:eastAsia="Arial" w:hAnsi="Arial"/>
                <w:sz w:val="13"/>
                <w:szCs w:val="13"/>
                <w:color w:val="auto"/>
                <w:w w:val="98"/>
              </w:rPr>
              <w:t>Non-controlling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Borders>
              <w:bottom w:val="single" w:sz="8" w:color="CEFFE7"/>
            </w:tcBorders>
          </w:tcPr>
          <w:p>
            <w:pPr>
              <w:ind w:left="20"/>
              <w:spacing w:after="0"/>
              <w:rPr>
                <w:sz w:val="20"/>
                <w:szCs w:val="20"/>
                <w:color w:val="auto"/>
              </w:rPr>
            </w:pPr>
            <w:r>
              <w:rPr>
                <w:rFonts w:ascii="Arial" w:cs="Arial" w:eastAsia="Arial" w:hAnsi="Arial"/>
                <w:sz w:val="13"/>
                <w:szCs w:val="13"/>
                <w:color w:val="auto"/>
              </w:rPr>
              <w:t>(in thousands except share amounts)</w:t>
            </w: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Shares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Value</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Shares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Value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AOCI</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Interest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6"/>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b w:val="1"/>
                <w:bCs w:val="1"/>
                <w:color w:val="auto"/>
              </w:rPr>
              <w:t>December 31, 2021</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64,793,095</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64,793</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54,078</w:t>
            </w:r>
          </w:p>
        </w:tc>
        <w:tc>
          <w:tcPr>
            <w:tcW w:w="16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(3,509)</w:t>
            </w:r>
          </w:p>
        </w:tc>
        <w:tc>
          <w:tcPr>
            <w:tcW w:w="120" w:type="dxa"/>
            <w:vAlign w:val="bottom"/>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1,783,436</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962,458</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(20,084)</w:t>
            </w:r>
          </w:p>
        </w:tc>
        <w:tc>
          <w:tcPr>
            <w:tcW w:w="180" w:type="dxa"/>
            <w:vAlign w:val="bottom"/>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100,029</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2,887,123</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117,526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3,498</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121,024</w:t>
            </w:r>
          </w:p>
        </w:tc>
        <w:tc>
          <w:tcPr>
            <w:tcW w:w="0" w:type="dxa"/>
            <w:vAlign w:val="bottom"/>
          </w:tcPr>
          <w:p>
            <w:pPr>
              <w:spacing w:after="0"/>
              <w:rPr>
                <w:sz w:val="1"/>
                <w:szCs w:val="1"/>
                <w:color w:val="auto"/>
              </w:rPr>
            </w:pPr>
          </w:p>
        </w:tc>
      </w:tr>
      <w:tr>
        <w:trPr>
          <w:trHeight w:val="180"/>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3"/>
                <w:szCs w:val="13"/>
                <w:color w:val="auto"/>
              </w:rPr>
              <w:t>Dividends on common stock ($0.595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(38,533)</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(38,533)</w:t>
            </w:r>
          </w:p>
        </w:tc>
        <w:tc>
          <w:tcPr>
            <w:tcW w:w="0" w:type="dxa"/>
            <w:vAlign w:val="bottom"/>
          </w:tcPr>
          <w:p>
            <w:pPr>
              <w:spacing w:after="0"/>
              <w:rPr>
                <w:sz w:val="1"/>
                <w:szCs w:val="1"/>
                <w:color w:val="auto"/>
              </w:rPr>
            </w:pPr>
          </w:p>
        </w:tc>
      </w:tr>
      <w:tr>
        <w:trPr>
          <w:trHeight w:val="180"/>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425</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(34,393)</w:t>
            </w:r>
          </w:p>
        </w:tc>
        <w:tc>
          <w:tcPr>
            <w:tcW w:w="16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2,222</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(191)</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3"/>
                <w:szCs w:val="13"/>
                <w:color w:val="auto"/>
              </w:rPr>
              <w:t>55,707</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3,776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3,832</w:t>
            </w:r>
          </w:p>
        </w:tc>
        <w:tc>
          <w:tcPr>
            <w:tcW w:w="0" w:type="dxa"/>
            <w:vAlign w:val="bottom"/>
          </w:tcPr>
          <w:p>
            <w:pPr>
              <w:spacing w:after="0"/>
              <w:rPr>
                <w:sz w:val="1"/>
                <w:szCs w:val="1"/>
                <w:color w:val="auto"/>
              </w:rPr>
            </w:pPr>
          </w:p>
        </w:tc>
      </w:tr>
      <w:tr>
        <w:trPr>
          <w:trHeight w:val="180"/>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(41)</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EFFE7"/>
            </w:tcBorders>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(4,420)</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(4,420)</w:t>
            </w:r>
          </w:p>
        </w:tc>
        <w:tc>
          <w:tcPr>
            <w:tcW w:w="0" w:type="dxa"/>
            <w:vAlign w:val="bottom"/>
          </w:tcPr>
          <w:p>
            <w:pPr>
              <w:spacing w:after="0"/>
              <w:rPr>
                <w:sz w:val="1"/>
                <w:szCs w:val="1"/>
                <w:color w:val="auto"/>
              </w:rPr>
            </w:pPr>
          </w:p>
        </w:tc>
      </w:tr>
      <w:tr>
        <w:trPr>
          <w:trHeight w:val="199"/>
        </w:trPr>
        <w:tc>
          <w:tcPr>
            <w:tcW w:w="3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3"/>
                <w:szCs w:val="13"/>
                <w:b w:val="1"/>
                <w:bCs w:val="1"/>
                <w:color w:val="auto"/>
              </w:rPr>
              <w:t>March 31, 2022</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64,849,227</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64,849</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19,685</w:t>
            </w:r>
          </w:p>
        </w:tc>
        <w:tc>
          <w:tcPr>
            <w:tcW w:w="16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(1,287)</w:t>
            </w:r>
          </w:p>
        </w:tc>
        <w:tc>
          <w:tcPr>
            <w:tcW w:w="12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1,786,980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1,041,451</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(20,078)</w:t>
            </w:r>
          </w:p>
        </w:tc>
        <w:tc>
          <w:tcPr>
            <w:tcW w:w="1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99,107</w:t>
            </w:r>
          </w:p>
        </w:tc>
        <w:tc>
          <w:tcPr>
            <w:tcW w:w="24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2,971,022</w:t>
            </w:r>
          </w:p>
        </w:tc>
        <w:tc>
          <w:tcPr>
            <w:tcW w:w="0" w:type="dxa"/>
            <w:vAlign w:val="bottom"/>
          </w:tcPr>
          <w:p>
            <w:pPr>
              <w:spacing w:after="0"/>
              <w:rPr>
                <w:sz w:val="1"/>
                <w:szCs w:val="1"/>
                <w:color w:val="auto"/>
              </w:rPr>
            </w:pPr>
          </w:p>
        </w:tc>
      </w:tr>
      <w:tr>
        <w:trPr>
          <w:trHeight w:val="20"/>
        </w:trPr>
        <w:tc>
          <w:tcPr>
            <w:tcW w:w="3360" w:type="dxa"/>
            <w:vAlign w:val="bottom"/>
            <w:tcBorders>
              <w:top w:val="single" w:sz="8" w:color="CEFFE7"/>
              <w:bottom w:val="single" w:sz="8" w:color="CEFFE7"/>
            </w:tcBorders>
            <w:vMerge w:val="restart"/>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60" w:type="dxa"/>
            <w:vAlign w:val="bottom"/>
            <w:vMerge w:val="continue"/>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57"/>
              <w:spacing w:after="0" w:line="14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ind w:right="17"/>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33,415</w:t>
            </w:r>
          </w:p>
        </w:tc>
        <w:tc>
          <w:tcPr>
            <w:tcW w:w="18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2,431</w:t>
            </w:r>
          </w:p>
        </w:tc>
        <w:tc>
          <w:tcPr>
            <w:tcW w:w="24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35,846</w:t>
            </w:r>
          </w:p>
        </w:tc>
        <w:tc>
          <w:tcPr>
            <w:tcW w:w="0" w:type="dxa"/>
            <w:vAlign w:val="bottom"/>
          </w:tcPr>
          <w:p>
            <w:pPr>
              <w:spacing w:after="0"/>
              <w:rPr>
                <w:sz w:val="1"/>
                <w:szCs w:val="1"/>
                <w:color w:val="auto"/>
              </w:rPr>
            </w:pPr>
          </w:p>
        </w:tc>
      </w:tr>
      <w:tr>
        <w:trPr>
          <w:trHeight w:val="180"/>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(2,738)</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(2,738)</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3"/>
                <w:szCs w:val="13"/>
                <w:color w:val="auto"/>
              </w:rPr>
              <w:t>Dividends on common stock ($0.595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(38,603)</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(38,603)</w:t>
            </w:r>
          </w:p>
        </w:tc>
        <w:tc>
          <w:tcPr>
            <w:tcW w:w="0" w:type="dxa"/>
            <w:vAlign w:val="bottom"/>
          </w:tcPr>
          <w:p>
            <w:pPr>
              <w:spacing w:after="0"/>
              <w:rPr>
                <w:sz w:val="1"/>
                <w:szCs w:val="1"/>
                <w:color w:val="auto"/>
              </w:rPr>
            </w:pPr>
          </w:p>
        </w:tc>
      </w:tr>
      <w:tr>
        <w:trPr>
          <w:trHeight w:val="180"/>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39,066</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39</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4,006</w:t>
            </w:r>
          </w:p>
        </w:tc>
        <w:tc>
          <w:tcPr>
            <w:tcW w:w="160" w:type="dxa"/>
            <w:vAlign w:val="bottom"/>
            <w:shd w:val="clear" w:color="auto" w:fill="CEFFE7"/>
          </w:tcPr>
          <w:p>
            <w:pPr>
              <w:spacing w:after="0"/>
              <w:rPr>
                <w:sz w:val="15"/>
                <w:szCs w:val="15"/>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5,370</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5,154</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3"/>
                <w:szCs w:val="13"/>
                <w:color w:val="auto"/>
              </w:rPr>
              <w:t>216,885</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16,353</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16,570</w:t>
            </w:r>
          </w:p>
        </w:tc>
        <w:tc>
          <w:tcPr>
            <w:tcW w:w="0" w:type="dxa"/>
            <w:vAlign w:val="bottom"/>
          </w:tcPr>
          <w:p>
            <w:pPr>
              <w:spacing w:after="0"/>
              <w:rPr>
                <w:sz w:val="1"/>
                <w:szCs w:val="1"/>
                <w:color w:val="auto"/>
              </w:rPr>
            </w:pPr>
          </w:p>
        </w:tc>
      </w:tr>
      <w:tr>
        <w:trPr>
          <w:trHeight w:val="180"/>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(266)</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EFFE7"/>
            </w:tcBorders>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(4,184)</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(4,184)</w:t>
            </w:r>
          </w:p>
        </w:tc>
        <w:tc>
          <w:tcPr>
            <w:tcW w:w="0" w:type="dxa"/>
            <w:vAlign w:val="bottom"/>
          </w:tcPr>
          <w:p>
            <w:pPr>
              <w:spacing w:after="0"/>
              <w:rPr>
                <w:sz w:val="1"/>
                <w:szCs w:val="1"/>
                <w:color w:val="auto"/>
              </w:rPr>
            </w:pPr>
          </w:p>
        </w:tc>
      </w:tr>
      <w:tr>
        <w:trPr>
          <w:trHeight w:val="199"/>
        </w:trPr>
        <w:tc>
          <w:tcPr>
            <w:tcW w:w="33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3"/>
                <w:szCs w:val="13"/>
                <w:b w:val="1"/>
                <w:bCs w:val="1"/>
                <w:color w:val="auto"/>
              </w:rPr>
              <w:t>June 30, 2022</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65,105,178</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65,105</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23,691</w:t>
            </w:r>
          </w:p>
        </w:tc>
        <w:tc>
          <w:tcPr>
            <w:tcW w:w="16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(1,542)</w:t>
            </w:r>
          </w:p>
        </w:tc>
        <w:tc>
          <w:tcPr>
            <w:tcW w:w="12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1,808,437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1,036,263</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(22,816)</w:t>
            </w:r>
          </w:p>
        </w:tc>
        <w:tc>
          <w:tcPr>
            <w:tcW w:w="1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97,354</w:t>
            </w:r>
          </w:p>
        </w:tc>
        <w:tc>
          <w:tcPr>
            <w:tcW w:w="24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2,982,801</w:t>
            </w:r>
          </w:p>
        </w:tc>
        <w:tc>
          <w:tcPr>
            <w:tcW w:w="0" w:type="dxa"/>
            <w:vAlign w:val="bottom"/>
          </w:tcPr>
          <w:p>
            <w:pPr>
              <w:spacing w:after="0"/>
              <w:rPr>
                <w:sz w:val="1"/>
                <w:szCs w:val="1"/>
                <w:color w:val="auto"/>
              </w:rPr>
            </w:pPr>
          </w:p>
        </w:tc>
      </w:tr>
      <w:tr>
        <w:trPr>
          <w:trHeight w:val="20"/>
        </w:trPr>
        <w:tc>
          <w:tcPr>
            <w:tcW w:w="3360" w:type="dxa"/>
            <w:vAlign w:val="bottom"/>
            <w:tcBorders>
              <w:top w:val="single" w:sz="8" w:color="CEFFE7"/>
              <w:bottom w:val="single" w:sz="8" w:color="CEFFE7"/>
            </w:tcBorders>
            <w:vMerge w:val="restart"/>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60" w:type="dxa"/>
            <w:vAlign w:val="bottom"/>
            <w:vMerge w:val="continue"/>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ind w:right="57"/>
              <w:spacing w:after="0" w:line="14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ind w:right="17"/>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34,973</w:t>
            </w:r>
          </w:p>
        </w:tc>
        <w:tc>
          <w:tcPr>
            <w:tcW w:w="18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2,861</w:t>
            </w:r>
          </w:p>
        </w:tc>
        <w:tc>
          <w:tcPr>
            <w:tcW w:w="24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3"/>
                <w:szCs w:val="13"/>
                <w:color w:val="auto"/>
              </w:rPr>
              <w:t>37,834</w:t>
            </w:r>
          </w:p>
        </w:tc>
        <w:tc>
          <w:tcPr>
            <w:tcW w:w="0" w:type="dxa"/>
            <w:vAlign w:val="bottom"/>
          </w:tcPr>
          <w:p>
            <w:pPr>
              <w:spacing w:after="0"/>
              <w:rPr>
                <w:sz w:val="1"/>
                <w:szCs w:val="1"/>
                <w:color w:val="auto"/>
              </w:rPr>
            </w:pPr>
          </w:p>
        </w:tc>
      </w:tr>
      <w:tr>
        <w:trPr>
          <w:trHeight w:val="180"/>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2,427</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2,427</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3"/>
                <w:szCs w:val="13"/>
                <w:color w:val="auto"/>
              </w:rPr>
              <w:t>Dividends on common stock ($0.595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(38,714)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(38,714)</w:t>
            </w:r>
          </w:p>
        </w:tc>
        <w:tc>
          <w:tcPr>
            <w:tcW w:w="0" w:type="dxa"/>
            <w:vAlign w:val="bottom"/>
          </w:tcPr>
          <w:p>
            <w:pPr>
              <w:spacing w:after="0"/>
              <w:rPr>
                <w:sz w:val="1"/>
                <w:szCs w:val="1"/>
                <w:color w:val="auto"/>
              </w:rPr>
            </w:pPr>
          </w:p>
        </w:tc>
      </w:tr>
      <w:tr>
        <w:trPr>
          <w:trHeight w:val="180"/>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2,517</w:t>
            </w:r>
          </w:p>
        </w:tc>
        <w:tc>
          <w:tcPr>
            <w:tcW w:w="160" w:type="dxa"/>
            <w:vAlign w:val="bottom"/>
            <w:shd w:val="clear" w:color="auto" w:fill="CEFFE7"/>
          </w:tcPr>
          <w:p>
            <w:pPr>
              <w:spacing w:after="0"/>
              <w:rPr>
                <w:sz w:val="15"/>
                <w:szCs w:val="15"/>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2,724</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r>
        <w:trPr>
          <w:trHeight w:val="171"/>
        </w:trPr>
        <w:tc>
          <w:tcPr>
            <w:tcW w:w="336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6"/>
        </w:trPr>
        <w:tc>
          <w:tcPr>
            <w:tcW w:w="3360" w:type="dxa"/>
            <w:vAlign w:val="bottom"/>
            <w:shd w:val="clear" w:color="auto" w:fill="CEFFE7"/>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EFFE7"/>
          </w:tcPr>
          <w:p>
            <w:pPr>
              <w:spacing w:after="0"/>
              <w:rPr>
                <w:sz w:val="15"/>
                <w:szCs w:val="15"/>
                <w:color w:val="auto"/>
              </w:rPr>
            </w:pPr>
          </w:p>
        </w:tc>
        <w:tc>
          <w:tcPr>
            <w:tcW w:w="64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(3,074)</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(3,074)</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September 30, 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65,105,205</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65,105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26,208</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(1,715)</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1,811,093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1,032,522</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(20,389)</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97,141</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2,983,757</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ind w:left="20"/>
              <w:spacing w:after="0"/>
              <w:rPr>
                <w:sz w:val="20"/>
                <w:szCs w:val="20"/>
                <w:color w:val="auto"/>
              </w:rPr>
            </w:pPr>
            <w:r>
              <w:rPr>
                <w:rFonts w:ascii="Arial" w:cs="Arial" w:eastAsia="Arial" w:hAnsi="Arial"/>
                <w:sz w:val="13"/>
                <w:szCs w:val="13"/>
                <w:color w:val="auto"/>
              </w:rPr>
              <w:t>(unaudited)</w:t>
            </w: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68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color w:val="auto"/>
                <w:w w:val="94"/>
              </w:rPr>
              <w:t>Additional Paid</w:t>
            </w:r>
          </w:p>
        </w:tc>
        <w:tc>
          <w:tcPr>
            <w:tcW w:w="140" w:type="dxa"/>
            <w:vAlign w:val="bottom"/>
          </w:tcPr>
          <w:p>
            <w:pPr>
              <w:spacing w:after="0"/>
              <w:rPr>
                <w:sz w:val="9"/>
                <w:szCs w:val="9"/>
                <w:color w:val="auto"/>
              </w:rPr>
            </w:pPr>
          </w:p>
        </w:tc>
        <w:tc>
          <w:tcPr>
            <w:tcW w:w="740" w:type="dxa"/>
            <w:vAlign w:val="bottom"/>
            <w:vMerge w:val="restart"/>
          </w:tcPr>
          <w:p>
            <w:pPr>
              <w:jc w:val="right"/>
              <w:ind w:right="117"/>
              <w:spacing w:after="0"/>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right="57"/>
              <w:spacing w:after="0" w:line="108" w:lineRule="exact"/>
              <w:rPr>
                <w:sz w:val="20"/>
                <w:szCs w:val="20"/>
                <w:color w:val="auto"/>
              </w:rPr>
            </w:pPr>
            <w:r>
              <w:rPr>
                <w:rFonts w:ascii="Arial" w:cs="Arial" w:eastAsia="Arial" w:hAnsi="Arial"/>
                <w:sz w:val="12"/>
                <w:szCs w:val="12"/>
                <w:color w:val="auto"/>
              </w:rPr>
              <w:t>Non-</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7"/>
              <w:spacing w:after="0" w:line="122" w:lineRule="exact"/>
              <w:rPr>
                <w:sz w:val="20"/>
                <w:szCs w:val="20"/>
                <w:color w:val="auto"/>
              </w:rPr>
            </w:pPr>
            <w:r>
              <w:rPr>
                <w:rFonts w:ascii="Arial" w:cs="Arial" w:eastAsia="Arial" w:hAnsi="Arial"/>
                <w:sz w:val="13"/>
                <w:szCs w:val="13"/>
                <w:color w:val="auto"/>
                <w:w w:val="97"/>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40" w:type="dxa"/>
            <w:vAlign w:val="bottom"/>
            <w:tcBorders>
              <w:bottom w:val="single" w:sz="8" w:color="CEFFE7"/>
            </w:tcBorders>
          </w:tcPr>
          <w:p>
            <w:pPr>
              <w:ind w:left="20"/>
              <w:spacing w:after="0"/>
              <w:rPr>
                <w:sz w:val="20"/>
                <w:szCs w:val="20"/>
                <w:color w:val="auto"/>
              </w:rPr>
            </w:pPr>
            <w:r>
              <w:rPr>
                <w:rFonts w:ascii="Arial" w:cs="Arial" w:eastAsia="Arial" w:hAnsi="Arial"/>
                <w:sz w:val="13"/>
                <w:szCs w:val="13"/>
                <w:color w:val="auto"/>
              </w:rPr>
              <w:t>(in thousands except share amounts)</w:t>
            </w: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Shares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Value</w:t>
            </w: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Shares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Value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AOCI</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96"/>
              </w:rPr>
              <w:t>Interest</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5"/>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b w:val="1"/>
                <w:bCs w:val="1"/>
                <w:color w:val="auto"/>
              </w:rPr>
              <w:t>December 31, 2020</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62,827,179</w:t>
            </w:r>
          </w:p>
        </w:tc>
        <w:tc>
          <w:tcPr>
            <w:tcW w:w="200" w:type="dxa"/>
            <w:vAlign w:val="bottom"/>
            <w:shd w:val="clear" w:color="auto" w:fill="CEFFE7"/>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62,827</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32,492</w:t>
            </w:r>
          </w:p>
        </w:tc>
        <w:tc>
          <w:tcPr>
            <w:tcW w:w="180" w:type="dxa"/>
            <w:vAlign w:val="bottom"/>
            <w:shd w:val="clear" w:color="auto" w:fill="CEFFE7"/>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(2,119)</w:t>
            </w:r>
          </w:p>
        </w:tc>
        <w:tc>
          <w:tcPr>
            <w:tcW w:w="120" w:type="dxa"/>
            <w:vAlign w:val="bottom"/>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1,657,285</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870,738</w:t>
            </w:r>
          </w:p>
        </w:tc>
        <w:tc>
          <w:tcPr>
            <w:tcW w:w="200" w:type="dxa"/>
            <w:vAlign w:val="bottom"/>
            <w:shd w:val="clear" w:color="auto" w:fill="CEFFE7"/>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(27,346)</w:t>
            </w:r>
          </w:p>
        </w:tc>
        <w:tc>
          <w:tcPr>
            <w:tcW w:w="1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101,262</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2,662,647</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96,316</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4,171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100,487</w:t>
            </w:r>
          </w:p>
        </w:tc>
        <w:tc>
          <w:tcPr>
            <w:tcW w:w="0" w:type="dxa"/>
            <w:vAlign w:val="bottom"/>
          </w:tcPr>
          <w:p>
            <w:pPr>
              <w:spacing w:after="0"/>
              <w:rPr>
                <w:sz w:val="1"/>
                <w:szCs w:val="1"/>
                <w:color w:val="auto"/>
              </w:rPr>
            </w:pPr>
          </w:p>
        </w:tc>
      </w:tr>
      <w:tr>
        <w:trPr>
          <w:trHeight w:val="18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comprehensive income, net of tax</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12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3"/>
                <w:szCs w:val="13"/>
                <w:color w:val="auto"/>
              </w:rPr>
              <w:t>Dividends on common stock ($0.565 per share)</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(35,514)</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(35,514)</w:t>
            </w:r>
          </w:p>
        </w:tc>
        <w:tc>
          <w:tcPr>
            <w:tcW w:w="0" w:type="dxa"/>
            <w:vAlign w:val="bottom"/>
          </w:tcPr>
          <w:p>
            <w:pPr>
              <w:spacing w:after="0"/>
              <w:rPr>
                <w:sz w:val="1"/>
                <w:szCs w:val="1"/>
                <w:color w:val="auto"/>
              </w:rPr>
            </w:pPr>
          </w:p>
        </w:tc>
      </w:tr>
      <w:tr>
        <w:trPr>
          <w:trHeight w:val="18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82,794</w:t>
            </w: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83</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7,448</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1,672</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1,310</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3"/>
                <w:szCs w:val="13"/>
                <w:color w:val="auto"/>
              </w:rPr>
              <w:t>Other</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5"/>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EFFE7"/>
          </w:tcPr>
          <w:p>
            <w:pPr>
              <w:spacing w:after="0"/>
              <w:rPr>
                <w:sz w:val="15"/>
                <w:szCs w:val="15"/>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0" w:type="dxa"/>
            <w:vAlign w:val="bottom"/>
          </w:tcPr>
          <w:p>
            <w:pPr>
              <w:spacing w:after="0"/>
              <w:rPr>
                <w:sz w:val="1"/>
                <w:szCs w:val="1"/>
                <w:color w:val="auto"/>
              </w:rPr>
            </w:pPr>
          </w:p>
        </w:tc>
      </w:tr>
      <w:tr>
        <w:trPr>
          <w:trHeight w:val="174"/>
        </w:trPr>
        <w:tc>
          <w:tcPr>
            <w:tcW w:w="3340" w:type="dxa"/>
            <w:vAlign w:val="bottom"/>
          </w:tcPr>
          <w:p>
            <w:pPr>
              <w:ind w:left="20"/>
              <w:spacing w:after="0"/>
              <w:rPr>
                <w:sz w:val="20"/>
                <w:szCs w:val="20"/>
                <w:color w:val="auto"/>
              </w:rPr>
            </w:pPr>
            <w:r>
              <w:rPr>
                <w:rFonts w:ascii="Arial" w:cs="Arial" w:eastAsia="Arial" w:hAnsi="Arial"/>
                <w:sz w:val="13"/>
                <w:szCs w:val="13"/>
                <w:b w:val="1"/>
                <w:bCs w:val="1"/>
                <w:color w:val="auto"/>
              </w:rPr>
              <w:t>March 31, 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62,909,973</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62,910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39,940</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(2,564)</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1,658,957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931,538</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(26,328)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100,789</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2,725,302</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EFFE7"/>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4"/>
                <w:szCs w:val="14"/>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4"/>
                <w:szCs w:val="14"/>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4"/>
                <w:szCs w:val="14"/>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25,161</w:t>
            </w:r>
          </w:p>
        </w:tc>
        <w:tc>
          <w:tcPr>
            <w:tcW w:w="200" w:type="dxa"/>
            <w:vAlign w:val="bottom"/>
            <w:shd w:val="clear" w:color="auto" w:fill="CEFFE7"/>
          </w:tcPr>
          <w:p>
            <w:pPr>
              <w:spacing w:after="0"/>
              <w:rPr>
                <w:sz w:val="14"/>
                <w:szCs w:val="14"/>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4"/>
                <w:szCs w:val="14"/>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3,126</w:t>
            </w:r>
          </w:p>
        </w:tc>
        <w:tc>
          <w:tcPr>
            <w:tcW w:w="180" w:type="dxa"/>
            <w:vAlign w:val="bottom"/>
            <w:shd w:val="clear" w:color="auto" w:fill="CEFFE7"/>
          </w:tcPr>
          <w:p>
            <w:pPr>
              <w:spacing w:after="0"/>
              <w:rPr>
                <w:sz w:val="14"/>
                <w:szCs w:val="14"/>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28,287</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1,882</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1,882</w:t>
            </w:r>
          </w:p>
        </w:tc>
        <w:tc>
          <w:tcPr>
            <w:tcW w:w="0" w:type="dxa"/>
            <w:vAlign w:val="bottom"/>
          </w:tcPr>
          <w:p>
            <w:pPr>
              <w:spacing w:after="0"/>
              <w:rPr>
                <w:sz w:val="1"/>
                <w:szCs w:val="1"/>
                <w:color w:val="auto"/>
              </w:rPr>
            </w:pPr>
          </w:p>
        </w:tc>
      </w:tr>
      <w:tr>
        <w:trPr>
          <w:trHeight w:val="18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Dividends on common stock ($0.565 per share)</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(35,578)</w:t>
            </w:r>
          </w:p>
        </w:tc>
        <w:tc>
          <w:tcPr>
            <w:tcW w:w="20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(35,578)</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3"/>
                <w:szCs w:val="13"/>
                <w:color w:val="auto"/>
              </w:rPr>
              <w:t>20,905</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800" w:type="dxa"/>
            <w:vAlign w:val="bottom"/>
          </w:tcPr>
          <w:p>
            <w:pPr>
              <w:jc w:val="right"/>
              <w:spacing w:after="0"/>
              <w:rPr>
                <w:sz w:val="20"/>
                <w:szCs w:val="20"/>
                <w:color w:val="auto"/>
              </w:rPr>
            </w:pPr>
            <w:r>
              <w:rPr>
                <w:rFonts w:ascii="Arial" w:cs="Arial" w:eastAsia="Arial" w:hAnsi="Arial"/>
                <w:sz w:val="13"/>
                <w:szCs w:val="13"/>
                <w:color w:val="auto"/>
              </w:rPr>
              <w:t>6,588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3,698</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3,295</w:t>
            </w:r>
          </w:p>
        </w:tc>
        <w:tc>
          <w:tcPr>
            <w:tcW w:w="0" w:type="dxa"/>
            <w:vAlign w:val="bottom"/>
          </w:tcPr>
          <w:p>
            <w:pPr>
              <w:spacing w:after="0"/>
              <w:rPr>
                <w:sz w:val="1"/>
                <w:szCs w:val="1"/>
                <w:color w:val="auto"/>
              </w:rPr>
            </w:pPr>
          </w:p>
        </w:tc>
      </w:tr>
      <w:tr>
        <w:trPr>
          <w:trHeight w:val="18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Issuance of common stock</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596,035</w:t>
            </w: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596</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39,636</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40,232</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(466)</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8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3340" w:type="dxa"/>
            <w:vAlign w:val="bottom"/>
            <w:tcBorders>
              <w:bottom w:val="single" w:sz="8" w:color="CEFFE7"/>
            </w:tcBorders>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(4,061)</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(4,061)</w:t>
            </w:r>
          </w:p>
        </w:tc>
        <w:tc>
          <w:tcPr>
            <w:tcW w:w="0" w:type="dxa"/>
            <w:vAlign w:val="bottom"/>
          </w:tcPr>
          <w:p>
            <w:pPr>
              <w:spacing w:after="0"/>
              <w:rPr>
                <w:sz w:val="1"/>
                <w:szCs w:val="1"/>
                <w:color w:val="auto"/>
              </w:rPr>
            </w:pPr>
          </w:p>
        </w:tc>
      </w:tr>
      <w:tr>
        <w:trPr>
          <w:trHeight w:val="199"/>
        </w:trPr>
        <w:tc>
          <w:tcPr>
            <w:tcW w:w="3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3"/>
                <w:szCs w:val="13"/>
                <w:b w:val="1"/>
                <w:bCs w:val="1"/>
                <w:color w:val="auto"/>
              </w:rPr>
              <w:t>June 30, 2021</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63,526,913</w:t>
            </w:r>
          </w:p>
        </w:tc>
        <w:tc>
          <w:tcPr>
            <w:tcW w:w="200" w:type="dxa"/>
            <w:vAlign w:val="bottom"/>
            <w:tcBorders>
              <w:bottom w:val="single" w:sz="8" w:color="auto"/>
            </w:tcBorders>
            <w:shd w:val="clear" w:color="auto" w:fill="CEFFE7"/>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63,527</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46,528</w:t>
            </w:r>
          </w:p>
        </w:tc>
        <w:tc>
          <w:tcPr>
            <w:tcW w:w="180" w:type="dxa"/>
            <w:vAlign w:val="bottom"/>
            <w:tcBorders>
              <w:bottom w:val="single" w:sz="8" w:color="auto"/>
            </w:tcBorders>
            <w:shd w:val="clear" w:color="auto" w:fill="CEFFE7"/>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(2,988)</w:t>
            </w:r>
          </w:p>
        </w:tc>
        <w:tc>
          <w:tcPr>
            <w:tcW w:w="1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1,701,825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921,122</w:t>
            </w:r>
          </w:p>
        </w:tc>
        <w:tc>
          <w:tcPr>
            <w:tcW w:w="200" w:type="dxa"/>
            <w:vAlign w:val="bottom"/>
            <w:tcBorders>
              <w:bottom w:val="single" w:sz="8" w:color="auto"/>
            </w:tcBorders>
            <w:shd w:val="clear" w:color="auto" w:fill="CEFFE7"/>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(24,446)</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99,854</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2,758,894</w:t>
            </w:r>
          </w:p>
        </w:tc>
        <w:tc>
          <w:tcPr>
            <w:tcW w:w="0" w:type="dxa"/>
            <w:vAlign w:val="bottom"/>
          </w:tcPr>
          <w:p>
            <w:pPr>
              <w:spacing w:after="0"/>
              <w:rPr>
                <w:sz w:val="1"/>
                <w:szCs w:val="1"/>
                <w:color w:val="auto"/>
              </w:rPr>
            </w:pPr>
          </w:p>
        </w:tc>
      </w:tr>
      <w:tr>
        <w:trPr>
          <w:trHeight w:val="20"/>
        </w:trPr>
        <w:tc>
          <w:tcPr>
            <w:tcW w:w="3340" w:type="dxa"/>
            <w:vAlign w:val="bottom"/>
            <w:tcBorders>
              <w:top w:val="single" w:sz="8" w:color="CEFFE7"/>
              <w:bottom w:val="single" w:sz="8" w:color="CEFFE7"/>
            </w:tcBorders>
            <w:vMerge w:val="restart"/>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40" w:type="dxa"/>
            <w:vAlign w:val="bottom"/>
            <w:vMerge w:val="continue"/>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tcPr>
          <w:p>
            <w:pPr>
              <w:jc w:val="right"/>
              <w:ind w:right="77"/>
              <w:spacing w:after="0" w:line="14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44,112</w:t>
            </w:r>
          </w:p>
        </w:tc>
        <w:tc>
          <w:tcPr>
            <w:tcW w:w="20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3"/>
                <w:szCs w:val="13"/>
                <w:color w:val="auto"/>
              </w:rPr>
              <w:t>4,050</w:t>
            </w:r>
          </w:p>
        </w:tc>
        <w:tc>
          <w:tcPr>
            <w:tcW w:w="1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48,162</w:t>
            </w:r>
          </w:p>
        </w:tc>
        <w:tc>
          <w:tcPr>
            <w:tcW w:w="0" w:type="dxa"/>
            <w:vAlign w:val="bottom"/>
          </w:tcPr>
          <w:p>
            <w:pPr>
              <w:spacing w:after="0"/>
              <w:rPr>
                <w:sz w:val="1"/>
                <w:szCs w:val="1"/>
                <w:color w:val="auto"/>
              </w:rPr>
            </w:pPr>
          </w:p>
        </w:tc>
      </w:tr>
      <w:tr>
        <w:trPr>
          <w:trHeight w:val="18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5,277</w:t>
            </w:r>
          </w:p>
        </w:tc>
        <w:tc>
          <w:tcPr>
            <w:tcW w:w="12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5,277</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3"/>
                <w:szCs w:val="13"/>
                <w:color w:val="auto"/>
              </w:rPr>
              <w:t>Dividends on common stock ($0.565 per share)</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(35,865)</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(35,865)</w:t>
            </w:r>
          </w:p>
        </w:tc>
        <w:tc>
          <w:tcPr>
            <w:tcW w:w="0" w:type="dxa"/>
            <w:vAlign w:val="bottom"/>
          </w:tcPr>
          <w:p>
            <w:pPr>
              <w:spacing w:after="0"/>
              <w:rPr>
                <w:sz w:val="1"/>
                <w:szCs w:val="1"/>
                <w:color w:val="auto"/>
              </w:rPr>
            </w:pPr>
          </w:p>
        </w:tc>
      </w:tr>
      <w:tr>
        <w:trPr>
          <w:trHeight w:val="18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17</w:t>
            </w: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EFFE7"/>
          </w:tcPr>
          <w:p>
            <w:pPr>
              <w:ind w:left="360"/>
              <w:spacing w:after="0"/>
              <w:rPr>
                <w:sz w:val="20"/>
                <w:szCs w:val="20"/>
                <w:color w:val="auto"/>
              </w:rPr>
            </w:pPr>
            <w:r>
              <w:rPr>
                <w:rFonts w:ascii="Arial" w:cs="Arial" w:eastAsia="Arial" w:hAnsi="Arial"/>
                <w:sz w:val="13"/>
                <w:szCs w:val="13"/>
                <w:color w:val="auto"/>
              </w:rPr>
              <w:t>(2,643)</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1,849</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3"/>
                <w:szCs w:val="13"/>
                <w:color w:val="auto"/>
              </w:rPr>
              <w:t>338,221</w:t>
            </w:r>
          </w:p>
        </w:tc>
        <w:tc>
          <w:tcPr>
            <w:tcW w:w="20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338</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22,834</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23,172</w:t>
            </w:r>
          </w:p>
        </w:tc>
        <w:tc>
          <w:tcPr>
            <w:tcW w:w="0" w:type="dxa"/>
            <w:vAlign w:val="bottom"/>
          </w:tcPr>
          <w:p>
            <w:pPr>
              <w:spacing w:after="0"/>
              <w:rPr>
                <w:sz w:val="1"/>
                <w:szCs w:val="1"/>
                <w:color w:val="auto"/>
              </w:rPr>
            </w:pPr>
          </w:p>
        </w:tc>
      </w:tr>
      <w:tr>
        <w:trPr>
          <w:trHeight w:val="18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8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78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(231)</w:t>
            </w:r>
          </w:p>
        </w:tc>
        <w:tc>
          <w:tcPr>
            <w:tcW w:w="14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71"/>
        </w:trPr>
        <w:tc>
          <w:tcPr>
            <w:tcW w:w="3340" w:type="dxa"/>
            <w:vAlign w:val="bottom"/>
            <w:tcBorders>
              <w:bottom w:val="single" w:sz="8" w:color="CEFFE7"/>
            </w:tcBorders>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(1,525)</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(1,525)</w:t>
            </w:r>
          </w:p>
        </w:tc>
        <w:tc>
          <w:tcPr>
            <w:tcW w:w="0" w:type="dxa"/>
            <w:vAlign w:val="bottom"/>
          </w:tcPr>
          <w:p>
            <w:pPr>
              <w:spacing w:after="0"/>
              <w:rPr>
                <w:sz w:val="1"/>
                <w:szCs w:val="1"/>
                <w:color w:val="auto"/>
              </w:rPr>
            </w:pPr>
          </w:p>
        </w:tc>
      </w:tr>
      <w:tr>
        <w:trPr>
          <w:trHeight w:val="199"/>
        </w:trPr>
        <w:tc>
          <w:tcPr>
            <w:tcW w:w="3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3"/>
                <w:szCs w:val="13"/>
                <w:b w:val="1"/>
                <w:bCs w:val="1"/>
                <w:color w:val="auto"/>
              </w:rPr>
              <w:t>September 30, 2021</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63,865,151</w:t>
            </w:r>
          </w:p>
        </w:tc>
        <w:tc>
          <w:tcPr>
            <w:tcW w:w="200" w:type="dxa"/>
            <w:vAlign w:val="bottom"/>
            <w:tcBorders>
              <w:bottom w:val="single" w:sz="8" w:color="auto"/>
            </w:tcBorders>
            <w:shd w:val="clear" w:color="auto" w:fill="CEFFE7"/>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63,865</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43,885</w:t>
            </w:r>
          </w:p>
        </w:tc>
        <w:tc>
          <w:tcPr>
            <w:tcW w:w="180" w:type="dxa"/>
            <w:vAlign w:val="bottom"/>
            <w:tcBorders>
              <w:bottom w:val="single" w:sz="8" w:color="auto"/>
            </w:tcBorders>
            <w:shd w:val="clear" w:color="auto" w:fill="CEFFE7"/>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(2,819)</w:t>
            </w:r>
          </w:p>
        </w:tc>
        <w:tc>
          <w:tcPr>
            <w:tcW w:w="1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1,726,277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929,369</w:t>
            </w:r>
          </w:p>
        </w:tc>
        <w:tc>
          <w:tcPr>
            <w:tcW w:w="200" w:type="dxa"/>
            <w:vAlign w:val="bottom"/>
            <w:tcBorders>
              <w:bottom w:val="single" w:sz="8" w:color="auto"/>
            </w:tcBorders>
            <w:shd w:val="clear" w:color="auto" w:fill="CEFFE7"/>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(19,169)</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102,379</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2,799,902</w:t>
            </w:r>
          </w:p>
        </w:tc>
        <w:tc>
          <w:tcPr>
            <w:tcW w:w="0" w:type="dxa"/>
            <w:vAlign w:val="bottom"/>
          </w:tcPr>
          <w:p>
            <w:pPr>
              <w:spacing w:after="0"/>
              <w:rPr>
                <w:sz w:val="1"/>
                <w:szCs w:val="1"/>
                <w:color w:val="auto"/>
              </w:rPr>
            </w:pPr>
          </w:p>
        </w:tc>
      </w:tr>
      <w:tr>
        <w:trPr>
          <w:trHeight w:val="20"/>
        </w:trPr>
        <w:tc>
          <w:tcPr>
            <w:tcW w:w="334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included in the Company’s 2021 Annual Report on Form 10-K)</w:t>
      </w:r>
    </w:p>
    <w:p>
      <w:pPr>
        <w:spacing w:after="0" w:line="200" w:lineRule="exact"/>
        <w:rPr>
          <w:sz w:val="20"/>
          <w:szCs w:val="20"/>
          <w:color w:val="auto"/>
        </w:rPr>
      </w:pPr>
    </w:p>
    <w:p>
      <w:pPr>
        <w:spacing w:after="0" w:line="27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GAAP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2021 Annual Report on Form 10-K.</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6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and services. All of our operations and assets are located within the United States. We conduct our operations through the Electric Utilities and Gas Utilities segments. 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further information regarding our segment reporting, see </w:t>
      </w:r>
      <w:r>
        <w:rPr>
          <w:rFonts w:ascii="Arial" w:cs="Arial" w:eastAsia="Arial" w:hAnsi="Arial"/>
          <w:sz w:val="16"/>
          <w:szCs w:val="16"/>
          <w:u w:val="single" w:color="auto"/>
          <w:color w:val="0000FF"/>
        </w:rPr>
        <w:t>Note 12</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48"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September 30, 2022, December 31, 2021 and September 30, 2021 financial information. Certain lines of business in which we operate are highly seasonal, and our interim results of operations are not necessarily indicative of the results of operations to be expected for an entire year.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26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which was subsequently amended by ASU 2021-01. The standard provides relief for companies preparing for discontinuation of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2022. We are currently evaluating whether we will apply the optional guidance as we assess the impact of the discontinuance of LIBOR on our current arrangements but do not expect it to have a material impact on our financial position, results of operations and cash flows.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96"/>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(2)  Regulatory Matters</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4"/>
        </w:trPr>
        <w:tc>
          <w:tcPr>
            <w:tcW w:w="728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(in thousands):</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As of</w:t>
            </w:r>
          </w:p>
        </w:tc>
        <w:tc>
          <w:tcPr>
            <w:tcW w:w="180" w:type="dxa"/>
            <w:vAlign w:val="bottom"/>
          </w:tcPr>
          <w:p>
            <w:pPr>
              <w:spacing w:after="0"/>
              <w:rPr>
                <w:sz w:val="24"/>
                <w:szCs w:val="24"/>
                <w:color w:val="auto"/>
              </w:rPr>
            </w:pPr>
          </w:p>
        </w:tc>
        <w:tc>
          <w:tcPr>
            <w:tcW w:w="1800" w:type="dxa"/>
            <w:vAlign w:val="bottom"/>
          </w:tcPr>
          <w:p>
            <w:pPr>
              <w:jc w:val="right"/>
              <w:ind w:right="719"/>
              <w:spacing w:after="0"/>
              <w:rPr>
                <w:sz w:val="20"/>
                <w:szCs w:val="20"/>
                <w:color w:val="auto"/>
              </w:rPr>
            </w:pPr>
            <w:r>
              <w:rPr>
                <w:rFonts w:ascii="Arial" w:cs="Arial" w:eastAsia="Arial" w:hAnsi="Arial"/>
                <w:sz w:val="16"/>
                <w:szCs w:val="16"/>
                <w:color w:val="auto"/>
              </w:rPr>
              <w:t>As of</w:t>
            </w:r>
          </w:p>
        </w:tc>
      </w:tr>
      <w:tr>
        <w:trPr>
          <w:trHeight w:val="216"/>
        </w:trPr>
        <w:tc>
          <w:tcPr>
            <w:tcW w:w="13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September 30, 2022</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197"/>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assets</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7"/>
        </w:trPr>
        <w:tc>
          <w:tcPr>
            <w:tcW w:w="7280" w:type="dxa"/>
            <w:vAlign w:val="bottom"/>
            <w:gridSpan w:val="2"/>
            <w:shd w:val="clear" w:color="auto" w:fill="CEFFE7"/>
          </w:tcPr>
          <w:p>
            <w:pPr>
              <w:ind w:left="140"/>
              <w:spacing w:after="0" w:line="217"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392,994</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509,025</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74,998</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59,973</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18,764</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9,488</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10,776</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7,407</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7,457</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86,335</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88,923</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1,346</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1,385</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19,663</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21,011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66,039</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63,243</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4,094</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5,961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23,790</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27,549</w:t>
            </w: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Total regulatory assets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706,206</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796,599</w:t>
            </w:r>
          </w:p>
        </w:tc>
      </w:tr>
      <w:tr>
        <w:trPr>
          <w:trHeight w:val="216"/>
        </w:trPr>
        <w:tc>
          <w:tcPr>
            <w:tcW w:w="728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rPr>
              <w:t>Less current regulatory assets</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(290,087)</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(270,290)</w:t>
            </w:r>
          </w:p>
        </w:tc>
      </w:tr>
      <w:tr>
        <w:trPr>
          <w:trHeight w:val="210"/>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assets,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416,119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526,309</w:t>
            </w:r>
          </w:p>
        </w:tc>
      </w:tr>
      <w:tr>
        <w:trPr>
          <w:trHeight w:val="20"/>
        </w:trPr>
        <w:tc>
          <w:tcPr>
            <w:tcW w:w="1360" w:type="dxa"/>
            <w:vAlign w:val="bottom"/>
            <w:tcBorders>
              <w:bottom w:val="single" w:sz="8" w:color="CEFFE7"/>
            </w:tcBorders>
          </w:tcPr>
          <w:p>
            <w:pPr>
              <w:spacing w:after="0" w:line="20" w:lineRule="exact"/>
              <w:rPr>
                <w:sz w:val="1"/>
                <w:szCs w:val="1"/>
                <w:color w:val="auto"/>
              </w:rPr>
            </w:pPr>
          </w:p>
        </w:tc>
        <w:tc>
          <w:tcPr>
            <w:tcW w:w="5920" w:type="dxa"/>
            <w:vAlign w:val="bottom"/>
            <w:tcBorders>
              <w:bottom w:val="single" w:sz="8" w:color="CEFFE7"/>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shd w:val="clear" w:color="auto" w:fill="CEFFE7"/>
          </w:tcPr>
          <w:p>
            <w:pPr>
              <w:spacing w:after="0"/>
              <w:rPr>
                <w:sz w:val="14"/>
                <w:szCs w:val="14"/>
                <w:color w:val="auto"/>
              </w:rPr>
            </w:pPr>
          </w:p>
        </w:tc>
        <w:tc>
          <w:tcPr>
            <w:tcW w:w="592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180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1800" w:type="dxa"/>
            <w:vAlign w:val="bottom"/>
            <w:shd w:val="clear" w:color="auto" w:fill="CEFFE7"/>
          </w:tcPr>
          <w:p>
            <w:pPr>
              <w:spacing w:after="0"/>
              <w:rPr>
                <w:sz w:val="14"/>
                <w:szCs w:val="14"/>
                <w:color w:val="auto"/>
              </w:rPr>
            </w:pPr>
          </w:p>
        </w:tc>
      </w:tr>
      <w:tr>
        <w:trPr>
          <w:trHeight w:val="21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7"/>
        </w:trPr>
        <w:tc>
          <w:tcPr>
            <w:tcW w:w="7280" w:type="dxa"/>
            <w:vAlign w:val="bottom"/>
            <w:gridSpan w:val="2"/>
            <w:shd w:val="clear" w:color="auto" w:fill="CEFFE7"/>
          </w:tcPr>
          <w:p>
            <w:pPr>
              <w:ind w:left="140"/>
              <w:spacing w:after="0" w:line="217"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6,283</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6,113</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(c)</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31,168</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32,241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174,312</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179,976</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257,282</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264,042</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25,715</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20,579</w:t>
            </w: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Total regulatory liabilities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494,760</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502,951</w:t>
            </w:r>
          </w:p>
        </w:tc>
      </w:tr>
      <w:tr>
        <w:trPr>
          <w:trHeight w:val="216"/>
        </w:trPr>
        <w:tc>
          <w:tcPr>
            <w:tcW w:w="728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rPr>
              <w:t>Less current regulatory liabilities</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(24,797)</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(17,574)</w:t>
            </w:r>
          </w:p>
        </w:tc>
      </w:tr>
      <w:tr>
        <w:trPr>
          <w:trHeight w:val="210"/>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liabilities, non-current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469,963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485,377</w:t>
            </w:r>
          </w:p>
        </w:tc>
      </w:tr>
      <w:tr>
        <w:trPr>
          <w:trHeight w:val="20"/>
        </w:trPr>
        <w:tc>
          <w:tcPr>
            <w:tcW w:w="13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vary by jurisdiction. See further information below.</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as discussed below, there have been no other significant changes to our Regulatory Matters from those previously disclosed in Note 2 of the Notes to the Consolidated Financial Statements in our 2021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26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December 10, 2021, Arkansas Gas filed a rate review with the APSC seeking recovery of significant infrastructure investments in its 7,200-mile natural gas pipeline system. On October 10, 2022, the APSC approved a partial settlement agreement with all intervening parties for a general rate increase and authorized a capital structure of 45% equity and 55% debt and a return on equity of 9.6%. The APSC’s decision shifts approximately $10 million of rider revenue to base rates and is expected to generate $8.8 million of new annual revenue. The APSC also approved a new comprehensive safety and integrity rider which replaces three former riders. New rates were effective on October 21, 2022.</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RMNG</w:t>
      </w:r>
    </w:p>
    <w:p>
      <w:pPr>
        <w:spacing w:after="0" w:line="24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On October 7, 2022, RMNG filed a rate review with the CPUC seeking recovery of significant infrastructure investments in its 600-mile natural gas pipeline system. The rate review requests $12.3 million in new annual revenue based on a future test year with a capital structure of 52% equity and 48% debt and a return on equity of 12.3%. The rate review also requests a $7.7 million shift of SSIR revenues to base rates. The request seeks to finalize rates in the third quarter of 2023.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Winter Storm Uri</w:t>
      </w:r>
    </w:p>
    <w:p>
      <w:pPr>
        <w:spacing w:after="0" w:line="246"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In February 2021, Winter Storm Uri caused a substantial increase in heating and energy demand and contributed to unforeseeable and unprecedented market prices for natural gas and electricity. As a result, we incurred significant incremental fuel, purchased power and natural gas costs.</w:t>
      </w:r>
    </w:p>
    <w:p>
      <w:pPr>
        <w:spacing w:after="0" w:line="1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Utilities submitted Winter Storm Uri cost recovery applications in our state jurisdictions seeking to recover $546 million of these incremental costs through separate tracking mechanisms over a weighted-average recovery period of 3.5 years. In these applications, we sought approval to recover carrying costs. We have received final commission approval for all of our Winter Storm Uri cost recovery applications, which will allow full recovery of our incremental fuel, purchased power and natural gas costs.</w:t>
      </w:r>
    </w:p>
    <w:p>
      <w:pPr>
        <w:spacing w:after="0" w:line="21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On January 27, 2022, Kansas Gas received approval from the KCC for its Winter Storm Uri cost recovery settlement with final rates implemented in February 2022. In March 2022, Colorado Electric and Colorado Gas received approval from the CPUC for their respective Winter Storm Uri cost recovery settlements with final rates implemented in April 2022. In June 2022, Arkansas Gas received approval from the APSC for its Winter Storm Uri cost recovery application. The APSC had previously approved interim cost recovery effective in June 2021. On October 20, 2022, Wyoming Gas received approval from the WPSC for its Winter Storm Uri cost recovery application. The WPSC had previously approved interim cost recovery effective in September 2021.</w:t>
      </w:r>
    </w:p>
    <w:p>
      <w:pPr>
        <w:spacing w:after="0" w:line="218"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For three and nine months ended September 30, 2022 and 2021, $3.7 million, $18 million, $1.8 million and $1.8 million, respectively, of carrying costs were accrued and recorded to a regulatory asset. The carrying costs accrued during the nine months ended September 30, 2022 included a one-time, $10 million true-up recorded in the second quarter to reflect Commission authorized rates.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2022, our Utilities collected $125 million of Winter Storm Uri incremental costs and carrying costs from customers.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we estimate that our remaining Winter Storm Uri regulatory asset has a weighted-average recovery period of 2.8 years.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246" w:lineRule="exact"/>
        <w:rPr>
          <w:sz w:val="20"/>
          <w:szCs w:val="20"/>
          <w:color w:val="auto"/>
        </w:rPr>
      </w:pPr>
    </w:p>
    <w:p>
      <w:pPr>
        <w:jc w:val="both"/>
        <w:ind w:right="500"/>
        <w:spacing w:after="0" w:line="275" w:lineRule="auto"/>
        <w:rPr>
          <w:sz w:val="20"/>
          <w:szCs w:val="20"/>
          <w:color w:val="auto"/>
        </w:rPr>
      </w:pPr>
      <w:r>
        <w:rPr>
          <w:rFonts w:ascii="Arial" w:cs="Arial" w:eastAsia="Arial" w:hAnsi="Arial"/>
          <w:sz w:val="16"/>
          <w:szCs w:val="16"/>
          <w:color w:val="auto"/>
        </w:rPr>
        <w:t>As part of Kansas Gas’ 2021 rate review settlement agreement, Kansas Gas will annually deliver $3.0 million of TCJA and state tax reform benefits to customers for three years starting in 2022 (approximately $9.1 million of total benefits expected to be delivered). For the three and nine months ended September 30, 2022, Kansas Gas delivered TCJA and state tax reform bill credits to customers of $0.6 million and $2.1 million, respectively.</w:t>
      </w:r>
    </w:p>
    <w:p>
      <w:pPr>
        <w:spacing w:after="0" w:line="191"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These bill credits, which resulted in a reduction of revenue, were offset by a reduction in income tax expense and resulted in an immaterial impact to Net income for the three and nine months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Electric</w:t>
      </w:r>
    </w:p>
    <w:p>
      <w:pPr>
        <w:spacing w:after="0" w:line="2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June 1, 2022, Wyoming Electric filed a rate review with the WPSC seeking recovery of significant infrastructure investments in its 1,330-mile electric distribution and 59-mile electric transmission systems. The rate review requests $15 million in new annual revenue with a capital structure of 54% equity and 46% debt and a return on equity of 10.3%. The request seeks to finalize rates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48"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2021 Annual Report on Form 10-K except for those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Agreement under Blockchain Interruptible Service Tariff</w:t>
      </w:r>
    </w:p>
    <w:p>
      <w:pPr>
        <w:spacing w:after="0" w:line="26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June 21, 2022, Wyoming Electric completed its first agreement for service under its Blockchain Interruptible Service tariff. Under the five-year agreement, Wyoming Electric will deliver up to 45 MW of electric service with an option to expand service up to 75 MW to a new customer in Cheyenne, Wyoming. The crypto mining facility is expected to be operational and purchasing energy in the fourth quarter of 2022.</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Power Sales Agreements</w:t>
      </w:r>
    </w:p>
    <w:p>
      <w:pPr>
        <w:spacing w:after="0" w:line="24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On May 3, 2022, South Dakota Electric entered into an agreement with MDU to provide MDU capacity and energy up to a maximum of 50 MW in excess of MDU’s 25% ownership in Wygen III. This agreement, which has similar terms and conditions as South Dakota Electric’s existing agreement with MDU expiring on December 31, 2023. The new agreement is effective on January 1, 2024 and will expire on December 31, 2028.</w:t>
      </w:r>
    </w:p>
    <w:p>
      <w:pPr>
        <w:spacing w:after="0" w:line="191" w:lineRule="exact"/>
        <w:rPr>
          <w:sz w:val="20"/>
          <w:szCs w:val="20"/>
          <w:color w:val="auto"/>
        </w:rPr>
      </w:pPr>
    </w:p>
    <w:p>
      <w:pPr>
        <w:jc w:val="both"/>
        <w:ind w:right="80"/>
        <w:spacing w:after="0" w:line="265" w:lineRule="auto"/>
        <w:rPr>
          <w:sz w:val="20"/>
          <w:szCs w:val="20"/>
          <w:color w:val="auto"/>
        </w:rPr>
      </w:pPr>
      <w:r>
        <w:rPr>
          <w:rFonts w:ascii="Arial" w:cs="Arial" w:eastAsia="Arial" w:hAnsi="Arial"/>
          <w:sz w:val="16"/>
          <w:szCs w:val="16"/>
          <w:color w:val="auto"/>
        </w:rPr>
        <w:t>During periods of reduced production at Wygen III, in which MDU owns a portion of the capacity, or during periods when Wygen III is off-line, South Dakota Electric will provide MDU with 23 MW from our other generation facilities or from system purchases with reimbursement of costs by MDU. On June 3, 2022, South Dakota Electric entered into an agreement with similar terms and conditions as its existing agreement with MDU expiring on December 31, 2023. The new agreement is effective on January 1, 2024 and will expire on December 31, 2028.</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(U.S. District Court for the City and County of Denver, Colorado)</w:t>
      </w:r>
    </w:p>
    <w:p>
      <w:pPr>
        <w:spacing w:after="0" w:line="233"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believe we have meritorious defenses to the verdict and have appealed the verdict. At this time, we believe that the liability related to this matter, if any, is not reasonably estimable.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Power Purchase Agreements</w:t>
      </w:r>
    </w:p>
    <w:p>
      <w:pPr>
        <w:spacing w:after="0" w:line="246"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On June 23, 2022, Wyoming Electric entered into a PPA with Roundhouse Renewable Energy II, LLC (Roundhouse Renewable Energy) to purchase up to 106 MW of renewable energy upon construction of a new wind facility, to be owned by Roundhouse Renewable Energy, which is expected to be completed by the end of 2023. The agreement will expire 20 years after construction completion. The wind energy from this PPA will be used to serve our expanding partnerships with industrial customers in Cheyenne, Wyoming.</w:t>
      </w:r>
    </w:p>
    <w:p>
      <w:pPr>
        <w:spacing w:after="0" w:line="21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On March 21, 2022, Wyoming Electric entered into a PPA with South Cheyenne Solar, LLC (Cheyenne Solar) to purchase up to 150 MW of renewable energy upon construction of a new solar facility, to be owned by Cheyenne Solar, which is expected to be completed by the end of 2023. The agreement will expire 20 years after construction completion. The solar energy from this PPA will be used to serve our expanding partnerships with industrial customers in Cheyenne, Wyoming.</w:t>
      </w:r>
    </w:p>
    <w:p>
      <w:pPr>
        <w:spacing w:after="0" w:line="19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On February 19, 2021, Colorado Electric entered into an agreement with TC Colorado Solar, LLC (TC Solar) to purchase up to 200 MW of renewable energy upon construction of a new solar facility to be owned by TC Solar. On January 31, 2022, TC Solar provided notice of its intent to terminate the PPA. On May 27, 2022, Colorado Electric filed its 2030 Ready Plan with the CPUC. A CPUC decision is expected in March 2023, after which time, Colorado Electric will seek new requests for proposals for renewable energy resources.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Transmission Service Agreements</w:t>
      </w:r>
    </w:p>
    <w:p>
      <w:pPr>
        <w:spacing w:after="0" w:line="2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1, 2022, Colorado Electric entered into a firm point-to-point transmission service agreement that provides Tri-State Generation and Transmission Association Inc. with a maximum of 58 MW of transmission capacity. This agreement expires December 31, 2024.</w:t>
      </w:r>
    </w:p>
    <w:p>
      <w:pPr>
        <w:spacing w:after="0" w:line="1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January 1, 2022, South Dakota Electric entered into a firm point-to-point transmission service agreement that provides MEAN with a maximum of 20 MW of transmission capacity. This agreement expires December 31, 2023.</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48"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and nine months ended September 30, 2022 and 2021. Sales tax and other similar taxes are excluded from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20" w:type="dxa"/>
            <w:vAlign w:val="bottom"/>
            <w:gridSpan w:val="2"/>
            <w:vMerge w:val="restart"/>
          </w:tcPr>
          <w:p>
            <w:pPr>
              <w:spacing w:after="0"/>
              <w:rPr>
                <w:sz w:val="20"/>
                <w:szCs w:val="20"/>
                <w:color w:val="auto"/>
              </w:rPr>
            </w:pPr>
            <w:r>
              <w:rPr>
                <w:rFonts w:ascii="Arial" w:cs="Arial" w:eastAsia="Arial" w:hAnsi="Arial"/>
                <w:sz w:val="16"/>
                <w:szCs w:val="16"/>
                <w:color w:val="auto"/>
              </w:rPr>
              <w:t>Three Months Ended September 30, 2022</w:t>
            </w:r>
          </w:p>
        </w:tc>
        <w:tc>
          <w:tcPr>
            <w:tcW w:w="220" w:type="dxa"/>
            <w:vAlign w:val="bottom"/>
          </w:tcPr>
          <w:p>
            <w:pPr>
              <w:spacing w:after="0"/>
              <w:rPr>
                <w:sz w:val="16"/>
                <w:szCs w:val="16"/>
                <w:color w:val="auto"/>
              </w:rPr>
            </w:pPr>
          </w:p>
        </w:tc>
        <w:tc>
          <w:tcPr>
            <w:tcW w:w="1460" w:type="dxa"/>
            <w:vAlign w:val="bottom"/>
            <w:vMerge w:val="restart"/>
          </w:tcPr>
          <w:p>
            <w:pPr>
              <w:jc w:val="right"/>
              <w:ind w:right="159"/>
              <w:spacing w:after="0"/>
              <w:rPr>
                <w:sz w:val="20"/>
                <w:szCs w:val="20"/>
                <w:color w:val="auto"/>
              </w:rPr>
            </w:pPr>
            <w:r>
              <w:rPr>
                <w:rFonts w:ascii="Arial" w:cs="Arial" w:eastAsia="Arial" w:hAnsi="Arial"/>
                <w:sz w:val="16"/>
                <w:szCs w:val="16"/>
                <w:color w:val="auto"/>
              </w:rPr>
              <w:t>Electric Utilities</w:t>
            </w:r>
          </w:p>
        </w:tc>
        <w:tc>
          <w:tcPr>
            <w:tcW w:w="320" w:type="dxa"/>
            <w:vAlign w:val="bottom"/>
          </w:tcPr>
          <w:p>
            <w:pPr>
              <w:spacing w:after="0"/>
              <w:rPr>
                <w:sz w:val="16"/>
                <w:szCs w:val="16"/>
                <w:color w:val="auto"/>
              </w:rPr>
            </w:pPr>
          </w:p>
        </w:tc>
        <w:tc>
          <w:tcPr>
            <w:tcW w:w="140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rPr>
                <w:sz w:val="16"/>
                <w:szCs w:val="16"/>
                <w:color w:val="auto"/>
              </w:rPr>
            </w:pPr>
          </w:p>
        </w:tc>
        <w:tc>
          <w:tcPr>
            <w:tcW w:w="1320" w:type="dxa"/>
            <w:vAlign w:val="bottom"/>
            <w:vMerge w:val="restart"/>
          </w:tcPr>
          <w:p>
            <w:pPr>
              <w:jc w:val="right"/>
              <w:ind w:right="6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EFFE7"/>
          </w:tcPr>
          <w:p>
            <w:pPr>
              <w:spacing w:after="0"/>
              <w:rPr>
                <w:sz w:val="16"/>
                <w:szCs w:val="16"/>
                <w:color w:val="auto"/>
              </w:rPr>
            </w:pPr>
          </w:p>
        </w:tc>
        <w:tc>
          <w:tcPr>
            <w:tcW w:w="4320" w:type="dxa"/>
            <w:vAlign w:val="bottom"/>
            <w:gridSpan w:val="2"/>
            <w:shd w:val="clear" w:color="auto" w:fill="CEFFE7"/>
          </w:tcPr>
          <w:p>
            <w:pPr>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shd w:val="clear" w:color="auto" w:fill="CEFFE7"/>
          </w:tcPr>
          <w:p>
            <w:pPr>
              <w:spacing w:after="0"/>
              <w:rPr>
                <w:sz w:val="16"/>
                <w:szCs w:val="16"/>
                <w:color w:val="auto"/>
              </w:rPr>
            </w:pPr>
          </w:p>
        </w:tc>
        <w:tc>
          <w:tcPr>
            <w:tcW w:w="146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3160" w:type="dxa"/>
            <w:vAlign w:val="bottom"/>
            <w:gridSpan w:val="3"/>
            <w:shd w:val="clear" w:color="auto" w:fill="CEFFE7"/>
          </w:tcPr>
          <w:p>
            <w:pPr>
              <w:jc w:val="right"/>
              <w:ind w:right="1119"/>
              <w:spacing w:after="0" w:line="170" w:lineRule="exact"/>
              <w:rPr>
                <w:sz w:val="20"/>
                <w:szCs w:val="20"/>
                <w:color w:val="auto"/>
              </w:rPr>
            </w:pPr>
            <w:r>
              <w:rPr>
                <w:rFonts w:ascii="Arial" w:cs="Arial" w:eastAsia="Arial" w:hAnsi="Arial"/>
                <w:sz w:val="16"/>
                <w:szCs w:val="16"/>
                <w:color w:val="auto"/>
              </w:rPr>
              <w:t>(in thousands)</w:t>
            </w:r>
          </w:p>
        </w:tc>
        <w:tc>
          <w:tcPr>
            <w:tcW w:w="400" w:type="dxa"/>
            <w:vAlign w:val="bottom"/>
            <w:shd w:val="clear" w:color="auto" w:fill="CEFFE7"/>
          </w:tcPr>
          <w:p>
            <w:pPr>
              <w:spacing w:after="0"/>
              <w:rPr>
                <w:sz w:val="16"/>
                <w:szCs w:val="16"/>
                <w:color w:val="auto"/>
              </w:rPr>
            </w:pPr>
          </w:p>
        </w:tc>
        <w:tc>
          <w:tcPr>
            <w:tcW w:w="132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EFFE7"/>
            </w:tcBorders>
          </w:tcPr>
          <w:p>
            <w:pPr>
              <w:spacing w:after="0"/>
              <w:rPr>
                <w:sz w:val="18"/>
                <w:szCs w:val="18"/>
                <w:color w:val="auto"/>
              </w:rPr>
            </w:pPr>
          </w:p>
        </w:tc>
        <w:tc>
          <w:tcPr>
            <w:tcW w:w="11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Retail</w:t>
            </w:r>
          </w:p>
        </w:tc>
        <w:tc>
          <w:tcPr>
            <w:tcW w:w="3140" w:type="dxa"/>
            <w:vAlign w:val="bottom"/>
            <w:tcBorders>
              <w:top w:val="single" w:sz="8" w:color="CEFFE7"/>
            </w:tcBorders>
          </w:tcPr>
          <w:p>
            <w:pPr>
              <w:spacing w:after="0"/>
              <w:rPr>
                <w:sz w:val="18"/>
                <w:szCs w:val="18"/>
                <w:color w:val="auto"/>
              </w:rPr>
            </w:pPr>
          </w:p>
        </w:tc>
        <w:tc>
          <w:tcPr>
            <w:tcW w:w="22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211,489</w:t>
            </w:r>
          </w:p>
        </w:tc>
        <w:tc>
          <w:tcPr>
            <w:tcW w:w="320" w:type="dxa"/>
            <w:vAlign w:val="bottom"/>
            <w:tcBorders>
              <w:top w:val="single" w:sz="8" w:color="CEFFE7"/>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157,203</w:t>
            </w:r>
          </w:p>
        </w:tc>
        <w:tc>
          <w:tcPr>
            <w:tcW w:w="26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CEFFE7"/>
            </w:tcBorders>
            <w:gridSpan w:val="2"/>
          </w:tcPr>
          <w:p>
            <w:pPr>
              <w:jc w:val="right"/>
              <w:ind w:right="219"/>
              <w:spacing w:after="0"/>
              <w:rPr>
                <w:sz w:val="20"/>
                <w:szCs w:val="20"/>
                <w:color w:val="auto"/>
              </w:rPr>
            </w:pPr>
            <w:r>
              <w:rPr>
                <w:rFonts w:ascii="Arial" w:cs="Arial" w:eastAsia="Arial" w:hAnsi="Arial"/>
                <w:sz w:val="16"/>
                <w:szCs w:val="16"/>
                <w:color w:val="auto"/>
              </w:rPr>
              <w:t>— $</w:t>
            </w:r>
          </w:p>
        </w:tc>
        <w:tc>
          <w:tcPr>
            <w:tcW w:w="132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368,692</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41,006</w:t>
            </w:r>
          </w:p>
        </w:tc>
        <w:tc>
          <w:tcPr>
            <w:tcW w:w="260" w:type="dxa"/>
            <w:vAlign w:val="bottom"/>
            <w:shd w:val="clear" w:color="auto" w:fill="CEFFE7"/>
          </w:tcPr>
          <w:p>
            <w:pPr>
              <w:spacing w:after="0"/>
              <w:rPr>
                <w:sz w:val="18"/>
                <w:szCs w:val="18"/>
                <w:color w:val="auto"/>
              </w:rPr>
            </w:pP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40,907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13,667</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13,667</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16,770</w:t>
            </w:r>
          </w:p>
        </w:tc>
        <w:tc>
          <w:tcPr>
            <w:tcW w:w="32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186</w:t>
            </w:r>
          </w:p>
        </w:tc>
        <w:tc>
          <w:tcPr>
            <w:tcW w:w="260" w:type="dxa"/>
            <w:vAlign w:val="bottom"/>
            <w:shd w:val="clear" w:color="auto" w:fill="CEFFE7"/>
          </w:tcPr>
          <w:p>
            <w:pPr>
              <w:spacing w:after="0"/>
              <w:rPr>
                <w:sz w:val="18"/>
                <w:szCs w:val="18"/>
                <w:color w:val="auto"/>
              </w:rPr>
            </w:pP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16,956</w:t>
            </w:r>
          </w:p>
        </w:tc>
        <w:tc>
          <w:tcPr>
            <w:tcW w:w="0" w:type="dxa"/>
            <w:vAlign w:val="bottom"/>
          </w:tcPr>
          <w:p>
            <w:pPr>
              <w:spacing w:after="0"/>
              <w:rPr>
                <w:sz w:val="1"/>
                <w:szCs w:val="1"/>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15,919</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8,875</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20,646</w:t>
            </w:r>
          </w:p>
        </w:tc>
        <w:tc>
          <w:tcPr>
            <w:tcW w:w="0" w:type="dxa"/>
            <w:vAlign w:val="bottom"/>
          </w:tcPr>
          <w:p>
            <w:pPr>
              <w:spacing w:after="0"/>
              <w:rPr>
                <w:sz w:val="1"/>
                <w:szCs w:val="1"/>
                <w:color w:val="auto"/>
              </w:rPr>
            </w:pPr>
          </w:p>
        </w:tc>
      </w:tr>
      <w:tr>
        <w:trPr>
          <w:trHeight w:val="210"/>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257,845</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207,270</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(4,247)</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460,868</w:t>
            </w:r>
          </w:p>
        </w:tc>
        <w:tc>
          <w:tcPr>
            <w:tcW w:w="0" w:type="dxa"/>
            <w:vAlign w:val="bottom"/>
          </w:tcPr>
          <w:p>
            <w:pPr>
              <w:spacing w:after="0"/>
              <w:rPr>
                <w:sz w:val="1"/>
                <w:szCs w:val="1"/>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235"/>
        </w:trPr>
        <w:tc>
          <w:tcPr>
            <w:tcW w:w="20" w:type="dxa"/>
            <w:vAlign w:val="bottom"/>
            <w:tcBorders>
              <w:bottom w:val="single" w:sz="8" w:color="CEFFE7"/>
            </w:tcBorders>
            <w:shd w:val="clear" w:color="auto" w:fill="CEFFE7"/>
          </w:tcPr>
          <w:p>
            <w:pPr>
              <w:spacing w:after="0"/>
              <w:rPr>
                <w:sz w:val="20"/>
                <w:szCs w:val="20"/>
                <w:color w:val="auto"/>
              </w:rPr>
            </w:pPr>
          </w:p>
        </w:tc>
        <w:tc>
          <w:tcPr>
            <w:tcW w:w="43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258,669</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208,288</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(4,345)</w:t>
            </w:r>
          </w:p>
        </w:tc>
        <w:tc>
          <w:tcPr>
            <w:tcW w:w="40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462,612</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180" w:type="dxa"/>
            <w:vAlign w:val="bottom"/>
            <w:tcBorders>
              <w:top w:val="single" w:sz="8" w:color="CEFFE7"/>
            </w:tcBorders>
          </w:tcPr>
          <w:p>
            <w:pPr>
              <w:spacing w:after="0" w:line="20" w:lineRule="exact"/>
              <w:rPr>
                <w:sz w:val="1"/>
                <w:szCs w:val="1"/>
                <w:color w:val="auto"/>
              </w:rPr>
            </w:pPr>
          </w:p>
        </w:tc>
        <w:tc>
          <w:tcPr>
            <w:tcW w:w="31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7,928</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59"/>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7,928</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249,917</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207,270</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452,940</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257,845</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207,270</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460,868</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-590550</wp:posOffset>
            </wp:positionV>
            <wp:extent cx="711517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-316230</wp:posOffset>
            </wp:positionV>
            <wp:extent cx="711517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6880"/>
          </w:cols>
          <w:pgMar w:left="320" w:top="125" w:right="359" w:bottom="1440" w:gutter="0" w:footer="0" w:header="0"/>
          <w:type w:val="continuous"/>
        </w:sectPr>
      </w:pP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40" w:type="dxa"/>
            <w:vAlign w:val="bottom"/>
            <w:gridSpan w:val="3"/>
            <w:vMerge w:val="restart"/>
          </w:tcPr>
          <w:p>
            <w:pPr>
              <w:ind w:left="20"/>
              <w:spacing w:after="0"/>
              <w:rPr>
                <w:sz w:val="20"/>
                <w:szCs w:val="20"/>
                <w:color w:val="auto"/>
              </w:rPr>
            </w:pPr>
            <w:r>
              <w:rPr>
                <w:rFonts w:ascii="Arial" w:cs="Arial" w:eastAsia="Arial" w:hAnsi="Arial"/>
                <w:sz w:val="16"/>
                <w:szCs w:val="16"/>
                <w:color w:val="auto"/>
              </w:rPr>
              <w:t>Three Months Ended September 30, 2021</w:t>
            </w:r>
          </w:p>
        </w:tc>
        <w:tc>
          <w:tcPr>
            <w:tcW w:w="220" w:type="dxa"/>
            <w:vAlign w:val="bottom"/>
          </w:tcPr>
          <w:p>
            <w:pPr>
              <w:spacing w:after="0"/>
              <w:rPr>
                <w:sz w:val="16"/>
                <w:szCs w:val="16"/>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6"/>
                <w:szCs w:val="16"/>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rPr>
                <w:sz w:val="16"/>
                <w:szCs w:val="16"/>
                <w:color w:val="auto"/>
              </w:rPr>
            </w:pPr>
          </w:p>
        </w:tc>
        <w:tc>
          <w:tcPr>
            <w:tcW w:w="1320" w:type="dxa"/>
            <w:vAlign w:val="bottom"/>
            <w:vMerge w:val="restart"/>
          </w:tcPr>
          <w:p>
            <w:pPr>
              <w:jc w:val="right"/>
              <w:ind w:right="5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40" w:type="dxa"/>
            <w:vAlign w:val="bottom"/>
            <w:gridSpan w:val="3"/>
            <w:shd w:val="clear" w:color="auto" w:fill="CEFFE7"/>
          </w:tcPr>
          <w:p>
            <w:pPr>
              <w:ind w:left="20"/>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shd w:val="clear" w:color="auto" w:fill="CEFFE7"/>
          </w:tcPr>
          <w:p>
            <w:pPr>
              <w:spacing w:after="0"/>
              <w:rPr>
                <w:sz w:val="16"/>
                <w:szCs w:val="16"/>
                <w:color w:val="auto"/>
              </w:rPr>
            </w:pPr>
          </w:p>
        </w:tc>
        <w:tc>
          <w:tcPr>
            <w:tcW w:w="1460" w:type="dxa"/>
            <w:vAlign w:val="bottom"/>
            <w:shd w:val="clear" w:color="auto" w:fill="CEFFE7"/>
          </w:tcPr>
          <w:p>
            <w:pPr>
              <w:spacing w:after="0"/>
              <w:rPr>
                <w:sz w:val="16"/>
                <w:szCs w:val="16"/>
                <w:color w:val="auto"/>
              </w:rPr>
            </w:pPr>
          </w:p>
        </w:tc>
        <w:tc>
          <w:tcPr>
            <w:tcW w:w="300" w:type="dxa"/>
            <w:vAlign w:val="bottom"/>
            <w:shd w:val="clear" w:color="auto" w:fill="CEFFE7"/>
          </w:tcPr>
          <w:p>
            <w:pPr>
              <w:spacing w:after="0"/>
              <w:rPr>
                <w:sz w:val="16"/>
                <w:szCs w:val="16"/>
                <w:color w:val="auto"/>
              </w:rPr>
            </w:pPr>
          </w:p>
        </w:tc>
        <w:tc>
          <w:tcPr>
            <w:tcW w:w="3160" w:type="dxa"/>
            <w:vAlign w:val="bottom"/>
            <w:gridSpan w:val="3"/>
            <w:shd w:val="clear" w:color="auto" w:fill="CEFFE7"/>
          </w:tcPr>
          <w:p>
            <w:pPr>
              <w:jc w:val="right"/>
              <w:ind w:right="1119"/>
              <w:spacing w:after="0" w:line="170" w:lineRule="exact"/>
              <w:rPr>
                <w:sz w:val="20"/>
                <w:szCs w:val="20"/>
                <w:color w:val="auto"/>
              </w:rPr>
            </w:pPr>
            <w:r>
              <w:rPr>
                <w:rFonts w:ascii="Arial" w:cs="Arial" w:eastAsia="Arial" w:hAnsi="Arial"/>
                <w:sz w:val="16"/>
                <w:szCs w:val="16"/>
                <w:color w:val="auto"/>
              </w:rPr>
              <w:t>(in thousands)</w:t>
            </w:r>
          </w:p>
        </w:tc>
        <w:tc>
          <w:tcPr>
            <w:tcW w:w="400" w:type="dxa"/>
            <w:vAlign w:val="bottom"/>
            <w:shd w:val="clear" w:color="auto" w:fill="CEFFE7"/>
          </w:tcPr>
          <w:p>
            <w:pPr>
              <w:spacing w:after="0"/>
              <w:rPr>
                <w:sz w:val="16"/>
                <w:szCs w:val="16"/>
                <w:color w:val="auto"/>
              </w:rPr>
            </w:pPr>
          </w:p>
        </w:tc>
        <w:tc>
          <w:tcPr>
            <w:tcW w:w="132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EFFE7"/>
            </w:tcBorders>
          </w:tcPr>
          <w:p>
            <w:pPr>
              <w:spacing w:after="0"/>
              <w:rPr>
                <w:sz w:val="18"/>
                <w:szCs w:val="18"/>
                <w:color w:val="auto"/>
              </w:rPr>
            </w:pPr>
          </w:p>
        </w:tc>
        <w:tc>
          <w:tcPr>
            <w:tcW w:w="12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Retail</w:t>
            </w:r>
          </w:p>
        </w:tc>
        <w:tc>
          <w:tcPr>
            <w:tcW w:w="3100" w:type="dxa"/>
            <w:vAlign w:val="bottom"/>
            <w:tcBorders>
              <w:top w:val="single" w:sz="8" w:color="CEFFE7"/>
            </w:tcBorders>
          </w:tcPr>
          <w:p>
            <w:pPr>
              <w:spacing w:after="0"/>
              <w:rPr>
                <w:sz w:val="18"/>
                <w:szCs w:val="18"/>
                <w:color w:val="auto"/>
              </w:rPr>
            </w:pPr>
          </w:p>
        </w:tc>
        <w:tc>
          <w:tcPr>
            <w:tcW w:w="22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185,892</w:t>
            </w:r>
          </w:p>
        </w:tc>
        <w:tc>
          <w:tcPr>
            <w:tcW w:w="300" w:type="dxa"/>
            <w:vAlign w:val="bottom"/>
            <w:tcBorders>
              <w:top w:val="single" w:sz="8" w:color="CEFFE7"/>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115,908</w:t>
            </w:r>
          </w:p>
        </w:tc>
        <w:tc>
          <w:tcPr>
            <w:tcW w:w="26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CEFFE7"/>
            </w:tcBorders>
            <w:gridSpan w:val="2"/>
          </w:tcPr>
          <w:p>
            <w:pPr>
              <w:jc w:val="right"/>
              <w:ind w:right="199"/>
              <w:spacing w:after="0"/>
              <w:rPr>
                <w:sz w:val="20"/>
                <w:szCs w:val="20"/>
                <w:color w:val="auto"/>
              </w:rPr>
            </w:pPr>
            <w:r>
              <w:rPr>
                <w:rFonts w:ascii="Arial" w:cs="Arial" w:eastAsia="Arial" w:hAnsi="Arial"/>
                <w:sz w:val="16"/>
                <w:szCs w:val="16"/>
                <w:color w:val="auto"/>
              </w:rPr>
              <w:t>— $</w:t>
            </w:r>
          </w:p>
        </w:tc>
        <w:tc>
          <w:tcPr>
            <w:tcW w:w="132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301,800</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37,651</w:t>
            </w:r>
          </w:p>
        </w:tc>
        <w:tc>
          <w:tcPr>
            <w:tcW w:w="2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37,541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7,247</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7,247</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13,511</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w:t>
            </w:r>
          </w:p>
        </w:tc>
        <w:tc>
          <w:tcPr>
            <w:tcW w:w="2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13,586</w:t>
            </w:r>
          </w:p>
        </w:tc>
        <w:tc>
          <w:tcPr>
            <w:tcW w:w="0" w:type="dxa"/>
            <w:vAlign w:val="bottom"/>
          </w:tcPr>
          <w:p>
            <w:pPr>
              <w:spacing w:after="0"/>
              <w:rPr>
                <w:sz w:val="1"/>
                <w:szCs w:val="1"/>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12,904</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9,863</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18,479</w:t>
            </w:r>
          </w:p>
        </w:tc>
        <w:tc>
          <w:tcPr>
            <w:tcW w:w="0" w:type="dxa"/>
            <w:vAlign w:val="bottom"/>
          </w:tcPr>
          <w:p>
            <w:pPr>
              <w:spacing w:after="0"/>
              <w:rPr>
                <w:sz w:val="1"/>
                <w:szCs w:val="1"/>
                <w:color w:val="auto"/>
              </w:rPr>
            </w:pPr>
          </w:p>
        </w:tc>
      </w:tr>
      <w:tr>
        <w:trPr>
          <w:trHeight w:val="210"/>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219,554</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163,497</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(4,398)</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378,653</w:t>
            </w:r>
          </w:p>
        </w:tc>
        <w:tc>
          <w:tcPr>
            <w:tcW w:w="0" w:type="dxa"/>
            <w:vAlign w:val="bottom"/>
          </w:tcPr>
          <w:p>
            <w:pPr>
              <w:spacing w:after="0"/>
              <w:rPr>
                <w:sz w:val="1"/>
                <w:szCs w:val="1"/>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35"/>
        </w:trPr>
        <w:tc>
          <w:tcPr>
            <w:tcW w:w="43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220,404</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164,683</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(4,497)</w:t>
            </w:r>
          </w:p>
        </w:tc>
        <w:tc>
          <w:tcPr>
            <w:tcW w:w="40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380,590</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220" w:type="dxa"/>
            <w:vAlign w:val="bottom"/>
            <w:tcBorders>
              <w:top w:val="single" w:sz="8" w:color="CEFFE7"/>
            </w:tcBorders>
          </w:tcPr>
          <w:p>
            <w:pPr>
              <w:spacing w:after="0" w:line="20" w:lineRule="exact"/>
              <w:rPr>
                <w:sz w:val="1"/>
                <w:szCs w:val="1"/>
                <w:color w:val="auto"/>
              </w:rPr>
            </w:pPr>
          </w:p>
        </w:tc>
        <w:tc>
          <w:tcPr>
            <w:tcW w:w="310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42" w:lineRule="exact"/>
        <w:rPr>
          <w:sz w:val="20"/>
          <w:szCs w:val="20"/>
          <w:color w:val="auto"/>
        </w:rPr>
      </w:pPr>
    </w:p>
    <w:p>
      <w:pPr>
        <w:ind w:left="160" w:right="800" w:hanging="121"/>
        <w:spacing w:after="0" w:line="299" w:lineRule="auto"/>
        <w:rPr>
          <w:sz w:val="20"/>
          <w:szCs w:val="20"/>
          <w:color w:val="auto"/>
        </w:rPr>
      </w:pPr>
      <w:r>
        <w:rPr>
          <w:rFonts w:ascii="Arial" w:cs="Arial" w:eastAsia="Arial" w:hAnsi="Arial"/>
          <w:sz w:val="16"/>
          <w:szCs w:val="16"/>
          <w:u w:val="single" w:color="auto"/>
          <w:color w:val="auto"/>
        </w:rPr>
        <w:t xml:space="preserve">Timing of Revenue Recognition: </w:t>
      </w:r>
      <w:r>
        <w:rPr>
          <w:rFonts w:ascii="Arial" w:cs="Arial" w:eastAsia="Arial" w:hAnsi="Arial"/>
          <w:sz w:val="16"/>
          <w:szCs w:val="16"/>
          <w:color w:val="auto"/>
        </w:rPr>
        <w:t>Services transferred at a point in time Services transferred over time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6,968</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59"/>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6,968</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212,586</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163,497</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(4,398)</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371,685</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219,554</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163,497</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(4,398)</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378,653</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-591185</wp:posOffset>
            </wp:positionV>
            <wp:extent cx="711517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-316865</wp:posOffset>
            </wp:positionV>
            <wp:extent cx="71151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60"/>
          </w:cols>
          <w:pgMar w:left="320" w:top="125" w:right="359" w:bottom="1440" w:gutter="0" w:footer="0" w:header="0"/>
          <w:type w:val="continuous"/>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436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vMerge w:val="restart"/>
          </w:tcPr>
          <w:p>
            <w:pPr>
              <w:jc w:val="right"/>
              <w:ind w:right="25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0" w:type="dxa"/>
            <w:vAlign w:val="bottom"/>
          </w:tcPr>
          <w:p>
            <w:pPr>
              <w:spacing w:after="0"/>
              <w:rPr>
                <w:sz w:val="24"/>
                <w:szCs w:val="24"/>
                <w:color w:val="auto"/>
              </w:rPr>
            </w:pPr>
          </w:p>
        </w:tc>
        <w:tc>
          <w:tcPr>
            <w:tcW w:w="4320" w:type="dxa"/>
            <w:vAlign w:val="bottom"/>
            <w:gridSpan w:val="3"/>
            <w:vMerge w:val="restart"/>
          </w:tcPr>
          <w:p>
            <w:pPr>
              <w:spacing w:after="0"/>
              <w:rPr>
                <w:sz w:val="20"/>
                <w:szCs w:val="20"/>
                <w:color w:val="auto"/>
              </w:rPr>
            </w:pPr>
            <w:r>
              <w:rPr>
                <w:rFonts w:ascii="Arial" w:cs="Arial" w:eastAsia="Arial" w:hAnsi="Arial"/>
                <w:sz w:val="16"/>
                <w:szCs w:val="16"/>
                <w:color w:val="auto"/>
              </w:rPr>
              <w:t>Nine Months Ended September 30, 2022</w:t>
            </w:r>
          </w:p>
        </w:tc>
        <w:tc>
          <w:tcPr>
            <w:tcW w:w="220" w:type="dxa"/>
            <w:vAlign w:val="bottom"/>
          </w:tcPr>
          <w:p>
            <w:pPr>
              <w:spacing w:after="0"/>
              <w:rPr>
                <w:sz w:val="24"/>
                <w:szCs w:val="24"/>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24"/>
                <w:szCs w:val="24"/>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right"/>
              <w:ind w:right="5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2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320" w:type="dxa"/>
            <w:vAlign w:val="bottom"/>
            <w:gridSpan w:val="3"/>
          </w:tcPr>
          <w:p>
            <w:pPr>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3"/>
          </w:tcPr>
          <w:p>
            <w:pPr>
              <w:jc w:val="right"/>
              <w:ind w:right="1119"/>
              <w:spacing w:after="0" w:line="170" w:lineRule="exact"/>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553,327</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947,290</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1,500,617</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125,196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(298)</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124,898</w:t>
            </w:r>
          </w:p>
        </w:tc>
        <w:tc>
          <w:tcPr>
            <w:tcW w:w="0" w:type="dxa"/>
            <w:vAlign w:val="bottom"/>
          </w:tcPr>
          <w:p>
            <w:pPr>
              <w:spacing w:after="0"/>
              <w:rPr>
                <w:sz w:val="1"/>
                <w:szCs w:val="1"/>
                <w:color w:val="auto"/>
              </w:rPr>
            </w:pPr>
          </w:p>
        </w:tc>
      </w:tr>
      <w:tr>
        <w:trPr>
          <w:trHeight w:val="217"/>
        </w:trPr>
        <w:tc>
          <w:tcPr>
            <w:tcW w:w="40" w:type="dxa"/>
            <w:vAlign w:val="bottom"/>
            <w:tcBorders>
              <w:right w:val="single" w:sz="8" w:color="CEFFE7"/>
            </w:tcBorders>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32,370</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8"/>
                <w:szCs w:val="18"/>
                <w:color w:val="auto"/>
              </w:rPr>
            </w:pP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32,370</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32,590</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33,192</w:t>
            </w:r>
          </w:p>
        </w:tc>
        <w:tc>
          <w:tcPr>
            <w:tcW w:w="0" w:type="dxa"/>
            <w:vAlign w:val="bottom"/>
          </w:tcPr>
          <w:p>
            <w:pPr>
              <w:spacing w:after="0"/>
              <w:rPr>
                <w:sz w:val="1"/>
                <w:szCs w:val="1"/>
                <w:color w:val="auto"/>
              </w:rPr>
            </w:pPr>
          </w:p>
        </w:tc>
      </w:tr>
      <w:tr>
        <w:trPr>
          <w:trHeight w:val="217"/>
        </w:trPr>
        <w:tc>
          <w:tcPr>
            <w:tcW w:w="40" w:type="dxa"/>
            <w:vAlign w:val="bottom"/>
            <w:tcBorders>
              <w:right w:val="single" w:sz="8" w:color="CEFFE7"/>
            </w:tcBorders>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46,535</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27,794</w:t>
            </w:r>
          </w:p>
        </w:tc>
        <w:tc>
          <w:tcPr>
            <w:tcW w:w="240" w:type="dxa"/>
            <w:vAlign w:val="bottom"/>
            <w:tcBorders>
              <w:bottom w:val="single" w:sz="8" w:color="auto"/>
            </w:tcBorders>
            <w:shd w:val="clear" w:color="auto" w:fill="CEFFE7"/>
          </w:tcPr>
          <w:p>
            <w:pPr>
              <w:spacing w:after="0"/>
              <w:rPr>
                <w:sz w:val="18"/>
                <w:szCs w:val="18"/>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(12,445)</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61,884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664,822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1,100,882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(12,743)</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1,752,961</w:t>
            </w:r>
          </w:p>
        </w:tc>
        <w:tc>
          <w:tcPr>
            <w:tcW w:w="0" w:type="dxa"/>
            <w:vAlign w:val="bottom"/>
          </w:tcPr>
          <w:p>
            <w:pPr>
              <w:spacing w:after="0"/>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4,764</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2,967</w:t>
            </w:r>
          </w:p>
        </w:tc>
        <w:tc>
          <w:tcPr>
            <w:tcW w:w="240" w:type="dxa"/>
            <w:vAlign w:val="bottom"/>
            <w:tcBorders>
              <w:bottom w:val="single" w:sz="8" w:color="auto"/>
            </w:tcBorders>
            <w:shd w:val="clear" w:color="auto" w:fill="CEFFE7"/>
          </w:tcPr>
          <w:p>
            <w:pPr>
              <w:spacing w:after="0"/>
              <w:rPr>
                <w:sz w:val="18"/>
                <w:szCs w:val="18"/>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(315)</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7,416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669,586</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1,103,849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(13,058)</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1,760,377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40" w:type="dxa"/>
            <w:vAlign w:val="bottom"/>
            <w:tcBorders>
              <w:bottom w:val="single" w:sz="8" w:color="CEFFE7"/>
            </w:tcBorders>
          </w:tcPr>
          <w:p>
            <w:pPr>
              <w:spacing w:after="0" w:line="20" w:lineRule="exact"/>
              <w:rPr>
                <w:sz w:val="1"/>
                <w:szCs w:val="1"/>
                <w:color w:val="auto"/>
              </w:rPr>
            </w:pPr>
          </w:p>
        </w:tc>
        <w:tc>
          <w:tcPr>
            <w:tcW w:w="300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Borders>
              <w:right w:val="single" w:sz="8" w:color="CEFFE7"/>
            </w:tcBorders>
          </w:tcPr>
          <w:p>
            <w:pPr>
              <w:spacing w:after="0"/>
              <w:rPr>
                <w:sz w:val="10"/>
                <w:szCs w:val="10"/>
                <w:color w:val="auto"/>
              </w:rPr>
            </w:pPr>
          </w:p>
        </w:tc>
        <w:tc>
          <w:tcPr>
            <w:tcW w:w="1180" w:type="dxa"/>
            <w:vAlign w:val="bottom"/>
            <w:shd w:val="clear" w:color="auto" w:fill="CEFFE7"/>
          </w:tcPr>
          <w:p>
            <w:pPr>
              <w:spacing w:after="0"/>
              <w:rPr>
                <w:sz w:val="10"/>
                <w:szCs w:val="10"/>
                <w:color w:val="auto"/>
              </w:rPr>
            </w:pPr>
          </w:p>
        </w:tc>
        <w:tc>
          <w:tcPr>
            <w:tcW w:w="140" w:type="dxa"/>
            <w:vAlign w:val="bottom"/>
            <w:shd w:val="clear" w:color="auto" w:fill="CEFFE7"/>
          </w:tcPr>
          <w:p>
            <w:pPr>
              <w:spacing w:after="0"/>
              <w:rPr>
                <w:sz w:val="10"/>
                <w:szCs w:val="10"/>
                <w:color w:val="auto"/>
              </w:rPr>
            </w:pPr>
          </w:p>
        </w:tc>
        <w:tc>
          <w:tcPr>
            <w:tcW w:w="30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146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142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1500" w:type="dxa"/>
            <w:vAlign w:val="bottom"/>
            <w:shd w:val="clear" w:color="auto" w:fill="CEFFE7"/>
          </w:tcPr>
          <w:p>
            <w:pPr>
              <w:spacing w:after="0"/>
              <w:rPr>
                <w:sz w:val="10"/>
                <w:szCs w:val="10"/>
                <w:color w:val="auto"/>
              </w:rPr>
            </w:pPr>
          </w:p>
        </w:tc>
        <w:tc>
          <w:tcPr>
            <w:tcW w:w="400" w:type="dxa"/>
            <w:vAlign w:val="bottom"/>
            <w:shd w:val="clear" w:color="auto" w:fill="CEFFE7"/>
          </w:tcPr>
          <w:p>
            <w:pPr>
              <w:spacing w:after="0"/>
              <w:rPr>
                <w:sz w:val="10"/>
                <w:szCs w:val="10"/>
                <w:color w:val="auto"/>
              </w:rPr>
            </w:pPr>
          </w:p>
        </w:tc>
        <w:tc>
          <w:tcPr>
            <w:tcW w:w="132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21,712</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640" w:type="dxa"/>
            <w:vAlign w:val="bottom"/>
            <w:gridSpan w:val="2"/>
          </w:tcPr>
          <w:p>
            <w:pPr>
              <w:jc w:val="right"/>
              <w:ind w:right="339"/>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21,712</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643,110</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1,100,882</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(12,743)</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1,731,249</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664,822</w:t>
            </w:r>
          </w:p>
        </w:tc>
        <w:tc>
          <w:tcPr>
            <w:tcW w:w="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1,100,882</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(12,743)</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1,752,961</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-453390</wp:posOffset>
            </wp:positionV>
            <wp:extent cx="71151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-179070</wp:posOffset>
            </wp:positionV>
            <wp:extent cx="71151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118" w:right="339" w:bottom="1440" w:gutter="0" w:footer="0" w:header="0"/>
          <w:type w:val="continuous"/>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40" w:type="dxa"/>
            <w:vAlign w:val="bottom"/>
            <w:gridSpan w:val="2"/>
            <w:vMerge w:val="restart"/>
          </w:tcPr>
          <w:p>
            <w:pPr>
              <w:spacing w:after="0"/>
              <w:rPr>
                <w:sz w:val="20"/>
                <w:szCs w:val="20"/>
                <w:color w:val="auto"/>
              </w:rPr>
            </w:pPr>
            <w:r>
              <w:rPr>
                <w:rFonts w:ascii="Arial" w:cs="Arial" w:eastAsia="Arial" w:hAnsi="Arial"/>
                <w:sz w:val="16"/>
                <w:szCs w:val="16"/>
                <w:color w:val="auto"/>
              </w:rPr>
              <w:t>Nine Months Ended September 30, 2021</w:t>
            </w:r>
          </w:p>
        </w:tc>
        <w:tc>
          <w:tcPr>
            <w:tcW w:w="220" w:type="dxa"/>
            <w:vAlign w:val="bottom"/>
          </w:tcPr>
          <w:p>
            <w:pPr>
              <w:spacing w:after="0"/>
              <w:rPr>
                <w:sz w:val="16"/>
                <w:szCs w:val="16"/>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6"/>
                <w:szCs w:val="16"/>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20" w:type="dxa"/>
            <w:vAlign w:val="bottom"/>
          </w:tcPr>
          <w:p>
            <w:pPr>
              <w:spacing w:after="0"/>
              <w:rPr>
                <w:sz w:val="16"/>
                <w:szCs w:val="16"/>
                <w:color w:val="auto"/>
              </w:rPr>
            </w:pPr>
          </w:p>
        </w:tc>
        <w:tc>
          <w:tcPr>
            <w:tcW w:w="1320" w:type="dxa"/>
            <w:vAlign w:val="bottom"/>
            <w:vMerge w:val="restart"/>
          </w:tcPr>
          <w:p>
            <w:pPr>
              <w:jc w:val="right"/>
              <w:ind w:right="6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40" w:type="dxa"/>
            <w:vAlign w:val="bottom"/>
            <w:gridSpan w:val="2"/>
          </w:tcPr>
          <w:p>
            <w:pPr>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3"/>
          </w:tcPr>
          <w:p>
            <w:pPr>
              <w:jc w:val="right"/>
              <w:ind w:right="1099"/>
              <w:spacing w:after="0" w:line="170" w:lineRule="exact"/>
              <w:rPr>
                <w:sz w:val="20"/>
                <w:szCs w:val="20"/>
                <w:color w:val="auto"/>
              </w:rPr>
            </w:pPr>
            <w:r>
              <w:rPr>
                <w:rFonts w:ascii="Arial" w:cs="Arial" w:eastAsia="Arial" w:hAnsi="Arial"/>
                <w:sz w:val="16"/>
                <w:szCs w:val="16"/>
                <w:color w:val="auto"/>
              </w:rPr>
              <w:t>(in thousands)</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554,143</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601,358</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1,155,501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117,251</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(329)</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116,922</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24,261</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24,261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25,549</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235</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25,784</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38,315</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29,378</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(12,868)</w:t>
            </w:r>
          </w:p>
        </w:tc>
        <w:tc>
          <w:tcPr>
            <w:tcW w:w="4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54,825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642,268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748,222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(13,197)</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1,377,293</w:t>
            </w:r>
          </w:p>
        </w:tc>
        <w:tc>
          <w:tcPr>
            <w:tcW w:w="0" w:type="dxa"/>
            <w:vAlign w:val="bottom"/>
          </w:tcPr>
          <w:p>
            <w:pPr>
              <w:spacing w:after="0"/>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4,556</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5,030</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(285)</w:t>
            </w:r>
          </w:p>
        </w:tc>
        <w:tc>
          <w:tcPr>
            <w:tcW w:w="4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646,824</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753,252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(13,482)</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1,386,594</w:t>
            </w:r>
          </w:p>
        </w:tc>
        <w:tc>
          <w:tcPr>
            <w:tcW w:w="0" w:type="dxa"/>
            <w:vAlign w:val="bottom"/>
          </w:tcPr>
          <w:p>
            <w:pPr>
              <w:spacing w:after="0"/>
              <w:rPr>
                <w:sz w:val="1"/>
                <w:szCs w:val="1"/>
                <w:color w:val="auto"/>
              </w:rPr>
            </w:pP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240" w:type="dxa"/>
            <w:vAlign w:val="bottom"/>
            <w:tcBorders>
              <w:bottom w:val="single" w:sz="8" w:color="CEFFE7"/>
            </w:tcBorders>
          </w:tcPr>
          <w:p>
            <w:pPr>
              <w:spacing w:after="0" w:line="20" w:lineRule="exact"/>
              <w:rPr>
                <w:sz w:val="1"/>
                <w:szCs w:val="1"/>
                <w:color w:val="auto"/>
              </w:rPr>
            </w:pPr>
          </w:p>
        </w:tc>
        <w:tc>
          <w:tcPr>
            <w:tcW w:w="310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EFFE7"/>
          </w:tcPr>
          <w:p>
            <w:pPr>
              <w:spacing w:after="0"/>
              <w:rPr>
                <w:sz w:val="10"/>
                <w:szCs w:val="10"/>
                <w:color w:val="auto"/>
              </w:rPr>
            </w:pPr>
          </w:p>
        </w:tc>
        <w:tc>
          <w:tcPr>
            <w:tcW w:w="1240" w:type="dxa"/>
            <w:vAlign w:val="bottom"/>
            <w:shd w:val="clear" w:color="auto" w:fill="CEFFE7"/>
          </w:tcPr>
          <w:p>
            <w:pPr>
              <w:spacing w:after="0"/>
              <w:rPr>
                <w:sz w:val="10"/>
                <w:szCs w:val="10"/>
                <w:color w:val="auto"/>
              </w:rPr>
            </w:pPr>
          </w:p>
        </w:tc>
        <w:tc>
          <w:tcPr>
            <w:tcW w:w="31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146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142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1480" w:type="dxa"/>
            <w:vAlign w:val="bottom"/>
            <w:shd w:val="clear" w:color="auto" w:fill="CEFFE7"/>
          </w:tcPr>
          <w:p>
            <w:pPr>
              <w:spacing w:after="0"/>
              <w:rPr>
                <w:sz w:val="10"/>
                <w:szCs w:val="10"/>
                <w:color w:val="auto"/>
              </w:rPr>
            </w:pPr>
          </w:p>
        </w:tc>
        <w:tc>
          <w:tcPr>
            <w:tcW w:w="420" w:type="dxa"/>
            <w:vAlign w:val="bottom"/>
            <w:shd w:val="clear" w:color="auto" w:fill="CEFFE7"/>
          </w:tcPr>
          <w:p>
            <w:pPr>
              <w:spacing w:after="0"/>
              <w:rPr>
                <w:sz w:val="10"/>
                <w:szCs w:val="10"/>
                <w:color w:val="auto"/>
              </w:rPr>
            </w:pPr>
          </w:p>
        </w:tc>
        <w:tc>
          <w:tcPr>
            <w:tcW w:w="132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ind w:left="140" w:right="800" w:hanging="120"/>
        <w:spacing w:after="0" w:line="299" w:lineRule="auto"/>
        <w:rPr>
          <w:sz w:val="20"/>
          <w:szCs w:val="20"/>
          <w:color w:val="auto"/>
        </w:rPr>
      </w:pPr>
      <w:r>
        <w:rPr>
          <w:rFonts w:ascii="Arial" w:cs="Arial" w:eastAsia="Arial" w:hAnsi="Arial"/>
          <w:sz w:val="16"/>
          <w:szCs w:val="16"/>
          <w:u w:val="single" w:color="auto"/>
          <w:color w:val="auto"/>
        </w:rPr>
        <w:t xml:space="preserve">Timing of Revenue Recognition: </w:t>
      </w:r>
      <w:r>
        <w:rPr>
          <w:rFonts w:ascii="Arial" w:cs="Arial" w:eastAsia="Arial" w:hAnsi="Arial"/>
          <w:sz w:val="16"/>
          <w:szCs w:val="16"/>
          <w:color w:val="auto"/>
        </w:rPr>
        <w:t>Services transferred at a point in time Services transferred over time</w:t>
      </w: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20,658</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339"/>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20,658</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621,610</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748,222</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(13,197)</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1,356,635</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642,268</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748,222</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(13,197)</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1,377,293</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-453390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-179705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118" w:right="3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10000" w:firstLine="8"/>
        <w:spacing w:after="0" w:line="554" w:lineRule="auto"/>
        <w:tabs>
          <w:tab w:leader="none" w:pos="37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had the following Notes payable outstanding in the accompanying Condensed Consolidated Balance Sheets (in thousands) as of:</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September 30, 2022</w:t>
            </w: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319"/>
              <w:spacing w:after="0" w:line="157" w:lineRule="exact"/>
              <w:rPr>
                <w:sz w:val="20"/>
                <w:szCs w:val="20"/>
                <w:color w:val="auto"/>
              </w:rPr>
            </w:pPr>
            <w:r>
              <w:rPr>
                <w:rFonts w:ascii="Arial" w:cs="Arial" w:eastAsia="Arial" w:hAnsi="Arial"/>
                <w:sz w:val="16"/>
                <w:szCs w:val="16"/>
                <w:color w:val="auto"/>
              </w:rPr>
              <w:t>Balance</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200" w:type="dxa"/>
            <w:vAlign w:val="bottom"/>
          </w:tcPr>
          <w:p>
            <w:pPr>
              <w:spacing w:after="0"/>
              <w:rPr>
                <w:sz w:val="13"/>
                <w:szCs w:val="13"/>
                <w:color w:val="auto"/>
              </w:rPr>
            </w:pPr>
          </w:p>
        </w:tc>
        <w:tc>
          <w:tcPr>
            <w:tcW w:w="1220" w:type="dxa"/>
            <w:vAlign w:val="bottom"/>
          </w:tcPr>
          <w:p>
            <w:pPr>
              <w:jc w:val="right"/>
              <w:ind w:right="319"/>
              <w:spacing w:after="0" w:line="157" w:lineRule="exact"/>
              <w:rPr>
                <w:sz w:val="20"/>
                <w:szCs w:val="20"/>
                <w:color w:val="auto"/>
              </w:rPr>
            </w:pPr>
            <w:r>
              <w:rPr>
                <w:rFonts w:ascii="Arial" w:cs="Arial" w:eastAsia="Arial" w:hAnsi="Arial"/>
                <w:sz w:val="16"/>
                <w:szCs w:val="16"/>
                <w:color w:val="auto"/>
              </w:rPr>
              <w:t>Balance</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Outstanding</w:t>
            </w:r>
          </w:p>
        </w:tc>
        <w:tc>
          <w:tcPr>
            <w:tcW w:w="146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Outstanding</w:t>
            </w:r>
          </w:p>
        </w:tc>
        <w:tc>
          <w:tcPr>
            <w:tcW w:w="14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ind w:right="6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20,193</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27,209</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CP Program</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501,350</w:t>
            </w: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420,180</w:t>
            </w: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46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 Notes payable</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501,350</w:t>
            </w:r>
          </w:p>
        </w:tc>
        <w:tc>
          <w:tcPr>
            <w:tcW w:w="840" w:type="dxa"/>
            <w:vAlign w:val="bottom"/>
            <w:tcBorders>
              <w:bottom w:val="single" w:sz="8" w:color="auto"/>
            </w:tcBorders>
            <w:shd w:val="clear" w:color="auto" w:fill="CEFFE7"/>
          </w:tcPr>
          <w:p>
            <w:pPr>
              <w:jc w:val="right"/>
              <w:ind w:right="6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20,193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420,180</w:t>
            </w:r>
          </w:p>
        </w:tc>
        <w:tc>
          <w:tcPr>
            <w:tcW w:w="82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27,209</w:t>
            </w:r>
          </w:p>
        </w:tc>
        <w:tc>
          <w:tcPr>
            <w:tcW w:w="0" w:type="dxa"/>
            <w:vAlign w:val="bottom"/>
          </w:tcPr>
          <w:p>
            <w:pPr>
              <w:spacing w:after="0"/>
              <w:rPr>
                <w:sz w:val="1"/>
                <w:szCs w:val="1"/>
                <w:color w:val="auto"/>
              </w:rPr>
            </w:pPr>
          </w:p>
        </w:tc>
      </w:tr>
      <w:tr>
        <w:trPr>
          <w:trHeight w:val="20"/>
        </w:trPr>
        <w:tc>
          <w:tcPr>
            <w:tcW w:w="54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 Letters of credit are off-balance sheet commitments that reduce the borrowing capacity available on our corporate Revolving Credit Facility.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net short-term borrowings related to our Revolving Credit Facility and CP Program during the nine months ended September 30, 2022 were $81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on short-term borrowings related to our Revolving Credit Facility and CP Program at September 30, 2022 was 3.35%.</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26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Under our Revolving Credit Facility, we are required to maintain a Consolidated Indebtedness to Capitalization Ratio not to exceed 0.65 to 1.00. Subject to applicable cure periods, a violation of any of these covenants would constitute an event of default that entitles the lenders to terminate their remaining commitments and accelerate all principal and interest outstanding.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20"/>
                <w:szCs w:val="20"/>
                <w:color w:val="auto"/>
              </w:rPr>
            </w:pPr>
            <w:r>
              <w:rPr>
                <w:rFonts w:ascii="Arial" w:cs="Arial" w:eastAsia="Arial" w:hAnsi="Arial"/>
                <w:sz w:val="16"/>
                <w:szCs w:val="16"/>
                <w:color w:val="auto"/>
              </w:rPr>
              <w:t>We were in compliance with our covenants at September 30, 2022 as shown below:</w:t>
            </w:r>
          </w:p>
        </w:tc>
        <w:tc>
          <w:tcPr>
            <w:tcW w:w="2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4"/>
        </w:trPr>
        <w:tc>
          <w:tcPr>
            <w:tcW w:w="6180" w:type="dxa"/>
            <w:vAlign w:val="bottom"/>
            <w:tcBorders>
              <w:bottom w:val="single" w:sz="8" w:color="CEFFE7"/>
            </w:tcBorders>
          </w:tcPr>
          <w:p>
            <w:pPr>
              <w:spacing w:after="0"/>
              <w:rPr>
                <w:sz w:val="24"/>
                <w:szCs w:val="2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As of September 30, 2022</w:t>
            </w:r>
          </w:p>
        </w:tc>
        <w:tc>
          <w:tcPr>
            <w:tcW w:w="24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Covenant Requirement</w:t>
            </w:r>
          </w:p>
        </w:tc>
      </w:tr>
      <w:tr>
        <w:trPr>
          <w:trHeight w:val="210"/>
        </w:trPr>
        <w:tc>
          <w:tcPr>
            <w:tcW w:w="61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2640" w:type="dxa"/>
            <w:vAlign w:val="bottom"/>
            <w:shd w:val="clear" w:color="auto" w:fill="CEFFE7"/>
          </w:tcPr>
          <w:p>
            <w:pPr>
              <w:jc w:val="right"/>
              <w:ind w:right="1039"/>
              <w:spacing w:after="0"/>
              <w:rPr>
                <w:sz w:val="20"/>
                <w:szCs w:val="20"/>
                <w:color w:val="auto"/>
              </w:rPr>
            </w:pPr>
            <w:r>
              <w:rPr>
                <w:rFonts w:ascii="Arial" w:cs="Arial" w:eastAsia="Arial" w:hAnsi="Arial"/>
                <w:sz w:val="16"/>
                <w:szCs w:val="16"/>
                <w:color w:val="auto"/>
              </w:rPr>
              <w:t>61.7%</w:t>
            </w:r>
          </w:p>
        </w:tc>
        <w:tc>
          <w:tcPr>
            <w:tcW w:w="1400" w:type="dxa"/>
            <w:vAlign w:val="bottom"/>
            <w:shd w:val="clear" w:color="auto" w:fill="CEFFE7"/>
          </w:tcPr>
          <w:p>
            <w:pPr>
              <w:ind w:left="460"/>
              <w:spacing w:after="0"/>
              <w:rPr>
                <w:sz w:val="20"/>
                <w:szCs w:val="20"/>
                <w:color w:val="auto"/>
              </w:rPr>
            </w:pPr>
            <w:r>
              <w:rPr>
                <w:rFonts w:ascii="Arial" w:cs="Arial" w:eastAsia="Arial" w:hAnsi="Arial"/>
                <w:sz w:val="16"/>
                <w:szCs w:val="16"/>
                <w:color w:val="auto"/>
              </w:rPr>
              <w:t>Less than</w:t>
            </w:r>
          </w:p>
        </w:tc>
        <w:tc>
          <w:tcPr>
            <w:tcW w:w="10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65%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Wyoming Electric’s debt to capitalization ratio was 49%, which was in compliance with these financial covenants.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2022, we did not issue any shares of common stock under the ATM. During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we issued a total of 0.3 million shares of common stock under the ATM for proceeds of $20 million, net of $0.2 million in issuance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costs. During the three months ended September 30, 2021, we issued a total of 0.3 million shares of common stock under the ATM for proceeds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$23 million, net of $0.2 million in issuance costs. During the nine months ended September 30, 2021, we issued a total of 0.9 million shares of common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stock under the ATM for proceeds of $63 million, net of $0.6 million in issuance costs.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3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 reconciliation of share amounts used to compute earnings per share in the accompanying Condensed Consolidated Statements of Income was as follows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spacing w:after="0"/>
              <w:rPr>
                <w:sz w:val="20"/>
                <w:szCs w:val="20"/>
                <w:color w:val="auto"/>
              </w:rPr>
            </w:pPr>
            <w:r>
              <w:rPr>
                <w:rFonts w:ascii="Arial" w:cs="Arial" w:eastAsia="Arial" w:hAnsi="Arial"/>
                <w:sz w:val="16"/>
                <w:szCs w:val="16"/>
                <w:color w:val="auto"/>
              </w:rPr>
              <w:t>Three Months Ended September 30,</w:t>
            </w:r>
          </w:p>
        </w:tc>
        <w:tc>
          <w:tcPr>
            <w:tcW w:w="140" w:type="dxa"/>
            <w:vAlign w:val="bottom"/>
          </w:tcPr>
          <w:p>
            <w:pPr>
              <w:spacing w:after="0"/>
              <w:rPr>
                <w:sz w:val="18"/>
                <w:szCs w:val="18"/>
                <w:color w:val="auto"/>
              </w:rPr>
            </w:pPr>
          </w:p>
        </w:tc>
        <w:tc>
          <w:tcPr>
            <w:tcW w:w="2740" w:type="dxa"/>
            <w:vAlign w:val="bottom"/>
            <w:gridSpan w:val="3"/>
          </w:tcPr>
          <w:p>
            <w:pPr>
              <w:jc w:val="right"/>
              <w:ind w:right="99"/>
              <w:spacing w:after="0"/>
              <w:rPr>
                <w:sz w:val="20"/>
                <w:szCs w:val="20"/>
                <w:color w:val="auto"/>
              </w:rPr>
            </w:pPr>
            <w:r>
              <w:rPr>
                <w:rFonts w:ascii="Arial" w:cs="Arial" w:eastAsia="Arial" w:hAnsi="Arial"/>
                <w:sz w:val="16"/>
                <w:szCs w:val="16"/>
                <w:color w:val="auto"/>
              </w:rPr>
              <w:t>Nine Months Ended September 30,</w:t>
            </w:r>
          </w:p>
        </w:tc>
      </w:tr>
      <w:tr>
        <w:trPr>
          <w:trHeight w:val="217"/>
        </w:trPr>
        <w:tc>
          <w:tcPr>
            <w:tcW w:w="5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r>
      <w:tr>
        <w:trPr>
          <w:trHeight w:val="143"/>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41"/>
        </w:trPr>
        <w:tc>
          <w:tcPr>
            <w:tcW w:w="5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34,973</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44,112</w:t>
            </w:r>
          </w:p>
        </w:tc>
        <w:tc>
          <w:tcPr>
            <w:tcW w:w="14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185,914</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165,589</w:t>
            </w:r>
          </w:p>
        </w:tc>
      </w:tr>
      <w:tr>
        <w:trPr>
          <w:trHeight w:val="20"/>
        </w:trPr>
        <w:tc>
          <w:tcPr>
            <w:tcW w:w="53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r>
      <w:tr>
        <w:trPr>
          <w:trHeight w:val="109"/>
        </w:trPr>
        <w:tc>
          <w:tcPr>
            <w:tcW w:w="5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5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shares - basic</w:t>
            </w:r>
          </w:p>
        </w:tc>
        <w:tc>
          <w:tcPr>
            <w:tcW w:w="12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64,876</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63,341</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64,722</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62,950</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Equity compensation</w:t>
            </w:r>
          </w:p>
        </w:tc>
        <w:tc>
          <w:tcPr>
            <w:tcW w:w="12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185</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w:t>
            </w: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188</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w:t>
            </w: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65,061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63,436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64,910</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63,046</w:t>
            </w:r>
          </w:p>
        </w:tc>
      </w:tr>
      <w:tr>
        <w:trPr>
          <w:trHeight w:val="20"/>
        </w:trPr>
        <w:tc>
          <w:tcPr>
            <w:tcW w:w="5340" w:type="dxa"/>
            <w:vAlign w:val="bottom"/>
            <w:tcBorders>
              <w:bottom w:val="single" w:sz="8" w:color="CEFFE7"/>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EFFE7"/>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5340" w:type="dxa"/>
            <w:vAlign w:val="bottom"/>
            <w:shd w:val="clear" w:color="auto" w:fill="CEFFE7"/>
          </w:tcPr>
          <w:p>
            <w:pPr>
              <w:spacing w:after="0"/>
              <w:rPr>
                <w:sz w:val="11"/>
                <w:szCs w:val="11"/>
                <w:color w:val="auto"/>
              </w:rPr>
            </w:pPr>
          </w:p>
        </w:tc>
        <w:tc>
          <w:tcPr>
            <w:tcW w:w="120" w:type="dxa"/>
            <w:vAlign w:val="bottom"/>
            <w:shd w:val="clear" w:color="auto" w:fill="CEFFE7"/>
          </w:tcPr>
          <w:p>
            <w:pPr>
              <w:spacing w:after="0"/>
              <w:rPr>
                <w:sz w:val="11"/>
                <w:szCs w:val="11"/>
                <w:color w:val="auto"/>
              </w:rPr>
            </w:pPr>
          </w:p>
        </w:tc>
        <w:tc>
          <w:tcPr>
            <w:tcW w:w="1280" w:type="dxa"/>
            <w:vAlign w:val="bottom"/>
            <w:shd w:val="clear" w:color="auto" w:fill="CEFFE7"/>
          </w:tcPr>
          <w:p>
            <w:pPr>
              <w:spacing w:after="0"/>
              <w:rPr>
                <w:sz w:val="11"/>
                <w:szCs w:val="11"/>
                <w:color w:val="auto"/>
              </w:rPr>
            </w:pPr>
          </w:p>
        </w:tc>
        <w:tc>
          <w:tcPr>
            <w:tcW w:w="36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c>
          <w:tcPr>
            <w:tcW w:w="140" w:type="dxa"/>
            <w:vAlign w:val="bottom"/>
            <w:shd w:val="clear" w:color="auto" w:fill="CEFFE7"/>
          </w:tcPr>
          <w:p>
            <w:pPr>
              <w:spacing w:after="0"/>
              <w:rPr>
                <w:sz w:val="11"/>
                <w:szCs w:val="11"/>
                <w:color w:val="auto"/>
              </w:rPr>
            </w:pPr>
          </w:p>
        </w:tc>
        <w:tc>
          <w:tcPr>
            <w:tcW w:w="140" w:type="dxa"/>
            <w:vAlign w:val="bottom"/>
            <w:shd w:val="clear" w:color="auto" w:fill="CEFFE7"/>
          </w:tcPr>
          <w:p>
            <w:pPr>
              <w:spacing w:after="0"/>
              <w:rPr>
                <w:sz w:val="11"/>
                <w:szCs w:val="11"/>
                <w:color w:val="auto"/>
              </w:rPr>
            </w:pPr>
          </w:p>
        </w:tc>
        <w:tc>
          <w:tcPr>
            <w:tcW w:w="1260" w:type="dxa"/>
            <w:vAlign w:val="bottom"/>
            <w:shd w:val="clear" w:color="auto" w:fill="CEFFE7"/>
          </w:tcPr>
          <w:p>
            <w:pPr>
              <w:spacing w:after="0"/>
              <w:rPr>
                <w:sz w:val="11"/>
                <w:szCs w:val="11"/>
                <w:color w:val="auto"/>
              </w:rPr>
            </w:pPr>
          </w:p>
        </w:tc>
        <w:tc>
          <w:tcPr>
            <w:tcW w:w="36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3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Earnings per share, Basic</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0.54</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0.70</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2.87</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2.63</w:t>
            </w: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Earnings per share, 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2.86</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2.63</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000" w:type="dxa"/>
            <w:vAlign w:val="bottom"/>
            <w:gridSpan w:val="4"/>
          </w:tcPr>
          <w:p>
            <w:pPr>
              <w:ind w:left="120"/>
              <w:spacing w:after="0"/>
              <w:rPr>
                <w:sz w:val="20"/>
                <w:szCs w:val="20"/>
                <w:color w:val="auto"/>
              </w:rPr>
            </w:pPr>
            <w:r>
              <w:rPr>
                <w:rFonts w:ascii="Arial" w:cs="Arial" w:eastAsia="Arial" w:hAnsi="Arial"/>
                <w:sz w:val="16"/>
                <w:szCs w:val="16"/>
                <w:color w:val="auto"/>
              </w:rPr>
              <w:t>Three Months Ended September 30,</w:t>
            </w:r>
          </w:p>
        </w:tc>
        <w:tc>
          <w:tcPr>
            <w:tcW w:w="2860" w:type="dxa"/>
            <w:vAlign w:val="bottom"/>
            <w:gridSpan w:val="2"/>
          </w:tcPr>
          <w:p>
            <w:pPr>
              <w:jc w:val="right"/>
              <w:ind w:right="79"/>
              <w:spacing w:after="0"/>
              <w:rPr>
                <w:sz w:val="20"/>
                <w:szCs w:val="20"/>
                <w:color w:val="auto"/>
              </w:rPr>
            </w:pPr>
            <w:r>
              <w:rPr>
                <w:rFonts w:ascii="Arial" w:cs="Arial" w:eastAsia="Arial" w:hAnsi="Arial"/>
                <w:sz w:val="16"/>
                <w:szCs w:val="16"/>
                <w:color w:val="auto"/>
              </w:rPr>
              <w:t>Nine Months Ended September 30,</w:t>
            </w:r>
          </w:p>
        </w:tc>
      </w:tr>
      <w:tr>
        <w:trPr>
          <w:trHeight w:val="217"/>
        </w:trPr>
        <w:tc>
          <w:tcPr>
            <w:tcW w:w="6420" w:type="dxa"/>
            <w:vAlign w:val="bottom"/>
            <w:gridSpan w:val="2"/>
          </w:tcPr>
          <w:p>
            <w:pPr>
              <w:jc w:val="right"/>
              <w:ind w:right="59"/>
              <w:spacing w:after="0"/>
              <w:rPr>
                <w:sz w:val="20"/>
                <w:szCs w:val="20"/>
                <w:color w:val="auto"/>
              </w:rPr>
            </w:pPr>
            <w:r>
              <w:rPr>
                <w:rFonts w:ascii="Arial" w:cs="Arial" w:eastAsia="Arial" w:hAnsi="Arial"/>
                <w:sz w:val="16"/>
                <w:szCs w:val="16"/>
                <w:color w:val="auto"/>
              </w:rPr>
              <w:t>2022</w:t>
            </w:r>
          </w:p>
        </w:tc>
        <w:tc>
          <w:tcPr>
            <w:tcW w:w="620" w:type="dxa"/>
            <w:vAlign w:val="bottom"/>
          </w:tcPr>
          <w:p>
            <w:pPr>
              <w:spacing w:after="0"/>
              <w:rPr>
                <w:sz w:val="18"/>
                <w:szCs w:val="18"/>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Arial" w:cs="Arial" w:eastAsia="Arial" w:hAnsi="Arial"/>
                <w:sz w:val="16"/>
                <w:szCs w:val="16"/>
                <w:color w:val="auto"/>
              </w:rPr>
              <w:t>2022</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2021</w:t>
            </w:r>
          </w:p>
        </w:tc>
      </w:tr>
      <w:tr>
        <w:trPr>
          <w:trHeight w:val="251"/>
        </w:trPr>
        <w:tc>
          <w:tcPr>
            <w:tcW w:w="53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16"/>
        </w:trPr>
        <w:tc>
          <w:tcPr>
            <w:tcW w:w="6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Equity compensation</w:t>
            </w:r>
          </w:p>
        </w:tc>
        <w:tc>
          <w:tcPr>
            <w:tcW w:w="620" w:type="dxa"/>
            <w:vAlign w:val="bottom"/>
            <w:shd w:val="clear" w:color="auto" w:fill="CEFFE7"/>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EFFE7"/>
          </w:tcPr>
          <w:p>
            <w:pPr>
              <w:spacing w:after="0"/>
              <w:rPr>
                <w:sz w:val="18"/>
                <w:szCs w:val="18"/>
                <w:color w:val="auto"/>
              </w:rPr>
            </w:pPr>
          </w:p>
        </w:tc>
        <w:tc>
          <w:tcPr>
            <w:tcW w:w="1660" w:type="dxa"/>
            <w:vAlign w:val="bottom"/>
            <w:shd w:val="clear" w:color="auto" w:fill="CEFFE7"/>
          </w:tcPr>
          <w:p>
            <w:pPr>
              <w:ind w:left="1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53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Restricted stock</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EFFE7"/>
            </w:tcBorders>
          </w:tcPr>
          <w:p>
            <w:pPr>
              <w:spacing w:after="0"/>
              <w:rPr>
                <w:sz w:val="18"/>
                <w:szCs w:val="18"/>
                <w:color w:val="auto"/>
              </w:rPr>
            </w:pPr>
          </w:p>
        </w:tc>
        <w:tc>
          <w:tcPr>
            <w:tcW w:w="166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642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Anti-dilutive shares</w:t>
            </w:r>
          </w:p>
        </w:tc>
        <w:tc>
          <w:tcPr>
            <w:tcW w:w="620" w:type="dxa"/>
            <w:vAlign w:val="bottom"/>
            <w:shd w:val="clear" w:color="auto" w:fill="CEFFE7"/>
          </w:tcPr>
          <w:p>
            <w:pPr>
              <w:ind w:lef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EFFE7"/>
          </w:tcPr>
          <w:p>
            <w:pPr>
              <w:spacing w:after="0"/>
              <w:rPr>
                <w:sz w:val="20"/>
                <w:szCs w:val="20"/>
                <w:color w:val="auto"/>
              </w:rPr>
            </w:pPr>
          </w:p>
        </w:tc>
        <w:tc>
          <w:tcPr>
            <w:tcW w:w="1660" w:type="dxa"/>
            <w:vAlign w:val="bottom"/>
            <w:shd w:val="clear" w:color="auto" w:fill="CEFFE7"/>
          </w:tcPr>
          <w:p>
            <w:pPr>
              <w:ind w:left="1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38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8240" w:firstLine="8"/>
        <w:spacing w:after="0" w:line="572" w:lineRule="auto"/>
        <w:tabs>
          <w:tab w:leader="none" w:pos="37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248"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68" w:lineRule="exact"/>
        <w:rPr>
          <w:sz w:val="20"/>
          <w:szCs w:val="20"/>
          <w:color w:val="auto"/>
        </w:rPr>
      </w:pPr>
    </w:p>
    <w:p>
      <w:pPr>
        <w:ind w:left="500" w:right="180" w:hanging="330"/>
        <w:spacing w:after="0" w:line="265"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the COVID-19 pandemic, weather (Winter Storm Uri), geopolitical events, market speculation, inflation, pipeline constraints, and other factors that may impact natural gas and electric supply and demand; and</w:t>
      </w:r>
    </w:p>
    <w:p>
      <w:pPr>
        <w:spacing w:after="0" w:line="213" w:lineRule="exact"/>
        <w:rPr>
          <w:rFonts w:ascii="Arial" w:cs="Arial" w:eastAsia="Arial" w:hAnsi="Arial"/>
          <w:sz w:val="16"/>
          <w:szCs w:val="16"/>
          <w:color w:val="auto"/>
        </w:rPr>
      </w:pPr>
    </w:p>
    <w:p>
      <w:pPr>
        <w:ind w:left="500" w:right="60" w:hanging="330"/>
        <w:spacing w:after="0" w:line="286"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rate risk associated with outstanding variable rate debt and future debt, including reduced access to liquidity during periods of extreme capital markets volatility, such as the 2008 financial crisis and the COVID-19 pandemic.</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262"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6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183"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21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regulatory commission guidelines. When the related costs are recovered through our rates, the hedging activity is recognized in the Condensed Consolidated Statements of Income.</w:t>
      </w:r>
    </w:p>
    <w:p>
      <w:pPr>
        <w:spacing w:after="0" w:line="20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use wholesale power purchase and sale contracts to manage purchased power costs and load requirements associated with serving our electric customers. Periodically, certain wholesale energy contracts are considered derivative instruments due to not qualifying for the normal purchase and normal sales exception to derivative accounting. Changes in the fair value of these commodity derivatives are recognized in the Condensed Consolidated Statements of Income.</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October 2022 through December 2024.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Condensed Consolidated Balance Sheets and reclassified into earnings in the same period that the underlying hedged item is recognized in earnings. Effectiveness of our hedging position is evaluated at least quarterly.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060" w:type="dxa"/>
            <w:vAlign w:val="bottom"/>
            <w:gridSpan w:val="4"/>
          </w:tcPr>
          <w:p>
            <w:pPr>
              <w:ind w:left="740"/>
              <w:spacing w:after="0"/>
              <w:rPr>
                <w:sz w:val="20"/>
                <w:szCs w:val="20"/>
                <w:color w:val="auto"/>
              </w:rPr>
            </w:pPr>
            <w:r>
              <w:rPr>
                <w:rFonts w:ascii="Arial" w:cs="Arial" w:eastAsia="Arial" w:hAnsi="Arial"/>
                <w:sz w:val="16"/>
                <w:szCs w:val="16"/>
                <w:color w:val="auto"/>
              </w:rPr>
              <w:t>September 30, 2022</w:t>
            </w:r>
          </w:p>
        </w:tc>
        <w:tc>
          <w:tcPr>
            <w:tcW w:w="2980" w:type="dxa"/>
            <w:vAlign w:val="bottom"/>
            <w:gridSpan w:val="3"/>
          </w:tcPr>
          <w:p>
            <w:pPr>
              <w:ind w:left="780"/>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154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6"/>
                <w:szCs w:val="16"/>
                <w:color w:val="auto"/>
              </w:rPr>
              <w:t>Notional</w:t>
            </w:r>
          </w:p>
        </w:tc>
        <w:tc>
          <w:tcPr>
            <w:tcW w:w="142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color w:val="auto"/>
              </w:rPr>
              <w:t>Maximum</w:t>
            </w:r>
          </w:p>
        </w:tc>
        <w:tc>
          <w:tcPr>
            <w:tcW w:w="100" w:type="dxa"/>
            <w:vAlign w:val="bottom"/>
          </w:tcPr>
          <w:p>
            <w:pPr>
              <w:spacing w:after="0"/>
              <w:rPr>
                <w:sz w:val="13"/>
                <w:szCs w:val="13"/>
                <w:color w:val="auto"/>
              </w:rPr>
            </w:pPr>
          </w:p>
        </w:tc>
        <w:tc>
          <w:tcPr>
            <w:tcW w:w="15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6"/>
                <w:szCs w:val="16"/>
                <w:color w:val="auto"/>
              </w:rPr>
              <w:t>Notional</w:t>
            </w:r>
          </w:p>
        </w:tc>
        <w:tc>
          <w:tcPr>
            <w:tcW w:w="1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color w:val="auto"/>
              </w:rPr>
              <w:t>Maximum</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Term</w:t>
            </w:r>
          </w:p>
        </w:tc>
        <w:tc>
          <w:tcPr>
            <w:tcW w:w="154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6"/>
              </w:rPr>
              <w:t>Term</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rPr>
              <w:t>Amounts (MMBtus)</w:t>
            </w:r>
          </w:p>
        </w:tc>
        <w:tc>
          <w:tcPr>
            <w:tcW w:w="152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rPr>
              <w:t>Amounts (MMBtus)</w:t>
            </w: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0" w:type="dxa"/>
            <w:vAlign w:val="bottom"/>
          </w:tcPr>
          <w:p>
            <w:pPr>
              <w:spacing w:after="0"/>
              <w:rPr>
                <w:sz w:val="1"/>
                <w:szCs w:val="1"/>
                <w:color w:val="auto"/>
              </w:rPr>
            </w:pPr>
          </w:p>
        </w:tc>
      </w:tr>
      <w:tr>
        <w:trPr>
          <w:trHeight w:val="210"/>
        </w:trPr>
        <w:tc>
          <w:tcPr>
            <w:tcW w:w="520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4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1,780,000</w:t>
            </w:r>
          </w:p>
        </w:tc>
        <w:tc>
          <w:tcPr>
            <w:tcW w:w="120" w:type="dxa"/>
            <w:vAlign w:val="bottom"/>
            <w:tcBorders>
              <w:top w:val="single" w:sz="8" w:color="CEFFE7"/>
            </w:tcBorders>
            <w:shd w:val="clear" w:color="auto" w:fill="CEFFE7"/>
          </w:tcPr>
          <w:p>
            <w:pPr>
              <w:spacing w:after="0"/>
              <w:rPr>
                <w:sz w:val="18"/>
                <w:szCs w:val="18"/>
                <w:color w:val="auto"/>
              </w:rPr>
            </w:pPr>
          </w:p>
        </w:tc>
        <w:tc>
          <w:tcPr>
            <w:tcW w:w="142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EFFE7"/>
            </w:tcBorders>
            <w:shd w:val="clear" w:color="auto" w:fill="CEFFE7"/>
          </w:tcPr>
          <w:p>
            <w:pPr>
              <w:spacing w:after="0"/>
              <w:rPr>
                <w:sz w:val="18"/>
                <w:szCs w:val="18"/>
                <w:color w:val="auto"/>
              </w:rPr>
            </w:pPr>
          </w:p>
        </w:tc>
        <w:tc>
          <w:tcPr>
            <w:tcW w:w="14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590,000</w:t>
            </w:r>
          </w:p>
        </w:tc>
        <w:tc>
          <w:tcPr>
            <w:tcW w:w="100" w:type="dxa"/>
            <w:vAlign w:val="bottom"/>
            <w:tcBorders>
              <w:top w:val="single" w:sz="8" w:color="CEFFE7"/>
            </w:tcBorders>
            <w:shd w:val="clear" w:color="auto" w:fill="CEFFE7"/>
          </w:tcPr>
          <w:p>
            <w:pPr>
              <w:spacing w:after="0"/>
              <w:rPr>
                <w:sz w:val="18"/>
                <w:szCs w:val="18"/>
                <w:color w:val="auto"/>
              </w:rPr>
            </w:pPr>
          </w:p>
        </w:tc>
        <w:tc>
          <w:tcPr>
            <w:tcW w:w="144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420" w:type="dxa"/>
            <w:vAlign w:val="bottom"/>
          </w:tcPr>
          <w:p>
            <w:pPr>
              <w:jc w:val="right"/>
              <w:spacing w:after="0"/>
              <w:rPr>
                <w:sz w:val="20"/>
                <w:szCs w:val="20"/>
                <w:color w:val="auto"/>
              </w:rPr>
            </w:pPr>
            <w:r>
              <w:rPr>
                <w:rFonts w:ascii="Arial" w:cs="Arial" w:eastAsia="Arial" w:hAnsi="Arial"/>
                <w:sz w:val="16"/>
                <w:szCs w:val="16"/>
                <w:color w:val="auto"/>
              </w:rPr>
              <w:t>5,500,000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3,100,000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7"/>
        </w:trPr>
        <w:tc>
          <w:tcPr>
            <w:tcW w:w="52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1,530,000</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6</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870,000</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6,050,000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4,570,000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52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29,017,775</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16,416,677</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September 30, 2022, 2,292,300 MMBtus of natural gas over-the-counter swaps purchases were designated as cash flow hedges.</w:t>
      </w:r>
    </w:p>
    <w:p>
      <w:pPr>
        <w:spacing w:after="0" w:line="1" w:lineRule="exact"/>
        <w:rPr>
          <w:rFonts w:ascii="Arial" w:cs="Arial" w:eastAsia="Arial" w:hAnsi="Arial"/>
          <w:sz w:val="14"/>
          <w:szCs w:val="14"/>
          <w:color w:val="auto"/>
        </w:rPr>
      </w:pPr>
    </w:p>
    <w:p>
      <w:pPr>
        <w:ind w:left="360" w:hanging="352"/>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239"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September 30, 2022, the Company posted $4.6 million related to such provisions, which is included in Other current assets on the Condensed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26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thousands) as of:</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780" w:type="dxa"/>
            <w:vAlign w:val="bottom"/>
            <w:vMerge w:val="restart"/>
          </w:tcPr>
          <w:p>
            <w:pPr>
              <w:ind w:left="1040"/>
              <w:spacing w:after="0"/>
              <w:rPr>
                <w:sz w:val="20"/>
                <w:szCs w:val="20"/>
                <w:color w:val="auto"/>
              </w:rPr>
            </w:pPr>
            <w:r>
              <w:rPr>
                <w:rFonts w:ascii="Arial" w:cs="Arial" w:eastAsia="Arial" w:hAnsi="Arial"/>
                <w:sz w:val="16"/>
                <w:szCs w:val="16"/>
                <w:color w:val="auto"/>
              </w:rPr>
              <w:t>Balance Sheet Location</w:t>
            </w:r>
          </w:p>
        </w:tc>
        <w:tc>
          <w:tcPr>
            <w:tcW w:w="160" w:type="dxa"/>
            <w:vAlign w:val="bottom"/>
          </w:tcPr>
          <w:p>
            <w:pPr>
              <w:spacing w:after="0"/>
              <w:rPr>
                <w:sz w:val="16"/>
                <w:szCs w:val="16"/>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September 30,</w:t>
            </w: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7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Derivatives designated as hedges:</w:t>
            </w:r>
          </w:p>
        </w:tc>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78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260" w:type="dxa"/>
            <w:vAlign w:val="bottom"/>
            <w:shd w:val="clear" w:color="auto" w:fill="CEFFE7"/>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78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16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383</w:t>
            </w:r>
          </w:p>
        </w:tc>
        <w:tc>
          <w:tcPr>
            <w:tcW w:w="16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16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(1,211)</w:t>
            </w:r>
          </w:p>
        </w:tc>
        <w:tc>
          <w:tcPr>
            <w:tcW w:w="160" w:type="dxa"/>
            <w:vAlign w:val="bottom"/>
            <w:tcBorders>
              <w:bottom w:val="single" w:sz="8" w:color="auto"/>
            </w:tcBorders>
            <w:shd w:val="clear" w:color="auto" w:fill="CEFFE7"/>
          </w:tcPr>
          <w:p>
            <w:pPr>
              <w:spacing w:after="0"/>
              <w:rPr>
                <w:sz w:val="18"/>
                <w:szCs w:val="18"/>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7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CEFFE7"/>
            </w:tcBorders>
          </w:tcPr>
          <w:p>
            <w:pPr>
              <w:spacing w:after="0" w:line="20" w:lineRule="exact"/>
              <w:rPr>
                <w:sz w:val="1"/>
                <w:szCs w:val="1"/>
                <w:color w:val="auto"/>
              </w:rPr>
            </w:pPr>
          </w:p>
        </w:tc>
        <w:tc>
          <w:tcPr>
            <w:tcW w:w="3780" w:type="dxa"/>
            <w:vAlign w:val="bottom"/>
            <w:tcBorders>
              <w:bottom w:val="single" w:sz="8" w:color="CEFFE7"/>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EFFE7"/>
          </w:tcPr>
          <w:p>
            <w:pPr>
              <w:spacing w:after="0"/>
              <w:rPr>
                <w:sz w:val="20"/>
                <w:szCs w:val="20"/>
                <w:color w:val="auto"/>
              </w:rPr>
            </w:pPr>
          </w:p>
        </w:tc>
        <w:tc>
          <w:tcPr>
            <w:tcW w:w="37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260" w:type="dxa"/>
            <w:vAlign w:val="bottom"/>
            <w:shd w:val="clear" w:color="auto" w:fill="CEFFE7"/>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Derivatives not designated as hedges:</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78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260" w:type="dxa"/>
            <w:vAlign w:val="bottom"/>
            <w:shd w:val="clear" w:color="auto" w:fill="CEFFE7"/>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78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3,847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16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986</w:t>
            </w:r>
          </w:p>
        </w:tc>
        <w:tc>
          <w:tcPr>
            <w:tcW w:w="16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16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(4,358)</w:t>
            </w:r>
          </w:p>
        </w:tc>
        <w:tc>
          <w:tcPr>
            <w:tcW w:w="16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EFFE7"/>
            </w:tcBorders>
          </w:tcPr>
          <w:p>
            <w:pPr>
              <w:ind w:left="300"/>
              <w:spacing w:after="0"/>
              <w:rPr>
                <w:sz w:val="20"/>
                <w:szCs w:val="20"/>
                <w:color w:val="auto"/>
              </w:rPr>
            </w:pPr>
            <w:r>
              <w:rPr>
                <w:rFonts w:ascii="Arial" w:cs="Arial" w:eastAsia="Arial" w:hAnsi="Arial"/>
                <w:sz w:val="16"/>
                <w:szCs w:val="16"/>
                <w:color w:val="auto"/>
              </w:rPr>
              <w:t>Noncurrent commodity derivatives</w:t>
            </w:r>
          </w:p>
        </w:tc>
        <w:tc>
          <w:tcPr>
            <w:tcW w:w="37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78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452</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EFFE7"/>
            </w:tcBorders>
          </w:tcPr>
          <w:p>
            <w:pPr>
              <w:spacing w:after="0" w:line="20" w:lineRule="exact"/>
              <w:rPr>
                <w:sz w:val="1"/>
                <w:szCs w:val="1"/>
                <w:color w:val="auto"/>
              </w:rPr>
            </w:pPr>
          </w:p>
        </w:tc>
        <w:tc>
          <w:tcPr>
            <w:tcW w:w="3780" w:type="dxa"/>
            <w:vAlign w:val="bottom"/>
            <w:tcBorders>
              <w:top w:val="single" w:sz="8" w:color="CEFFE7"/>
              <w:bottom w:val="single" w:sz="8" w:color="CEFFE7"/>
            </w:tcBorders>
            <w:vMerge w:val="restart"/>
          </w:tcPr>
          <w:p>
            <w:pPr>
              <w:ind w:left="960"/>
              <w:spacing w:after="0"/>
              <w:rPr>
                <w:sz w:val="20"/>
                <w:szCs w:val="20"/>
                <w:color w:val="auto"/>
              </w:rPr>
            </w:pPr>
            <w:r>
              <w:rPr>
                <w:rFonts w:ascii="Arial" w:cs="Arial" w:eastAsia="Arial" w:hAnsi="Arial"/>
                <w:sz w:val="16"/>
                <w:szCs w:val="16"/>
                <w:color w:val="auto"/>
              </w:rPr>
              <w:t>24</w:t>
            </w: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24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impacts of cash flow hedges on our Condensed Consolidated Statements of Comprehensive Income and Condensed Consolidated Statements of Income are presented below for the three and nine months ended September 30, 2022 and 2021.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3"/>
          </w:tcPr>
          <w:p>
            <w:pPr>
              <w:jc w:val="center"/>
              <w:ind w:right="79"/>
              <w:spacing w:after="0"/>
              <w:rPr>
                <w:sz w:val="20"/>
                <w:szCs w:val="20"/>
                <w:color w:val="auto"/>
              </w:rPr>
            </w:pPr>
            <w:r>
              <w:rPr>
                <w:rFonts w:ascii="Arial" w:cs="Arial" w:eastAsia="Arial" w:hAnsi="Arial"/>
                <w:sz w:val="16"/>
                <w:szCs w:val="16"/>
                <w:color w:val="auto"/>
              </w:rPr>
              <w:t>Three Months Ended</w:t>
            </w:r>
          </w:p>
        </w:tc>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3"/>
          </w:tcPr>
          <w:p>
            <w:pPr>
              <w:jc w:val="center"/>
              <w:ind w:right="9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center"/>
              <w:ind w:right="59"/>
              <w:spacing w:after="0"/>
              <w:rPr>
                <w:sz w:val="20"/>
                <w:szCs w:val="20"/>
                <w:color w:val="auto"/>
              </w:rPr>
            </w:pPr>
            <w:r>
              <w:rPr>
                <w:rFonts w:ascii="Arial" w:cs="Arial" w:eastAsia="Arial" w:hAnsi="Arial"/>
                <w:sz w:val="16"/>
                <w:szCs w:val="16"/>
                <w:color w:val="auto"/>
              </w:rPr>
              <w:t>September 30,</w:t>
            </w: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3"/>
          </w:tcPr>
          <w:p>
            <w:pPr>
              <w:jc w:val="center"/>
              <w:ind w:right="9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40" w:type="dxa"/>
            <w:vAlign w:val="bottom"/>
            <w:tcBorders>
              <w:bottom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7"/>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Derivatives in Cash Flow Hedging</w:t>
            </w:r>
          </w:p>
        </w:tc>
        <w:tc>
          <w:tcPr>
            <w:tcW w:w="200" w:type="dxa"/>
            <w:vAlign w:val="bottom"/>
          </w:tcPr>
          <w:p>
            <w:pPr>
              <w:spacing w:after="0"/>
              <w:rPr>
                <w:sz w:val="13"/>
                <w:szCs w:val="13"/>
                <w:color w:val="auto"/>
              </w:rPr>
            </w:pPr>
          </w:p>
        </w:tc>
        <w:tc>
          <w:tcPr>
            <w:tcW w:w="1960" w:type="dxa"/>
            <w:vAlign w:val="bottom"/>
            <w:gridSpan w:val="3"/>
            <w:vMerge w:val="restart"/>
          </w:tcPr>
          <w:p>
            <w:pPr>
              <w:jc w:val="center"/>
              <w:ind w:right="59"/>
              <w:spacing w:after="0"/>
              <w:rPr>
                <w:sz w:val="20"/>
                <w:szCs w:val="20"/>
                <w:color w:val="auto"/>
              </w:rPr>
            </w:pPr>
            <w:r>
              <w:rPr>
                <w:rFonts w:ascii="Arial" w:cs="Arial" w:eastAsia="Arial" w:hAnsi="Arial"/>
                <w:sz w:val="16"/>
                <w:szCs w:val="16"/>
                <w:color w:val="auto"/>
              </w:rPr>
              <w:t>Amount of Gain/(Loss)</w:t>
            </w:r>
          </w:p>
        </w:tc>
        <w:tc>
          <w:tcPr>
            <w:tcW w:w="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3"/>
          </w:tcPr>
          <w:p>
            <w:pPr>
              <w:jc w:val="center"/>
              <w:ind w:right="99"/>
              <w:spacing w:after="0" w:line="157" w:lineRule="exact"/>
              <w:rPr>
                <w:sz w:val="20"/>
                <w:szCs w:val="20"/>
                <w:color w:val="auto"/>
              </w:rPr>
            </w:pPr>
            <w:r>
              <w:rPr>
                <w:rFonts w:ascii="Arial" w:cs="Arial" w:eastAsia="Arial" w:hAnsi="Arial"/>
                <w:sz w:val="16"/>
                <w:szCs w:val="16"/>
                <w:color w:val="auto"/>
              </w:rPr>
              <w:t>Amount of Gain/(Loss)</w:t>
            </w: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380" w:type="dxa"/>
            <w:vAlign w:val="bottom"/>
            <w:vMerge w:val="restart"/>
          </w:tcPr>
          <w:p>
            <w:pPr>
              <w:ind w:left="720"/>
              <w:spacing w:after="0"/>
              <w:rPr>
                <w:sz w:val="20"/>
                <w:szCs w:val="20"/>
                <w:color w:val="auto"/>
              </w:rPr>
            </w:pPr>
            <w:r>
              <w:rPr>
                <w:rFonts w:ascii="Arial" w:cs="Arial" w:eastAsia="Arial" w:hAnsi="Arial"/>
                <w:sz w:val="16"/>
                <w:szCs w:val="16"/>
                <w:color w:val="auto"/>
              </w:rPr>
              <w:t>Income Statement Location</w:t>
            </w:r>
          </w:p>
        </w:tc>
        <w:tc>
          <w:tcPr>
            <w:tcW w:w="40" w:type="dxa"/>
            <w:vAlign w:val="bottom"/>
          </w:tcPr>
          <w:p>
            <w:pPr>
              <w:spacing w:after="0"/>
              <w:rPr>
                <w:sz w:val="14"/>
                <w:szCs w:val="14"/>
                <w:color w:val="auto"/>
              </w:rPr>
            </w:pPr>
          </w:p>
        </w:tc>
        <w:tc>
          <w:tcPr>
            <w:tcW w:w="216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color w:val="auto"/>
              </w:rPr>
              <w:t>Recognized in OCI</w:t>
            </w: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10"/>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712</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712</w:t>
            </w:r>
          </w:p>
        </w:tc>
        <w:tc>
          <w:tcPr>
            <w:tcW w:w="40" w:type="dxa"/>
            <w:vAlign w:val="bottom"/>
            <w:shd w:val="clear" w:color="auto" w:fill="CEFFE7"/>
          </w:tcPr>
          <w:p>
            <w:pPr>
              <w:spacing w:after="0"/>
              <w:rPr>
                <w:sz w:val="18"/>
                <w:szCs w:val="18"/>
                <w:color w:val="auto"/>
              </w:rPr>
            </w:pPr>
          </w:p>
        </w:tc>
        <w:tc>
          <w:tcPr>
            <w:tcW w:w="33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w:t>
            </w:r>
          </w:p>
        </w:tc>
        <w:tc>
          <w:tcPr>
            <w:tcW w:w="40" w:type="dxa"/>
            <w:vAlign w:val="bottom"/>
            <w:shd w:val="clear" w:color="auto" w:fill="CEFFE7"/>
          </w:tcPr>
          <w:p>
            <w:pPr>
              <w:spacing w:after="0"/>
              <w:rPr>
                <w:sz w:val="18"/>
                <w:szCs w:val="18"/>
                <w:color w:val="auto"/>
              </w:rPr>
            </w:pP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(712)</w:t>
            </w:r>
          </w:p>
        </w:tc>
        <w:tc>
          <w:tcPr>
            <w:tcW w:w="320" w:type="dxa"/>
            <w:vAlign w:val="bottom"/>
            <w:shd w:val="clear" w:color="auto" w:fill="CEFFE7"/>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62"/>
        </w:trPr>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Commodity derivatives</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2,292</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5,536</w:t>
            </w:r>
          </w:p>
        </w:tc>
        <w:tc>
          <w:tcPr>
            <w:tcW w:w="40" w:type="dxa"/>
            <w:vAlign w:val="bottom"/>
          </w:tcPr>
          <w:p>
            <w:pPr>
              <w:spacing w:after="0"/>
              <w:rPr>
                <w:sz w:val="14"/>
                <w:szCs w:val="14"/>
                <w:color w:val="auto"/>
              </w:rPr>
            </w:pPr>
          </w:p>
        </w:tc>
        <w:tc>
          <w:tcPr>
            <w:tcW w:w="3380" w:type="dxa"/>
            <w:vAlign w:val="bottom"/>
          </w:tcPr>
          <w:p>
            <w:pPr>
              <w:ind w:left="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CEFFE7"/>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sold</w:t>
            </w:r>
          </w:p>
        </w:tc>
        <w:tc>
          <w:tcPr>
            <w:tcW w:w="40" w:type="dxa"/>
            <w:vAlign w:val="bottom"/>
            <w:tcBorders>
              <w:bottom w:val="single" w:sz="8" w:color="CEFFE7"/>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3,004</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6,248</w:t>
            </w:r>
          </w:p>
        </w:tc>
        <w:tc>
          <w:tcPr>
            <w:tcW w:w="40" w:type="dxa"/>
            <w:vAlign w:val="bottom"/>
            <w:tcBorders>
              <w:bottom w:val="single" w:sz="8" w:color="auto"/>
            </w:tcBorders>
            <w:shd w:val="clear" w:color="auto" w:fill="CEFFE7"/>
          </w:tcPr>
          <w:p>
            <w:pPr>
              <w:spacing w:after="0"/>
              <w:rPr>
                <w:sz w:val="20"/>
                <w:szCs w:val="20"/>
                <w:color w:val="auto"/>
              </w:rPr>
            </w:pPr>
          </w:p>
        </w:tc>
        <w:tc>
          <w:tcPr>
            <w:tcW w:w="3380" w:type="dxa"/>
            <w:vAlign w:val="bottom"/>
            <w:tcBorders>
              <w:bottom w:val="single" w:sz="8" w:color="CEFFE7"/>
            </w:tcBorders>
            <w:shd w:val="clear" w:color="auto" w:fill="CEFFE7"/>
          </w:tcPr>
          <w:p>
            <w:pPr>
              <w:spacing w:after="0"/>
              <w:rPr>
                <w:sz w:val="20"/>
                <w:szCs w:val="20"/>
                <w:color w:val="auto"/>
              </w:rPr>
            </w:pPr>
          </w:p>
        </w:tc>
        <w:tc>
          <w:tcPr>
            <w:tcW w:w="4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(669)</w:t>
            </w:r>
          </w:p>
        </w:tc>
        <w:tc>
          <w:tcPr>
            <w:tcW w:w="320" w:type="dxa"/>
            <w:vAlign w:val="bottom"/>
            <w:tcBorders>
              <w:bottom w:val="single" w:sz="8" w:color="auto"/>
            </w:tcBorders>
            <w:shd w:val="clear" w:color="auto" w:fill="CEFFE7"/>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960" w:type="dxa"/>
            <w:vAlign w:val="bottom"/>
            <w:tcBorders>
              <w:top w:val="single" w:sz="8" w:color="CEFFE7"/>
              <w:bottom w:val="single" w:sz="8" w:color="auto"/>
            </w:tcBorders>
            <w:gridSpan w:val="3"/>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1980" w:type="dxa"/>
            <w:vAlign w:val="bottom"/>
            <w:tcBorders>
              <w:top w:val="single" w:sz="8" w:color="CEFFE7"/>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jc w:val="center"/>
              <w:ind w:right="99"/>
              <w:spacing w:after="0"/>
              <w:rPr>
                <w:sz w:val="20"/>
                <w:szCs w:val="20"/>
                <w:color w:val="auto"/>
              </w:rPr>
            </w:pPr>
            <w:r>
              <w:rPr>
                <w:rFonts w:ascii="Arial" w:cs="Arial" w:eastAsia="Arial" w:hAnsi="Arial"/>
                <w:sz w:val="16"/>
                <w:szCs w:val="16"/>
                <w:color w:val="auto"/>
              </w:rPr>
              <w:t>Nine Months Ended</w:t>
            </w:r>
          </w:p>
        </w:tc>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3"/>
          </w:tcPr>
          <w:p>
            <w:pPr>
              <w:jc w:val="center"/>
              <w:ind w:right="13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color w:val="auto"/>
              </w:rPr>
              <w:t>September 30,</w:t>
            </w: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6"/>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Derivatives in Cash Flow Hedging</w:t>
            </w:r>
          </w:p>
        </w:tc>
        <w:tc>
          <w:tcPr>
            <w:tcW w:w="200" w:type="dxa"/>
            <w:vAlign w:val="bottom"/>
          </w:tcPr>
          <w:p>
            <w:pPr>
              <w:spacing w:after="0"/>
              <w:rPr>
                <w:sz w:val="13"/>
                <w:szCs w:val="13"/>
                <w:color w:val="auto"/>
              </w:rPr>
            </w:pPr>
          </w:p>
        </w:tc>
        <w:tc>
          <w:tcPr>
            <w:tcW w:w="1960" w:type="dxa"/>
            <w:vAlign w:val="bottom"/>
            <w:gridSpan w:val="3"/>
            <w:vMerge w:val="restart"/>
          </w:tcPr>
          <w:p>
            <w:pPr>
              <w:jc w:val="center"/>
              <w:ind w:right="99"/>
              <w:spacing w:after="0"/>
              <w:rPr>
                <w:sz w:val="20"/>
                <w:szCs w:val="20"/>
                <w:color w:val="auto"/>
              </w:rPr>
            </w:pPr>
            <w:r>
              <w:rPr>
                <w:rFonts w:ascii="Arial" w:cs="Arial" w:eastAsia="Arial" w:hAnsi="Arial"/>
                <w:sz w:val="16"/>
                <w:szCs w:val="16"/>
                <w:color w:val="auto"/>
              </w:rPr>
              <w:t>Amount of Gain/(Loss)</w:t>
            </w:r>
          </w:p>
        </w:tc>
        <w:tc>
          <w:tcPr>
            <w:tcW w:w="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3"/>
          </w:tcPr>
          <w:p>
            <w:pPr>
              <w:jc w:val="center"/>
              <w:ind w:right="139"/>
              <w:spacing w:after="0" w:line="156" w:lineRule="exact"/>
              <w:rPr>
                <w:sz w:val="20"/>
                <w:szCs w:val="20"/>
                <w:color w:val="auto"/>
              </w:rPr>
            </w:pPr>
            <w:r>
              <w:rPr>
                <w:rFonts w:ascii="Arial" w:cs="Arial" w:eastAsia="Arial" w:hAnsi="Arial"/>
                <w:sz w:val="16"/>
                <w:szCs w:val="16"/>
                <w:color w:val="auto"/>
              </w:rPr>
              <w:t>Amount of Gain/(Loss)</w:t>
            </w: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380" w:type="dxa"/>
            <w:vAlign w:val="bottom"/>
            <w:vMerge w:val="restart"/>
          </w:tcPr>
          <w:p>
            <w:pPr>
              <w:ind w:left="680"/>
              <w:spacing w:after="0"/>
              <w:rPr>
                <w:sz w:val="20"/>
                <w:szCs w:val="20"/>
                <w:color w:val="auto"/>
              </w:rPr>
            </w:pPr>
            <w:r>
              <w:rPr>
                <w:rFonts w:ascii="Arial" w:cs="Arial" w:eastAsia="Arial" w:hAnsi="Arial"/>
                <w:sz w:val="16"/>
                <w:szCs w:val="16"/>
                <w:color w:val="auto"/>
              </w:rPr>
              <w:t>Income Statement Location</w:t>
            </w:r>
          </w:p>
        </w:tc>
        <w:tc>
          <w:tcPr>
            <w:tcW w:w="40" w:type="dxa"/>
            <w:vAlign w:val="bottom"/>
          </w:tcPr>
          <w:p>
            <w:pPr>
              <w:spacing w:after="0"/>
              <w:rPr>
                <w:sz w:val="14"/>
                <w:szCs w:val="14"/>
                <w:color w:val="auto"/>
              </w:rPr>
            </w:pPr>
          </w:p>
        </w:tc>
        <w:tc>
          <w:tcPr>
            <w:tcW w:w="216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color w:val="auto"/>
              </w:rPr>
              <w:t>Recognized in OCI</w:t>
            </w: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CEFFE7"/>
            </w:tcBorders>
          </w:tcPr>
          <w:p>
            <w:pPr>
              <w:spacing w:after="0"/>
              <w:rPr>
                <w:sz w:val="18"/>
                <w:szCs w:val="18"/>
                <w:color w:val="auto"/>
              </w:rPr>
            </w:pPr>
          </w:p>
        </w:tc>
        <w:tc>
          <w:tcPr>
            <w:tcW w:w="3380" w:type="dxa"/>
            <w:vAlign w:val="bottom"/>
            <w:tcBorders>
              <w:bottom w:val="single" w:sz="8" w:color="CEFFE7"/>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10"/>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2,138</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2,138</w:t>
            </w:r>
          </w:p>
        </w:tc>
        <w:tc>
          <w:tcPr>
            <w:tcW w:w="3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gridSpan w:val="2"/>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(2,138)</w:t>
            </w:r>
          </w:p>
        </w:tc>
        <w:tc>
          <w:tcPr>
            <w:tcW w:w="320" w:type="dxa"/>
            <w:vAlign w:val="bottom"/>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162"/>
        </w:trPr>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Commodity derivatives</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(2,946)</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6,896</w:t>
            </w:r>
          </w:p>
        </w:tc>
        <w:tc>
          <w:tcPr>
            <w:tcW w:w="34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3,620</w:t>
            </w: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CEFFE7"/>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4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sold</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(808)</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9,034</w:t>
            </w:r>
          </w:p>
        </w:tc>
        <w:tc>
          <w:tcPr>
            <w:tcW w:w="40" w:type="dxa"/>
            <w:vAlign w:val="bottom"/>
            <w:tcBorders>
              <w:bottom w:val="single" w:sz="8" w:color="CEFFE7"/>
            </w:tcBorders>
            <w:shd w:val="clear" w:color="auto" w:fill="CEFFE7"/>
          </w:tcPr>
          <w:p>
            <w:pPr>
              <w:spacing w:after="0"/>
              <w:rPr>
                <w:sz w:val="20"/>
                <w:szCs w:val="20"/>
                <w:color w:val="auto"/>
              </w:rPr>
            </w:pPr>
          </w:p>
        </w:tc>
        <w:tc>
          <w:tcPr>
            <w:tcW w:w="338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auto"/>
            </w:tcBorders>
            <w:gridSpan w:val="2"/>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1,482</w:t>
            </w:r>
          </w:p>
        </w:tc>
        <w:tc>
          <w:tcPr>
            <w:tcW w:w="320" w:type="dxa"/>
            <w:vAlign w:val="bottom"/>
            <w:tcBorders>
              <w:bottom w:val="single" w:sz="8" w:color="auto"/>
            </w:tcBorders>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(1,782)</w:t>
            </w:r>
          </w:p>
        </w:tc>
        <w:tc>
          <w:tcPr>
            <w:tcW w:w="0" w:type="dxa"/>
            <w:vAlign w:val="bottom"/>
          </w:tcPr>
          <w:p>
            <w:pPr>
              <w:spacing w:after="0"/>
              <w:rPr>
                <w:sz w:val="1"/>
                <w:szCs w:val="1"/>
                <w:color w:val="auto"/>
              </w:rPr>
            </w:pP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As of September 30, 2022, $4.0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Condensed Consolidated Statements of Income for the three and nine months ended September 30, 2022 and 2021.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3"/>
          </w:tcPr>
          <w:p>
            <w:pPr>
              <w:jc w:val="center"/>
              <w:ind w:right="179"/>
              <w:spacing w:after="0"/>
              <w:rPr>
                <w:sz w:val="20"/>
                <w:szCs w:val="20"/>
                <w:color w:val="auto"/>
              </w:rPr>
            </w:pPr>
            <w:r>
              <w:rPr>
                <w:rFonts w:ascii="Arial" w:cs="Arial" w:eastAsia="Arial" w:hAnsi="Arial"/>
                <w:sz w:val="16"/>
                <w:szCs w:val="16"/>
                <w:color w:val="auto"/>
              </w:rPr>
              <w:t>Three Months Ended September 30,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8"/>
        </w:trPr>
        <w:tc>
          <w:tcPr>
            <w:tcW w:w="4100" w:type="dxa"/>
            <w:vAlign w:val="bottom"/>
            <w:vMerge w:val="restart"/>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tcPr>
          <w:p>
            <w:pPr>
              <w:ind w:left="480"/>
              <w:spacing w:after="0" w:line="158" w:lineRule="exact"/>
              <w:rPr>
                <w:sz w:val="20"/>
                <w:szCs w:val="20"/>
                <w:color w:val="auto"/>
              </w:rPr>
            </w:pPr>
            <w:r>
              <w:rPr>
                <w:rFonts w:ascii="Arial" w:cs="Arial" w:eastAsia="Arial" w:hAnsi="Arial"/>
                <w:sz w:val="16"/>
                <w:szCs w:val="16"/>
                <w:color w:val="auto"/>
              </w:rPr>
              <w:t>Location of Gain/(Loss) on Derivatives</w:t>
            </w:r>
          </w:p>
        </w:tc>
        <w:tc>
          <w:tcPr>
            <w:tcW w:w="280" w:type="dxa"/>
            <w:vAlign w:val="bottom"/>
          </w:tcPr>
          <w:p>
            <w:pPr>
              <w:spacing w:after="0"/>
              <w:rPr>
                <w:sz w:val="13"/>
                <w:szCs w:val="13"/>
                <w:color w:val="auto"/>
              </w:rPr>
            </w:pPr>
          </w:p>
        </w:tc>
        <w:tc>
          <w:tcPr>
            <w:tcW w:w="3280" w:type="dxa"/>
            <w:vAlign w:val="bottom"/>
            <w:gridSpan w:val="3"/>
          </w:tcPr>
          <w:p>
            <w:pPr>
              <w:jc w:val="center"/>
              <w:ind w:right="179"/>
              <w:spacing w:after="0" w:line="158" w:lineRule="exact"/>
              <w:rPr>
                <w:sz w:val="20"/>
                <w:szCs w:val="20"/>
                <w:color w:val="auto"/>
              </w:rPr>
            </w:pPr>
            <w:r>
              <w:rPr>
                <w:rFonts w:ascii="Arial" w:cs="Arial" w:eastAsia="Arial" w:hAnsi="Arial"/>
                <w:sz w:val="16"/>
                <w:szCs w:val="16"/>
                <w:color w:val="auto"/>
              </w:rPr>
              <w:t>Amount of Gain/(Loss) on Derivatives</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auto"/>
            </w:tcBorders>
            <w:vMerge w:val="continue"/>
          </w:tcPr>
          <w:p>
            <w:pPr>
              <w:spacing w:after="0"/>
              <w:rPr>
                <w:sz w:val="18"/>
                <w:szCs w:val="18"/>
                <w:color w:val="auto"/>
              </w:rPr>
            </w:pPr>
          </w:p>
        </w:tc>
        <w:tc>
          <w:tcPr>
            <w:tcW w:w="35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Recognized in Income</w:t>
            </w:r>
          </w:p>
        </w:tc>
        <w:tc>
          <w:tcPr>
            <w:tcW w:w="2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00" w:type="dxa"/>
            <w:vAlign w:val="bottom"/>
            <w:vMerge w:val="restart"/>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line="163"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2,494</w:t>
            </w:r>
          </w:p>
        </w:tc>
        <w:tc>
          <w:tcPr>
            <w:tcW w:w="0" w:type="dxa"/>
            <w:vAlign w:val="bottom"/>
          </w:tcPr>
          <w:p>
            <w:pPr>
              <w:spacing w:after="0"/>
              <w:rPr>
                <w:sz w:val="1"/>
                <w:szCs w:val="1"/>
                <w:color w:val="auto"/>
              </w:rPr>
            </w:pPr>
          </w:p>
        </w:tc>
      </w:tr>
      <w:tr>
        <w:trPr>
          <w:trHeight w:val="216"/>
        </w:trPr>
        <w:tc>
          <w:tcPr>
            <w:tcW w:w="4100" w:type="dxa"/>
            <w:vAlign w:val="bottom"/>
            <w:vMerge w:val="continue"/>
            <w:shd w:val="clear" w:color="auto" w:fill="CEFFE7"/>
          </w:tcPr>
          <w:p>
            <w:pPr>
              <w:spacing w:after="0"/>
              <w:rPr>
                <w:sz w:val="18"/>
                <w:szCs w:val="18"/>
                <w:color w:val="auto"/>
              </w:rPr>
            </w:pP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vMerge w:val="continue"/>
            <w:shd w:val="clear" w:color="auto" w:fill="CEFFE7"/>
          </w:tcPr>
          <w:p>
            <w:pPr>
              <w:spacing w:after="0"/>
              <w:rPr>
                <w:sz w:val="18"/>
                <w:szCs w:val="18"/>
                <w:color w:val="auto"/>
              </w:rPr>
            </w:pPr>
          </w:p>
        </w:tc>
        <w:tc>
          <w:tcPr>
            <w:tcW w:w="1480" w:type="dxa"/>
            <w:vAlign w:val="bottom"/>
            <w:vMerge w:val="continue"/>
            <w:shd w:val="clear" w:color="auto" w:fill="CEFFE7"/>
          </w:tcPr>
          <w:p>
            <w:pPr>
              <w:spacing w:after="0"/>
              <w:rPr>
                <w:sz w:val="18"/>
                <w:szCs w:val="18"/>
                <w:color w:val="auto"/>
              </w:rPr>
            </w:pPr>
          </w:p>
        </w:tc>
        <w:tc>
          <w:tcPr>
            <w:tcW w:w="640" w:type="dxa"/>
            <w:vAlign w:val="bottom"/>
            <w:vMerge w:val="continue"/>
            <w:shd w:val="clear" w:color="auto" w:fill="CEFFE7"/>
          </w:tcPr>
          <w:p>
            <w:pPr>
              <w:spacing w:after="0"/>
              <w:rPr>
                <w:sz w:val="18"/>
                <w:szCs w:val="18"/>
                <w:color w:val="auto"/>
              </w:rPr>
            </w:pPr>
          </w:p>
        </w:tc>
        <w:tc>
          <w:tcPr>
            <w:tcW w:w="116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1,617</w:t>
            </w:r>
          </w:p>
        </w:tc>
        <w:tc>
          <w:tcPr>
            <w:tcW w:w="6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4,004</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EFFE7"/>
            </w:tcBorders>
            <w:vMerge w:val="continue"/>
          </w:tcPr>
          <w:p>
            <w:pPr>
              <w:spacing w:after="0"/>
              <w:rPr>
                <w:sz w:val="18"/>
                <w:szCs w:val="18"/>
                <w:color w:val="auto"/>
              </w:rPr>
            </w:pP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0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1,617</w:t>
            </w:r>
          </w:p>
        </w:tc>
        <w:tc>
          <w:tcPr>
            <w:tcW w:w="64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6,498</w:t>
            </w:r>
          </w:p>
        </w:tc>
        <w:tc>
          <w:tcPr>
            <w:tcW w:w="0" w:type="dxa"/>
            <w:vAlign w:val="bottom"/>
          </w:tcPr>
          <w:p>
            <w:pPr>
              <w:spacing w:after="0"/>
              <w:rPr>
                <w:sz w:val="1"/>
                <w:szCs w:val="1"/>
                <w:color w:val="auto"/>
              </w:rPr>
            </w:pP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bottom w:val="single" w:sz="8" w:color="CEFFE7"/>
            </w:tcBorders>
            <w:vMerge w:val="restart"/>
          </w:tcPr>
          <w:p>
            <w:pPr>
              <w:ind w:left="1440"/>
              <w:spacing w:after="0"/>
              <w:rPr>
                <w:sz w:val="20"/>
                <w:szCs w:val="20"/>
                <w:color w:val="auto"/>
              </w:rPr>
            </w:pPr>
            <w:r>
              <w:rPr>
                <w:rFonts w:ascii="Arial" w:cs="Arial" w:eastAsia="Arial" w:hAnsi="Arial"/>
                <w:sz w:val="16"/>
                <w:szCs w:val="16"/>
                <w:color w:val="auto"/>
              </w:rPr>
              <w:t>25</w:t>
            </w: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41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1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3"/>
          </w:tcPr>
          <w:p>
            <w:pPr>
              <w:jc w:val="center"/>
              <w:ind w:right="199"/>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7"/>
        </w:trPr>
        <w:tc>
          <w:tcPr>
            <w:tcW w:w="4100" w:type="dxa"/>
            <w:vAlign w:val="bottom"/>
            <w:gridSpan w:val="2"/>
            <w:vMerge w:val="restart"/>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vMerge w:val="restart"/>
          </w:tcPr>
          <w:p>
            <w:pPr>
              <w:ind w:left="860"/>
              <w:spacing w:after="0"/>
              <w:rPr>
                <w:sz w:val="20"/>
                <w:szCs w:val="20"/>
                <w:color w:val="auto"/>
              </w:rPr>
            </w:pPr>
            <w:r>
              <w:rPr>
                <w:rFonts w:ascii="Arial" w:cs="Arial" w:eastAsia="Arial" w:hAnsi="Arial"/>
                <w:sz w:val="16"/>
                <w:szCs w:val="16"/>
                <w:color w:val="auto"/>
              </w:rPr>
              <w:t>Income Statement Location</w:t>
            </w:r>
          </w:p>
        </w:tc>
        <w:tc>
          <w:tcPr>
            <w:tcW w:w="280" w:type="dxa"/>
            <w:vAlign w:val="bottom"/>
          </w:tcPr>
          <w:p>
            <w:pPr>
              <w:spacing w:after="0"/>
              <w:rPr>
                <w:sz w:val="13"/>
                <w:szCs w:val="13"/>
                <w:color w:val="auto"/>
              </w:rPr>
            </w:pPr>
          </w:p>
        </w:tc>
        <w:tc>
          <w:tcPr>
            <w:tcW w:w="3280" w:type="dxa"/>
            <w:vAlign w:val="bottom"/>
            <w:gridSpan w:val="3"/>
          </w:tcPr>
          <w:p>
            <w:pPr>
              <w:jc w:val="center"/>
              <w:ind w:right="179"/>
              <w:spacing w:after="0" w:line="157" w:lineRule="exact"/>
              <w:rPr>
                <w:sz w:val="20"/>
                <w:szCs w:val="20"/>
                <w:color w:val="auto"/>
              </w:rPr>
            </w:pPr>
            <w:r>
              <w:rPr>
                <w:rFonts w:ascii="Arial" w:cs="Arial" w:eastAsia="Arial" w:hAnsi="Arial"/>
                <w:sz w:val="16"/>
                <w:szCs w:val="16"/>
                <w:color w:val="auto"/>
              </w:rPr>
              <w:t>Amount of Gain/(Loss) on Derivatives</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auto"/>
            </w:tcBorders>
            <w:gridSpan w:val="2"/>
            <w:vMerge w:val="continue"/>
          </w:tcPr>
          <w:p>
            <w:pPr>
              <w:spacing w:after="0"/>
              <w:rPr>
                <w:sz w:val="18"/>
                <w:szCs w:val="18"/>
                <w:color w:val="auto"/>
              </w:rPr>
            </w:pPr>
          </w:p>
        </w:tc>
        <w:tc>
          <w:tcPr>
            <w:tcW w:w="35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00" w:type="dxa"/>
            <w:vAlign w:val="bottom"/>
            <w:gridSpan w:val="2"/>
            <w:vMerge w:val="restart"/>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line="163"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EFFE7"/>
          </w:tcPr>
          <w:p>
            <w:pPr>
              <w:jc w:val="center"/>
              <w:ind w:left="519"/>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16"/>
        </w:trPr>
        <w:tc>
          <w:tcPr>
            <w:tcW w:w="4100" w:type="dxa"/>
            <w:vAlign w:val="bottom"/>
            <w:gridSpan w:val="2"/>
            <w:vMerge w:val="continue"/>
            <w:shd w:val="clear" w:color="auto" w:fill="CEFFE7"/>
          </w:tcPr>
          <w:p>
            <w:pPr>
              <w:spacing w:after="0"/>
              <w:rPr>
                <w:sz w:val="18"/>
                <w:szCs w:val="18"/>
                <w:color w:val="auto"/>
              </w:rPr>
            </w:pP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vMerge w:val="continue"/>
            <w:shd w:val="clear" w:color="auto" w:fill="CEFFE7"/>
          </w:tcPr>
          <w:p>
            <w:pPr>
              <w:spacing w:after="0"/>
              <w:rPr>
                <w:sz w:val="18"/>
                <w:szCs w:val="18"/>
                <w:color w:val="auto"/>
              </w:rPr>
            </w:pPr>
          </w:p>
        </w:tc>
        <w:tc>
          <w:tcPr>
            <w:tcW w:w="1480" w:type="dxa"/>
            <w:vAlign w:val="bottom"/>
            <w:vMerge w:val="continue"/>
            <w:shd w:val="clear" w:color="auto" w:fill="CEFFE7"/>
          </w:tcPr>
          <w:p>
            <w:pPr>
              <w:spacing w:after="0"/>
              <w:rPr>
                <w:sz w:val="18"/>
                <w:szCs w:val="18"/>
                <w:color w:val="auto"/>
              </w:rPr>
            </w:pPr>
          </w:p>
        </w:tc>
        <w:tc>
          <w:tcPr>
            <w:tcW w:w="640" w:type="dxa"/>
            <w:vAlign w:val="bottom"/>
            <w:vMerge w:val="continue"/>
            <w:shd w:val="clear" w:color="auto" w:fill="CEFFE7"/>
          </w:tcPr>
          <w:p>
            <w:pPr>
              <w:spacing w:after="0"/>
              <w:rPr>
                <w:sz w:val="18"/>
                <w:szCs w:val="18"/>
                <w:color w:val="auto"/>
              </w:rPr>
            </w:pPr>
          </w:p>
        </w:tc>
        <w:tc>
          <w:tcPr>
            <w:tcW w:w="116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gridSpan w:val="2"/>
            <w:vMerge w:val="restart"/>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2,779</w:t>
            </w:r>
          </w:p>
        </w:tc>
        <w:tc>
          <w:tcPr>
            <w:tcW w:w="640" w:type="dxa"/>
            <w:vAlign w:val="bottom"/>
          </w:tcPr>
          <w:p>
            <w:pPr>
              <w:spacing w:after="0"/>
              <w:rPr>
                <w:sz w:val="14"/>
                <w:szCs w:val="14"/>
                <w:color w:val="auto"/>
              </w:rPr>
            </w:pPr>
          </w:p>
        </w:tc>
        <w:tc>
          <w:tcPr>
            <w:tcW w:w="1160" w:type="dxa"/>
            <w:vAlign w:val="bottom"/>
            <w:vMerge w:val="restart"/>
          </w:tcPr>
          <w:p>
            <w:pPr>
              <w:jc w:val="center"/>
              <w:ind w:left="519"/>
              <w:spacing w:after="0"/>
              <w:rPr>
                <w:sz w:val="20"/>
                <w:szCs w:val="20"/>
                <w:color w:val="auto"/>
              </w:rPr>
            </w:pPr>
            <w:r>
              <w:rPr>
                <w:rFonts w:ascii="Arial" w:cs="Arial" w:eastAsia="Arial" w:hAnsi="Arial"/>
                <w:sz w:val="16"/>
                <w:szCs w:val="16"/>
                <w:color w:val="auto"/>
                <w:w w:val="99"/>
              </w:rPr>
              <w:t>6,186</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EFFE7"/>
            </w:tcBorders>
            <w:gridSpan w:val="2"/>
            <w:vMerge w:val="continue"/>
          </w:tcPr>
          <w:p>
            <w:pPr>
              <w:spacing w:after="0"/>
              <w:rPr>
                <w:sz w:val="18"/>
                <w:szCs w:val="18"/>
                <w:color w:val="auto"/>
              </w:rPr>
            </w:pP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360" w:type="dxa"/>
            <w:vAlign w:val="bottom"/>
            <w:tcBorders>
              <w:bottom w:val="single" w:sz="8" w:color="CEFFE7"/>
            </w:tcBorders>
            <w:shd w:val="clear" w:color="auto" w:fill="CEFFE7"/>
          </w:tcPr>
          <w:p>
            <w:pPr>
              <w:spacing w:after="0"/>
              <w:rPr>
                <w:sz w:val="19"/>
                <w:szCs w:val="19"/>
                <w:color w:val="auto"/>
              </w:rPr>
            </w:pPr>
          </w:p>
        </w:tc>
        <w:tc>
          <w:tcPr>
            <w:tcW w:w="274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2,779</w:t>
            </w:r>
          </w:p>
        </w:tc>
        <w:tc>
          <w:tcPr>
            <w:tcW w:w="64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center"/>
              <w:ind w:left="519"/>
              <w:spacing w:after="0"/>
              <w:rPr>
                <w:sz w:val="20"/>
                <w:szCs w:val="20"/>
                <w:color w:val="auto"/>
              </w:rPr>
            </w:pPr>
            <w:r>
              <w:rPr>
                <w:rFonts w:ascii="Arial" w:cs="Arial" w:eastAsia="Arial" w:hAnsi="Arial"/>
                <w:sz w:val="16"/>
                <w:szCs w:val="16"/>
                <w:color w:val="auto"/>
                <w:w w:val="99"/>
              </w:rPr>
              <w:t>3,558</w:t>
            </w: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74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accounts related to these financial instruments in our Gas Utilities were $11 million and $2.6 million as of September 30, 2022 and December 31, 2021, respectively. For our Electric Utilities, the unrealized gains and losses arising from these derivatives are recognized in the Condensed Consolidated Statements of Income.</w:t>
      </w:r>
    </w:p>
    <w:p>
      <w:pPr>
        <w:spacing w:after="0" w:line="200" w:lineRule="exact"/>
        <w:rPr>
          <w:sz w:val="20"/>
          <w:szCs w:val="20"/>
          <w:color w:val="auto"/>
        </w:rPr>
      </w:pPr>
    </w:p>
    <w:p>
      <w:pPr>
        <w:spacing w:after="0" w:line="261"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24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21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9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21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4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2021 Annual Report on Form 10-K.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of cash collateral and contractual netting rights as permitted by GAAP that were accounted for at fair value on a recurring basis for derivative instruments.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jc w:val="center"/>
              <w:ind w:right="880"/>
              <w:spacing w:after="0"/>
              <w:rPr>
                <w:sz w:val="20"/>
                <w:szCs w:val="20"/>
                <w:color w:val="auto"/>
              </w:rPr>
            </w:pPr>
            <w:r>
              <w:rPr>
                <w:rFonts w:ascii="Arial" w:cs="Arial" w:eastAsia="Arial" w:hAnsi="Arial"/>
                <w:sz w:val="16"/>
                <w:szCs w:val="16"/>
                <w:color w:val="auto"/>
              </w:rPr>
              <w:t>As of September 30, 2022</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EFFE7"/>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color w:val="auto"/>
                <w:w w:val="96"/>
              </w:rPr>
              <w:t xml:space="preserve">Netting </w:t>
            </w:r>
            <w:r>
              <w:rPr>
                <w:rFonts w:ascii="Arial" w:cs="Arial" w:eastAsia="Arial" w:hAnsi="Arial"/>
                <w:sz w:val="21"/>
                <w:szCs w:val="21"/>
                <w:color w:val="auto"/>
                <w:w w:val="96"/>
                <w:vertAlign w:val="superscript"/>
              </w:rPr>
              <w:t>(a)</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760" w:type="dxa"/>
            <w:vAlign w:val="bottom"/>
            <w:gridSpan w:val="4"/>
            <w:shd w:val="clear" w:color="auto" w:fill="CEFFE7"/>
          </w:tcPr>
          <w:p>
            <w:pPr>
              <w:jc w:val="center"/>
              <w:ind w:right="860"/>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11,832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ind w:left="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(6,594)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5,238</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(6,594)</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EFFE7"/>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580" w:type="dxa"/>
            <w:vAlign w:val="bottom"/>
            <w:shd w:val="clear" w:color="auto" w:fill="CEFFE7"/>
          </w:tcPr>
          <w:p>
            <w:pPr>
              <w:spacing w:after="0"/>
              <w:rPr>
                <w:sz w:val="6"/>
                <w:szCs w:val="6"/>
                <w:color w:val="auto"/>
              </w:rPr>
            </w:pPr>
          </w:p>
        </w:tc>
        <w:tc>
          <w:tcPr>
            <w:tcW w:w="780" w:type="dxa"/>
            <w:vAlign w:val="bottom"/>
            <w:shd w:val="clear" w:color="auto" w:fill="CEFFE7"/>
          </w:tcPr>
          <w:p>
            <w:pPr>
              <w:spacing w:after="0"/>
              <w:rPr>
                <w:sz w:val="6"/>
                <w:szCs w:val="6"/>
                <w:color w:val="auto"/>
              </w:rPr>
            </w:pPr>
          </w:p>
        </w:tc>
        <w:tc>
          <w:tcPr>
            <w:tcW w:w="440" w:type="dxa"/>
            <w:vAlign w:val="bottom"/>
            <w:shd w:val="clear" w:color="auto" w:fill="CEFFE7"/>
          </w:tcPr>
          <w:p>
            <w:pPr>
              <w:spacing w:after="0"/>
              <w:rPr>
                <w:sz w:val="6"/>
                <w:szCs w:val="6"/>
                <w:color w:val="auto"/>
              </w:rPr>
            </w:pPr>
          </w:p>
        </w:tc>
        <w:tc>
          <w:tcPr>
            <w:tcW w:w="84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100" w:type="dxa"/>
            <w:vAlign w:val="bottom"/>
            <w:shd w:val="clear" w:color="auto" w:fill="CEFFE7"/>
          </w:tcPr>
          <w:p>
            <w:pPr>
              <w:spacing w:after="0"/>
              <w:rPr>
                <w:sz w:val="6"/>
                <w:szCs w:val="6"/>
                <w:color w:val="auto"/>
              </w:rPr>
            </w:pPr>
          </w:p>
        </w:tc>
        <w:tc>
          <w:tcPr>
            <w:tcW w:w="90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660" w:type="dxa"/>
            <w:vAlign w:val="bottom"/>
            <w:shd w:val="clear" w:color="auto" w:fill="CEFFE7"/>
          </w:tcPr>
          <w:p>
            <w:pPr>
              <w:spacing w:after="0"/>
              <w:rPr>
                <w:sz w:val="6"/>
                <w:szCs w:val="6"/>
                <w:color w:val="auto"/>
              </w:rPr>
            </w:pPr>
          </w:p>
        </w:tc>
        <w:tc>
          <w:tcPr>
            <w:tcW w:w="880" w:type="dxa"/>
            <w:vAlign w:val="bottom"/>
            <w:shd w:val="clear" w:color="auto" w:fill="CEFFE7"/>
          </w:tcPr>
          <w:p>
            <w:pPr>
              <w:spacing w:after="0"/>
              <w:rPr>
                <w:sz w:val="6"/>
                <w:szCs w:val="6"/>
                <w:color w:val="auto"/>
              </w:rPr>
            </w:pPr>
          </w:p>
        </w:tc>
        <w:tc>
          <w:tcPr>
            <w:tcW w:w="360" w:type="dxa"/>
            <w:vAlign w:val="bottom"/>
            <w:shd w:val="clear" w:color="auto" w:fill="CEFFE7"/>
          </w:tcPr>
          <w:p>
            <w:pPr>
              <w:spacing w:after="0"/>
              <w:rPr>
                <w:sz w:val="6"/>
                <w:szCs w:val="6"/>
                <w:color w:val="auto"/>
              </w:rPr>
            </w:pPr>
          </w:p>
        </w:tc>
        <w:tc>
          <w:tcPr>
            <w:tcW w:w="116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12,212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ind w:left="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(6,619)</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5,593</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(6,619)</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right="220" w:hanging="332"/>
        <w:spacing w:after="0" w:line="294" w:lineRule="auto"/>
        <w:tabs>
          <w:tab w:leader="none" w:pos="344"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September 30, 2022, $6.6 million of our commodity derivative assets and $6.6 million of our commodity liabilities, as well as related gross collateral amounts, were subject to master netting agreements.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center"/>
              <w:ind w:right="900"/>
              <w:spacing w:after="0"/>
              <w:rPr>
                <w:sz w:val="20"/>
                <w:szCs w:val="20"/>
                <w:color w:val="auto"/>
              </w:rPr>
            </w:pPr>
            <w:r>
              <w:rPr>
                <w:rFonts w:ascii="Arial" w:cs="Arial" w:eastAsia="Arial" w:hAnsi="Arial"/>
                <w:sz w:val="16"/>
                <w:szCs w:val="16"/>
                <w:color w:val="auto"/>
              </w:rPr>
              <w:t>As of December 31, 2021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EFFE7"/>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color w:val="auto"/>
                <w:w w:val="91"/>
              </w:rPr>
              <w:t xml:space="preserve">Netting </w:t>
            </w:r>
            <w:r>
              <w:rPr>
                <w:rFonts w:ascii="Arial" w:cs="Arial" w:eastAsia="Arial" w:hAnsi="Arial"/>
                <w:sz w:val="21"/>
                <w:szCs w:val="21"/>
                <w:color w:val="auto"/>
                <w:w w:val="91"/>
                <w:vertAlign w:val="superscript"/>
              </w:rPr>
              <w:t>(a)</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740" w:type="dxa"/>
            <w:vAlign w:val="bottom"/>
            <w:gridSpan w:val="4"/>
            <w:shd w:val="clear" w:color="auto" w:fill="CEFFE7"/>
          </w:tcPr>
          <w:p>
            <w:pPr>
              <w:jc w:val="center"/>
              <w:ind w:right="880"/>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7,569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(2,374)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(2,374)</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EFFE7"/>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580" w:type="dxa"/>
            <w:vAlign w:val="bottom"/>
            <w:shd w:val="clear" w:color="auto" w:fill="CEFFE7"/>
          </w:tcPr>
          <w:p>
            <w:pPr>
              <w:spacing w:after="0"/>
              <w:rPr>
                <w:sz w:val="6"/>
                <w:szCs w:val="6"/>
                <w:color w:val="auto"/>
              </w:rPr>
            </w:pPr>
          </w:p>
        </w:tc>
        <w:tc>
          <w:tcPr>
            <w:tcW w:w="780" w:type="dxa"/>
            <w:vAlign w:val="bottom"/>
            <w:shd w:val="clear" w:color="auto" w:fill="CEFFE7"/>
          </w:tcPr>
          <w:p>
            <w:pPr>
              <w:spacing w:after="0"/>
              <w:rPr>
                <w:sz w:val="6"/>
                <w:szCs w:val="6"/>
                <w:color w:val="auto"/>
              </w:rPr>
            </w:pPr>
          </w:p>
        </w:tc>
        <w:tc>
          <w:tcPr>
            <w:tcW w:w="440" w:type="dxa"/>
            <w:vAlign w:val="bottom"/>
            <w:shd w:val="clear" w:color="auto" w:fill="CEFFE7"/>
          </w:tcPr>
          <w:p>
            <w:pPr>
              <w:spacing w:after="0"/>
              <w:rPr>
                <w:sz w:val="6"/>
                <w:szCs w:val="6"/>
                <w:color w:val="auto"/>
              </w:rPr>
            </w:pPr>
          </w:p>
        </w:tc>
        <w:tc>
          <w:tcPr>
            <w:tcW w:w="84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120" w:type="dxa"/>
            <w:vAlign w:val="bottom"/>
            <w:shd w:val="clear" w:color="auto" w:fill="CEFFE7"/>
          </w:tcPr>
          <w:p>
            <w:pPr>
              <w:spacing w:after="0"/>
              <w:rPr>
                <w:sz w:val="6"/>
                <w:szCs w:val="6"/>
                <w:color w:val="auto"/>
              </w:rPr>
            </w:pPr>
          </w:p>
        </w:tc>
        <w:tc>
          <w:tcPr>
            <w:tcW w:w="88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640" w:type="dxa"/>
            <w:vAlign w:val="bottom"/>
            <w:shd w:val="clear" w:color="auto" w:fill="CEFFE7"/>
          </w:tcPr>
          <w:p>
            <w:pPr>
              <w:spacing w:after="0"/>
              <w:rPr>
                <w:sz w:val="6"/>
                <w:szCs w:val="6"/>
                <w:color w:val="auto"/>
              </w:rPr>
            </w:pPr>
          </w:p>
        </w:tc>
        <w:tc>
          <w:tcPr>
            <w:tcW w:w="900" w:type="dxa"/>
            <w:vAlign w:val="bottom"/>
            <w:shd w:val="clear" w:color="auto" w:fill="CEFFE7"/>
          </w:tcPr>
          <w:p>
            <w:pPr>
              <w:spacing w:after="0"/>
              <w:rPr>
                <w:sz w:val="6"/>
                <w:szCs w:val="6"/>
                <w:color w:val="auto"/>
              </w:rPr>
            </w:pPr>
          </w:p>
        </w:tc>
        <w:tc>
          <w:tcPr>
            <w:tcW w:w="360" w:type="dxa"/>
            <w:vAlign w:val="bottom"/>
            <w:shd w:val="clear" w:color="auto" w:fill="CEFFE7"/>
          </w:tcPr>
          <w:p>
            <w:pPr>
              <w:spacing w:after="0"/>
              <w:rPr>
                <w:sz w:val="6"/>
                <w:szCs w:val="6"/>
                <w:color w:val="auto"/>
              </w:rPr>
            </w:pPr>
          </w:p>
        </w:tc>
        <w:tc>
          <w:tcPr>
            <w:tcW w:w="116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3,273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(1,814)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(1,814)</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right="580" w:hanging="332"/>
        <w:spacing w:after="0" w:line="284" w:lineRule="auto"/>
        <w:tabs>
          <w:tab w:leader="none" w:pos="34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2021, $2.4 million of our commodity derivative assets and $1.8 million of our commodity derivative liabilities, as well as related gross collateral amounts, were subject to master netting agreements.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24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2021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24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Condensed Consolidated Balance Sheets (in thousands) as of:</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color w:val="auto"/>
              </w:rPr>
              <w:t>September 30, 2022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157"/>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79"/>
              <w:spacing w:after="0" w:line="157" w:lineRule="exact"/>
              <w:rPr>
                <w:sz w:val="20"/>
                <w:szCs w:val="20"/>
                <w:color w:val="auto"/>
              </w:rPr>
            </w:pPr>
            <w:r>
              <w:rPr>
                <w:rFonts w:ascii="Arial" w:cs="Arial" w:eastAsia="Arial" w:hAnsi="Arial"/>
                <w:sz w:val="16"/>
                <w:szCs w:val="16"/>
                <w:color w:val="auto"/>
              </w:rPr>
              <w:t>Carrying</w:t>
            </w: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6"/>
                <w:szCs w:val="16"/>
                <w:color w:val="auto"/>
              </w:rPr>
              <w:t>Fair Value</w:t>
            </w:r>
          </w:p>
        </w:tc>
        <w:tc>
          <w:tcPr>
            <w:tcW w:w="220" w:type="dxa"/>
            <w:vAlign w:val="bottom"/>
          </w:tcPr>
          <w:p>
            <w:pPr>
              <w:spacing w:after="0"/>
              <w:rPr>
                <w:sz w:val="13"/>
                <w:szCs w:val="13"/>
                <w:color w:val="auto"/>
              </w:rPr>
            </w:pPr>
          </w:p>
        </w:tc>
        <w:tc>
          <w:tcPr>
            <w:tcW w:w="1080" w:type="dxa"/>
            <w:vAlign w:val="bottom"/>
          </w:tcPr>
          <w:p>
            <w:pPr>
              <w:jc w:val="right"/>
              <w:ind w:right="279"/>
              <w:spacing w:after="0" w:line="157" w:lineRule="exact"/>
              <w:rPr>
                <w:sz w:val="20"/>
                <w:szCs w:val="20"/>
                <w:color w:val="auto"/>
              </w:rPr>
            </w:pPr>
            <w:r>
              <w:rPr>
                <w:rFonts w:ascii="Arial" w:cs="Arial" w:eastAsia="Arial" w:hAnsi="Arial"/>
                <w:sz w:val="16"/>
                <w:szCs w:val="16"/>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215"/>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22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4,131,033</w:t>
            </w:r>
          </w:p>
        </w:tc>
        <w:tc>
          <w:tcPr>
            <w:tcW w:w="2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3,736,930</w:t>
            </w:r>
          </w:p>
        </w:tc>
        <w:tc>
          <w:tcPr>
            <w:tcW w:w="14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4,126,923</w:t>
            </w:r>
          </w:p>
        </w:tc>
        <w:tc>
          <w:tcPr>
            <w:tcW w:w="24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4,570,619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right="140" w:hanging="332"/>
        <w:spacing w:after="0" w:line="284" w:lineRule="auto"/>
        <w:tabs>
          <w:tab w:leader="none" w:pos="3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4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Income for the period, net of tax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jc w:val="center"/>
              <w:ind w:right="300"/>
              <w:spacing w:after="0"/>
              <w:rPr>
                <w:sz w:val="20"/>
                <w:szCs w:val="20"/>
                <w:color w:val="auto"/>
              </w:rPr>
            </w:pPr>
            <w:r>
              <w:rPr>
                <w:rFonts w:ascii="Arial" w:cs="Arial" w:eastAsia="Arial" w:hAnsi="Arial"/>
                <w:sz w:val="16"/>
                <w:szCs w:val="16"/>
                <w:color w:val="auto"/>
              </w:rPr>
              <w:t>Amount Reclassified from</w:t>
            </w:r>
          </w:p>
        </w:tc>
        <w:tc>
          <w:tcPr>
            <w:tcW w:w="140" w:type="dxa"/>
            <w:vAlign w:val="bottom"/>
          </w:tcPr>
          <w:p>
            <w:pPr>
              <w:spacing w:after="0"/>
              <w:rPr>
                <w:sz w:val="16"/>
                <w:szCs w:val="16"/>
                <w:color w:val="auto"/>
              </w:rPr>
            </w:pPr>
          </w:p>
        </w:tc>
        <w:tc>
          <w:tcPr>
            <w:tcW w:w="2020" w:type="dxa"/>
            <w:vAlign w:val="bottom"/>
            <w:gridSpan w:val="3"/>
          </w:tcPr>
          <w:p>
            <w:pPr>
              <w:jc w:val="center"/>
              <w:ind w:right="59"/>
              <w:spacing w:after="0"/>
              <w:rPr>
                <w:sz w:val="20"/>
                <w:szCs w:val="20"/>
                <w:color w:val="auto"/>
              </w:rPr>
            </w:pPr>
            <w:r>
              <w:rPr>
                <w:rFonts w:ascii="Arial" w:cs="Arial" w:eastAsia="Arial" w:hAnsi="Arial"/>
                <w:sz w:val="16"/>
                <w:szCs w:val="16"/>
                <w:color w:val="auto"/>
              </w:rPr>
              <w:t>Amount Reclassified from</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left="579"/>
              <w:spacing w:after="0"/>
              <w:rPr>
                <w:sz w:val="20"/>
                <w:szCs w:val="20"/>
                <w:color w:val="auto"/>
              </w:rPr>
            </w:pPr>
            <w:r>
              <w:rPr>
                <w:rFonts w:ascii="Arial" w:cs="Arial" w:eastAsia="Arial" w:hAnsi="Arial"/>
                <w:sz w:val="16"/>
                <w:szCs w:val="16"/>
                <w:color w:val="auto"/>
              </w:rPr>
              <w:t>AOCI</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left="579"/>
              <w:spacing w:after="0"/>
              <w:rPr>
                <w:sz w:val="20"/>
                <w:szCs w:val="20"/>
                <w:color w:val="auto"/>
              </w:rPr>
            </w:pPr>
            <w:r>
              <w:rPr>
                <w:rFonts w:ascii="Arial" w:cs="Arial" w:eastAsia="Arial" w:hAnsi="Arial"/>
                <w:sz w:val="16"/>
                <w:szCs w:val="16"/>
                <w:color w:val="auto"/>
              </w:rPr>
              <w:t>AOCI</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300"/>
              <w:spacing w:after="0" w:line="164" w:lineRule="exact"/>
              <w:rPr>
                <w:sz w:val="20"/>
                <w:szCs w:val="20"/>
                <w:color w:val="auto"/>
              </w:rPr>
            </w:pPr>
            <w:r>
              <w:rPr>
                <w:rFonts w:ascii="Arial" w:cs="Arial" w:eastAsia="Arial" w:hAnsi="Arial"/>
                <w:sz w:val="16"/>
                <w:szCs w:val="16"/>
                <w:color w:val="auto"/>
              </w:rPr>
              <w:t>Three Months Ended</w:t>
            </w:r>
          </w:p>
        </w:tc>
        <w:tc>
          <w:tcPr>
            <w:tcW w:w="140" w:type="dxa"/>
            <w:vAlign w:val="bottom"/>
          </w:tcPr>
          <w:p>
            <w:pPr>
              <w:spacing w:after="0"/>
              <w:rPr>
                <w:sz w:val="14"/>
                <w:szCs w:val="14"/>
                <w:color w:val="auto"/>
              </w:rPr>
            </w:pPr>
          </w:p>
        </w:tc>
        <w:tc>
          <w:tcPr>
            <w:tcW w:w="2020" w:type="dxa"/>
            <w:vAlign w:val="bottom"/>
            <w:gridSpan w:val="3"/>
          </w:tcPr>
          <w:p>
            <w:pPr>
              <w:jc w:val="center"/>
              <w:ind w:right="59"/>
              <w:spacing w:after="0" w:line="164" w:lineRule="exact"/>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6"/>
                <w:szCs w:val="16"/>
                <w:color w:val="auto"/>
              </w:rPr>
              <w:t>Location on the Condensed</w:t>
            </w:r>
          </w:p>
        </w:tc>
        <w:tc>
          <w:tcPr>
            <w:tcW w:w="160" w:type="dxa"/>
            <w:vAlign w:val="bottom"/>
          </w:tcPr>
          <w:p>
            <w:pPr>
              <w:spacing w:after="0"/>
              <w:rPr>
                <w:sz w:val="18"/>
                <w:szCs w:val="18"/>
                <w:color w:val="auto"/>
              </w:rPr>
            </w:pPr>
          </w:p>
        </w:tc>
        <w:tc>
          <w:tcPr>
            <w:tcW w:w="2220" w:type="dxa"/>
            <w:vAlign w:val="bottom"/>
            <w:gridSpan w:val="4"/>
          </w:tcPr>
          <w:p>
            <w:pPr>
              <w:jc w:val="center"/>
              <w:ind w:right="280"/>
              <w:spacing w:after="0"/>
              <w:rPr>
                <w:sz w:val="20"/>
                <w:szCs w:val="20"/>
                <w:color w:val="auto"/>
              </w:rPr>
            </w:pPr>
            <w:r>
              <w:rPr>
                <w:rFonts w:ascii="Arial" w:cs="Arial" w:eastAsia="Arial" w:hAnsi="Arial"/>
                <w:sz w:val="16"/>
                <w:szCs w:val="16"/>
                <w:color w:val="auto"/>
              </w:rPr>
              <w:t>September 30,</w:t>
            </w:r>
          </w:p>
        </w:tc>
        <w:tc>
          <w:tcPr>
            <w:tcW w:w="140" w:type="dxa"/>
            <w:vAlign w:val="bottom"/>
          </w:tcPr>
          <w:p>
            <w:pPr>
              <w:spacing w:after="0"/>
              <w:rPr>
                <w:sz w:val="18"/>
                <w:szCs w:val="18"/>
                <w:color w:val="auto"/>
              </w:rPr>
            </w:pPr>
          </w:p>
        </w:tc>
        <w:tc>
          <w:tcPr>
            <w:tcW w:w="2020" w:type="dxa"/>
            <w:vAlign w:val="bottom"/>
            <w:gridSpan w:val="3"/>
          </w:tcPr>
          <w:p>
            <w:pPr>
              <w:jc w:val="center"/>
              <w:ind w:right="5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Consolidated Statements of Income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EFFE7"/>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Gains and (losses) on cash flow hedges:</w:t>
            </w:r>
          </w:p>
        </w:tc>
        <w:tc>
          <w:tcPr>
            <w:tcW w:w="28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8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(2,138)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163"/>
        </w:trPr>
        <w:tc>
          <w:tcPr>
            <w:tcW w:w="3880" w:type="dxa"/>
            <w:vAlign w:val="bottom"/>
            <w:vMerge w:val="restart"/>
            <w:shd w:val="clear" w:color="auto" w:fill="CEFFE7"/>
          </w:tcPr>
          <w:p>
            <w:pPr>
              <w:ind w:left="20"/>
              <w:spacing w:after="0"/>
              <w:rPr>
                <w:sz w:val="20"/>
                <w:szCs w:val="20"/>
                <w:color w:val="auto"/>
              </w:rPr>
            </w:pPr>
            <w:r>
              <w:rPr>
                <w:rFonts w:ascii="Arial" w:cs="Arial" w:eastAsia="Arial" w:hAnsi="Arial"/>
                <w:sz w:val="16"/>
                <w:szCs w:val="16"/>
                <w:color w:val="auto"/>
              </w:rPr>
              <w:t>Commodity contracts</w:t>
            </w:r>
          </w:p>
        </w:tc>
        <w:tc>
          <w:tcPr>
            <w:tcW w:w="2820" w:type="dxa"/>
            <w:vAlign w:val="bottom"/>
            <w:shd w:val="clear" w:color="auto" w:fill="CEFFE7"/>
          </w:tcPr>
          <w:p>
            <w:pPr>
              <w:ind w:left="40"/>
              <w:spacing w:after="0" w:line="163" w:lineRule="exact"/>
              <w:rPr>
                <w:sz w:val="20"/>
                <w:szCs w:val="20"/>
                <w:color w:val="auto"/>
              </w:rPr>
            </w:pPr>
            <w:r>
              <w:rPr>
                <w:rFonts w:ascii="Arial" w:cs="Arial" w:eastAsia="Arial" w:hAnsi="Arial"/>
                <w:sz w:val="16"/>
                <w:szCs w:val="16"/>
                <w:color w:val="auto"/>
              </w:rPr>
              <w:t>Fuel, purchased power and cost of</w:t>
            </w:r>
          </w:p>
        </w:tc>
        <w:tc>
          <w:tcPr>
            <w:tcW w:w="160" w:type="dxa"/>
            <w:vAlign w:val="bottom"/>
            <w:shd w:val="clear" w:color="auto" w:fill="CEFFE7"/>
          </w:tcPr>
          <w:p>
            <w:pPr>
              <w:spacing w:after="0"/>
              <w:rPr>
                <w:sz w:val="14"/>
                <w:szCs w:val="14"/>
                <w:color w:val="auto"/>
              </w:rPr>
            </w:pP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43</w:t>
            </w:r>
          </w:p>
        </w:tc>
        <w:tc>
          <w:tcPr>
            <w:tcW w:w="30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331</w:t>
            </w:r>
          </w:p>
        </w:tc>
        <w:tc>
          <w:tcPr>
            <w:tcW w:w="140" w:type="dxa"/>
            <w:vAlign w:val="bottom"/>
            <w:shd w:val="clear" w:color="auto" w:fill="CEFFE7"/>
          </w:tcPr>
          <w:p>
            <w:pPr>
              <w:spacing w:after="0"/>
              <w:rPr>
                <w:sz w:val="14"/>
                <w:szCs w:val="14"/>
                <w:color w:val="auto"/>
              </w:rPr>
            </w:pPr>
          </w:p>
        </w:tc>
        <w:tc>
          <w:tcPr>
            <w:tcW w:w="140" w:type="dxa"/>
            <w:vAlign w:val="bottom"/>
            <w:shd w:val="clear" w:color="auto" w:fill="CEFFE7"/>
          </w:tcPr>
          <w:p>
            <w:pPr>
              <w:spacing w:after="0"/>
              <w:rPr>
                <w:sz w:val="14"/>
                <w:szCs w:val="14"/>
                <w:color w:val="auto"/>
              </w:rPr>
            </w:pP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3,620</w:t>
            </w:r>
          </w:p>
        </w:tc>
        <w:tc>
          <w:tcPr>
            <w:tcW w:w="280" w:type="dxa"/>
            <w:vAlign w:val="bottom"/>
            <w:shd w:val="clear" w:color="auto" w:fill="CEFFE7"/>
          </w:tcPr>
          <w:p>
            <w:pPr>
              <w:spacing w:after="0"/>
              <w:rPr>
                <w:sz w:val="14"/>
                <w:szCs w:val="14"/>
                <w:color w:val="auto"/>
              </w:rPr>
            </w:pP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5"/>
        </w:trPr>
        <w:tc>
          <w:tcPr>
            <w:tcW w:w="3880" w:type="dxa"/>
            <w:vAlign w:val="bottom"/>
            <w:vMerge w:val="continue"/>
            <w:shd w:val="clear" w:color="auto" w:fill="CEFFE7"/>
          </w:tcPr>
          <w:p>
            <w:pPr>
              <w:spacing w:after="0"/>
              <w:rPr>
                <w:sz w:val="18"/>
                <w:szCs w:val="18"/>
                <w:color w:val="auto"/>
              </w:rPr>
            </w:pPr>
          </w:p>
        </w:tc>
        <w:tc>
          <w:tcPr>
            <w:tcW w:w="2820" w:type="dxa"/>
            <w:vAlign w:val="bottom"/>
            <w:shd w:val="clear" w:color="auto" w:fill="CEFFE7"/>
          </w:tcPr>
          <w:p>
            <w:pPr>
              <w:ind w:left="40"/>
              <w:spacing w:after="0"/>
              <w:rPr>
                <w:sz w:val="20"/>
                <w:szCs w:val="20"/>
                <w:color w:val="auto"/>
              </w:rPr>
            </w:pPr>
            <w:r>
              <w:rPr>
                <w:rFonts w:ascii="Arial" w:cs="Arial" w:eastAsia="Arial" w:hAnsi="Arial"/>
                <w:sz w:val="16"/>
                <w:szCs w:val="16"/>
                <w:color w:val="auto"/>
              </w:rPr>
              <w:t>natural gas sold</w:t>
            </w:r>
          </w:p>
        </w:tc>
        <w:tc>
          <w:tcPr>
            <w:tcW w:w="1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vMerge w:val="continue"/>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vMerge w:val="continue"/>
            <w:shd w:val="clear" w:color="auto" w:fill="CEFFE7"/>
          </w:tcPr>
          <w:p>
            <w:pPr>
              <w:spacing w:after="0"/>
              <w:rPr>
                <w:sz w:val="18"/>
                <w:szCs w:val="18"/>
                <w:color w:val="auto"/>
              </w:rPr>
            </w:pPr>
          </w:p>
        </w:tc>
        <w:tc>
          <w:tcPr>
            <w:tcW w:w="28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(669)</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1,482</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(1,782)</w:t>
            </w:r>
          </w:p>
        </w:tc>
        <w:tc>
          <w:tcPr>
            <w:tcW w:w="0" w:type="dxa"/>
            <w:vAlign w:val="bottom"/>
          </w:tcPr>
          <w:p>
            <w:pPr>
              <w:spacing w:after="0"/>
              <w:rPr>
                <w:sz w:val="1"/>
                <w:szCs w:val="1"/>
                <w:color w:val="auto"/>
              </w:rPr>
            </w:pPr>
          </w:p>
        </w:tc>
      </w:tr>
      <w:tr>
        <w:trPr>
          <w:trHeight w:val="217"/>
        </w:trPr>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w:t>
            </w:r>
          </w:p>
        </w:tc>
        <w:tc>
          <w:tcPr>
            <w:tcW w:w="2820" w:type="dxa"/>
            <w:vAlign w:val="bottom"/>
            <w:shd w:val="clear" w:color="auto" w:fill="CEFFE7"/>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124</w:t>
            </w:r>
          </w:p>
        </w:tc>
        <w:tc>
          <w:tcPr>
            <w:tcW w:w="30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42"/>
        </w:trPr>
        <w:tc>
          <w:tcPr>
            <w:tcW w:w="3880" w:type="dxa"/>
            <w:vAlign w:val="bottom"/>
          </w:tcPr>
          <w:p>
            <w:pPr>
              <w:ind w:left="20"/>
              <w:spacing w:after="0" w:line="142" w:lineRule="exact"/>
              <w:rPr>
                <w:sz w:val="20"/>
                <w:szCs w:val="20"/>
                <w:color w:val="auto"/>
              </w:rPr>
            </w:pPr>
            <w:r>
              <w:rPr>
                <w:rFonts w:ascii="Arial" w:cs="Arial" w:eastAsia="Arial" w:hAnsi="Arial"/>
                <w:sz w:val="16"/>
                <w:szCs w:val="16"/>
                <w:color w:val="auto"/>
              </w:rPr>
              <w:t>Total reclassification adjustments related to cash flow</w:t>
            </w:r>
          </w:p>
        </w:tc>
        <w:tc>
          <w:tcPr>
            <w:tcW w:w="28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(545)</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(407)</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1,150</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(1,474)</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hedges, net of tax</w:t>
            </w:r>
          </w:p>
        </w:tc>
        <w:tc>
          <w:tcPr>
            <w:tcW w:w="282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80" w:type="dxa"/>
            <w:vAlign w:val="bottom"/>
            <w:shd w:val="clear" w:color="auto" w:fill="CEFFE7"/>
          </w:tcPr>
          <w:p>
            <w:pPr>
              <w:spacing w:after="0"/>
              <w:rPr>
                <w:sz w:val="21"/>
                <w:szCs w:val="21"/>
                <w:color w:val="auto"/>
              </w:rPr>
            </w:pPr>
          </w:p>
        </w:tc>
        <w:tc>
          <w:tcPr>
            <w:tcW w:w="282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96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940" w:type="dxa"/>
            <w:vAlign w:val="bottom"/>
            <w:shd w:val="clear" w:color="auto" w:fill="CEFFE7"/>
          </w:tcPr>
          <w:p>
            <w:pPr>
              <w:spacing w:after="0"/>
              <w:rPr>
                <w:sz w:val="21"/>
                <w:szCs w:val="21"/>
                <w:color w:val="auto"/>
              </w:rPr>
            </w:pPr>
          </w:p>
        </w:tc>
        <w:tc>
          <w:tcPr>
            <w:tcW w:w="280" w:type="dxa"/>
            <w:vAlign w:val="bottom"/>
            <w:shd w:val="clear" w:color="auto" w:fill="CEFFE7"/>
          </w:tcPr>
          <w:p>
            <w:pPr>
              <w:spacing w:after="0"/>
              <w:rPr>
                <w:sz w:val="21"/>
                <w:szCs w:val="21"/>
                <w:color w:val="auto"/>
              </w:rPr>
            </w:pPr>
          </w:p>
        </w:tc>
        <w:tc>
          <w:tcPr>
            <w:tcW w:w="80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Prior service cost</w:t>
            </w:r>
          </w:p>
        </w:tc>
        <w:tc>
          <w:tcPr>
            <w:tcW w:w="2820" w:type="dxa"/>
            <w:vAlign w:val="bottom"/>
            <w:shd w:val="clear" w:color="auto" w:fill="CEFFE7"/>
          </w:tcPr>
          <w:p>
            <w:pPr>
              <w:ind w:left="40"/>
              <w:spacing w:after="0"/>
              <w:rPr>
                <w:sz w:val="20"/>
                <w:szCs w:val="20"/>
                <w:color w:val="auto"/>
              </w:rPr>
            </w:pPr>
            <w:r>
              <w:rPr>
                <w:rFonts w:ascii="Arial" w:cs="Arial" w:eastAsia="Arial" w:hAnsi="Arial"/>
                <w:sz w:val="16"/>
                <w:szCs w:val="16"/>
                <w:color w:val="auto"/>
              </w:rPr>
              <w:t>Operations and maintenance</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Actuarial gain (loss)</w:t>
            </w:r>
          </w:p>
        </w:tc>
        <w:tc>
          <w:tcPr>
            <w:tcW w:w="28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Operations and maintenance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4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210"/>
        </w:trPr>
        <w:tc>
          <w:tcPr>
            <w:tcW w:w="3880" w:type="dxa"/>
            <w:vAlign w:val="bottom"/>
            <w:shd w:val="clear" w:color="auto" w:fill="CEFFE7"/>
          </w:tcPr>
          <w:p>
            <w:pPr>
              <w:spacing w:after="0"/>
              <w:rPr>
                <w:sz w:val="18"/>
                <w:szCs w:val="18"/>
                <w:color w:val="auto"/>
              </w:rPr>
            </w:pPr>
          </w:p>
        </w:tc>
        <w:tc>
          <w:tcPr>
            <w:tcW w:w="28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w:t>
            </w:r>
          </w:p>
        </w:tc>
        <w:tc>
          <w:tcPr>
            <w:tcW w:w="30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(573)</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(493)</w:t>
            </w:r>
          </w:p>
        </w:tc>
        <w:tc>
          <w:tcPr>
            <w:tcW w:w="28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w:t>
            </w:r>
          </w:p>
        </w:tc>
        <w:tc>
          <w:tcPr>
            <w:tcW w:w="28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4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43"/>
        </w:trPr>
        <w:tc>
          <w:tcPr>
            <w:tcW w:w="3880" w:type="dxa"/>
            <w:vAlign w:val="bottom"/>
            <w:shd w:val="clear" w:color="auto" w:fill="CEFFE7"/>
          </w:tcPr>
          <w:p>
            <w:pPr>
              <w:ind w:left="20"/>
              <w:spacing w:after="0" w:line="143" w:lineRule="exact"/>
              <w:rPr>
                <w:sz w:val="20"/>
                <w:szCs w:val="20"/>
                <w:color w:val="auto"/>
              </w:rPr>
            </w:pPr>
            <w:r>
              <w:rPr>
                <w:rFonts w:ascii="Arial" w:cs="Arial" w:eastAsia="Arial" w:hAnsi="Arial"/>
                <w:sz w:val="16"/>
                <w:szCs w:val="16"/>
                <w:color w:val="auto"/>
              </w:rPr>
              <w:t>Total reclassification adjustments related to defined</w:t>
            </w:r>
          </w:p>
        </w:tc>
        <w:tc>
          <w:tcPr>
            <w:tcW w:w="2820" w:type="dxa"/>
            <w:vAlign w:val="bottom"/>
            <w:shd w:val="clear" w:color="auto" w:fill="CEFFE7"/>
          </w:tcPr>
          <w:p>
            <w:pPr>
              <w:spacing w:after="0"/>
              <w:rPr>
                <w:sz w:val="12"/>
                <w:szCs w:val="12"/>
                <w:color w:val="auto"/>
              </w:rPr>
            </w:pPr>
          </w:p>
        </w:tc>
        <w:tc>
          <w:tcPr>
            <w:tcW w:w="1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(106)</w:t>
            </w:r>
          </w:p>
        </w:tc>
        <w:tc>
          <w:tcPr>
            <w:tcW w:w="30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(440)</w:t>
            </w:r>
          </w:p>
        </w:tc>
        <w:tc>
          <w:tcPr>
            <w:tcW w:w="140" w:type="dxa"/>
            <w:vAlign w:val="bottom"/>
            <w:shd w:val="clear" w:color="auto" w:fill="CEFFE7"/>
          </w:tcPr>
          <w:p>
            <w:pPr>
              <w:spacing w:after="0"/>
              <w:rPr>
                <w:sz w:val="12"/>
                <w:szCs w:val="12"/>
                <w:color w:val="auto"/>
              </w:rPr>
            </w:pPr>
          </w:p>
        </w:tc>
        <w:tc>
          <w:tcPr>
            <w:tcW w:w="1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(336)</w:t>
            </w:r>
          </w:p>
        </w:tc>
        <w:tc>
          <w:tcPr>
            <w:tcW w:w="28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20"/>
        </w:trPr>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benefit plans, net of tax</w:t>
            </w:r>
          </w:p>
        </w:tc>
        <w:tc>
          <w:tcPr>
            <w:tcW w:w="2820" w:type="dxa"/>
            <w:vAlign w:val="bottom"/>
            <w:shd w:val="clear" w:color="auto" w:fill="CEFFE7"/>
          </w:tcPr>
          <w:p>
            <w:pPr>
              <w:spacing w:after="0"/>
              <w:rPr>
                <w:sz w:val="18"/>
                <w:szCs w:val="18"/>
                <w:color w:val="auto"/>
              </w:rPr>
            </w:pPr>
          </w:p>
        </w:tc>
        <w:tc>
          <w:tcPr>
            <w:tcW w:w="160" w:type="dxa"/>
            <w:vAlign w:val="bottom"/>
            <w:tcBorders>
              <w:bottom w:val="single" w:sz="8" w:color="auto"/>
            </w:tcBorders>
            <w:vMerge w:val="continue"/>
            <w:shd w:val="clear" w:color="auto" w:fill="CEFFE7"/>
          </w:tcPr>
          <w:p>
            <w:pPr>
              <w:spacing w:after="0"/>
              <w:rPr>
                <w:sz w:val="18"/>
                <w:szCs w:val="18"/>
                <w:color w:val="auto"/>
              </w:rPr>
            </w:pPr>
          </w:p>
        </w:tc>
        <w:tc>
          <w:tcPr>
            <w:tcW w:w="960" w:type="dxa"/>
            <w:vAlign w:val="bottom"/>
            <w:tcBorders>
              <w:bottom w:val="single" w:sz="8" w:color="auto"/>
            </w:tcBorders>
            <w:vMerge w:val="continue"/>
            <w:shd w:val="clear" w:color="auto" w:fill="CEFFE7"/>
          </w:tcPr>
          <w:p>
            <w:pPr>
              <w:spacing w:after="0"/>
              <w:rPr>
                <w:sz w:val="18"/>
                <w:szCs w:val="18"/>
                <w:color w:val="auto"/>
              </w:rPr>
            </w:pPr>
          </w:p>
        </w:tc>
        <w:tc>
          <w:tcPr>
            <w:tcW w:w="300" w:type="dxa"/>
            <w:vAlign w:val="bottom"/>
            <w:tcBorders>
              <w:bottom w:val="single" w:sz="8" w:color="auto"/>
            </w:tcBorders>
            <w:vMerge w:val="continue"/>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vMerge w:val="continue"/>
            <w:shd w:val="clear" w:color="auto" w:fill="CEFFE7"/>
          </w:tcPr>
          <w:p>
            <w:pPr>
              <w:spacing w:after="0"/>
              <w:rPr>
                <w:sz w:val="18"/>
                <w:szCs w:val="18"/>
                <w:color w:val="auto"/>
              </w:rPr>
            </w:pPr>
          </w:p>
        </w:tc>
        <w:tc>
          <w:tcPr>
            <w:tcW w:w="940" w:type="dxa"/>
            <w:vAlign w:val="bottom"/>
            <w:tcBorders>
              <w:bottom w:val="single" w:sz="8" w:color="auto"/>
            </w:tcBorders>
            <w:vMerge w:val="continue"/>
            <w:shd w:val="clear" w:color="auto" w:fill="CEFFE7"/>
          </w:tcPr>
          <w:p>
            <w:pPr>
              <w:spacing w:after="0"/>
              <w:rPr>
                <w:sz w:val="18"/>
                <w:szCs w:val="18"/>
                <w:color w:val="auto"/>
              </w:rPr>
            </w:pPr>
          </w:p>
        </w:tc>
        <w:tc>
          <w:tcPr>
            <w:tcW w:w="280" w:type="dxa"/>
            <w:vAlign w:val="bottom"/>
            <w:tcBorders>
              <w:bottom w:val="single" w:sz="8" w:color="auto"/>
            </w:tcBorders>
            <w:vMerge w:val="continue"/>
            <w:shd w:val="clear" w:color="auto" w:fill="CEFFE7"/>
          </w:tcPr>
          <w:p>
            <w:pPr>
              <w:spacing w:after="0"/>
              <w:rPr>
                <w:sz w:val="18"/>
                <w:szCs w:val="18"/>
                <w:color w:val="auto"/>
              </w:rPr>
            </w:pPr>
          </w:p>
        </w:tc>
        <w:tc>
          <w:tcPr>
            <w:tcW w:w="80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28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20" w:type="dxa"/>
            <w:vAlign w:val="bottom"/>
            <w:vMerge w:val="restart"/>
          </w:tcPr>
          <w:p>
            <w:pPr>
              <w:ind w:left="1660"/>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38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vMerge w:val="restart"/>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2"/>
                <w:szCs w:val="12"/>
                <w:color w:val="auto"/>
              </w:rPr>
            </w:pP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Pr>
          <w:p>
            <w:pPr>
              <w:spacing w:after="0"/>
              <w:rPr>
                <w:sz w:val="12"/>
                <w:szCs w:val="12"/>
                <w:color w:val="auto"/>
              </w:rPr>
            </w:pPr>
          </w:p>
        </w:tc>
        <w:tc>
          <w:tcPr>
            <w:tcW w:w="1540" w:type="dxa"/>
            <w:vAlign w:val="bottom"/>
          </w:tcPr>
          <w:p>
            <w:pPr>
              <w:jc w:val="center"/>
              <w:ind w:right="79"/>
              <w:spacing w:after="0" w:line="14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2"/>
                <w:szCs w:val="12"/>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2021</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(10,384)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1,476</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(11,176)</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(20,084)</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509</w:t>
            </w:r>
          </w:p>
        </w:tc>
        <w:tc>
          <w:tcPr>
            <w:tcW w:w="160" w:type="dxa"/>
            <w:vAlign w:val="bottom"/>
            <w:shd w:val="clear" w:color="auto" w:fill="CEFFE7"/>
          </w:tcPr>
          <w:p>
            <w:pPr>
              <w:spacing w:after="0"/>
              <w:rPr>
                <w:sz w:val="18"/>
                <w:szCs w:val="18"/>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September 30, 2022</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(8,795)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(10,840)</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(20,389)</w:t>
            </w: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4000" w:type="dxa"/>
            <w:vAlign w:val="bottom"/>
            <w:tcBorders>
              <w:top w:val="single" w:sz="8" w:color="CEFFE7"/>
              <w:bottom w:val="single" w:sz="8" w:color="auto"/>
            </w:tcBorders>
            <w:gridSpan w:val="3"/>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vMerge w:val="restart"/>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2"/>
                <w:szCs w:val="12"/>
                <w:color w:val="auto"/>
              </w:rPr>
            </w:pP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Pr>
          <w:p>
            <w:pPr>
              <w:spacing w:after="0"/>
              <w:rPr>
                <w:sz w:val="12"/>
                <w:szCs w:val="12"/>
                <w:color w:val="auto"/>
              </w:rPr>
            </w:pPr>
          </w:p>
        </w:tc>
        <w:tc>
          <w:tcPr>
            <w:tcW w:w="1540" w:type="dxa"/>
            <w:vAlign w:val="bottom"/>
          </w:tcPr>
          <w:p>
            <w:pPr>
              <w:jc w:val="center"/>
              <w:ind w:right="79"/>
              <w:spacing w:after="0" w:line="14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2"/>
                <w:szCs w:val="12"/>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2020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(12,558)</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(14,790)</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(27,346)</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5,476</w:t>
            </w:r>
          </w:p>
        </w:tc>
        <w:tc>
          <w:tcPr>
            <w:tcW w:w="160" w:type="dxa"/>
            <w:vAlign w:val="bottom"/>
            <w:shd w:val="clear" w:color="auto" w:fill="CEFFE7"/>
          </w:tcPr>
          <w:p>
            <w:pPr>
              <w:spacing w:after="0"/>
              <w:rPr>
                <w:sz w:val="18"/>
                <w:szCs w:val="18"/>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5,476</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September 30, 2021</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(10,815)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5,209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(13,563)</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(19,169)</w:t>
            </w: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20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8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3"/>
            <w:vMerge w:val="restart"/>
          </w:tcPr>
          <w:p>
            <w:pPr>
              <w:jc w:val="right"/>
              <w:ind w:right="99"/>
              <w:spacing w:after="0"/>
              <w:rPr>
                <w:sz w:val="20"/>
                <w:szCs w:val="20"/>
                <w:color w:val="auto"/>
              </w:rPr>
            </w:pPr>
            <w:r>
              <w:rPr>
                <w:rFonts w:ascii="Arial" w:cs="Arial" w:eastAsia="Arial" w:hAnsi="Arial"/>
                <w:sz w:val="16"/>
                <w:szCs w:val="16"/>
                <w:color w:val="auto"/>
              </w:rPr>
              <w:t>Defined Benefit Pension Plan</w:t>
            </w:r>
          </w:p>
        </w:tc>
        <w:tc>
          <w:tcPr>
            <w:tcW w:w="180" w:type="dxa"/>
            <w:vAlign w:val="bottom"/>
          </w:tcPr>
          <w:p>
            <w:pPr>
              <w:spacing w:after="0"/>
              <w:rPr>
                <w:sz w:val="16"/>
                <w:szCs w:val="16"/>
                <w:color w:val="auto"/>
              </w:rPr>
            </w:pPr>
          </w:p>
        </w:tc>
        <w:tc>
          <w:tcPr>
            <w:tcW w:w="2280" w:type="dxa"/>
            <w:vAlign w:val="bottom"/>
            <w:gridSpan w:val="3"/>
          </w:tcPr>
          <w:p>
            <w:pPr>
              <w:jc w:val="right"/>
              <w:ind w:right="139"/>
              <w:spacing w:after="0"/>
              <w:rPr>
                <w:sz w:val="20"/>
                <w:szCs w:val="20"/>
                <w:color w:val="auto"/>
              </w:rPr>
            </w:pPr>
            <w:r>
              <w:rPr>
                <w:rFonts w:ascii="Arial" w:cs="Arial" w:eastAsia="Arial" w:hAnsi="Arial"/>
                <w:sz w:val="16"/>
                <w:szCs w:val="16"/>
                <w:color w:val="auto"/>
              </w:rPr>
              <w:t>Supplemental Non-qualified</w:t>
            </w:r>
          </w:p>
        </w:tc>
        <w:tc>
          <w:tcPr>
            <w:tcW w:w="140" w:type="dxa"/>
            <w:vAlign w:val="bottom"/>
          </w:tcPr>
          <w:p>
            <w:pPr>
              <w:spacing w:after="0"/>
              <w:rPr>
                <w:sz w:val="16"/>
                <w:szCs w:val="16"/>
                <w:color w:val="auto"/>
              </w:rPr>
            </w:pPr>
          </w:p>
        </w:tc>
        <w:tc>
          <w:tcPr>
            <w:tcW w:w="2380" w:type="dxa"/>
            <w:vAlign w:val="bottom"/>
            <w:gridSpan w:val="3"/>
          </w:tcPr>
          <w:p>
            <w:pPr>
              <w:jc w:val="center"/>
              <w:ind w:right="19"/>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color w:val="auto"/>
              </w:rPr>
              <w:t>Defined Benefit Plans</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color w:val="auto"/>
              </w:rPr>
              <w:t>Postretirement Healthcare Plan</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Service cost</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982</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235</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492</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2,705</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7"/>
        </w:trPr>
        <w:tc>
          <w:tcPr>
            <w:tcW w:w="38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(4,631)</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(5,219)</w:t>
            </w:r>
          </w:p>
        </w:tc>
        <w:tc>
          <w:tcPr>
            <w:tcW w:w="18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Recognized net actuarial loss</w:t>
            </w:r>
          </w:p>
        </w:tc>
        <w:tc>
          <w:tcPr>
            <w:tcW w:w="1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1,522</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1,828</w:t>
            </w:r>
          </w:p>
        </w:tc>
        <w:tc>
          <w:tcPr>
            <w:tcW w:w="180" w:type="dxa"/>
            <w:vAlign w:val="bottom"/>
            <w:tcBorders>
              <w:bottom w:val="single" w:sz="8" w:color="auto"/>
            </w:tcBorders>
            <w:shd w:val="clear" w:color="auto" w:fill="CEFFE7"/>
          </w:tcPr>
          <w:p>
            <w:pPr>
              <w:spacing w:after="0"/>
              <w:rPr>
                <w:sz w:val="18"/>
                <w:szCs w:val="18"/>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w:t>
            </w:r>
          </w:p>
        </w:tc>
        <w:tc>
          <w:tcPr>
            <w:tcW w:w="28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439</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Net periodic expense (benefit)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3"/>
            <w:vMerge w:val="restart"/>
          </w:tcPr>
          <w:p>
            <w:pPr>
              <w:jc w:val="right"/>
              <w:ind w:right="99"/>
              <w:spacing w:after="0"/>
              <w:rPr>
                <w:sz w:val="20"/>
                <w:szCs w:val="20"/>
                <w:color w:val="auto"/>
              </w:rPr>
            </w:pPr>
            <w:r>
              <w:rPr>
                <w:rFonts w:ascii="Arial" w:cs="Arial" w:eastAsia="Arial" w:hAnsi="Arial"/>
                <w:sz w:val="16"/>
                <w:szCs w:val="16"/>
                <w:color w:val="auto"/>
              </w:rPr>
              <w:t>Defined Benefit Pension Plan</w:t>
            </w:r>
          </w:p>
        </w:tc>
        <w:tc>
          <w:tcPr>
            <w:tcW w:w="180" w:type="dxa"/>
            <w:vAlign w:val="bottom"/>
          </w:tcPr>
          <w:p>
            <w:pPr>
              <w:spacing w:after="0"/>
              <w:rPr>
                <w:sz w:val="24"/>
                <w:szCs w:val="24"/>
                <w:color w:val="auto"/>
              </w:rPr>
            </w:pPr>
          </w:p>
        </w:tc>
        <w:tc>
          <w:tcPr>
            <w:tcW w:w="2280" w:type="dxa"/>
            <w:vAlign w:val="bottom"/>
            <w:gridSpan w:val="3"/>
          </w:tcPr>
          <w:p>
            <w:pPr>
              <w:jc w:val="right"/>
              <w:ind w:right="139"/>
              <w:spacing w:after="0"/>
              <w:rPr>
                <w:sz w:val="20"/>
                <w:szCs w:val="20"/>
                <w:color w:val="auto"/>
              </w:rPr>
            </w:pPr>
            <w:r>
              <w:rPr>
                <w:rFonts w:ascii="Arial" w:cs="Arial" w:eastAsia="Arial" w:hAnsi="Arial"/>
                <w:sz w:val="16"/>
                <w:szCs w:val="16"/>
                <w:color w:val="auto"/>
              </w:rPr>
              <w:t>Supplemental Non-qualified</w:t>
            </w:r>
          </w:p>
        </w:tc>
        <w:tc>
          <w:tcPr>
            <w:tcW w:w="140" w:type="dxa"/>
            <w:vAlign w:val="bottom"/>
          </w:tcPr>
          <w:p>
            <w:pPr>
              <w:spacing w:after="0"/>
              <w:rPr>
                <w:sz w:val="24"/>
                <w:szCs w:val="24"/>
                <w:color w:val="auto"/>
              </w:rPr>
            </w:pPr>
          </w:p>
        </w:tc>
        <w:tc>
          <w:tcPr>
            <w:tcW w:w="2380" w:type="dxa"/>
            <w:vAlign w:val="bottom"/>
            <w:gridSpan w:val="3"/>
          </w:tcPr>
          <w:p>
            <w:pPr>
              <w:jc w:val="center"/>
              <w:ind w:right="19"/>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color w:val="auto"/>
              </w:rPr>
              <w:t>Defined Benefit Plans</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color w:val="auto"/>
              </w:rPr>
              <w:t>Postretirement Healthcare Plan</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September 30,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Service cost</w:t>
            </w:r>
          </w:p>
        </w:tc>
        <w:tc>
          <w:tcPr>
            <w:tcW w:w="140" w:type="dxa"/>
            <w:vAlign w:val="bottom"/>
            <w:shd w:val="clear" w:color="auto" w:fill="CEFFE7"/>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2,946</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3,779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(2,018)</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1,948</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1,476</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8,114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6,984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17"/>
        </w:trPr>
        <w:tc>
          <w:tcPr>
            <w:tcW w:w="38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(13,892)</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(15,657)</w:t>
            </w:r>
          </w:p>
        </w:tc>
        <w:tc>
          <w:tcPr>
            <w:tcW w:w="18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5"/>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6"/>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Recognized net actuarial loss</w:t>
            </w:r>
          </w:p>
        </w:tc>
        <w:tc>
          <w:tcPr>
            <w:tcW w:w="2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4,568</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5,486</w:t>
            </w:r>
          </w:p>
        </w:tc>
        <w:tc>
          <w:tcPr>
            <w:tcW w:w="180" w:type="dxa"/>
            <w:vAlign w:val="bottom"/>
            <w:tcBorders>
              <w:bottom w:val="single" w:sz="8" w:color="auto"/>
            </w:tcBorders>
            <w:shd w:val="clear" w:color="auto" w:fill="CEFFE7"/>
          </w:tcPr>
          <w:p>
            <w:pPr>
              <w:spacing w:after="0"/>
              <w:rPr>
                <w:sz w:val="18"/>
                <w:szCs w:val="18"/>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207</w:t>
            </w:r>
          </w:p>
        </w:tc>
        <w:tc>
          <w:tcPr>
            <w:tcW w:w="28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1,316</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0"/>
        </w:trPr>
        <w:tc>
          <w:tcPr>
            <w:tcW w:w="3800" w:type="dxa"/>
            <w:vAlign w:val="bottom"/>
            <w:gridSpan w:val="2"/>
          </w:tcPr>
          <w:p>
            <w:pPr>
              <w:ind w:left="20"/>
              <w:spacing w:after="0"/>
              <w:rPr>
                <w:sz w:val="20"/>
                <w:szCs w:val="20"/>
                <w:color w:val="auto"/>
              </w:rPr>
            </w:pPr>
            <w:r>
              <w:rPr>
                <w:rFonts w:ascii="Arial" w:cs="Arial" w:eastAsia="Arial" w:hAnsi="Arial"/>
                <w:sz w:val="16"/>
                <w:szCs w:val="16"/>
                <w:color w:val="auto"/>
              </w:rPr>
              <w:t>Net periodic expense (benefit)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1,685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(1,185)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3,794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2,177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59"/>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248"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nine months of 2022 and anticipated contributions for 2022 and 2023 are as follows (in thousands):</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79"/>
              <w:spacing w:after="0"/>
              <w:rPr>
                <w:sz w:val="20"/>
                <w:szCs w:val="20"/>
                <w:color w:val="auto"/>
              </w:rPr>
            </w:pPr>
            <w:r>
              <w:rPr>
                <w:rFonts w:ascii="Arial" w:cs="Arial" w:eastAsia="Arial" w:hAnsi="Arial"/>
                <w:sz w:val="16"/>
                <w:szCs w:val="16"/>
                <w:color w:val="auto"/>
              </w:rPr>
              <w:t>Contributions Made</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Additional Contributions</w:t>
            </w:r>
          </w:p>
        </w:tc>
        <w:tc>
          <w:tcPr>
            <w:tcW w:w="200" w:type="dxa"/>
            <w:vAlign w:val="bottom"/>
          </w:tcPr>
          <w:p>
            <w:pPr>
              <w:spacing w:after="0"/>
              <w:rPr>
                <w:sz w:val="18"/>
                <w:szCs w:val="18"/>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color w:val="auto"/>
              </w:rPr>
              <w:t>Contributions</w:t>
            </w:r>
          </w:p>
        </w:tc>
        <w:tc>
          <w:tcPr>
            <w:tcW w:w="0" w:type="dxa"/>
            <w:vAlign w:val="bottom"/>
          </w:tcPr>
          <w:p>
            <w:pPr>
              <w:spacing w:after="0"/>
              <w:rPr>
                <w:sz w:val="1"/>
                <w:szCs w:val="1"/>
                <w:color w:val="auto"/>
              </w:rPr>
            </w:pPr>
          </w:p>
        </w:tc>
      </w:tr>
      <w:tr>
        <w:trPr>
          <w:trHeight w:val="164"/>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jc w:val="center"/>
              <w:ind w:right="59"/>
              <w:spacing w:after="0" w:line="164" w:lineRule="exact"/>
              <w:rPr>
                <w:sz w:val="20"/>
                <w:szCs w:val="20"/>
                <w:color w:val="auto"/>
              </w:rPr>
            </w:pPr>
            <w:r>
              <w:rPr>
                <w:rFonts w:ascii="Arial" w:cs="Arial" w:eastAsia="Arial" w:hAnsi="Arial"/>
                <w:sz w:val="16"/>
                <w:szCs w:val="16"/>
                <w:color w:val="auto"/>
              </w:rPr>
              <w:t>Nine Months Ended</w:t>
            </w:r>
          </w:p>
        </w:tc>
        <w:tc>
          <w:tcPr>
            <w:tcW w:w="180" w:type="dxa"/>
            <w:vAlign w:val="bottom"/>
          </w:tcPr>
          <w:p>
            <w:pPr>
              <w:spacing w:after="0"/>
              <w:rPr>
                <w:sz w:val="14"/>
                <w:szCs w:val="14"/>
                <w:color w:val="auto"/>
              </w:rPr>
            </w:pPr>
          </w:p>
        </w:tc>
        <w:tc>
          <w:tcPr>
            <w:tcW w:w="1720" w:type="dxa"/>
            <w:vAlign w:val="bottom"/>
            <w:vMerge w:val="restart"/>
          </w:tcPr>
          <w:p>
            <w:pPr>
              <w:jc w:val="right"/>
              <w:ind w:right="119"/>
              <w:spacing w:after="0"/>
              <w:rPr>
                <w:sz w:val="20"/>
                <w:szCs w:val="20"/>
                <w:color w:val="auto"/>
              </w:rPr>
            </w:pPr>
            <w:r>
              <w:rPr>
                <w:rFonts w:ascii="Arial" w:cs="Arial" w:eastAsia="Arial" w:hAnsi="Arial"/>
                <w:sz w:val="16"/>
                <w:szCs w:val="16"/>
                <w:color w:val="auto"/>
              </w:rPr>
              <w:t>Anticipated for 2022</w:t>
            </w:r>
          </w:p>
        </w:tc>
        <w:tc>
          <w:tcPr>
            <w:tcW w:w="200" w:type="dxa"/>
            <w:vAlign w:val="bottom"/>
          </w:tcPr>
          <w:p>
            <w:pPr>
              <w:spacing w:after="0"/>
              <w:rPr>
                <w:sz w:val="14"/>
                <w:szCs w:val="14"/>
                <w:color w:val="auto"/>
              </w:rPr>
            </w:pPr>
          </w:p>
        </w:tc>
        <w:tc>
          <w:tcPr>
            <w:tcW w:w="1720" w:type="dxa"/>
            <w:vAlign w:val="bottom"/>
            <w:vMerge w:val="restart"/>
          </w:tcPr>
          <w:p>
            <w:pPr>
              <w:jc w:val="right"/>
              <w:ind w:right="139"/>
              <w:spacing w:after="0"/>
              <w:rPr>
                <w:sz w:val="20"/>
                <w:szCs w:val="20"/>
                <w:color w:val="auto"/>
              </w:rPr>
            </w:pPr>
            <w:r>
              <w:rPr>
                <w:rFonts w:ascii="Arial" w:cs="Arial" w:eastAsia="Arial" w:hAnsi="Arial"/>
                <w:sz w:val="16"/>
                <w:szCs w:val="16"/>
                <w:color w:val="auto"/>
              </w:rPr>
              <w:t>Anticipated for 2023</w:t>
            </w:r>
          </w:p>
        </w:tc>
        <w:tc>
          <w:tcPr>
            <w:tcW w:w="0" w:type="dxa"/>
            <w:vAlign w:val="bottom"/>
          </w:tcPr>
          <w:p>
            <w:pPr>
              <w:spacing w:after="0"/>
              <w:rPr>
                <w:sz w:val="1"/>
                <w:szCs w:val="1"/>
                <w:color w:val="auto"/>
              </w:rPr>
            </w:pPr>
          </w:p>
        </w:tc>
      </w:tr>
      <w:tr>
        <w:trPr>
          <w:trHeight w:val="215"/>
        </w:trPr>
        <w:tc>
          <w:tcPr>
            <w:tcW w:w="550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September 30, 2022</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Defined Benefit Pension Plan</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9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3,828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1,276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5,062</w:t>
            </w:r>
          </w:p>
        </w:tc>
        <w:tc>
          <w:tcPr>
            <w:tcW w:w="0" w:type="dxa"/>
            <w:vAlign w:val="bottom"/>
          </w:tcPr>
          <w:p>
            <w:pPr>
              <w:spacing w:after="0"/>
              <w:rPr>
                <w:sz w:val="1"/>
                <w:szCs w:val="1"/>
                <w:color w:val="auto"/>
              </w:rPr>
            </w:pPr>
          </w:p>
        </w:tc>
      </w:tr>
      <w:tr>
        <w:trPr>
          <w:trHeight w:val="217"/>
        </w:trPr>
        <w:tc>
          <w:tcPr>
            <w:tcW w:w="56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Supplemental Non-qualified Defined Benefit and Defined Contribution Plans $</w:t>
            </w: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1,617</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539</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2,224</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Funding Status of Employee Benefit Plans</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Based on the fair value of assets and estimated discount rate used to value benefit obligations as of September 30, 2022, we estimate the unfunded status of our employee benefit plans to be approximately $32 million compared to $20 million at December 31, 2021. In 2012, we froze our pension plan and closed it to new participants. Since then, we have implemented various de-risking strategies including lump sum buyouts, the purchase of annuities and the reduction of return-seeking assets over time to a more liability-hedged portfolio. As a result, recent capital markets volatility had a limited impact to our unfunded status and does not require interim re-measurement of our pension plan assets or defined benefit obligations.</w:t>
      </w:r>
    </w:p>
    <w:p>
      <w:pPr>
        <w:spacing w:after="0" w:line="200" w:lineRule="exact"/>
        <w:rPr>
          <w:sz w:val="20"/>
          <w:szCs w:val="20"/>
          <w:color w:val="auto"/>
        </w:rPr>
      </w:pPr>
    </w:p>
    <w:p>
      <w:pPr>
        <w:spacing w:after="0" w:line="26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 and Effective Tax Rates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2022 Compared to the Three Months Ended September 30, 2021</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Income tax expense for the three months ended September 30, 2022 was $2.1 million compared to $5.3 million for the same period in 2021. For the three months ended September 30, 2022 the effective tax rate was 5.2% compared to 9.8% for the same period in 2021. The lower effective tax rate was primarily due to tax benefits from state rate changes.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2022 Compared to the Nine Months Ended September 30, 2021</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Income tax expense for the nine months ended September 30, 2022 was $16 million compared to $6.3 million for the same period in 2021. For the nine months ended September 30, 2022, the effective tax rate was 7.6% compared to 3.5% for the same period in 2021. The higher effective tax rate was primarily due to $10 million of prior year tax benefits from Colorado Electric and Nebraska Gas TCJA-related bill credits to customers (which were offset by reduced revenue) partially offset by $3.4 million of tax benefits from state rate changes and $2.0 million of increased tax benefits from federal PTCs associated with increased wind production and a current year PTC rate increase (inflation adjustment).</w:t>
      </w:r>
    </w:p>
    <w:p>
      <w:pPr>
        <w:spacing w:after="0" w:line="200" w:lineRule="exact"/>
        <w:rPr>
          <w:sz w:val="20"/>
          <w:szCs w:val="20"/>
          <w:color w:val="auto"/>
        </w:rPr>
      </w:pPr>
    </w:p>
    <w:p>
      <w:pPr>
        <w:spacing w:after="0" w:line="242"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Our CODM reviews financial information presented on an operating segment basis for purposes of making decisions and assessing financial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CODM assesses the performance of our operating segments based on operating income.</w:t>
      </w:r>
    </w:p>
    <w:p>
      <w:pPr>
        <w:spacing w:after="0" w:line="23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For the first nine months of 2021, we had reported four operating segments: Electric Utilities, Gas Utilities, Power Generation and Mining. 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operating segments are equivalent to our reportable segments.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52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5240" w:type="dxa"/>
            <w:vAlign w:val="bottom"/>
            <w:gridSpan w:val="2"/>
          </w:tcPr>
          <w:p>
            <w:pPr>
              <w:spacing w:after="0"/>
              <w:rPr>
                <w:sz w:val="20"/>
                <w:szCs w:val="20"/>
                <w:color w:val="auto"/>
              </w:rPr>
            </w:pPr>
            <w:r>
              <w:rPr>
                <w:rFonts w:ascii="Arial" w:cs="Arial" w:eastAsia="Arial" w:hAnsi="Arial"/>
                <w:sz w:val="16"/>
                <w:szCs w:val="16"/>
                <w:color w:val="252525"/>
              </w:rPr>
              <w:t>Segment information was as follows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assets (net of intercompany eliminations) as of:</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September 30, 2022</w:t>
            </w: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11"/>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980" w:type="dxa"/>
            <w:vAlign w:val="bottom"/>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3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3,889,596</w:t>
            </w:r>
          </w:p>
        </w:tc>
        <w:tc>
          <w:tcPr>
            <w:tcW w:w="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3,796,662</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5,330,209</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5,246,370</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Corporate and Other</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620" w:type="dxa"/>
            <w:vAlign w:val="bottom"/>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102,489</w:t>
            </w:r>
          </w:p>
        </w:tc>
        <w:tc>
          <w:tcPr>
            <w:tcW w:w="80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88,864</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9,322,294</w:t>
            </w:r>
          </w:p>
        </w:tc>
        <w:tc>
          <w:tcPr>
            <w:tcW w:w="8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9,131,896</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auto"/>
              </w:rPr>
              <w:t>Three Months Ended September 30, 2022</w:t>
            </w:r>
          </w:p>
        </w:tc>
        <w:tc>
          <w:tcPr>
            <w:tcW w:w="10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4"/>
                <w:szCs w:val="14"/>
                <w:color w:val="auto"/>
              </w:rPr>
            </w:pPr>
          </w:p>
        </w:tc>
        <w:tc>
          <w:tcPr>
            <w:tcW w:w="1120" w:type="dxa"/>
            <w:vAlign w:val="bottom"/>
            <w:gridSpan w:val="3"/>
          </w:tcPr>
          <w:p>
            <w:pPr>
              <w:jc w:val="center"/>
              <w:ind w:right="240"/>
              <w:spacing w:after="0" w:line="164" w:lineRule="exact"/>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4"/>
                <w:szCs w:val="14"/>
                <w:color w:val="auto"/>
              </w:rPr>
            </w:pPr>
          </w:p>
        </w:tc>
        <w:tc>
          <w:tcPr>
            <w:tcW w:w="116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9"/>
              </w:rPr>
              <w:t>Contract</w:t>
            </w:r>
          </w:p>
        </w:tc>
        <w:tc>
          <w:tcPr>
            <w:tcW w:w="200" w:type="dxa"/>
            <w:vAlign w:val="bottom"/>
          </w:tcPr>
          <w:p>
            <w:pPr>
              <w:spacing w:after="0"/>
              <w:rPr>
                <w:sz w:val="14"/>
                <w:szCs w:val="14"/>
                <w:color w:val="auto"/>
              </w:rPr>
            </w:pPr>
          </w:p>
        </w:tc>
        <w:tc>
          <w:tcPr>
            <w:tcW w:w="940" w:type="dxa"/>
            <w:vAlign w:val="bottom"/>
            <w:gridSpan w:val="2"/>
          </w:tcPr>
          <w:p>
            <w:pPr>
              <w:jc w:val="center"/>
              <w:ind w:right="460"/>
              <w:spacing w:after="0" w:line="164" w:lineRule="exact"/>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4"/>
                <w:szCs w:val="14"/>
                <w:color w:val="auto"/>
              </w:rPr>
            </w:pPr>
          </w:p>
        </w:tc>
        <w:tc>
          <w:tcPr>
            <w:tcW w:w="980" w:type="dxa"/>
            <w:vAlign w:val="bottom"/>
          </w:tcPr>
          <w:p>
            <w:pPr>
              <w:jc w:val="center"/>
              <w:ind w:right="39"/>
              <w:spacing w:after="0" w:line="164" w:lineRule="exact"/>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Customers</w:t>
            </w: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9"/>
              </w:rPr>
              <w:t>Revenues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254,917</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824</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2,928 $</w:t>
            </w:r>
          </w:p>
        </w:tc>
        <w:tc>
          <w:tcPr>
            <w:tcW w:w="200" w:type="dxa"/>
            <w:vAlign w:val="bottom"/>
            <w:shd w:val="clear" w:color="auto" w:fill="CEFFE7"/>
          </w:tcPr>
          <w:p>
            <w:pPr>
              <w:spacing w:after="0"/>
              <w:rPr>
                <w:sz w:val="18"/>
                <w:szCs w:val="18"/>
                <w:color w:val="auto"/>
              </w:rPr>
            </w:pP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258,669</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8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205,951</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1,319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208,288</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8"/>
                <w:szCs w:val="18"/>
                <w:color w:val="auto"/>
              </w:rPr>
            </w:pPr>
          </w:p>
        </w:tc>
        <w:tc>
          <w:tcPr>
            <w:tcW w:w="620" w:type="dxa"/>
            <w:vAlign w:val="bottom"/>
            <w:shd w:val="clear" w:color="auto" w:fill="CEFFE7"/>
          </w:tcPr>
          <w:p>
            <w:pPr>
              <w:spacing w:after="0"/>
              <w:rPr>
                <w:sz w:val="18"/>
                <w:szCs w:val="18"/>
                <w:color w:val="auto"/>
              </w:rPr>
            </w:pPr>
          </w:p>
        </w:tc>
        <w:tc>
          <w:tcPr>
            <w:tcW w:w="50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16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(4,247)</w:t>
            </w:r>
          </w:p>
        </w:tc>
        <w:tc>
          <w:tcPr>
            <w:tcW w:w="20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(4,345)</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460,868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1,744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462,612</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auto"/>
              </w:rPr>
              <w:t>Three Months Ended September 30, 2021</w:t>
            </w:r>
          </w:p>
        </w:tc>
        <w:tc>
          <w:tcPr>
            <w:tcW w:w="10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4"/>
                <w:szCs w:val="14"/>
                <w:color w:val="auto"/>
              </w:rPr>
            </w:pPr>
          </w:p>
        </w:tc>
        <w:tc>
          <w:tcPr>
            <w:tcW w:w="1120" w:type="dxa"/>
            <w:vAlign w:val="bottom"/>
            <w:gridSpan w:val="3"/>
          </w:tcPr>
          <w:p>
            <w:pPr>
              <w:jc w:val="center"/>
              <w:ind w:right="240"/>
              <w:spacing w:after="0" w:line="164" w:lineRule="exact"/>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4"/>
                <w:szCs w:val="14"/>
                <w:color w:val="auto"/>
              </w:rPr>
            </w:pPr>
          </w:p>
        </w:tc>
        <w:tc>
          <w:tcPr>
            <w:tcW w:w="116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9"/>
              </w:rPr>
              <w:t>Contract</w:t>
            </w:r>
          </w:p>
        </w:tc>
        <w:tc>
          <w:tcPr>
            <w:tcW w:w="200" w:type="dxa"/>
            <w:vAlign w:val="bottom"/>
          </w:tcPr>
          <w:p>
            <w:pPr>
              <w:spacing w:after="0"/>
              <w:rPr>
                <w:sz w:val="14"/>
                <w:szCs w:val="14"/>
                <w:color w:val="auto"/>
              </w:rPr>
            </w:pPr>
          </w:p>
        </w:tc>
        <w:tc>
          <w:tcPr>
            <w:tcW w:w="940" w:type="dxa"/>
            <w:vAlign w:val="bottom"/>
            <w:gridSpan w:val="2"/>
          </w:tcPr>
          <w:p>
            <w:pPr>
              <w:jc w:val="center"/>
              <w:ind w:right="460"/>
              <w:spacing w:after="0" w:line="164" w:lineRule="exact"/>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4"/>
                <w:szCs w:val="14"/>
                <w:color w:val="auto"/>
              </w:rPr>
            </w:pPr>
          </w:p>
        </w:tc>
        <w:tc>
          <w:tcPr>
            <w:tcW w:w="980" w:type="dxa"/>
            <w:vAlign w:val="bottom"/>
          </w:tcPr>
          <w:p>
            <w:pPr>
              <w:jc w:val="center"/>
              <w:ind w:right="39"/>
              <w:spacing w:after="0" w:line="164" w:lineRule="exact"/>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Customers</w:t>
            </w: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9"/>
              </w:rPr>
              <w:t>Revenues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216,676</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2,878 $</w:t>
            </w:r>
          </w:p>
        </w:tc>
        <w:tc>
          <w:tcPr>
            <w:tcW w:w="200" w:type="dxa"/>
            <w:vAlign w:val="bottom"/>
            <w:shd w:val="clear" w:color="auto" w:fill="CEFFE7"/>
          </w:tcPr>
          <w:p>
            <w:pPr>
              <w:spacing w:after="0"/>
              <w:rPr>
                <w:sz w:val="18"/>
                <w:szCs w:val="18"/>
                <w:color w:val="auto"/>
              </w:rPr>
            </w:pP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220,404</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161,977</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1,520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164,683</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8"/>
                <w:szCs w:val="18"/>
                <w:color w:val="auto"/>
              </w:rPr>
            </w:pPr>
          </w:p>
        </w:tc>
        <w:tc>
          <w:tcPr>
            <w:tcW w:w="620" w:type="dxa"/>
            <w:vAlign w:val="bottom"/>
            <w:shd w:val="clear" w:color="auto" w:fill="CEFFE7"/>
          </w:tcPr>
          <w:p>
            <w:pPr>
              <w:spacing w:after="0"/>
              <w:rPr>
                <w:sz w:val="18"/>
                <w:szCs w:val="18"/>
                <w:color w:val="auto"/>
              </w:rPr>
            </w:pPr>
          </w:p>
        </w:tc>
        <w:tc>
          <w:tcPr>
            <w:tcW w:w="50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16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(4,398)</w:t>
            </w:r>
          </w:p>
        </w:tc>
        <w:tc>
          <w:tcPr>
            <w:tcW w:w="20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(4,497)</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378,653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1,937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380,590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auto"/>
              </w:rPr>
              <w:t>Nine Months Ended September 30, 2022</w:t>
            </w:r>
          </w:p>
        </w:tc>
        <w:tc>
          <w:tcPr>
            <w:tcW w:w="10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4"/>
                <w:szCs w:val="14"/>
                <w:color w:val="auto"/>
              </w:rPr>
            </w:pPr>
          </w:p>
        </w:tc>
        <w:tc>
          <w:tcPr>
            <w:tcW w:w="1120" w:type="dxa"/>
            <w:vAlign w:val="bottom"/>
            <w:gridSpan w:val="3"/>
          </w:tcPr>
          <w:p>
            <w:pPr>
              <w:jc w:val="center"/>
              <w:ind w:right="240"/>
              <w:spacing w:after="0" w:line="164" w:lineRule="exact"/>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4"/>
                <w:szCs w:val="14"/>
                <w:color w:val="auto"/>
              </w:rPr>
            </w:pPr>
          </w:p>
        </w:tc>
        <w:tc>
          <w:tcPr>
            <w:tcW w:w="116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9"/>
              </w:rPr>
              <w:t>Contract</w:t>
            </w:r>
          </w:p>
        </w:tc>
        <w:tc>
          <w:tcPr>
            <w:tcW w:w="200" w:type="dxa"/>
            <w:vAlign w:val="bottom"/>
          </w:tcPr>
          <w:p>
            <w:pPr>
              <w:spacing w:after="0"/>
              <w:rPr>
                <w:sz w:val="14"/>
                <w:szCs w:val="14"/>
                <w:color w:val="auto"/>
              </w:rPr>
            </w:pPr>
          </w:p>
        </w:tc>
        <w:tc>
          <w:tcPr>
            <w:tcW w:w="940" w:type="dxa"/>
            <w:vAlign w:val="bottom"/>
            <w:gridSpan w:val="2"/>
          </w:tcPr>
          <w:p>
            <w:pPr>
              <w:jc w:val="center"/>
              <w:ind w:right="460"/>
              <w:spacing w:after="0" w:line="164" w:lineRule="exact"/>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4"/>
                <w:szCs w:val="14"/>
                <w:color w:val="auto"/>
              </w:rPr>
            </w:pPr>
          </w:p>
        </w:tc>
        <w:tc>
          <w:tcPr>
            <w:tcW w:w="980" w:type="dxa"/>
            <w:vAlign w:val="bottom"/>
          </w:tcPr>
          <w:p>
            <w:pPr>
              <w:jc w:val="center"/>
              <w:ind w:right="79"/>
              <w:spacing w:after="0" w:line="164" w:lineRule="exact"/>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Customers</w:t>
            </w: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9"/>
              </w:rPr>
              <w:t>Revenues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656,036</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4,764</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8,786 $</w:t>
            </w:r>
          </w:p>
        </w:tc>
        <w:tc>
          <w:tcPr>
            <w:tcW w:w="200" w:type="dxa"/>
            <w:vAlign w:val="bottom"/>
            <w:shd w:val="clear" w:color="auto" w:fill="CEFFE7"/>
          </w:tcPr>
          <w:p>
            <w:pPr>
              <w:spacing w:after="0"/>
              <w:rPr>
                <w:sz w:val="18"/>
                <w:szCs w:val="18"/>
                <w:color w:val="auto"/>
              </w:rPr>
            </w:pP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669,586</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1,096,925</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2,652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3,957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1,103,849</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8"/>
                <w:szCs w:val="18"/>
                <w:color w:val="auto"/>
              </w:rPr>
            </w:pPr>
          </w:p>
        </w:tc>
        <w:tc>
          <w:tcPr>
            <w:tcW w:w="620" w:type="dxa"/>
            <w:vAlign w:val="bottom"/>
            <w:shd w:val="clear" w:color="auto" w:fill="CEFFE7"/>
          </w:tcPr>
          <w:p>
            <w:pPr>
              <w:spacing w:after="0"/>
              <w:rPr>
                <w:sz w:val="18"/>
                <w:szCs w:val="18"/>
                <w:color w:val="auto"/>
              </w:rPr>
            </w:pPr>
          </w:p>
        </w:tc>
        <w:tc>
          <w:tcPr>
            <w:tcW w:w="50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16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(12,743)</w:t>
            </w:r>
          </w:p>
        </w:tc>
        <w:tc>
          <w:tcPr>
            <w:tcW w:w="20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(13,058)</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1,752,961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7,416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1,760,377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2C2C2C"/>
              </w:rPr>
              <w:t>Nine Months Ended September 30, 2021</w:t>
            </w:r>
          </w:p>
        </w:tc>
        <w:tc>
          <w:tcPr>
            <w:tcW w:w="10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4"/>
                <w:szCs w:val="14"/>
                <w:color w:val="auto"/>
              </w:rPr>
            </w:pPr>
          </w:p>
        </w:tc>
        <w:tc>
          <w:tcPr>
            <w:tcW w:w="1120" w:type="dxa"/>
            <w:vAlign w:val="bottom"/>
            <w:gridSpan w:val="3"/>
          </w:tcPr>
          <w:p>
            <w:pPr>
              <w:jc w:val="center"/>
              <w:ind w:right="240"/>
              <w:spacing w:after="0" w:line="164" w:lineRule="exact"/>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4"/>
                <w:szCs w:val="14"/>
                <w:color w:val="auto"/>
              </w:rPr>
            </w:pPr>
          </w:p>
        </w:tc>
        <w:tc>
          <w:tcPr>
            <w:tcW w:w="116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9"/>
              </w:rPr>
              <w:t>Contract</w:t>
            </w:r>
          </w:p>
        </w:tc>
        <w:tc>
          <w:tcPr>
            <w:tcW w:w="200" w:type="dxa"/>
            <w:vAlign w:val="bottom"/>
          </w:tcPr>
          <w:p>
            <w:pPr>
              <w:spacing w:after="0"/>
              <w:rPr>
                <w:sz w:val="14"/>
                <w:szCs w:val="14"/>
                <w:color w:val="auto"/>
              </w:rPr>
            </w:pPr>
          </w:p>
        </w:tc>
        <w:tc>
          <w:tcPr>
            <w:tcW w:w="940" w:type="dxa"/>
            <w:vAlign w:val="bottom"/>
            <w:gridSpan w:val="2"/>
          </w:tcPr>
          <w:p>
            <w:pPr>
              <w:jc w:val="center"/>
              <w:ind w:right="460"/>
              <w:spacing w:after="0" w:line="164" w:lineRule="exact"/>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4"/>
                <w:szCs w:val="14"/>
                <w:color w:val="auto"/>
              </w:rPr>
            </w:pPr>
          </w:p>
        </w:tc>
        <w:tc>
          <w:tcPr>
            <w:tcW w:w="980" w:type="dxa"/>
            <w:vAlign w:val="bottom"/>
          </w:tcPr>
          <w:p>
            <w:pPr>
              <w:jc w:val="center"/>
              <w:ind w:right="39"/>
              <w:spacing w:after="0" w:line="164" w:lineRule="exact"/>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Customers</w:t>
            </w: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9"/>
              </w:rPr>
              <w:t>Revenues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5"/>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5"/>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5"/>
          </w:tcPr>
          <w:p>
            <w:pPr>
              <w:jc w:val="right"/>
              <w:spacing w:after="0"/>
              <w:rPr>
                <w:sz w:val="20"/>
                <w:szCs w:val="20"/>
                <w:color w:val="auto"/>
              </w:rPr>
            </w:pPr>
            <w:r>
              <w:rPr>
                <w:rFonts w:ascii="Arial" w:cs="Arial" w:eastAsia="Arial" w:hAnsi="Arial"/>
                <w:sz w:val="16"/>
                <w:szCs w:val="16"/>
                <w:color w:val="auto"/>
              </w:rPr>
              <w:t>633,630</w:t>
            </w:r>
          </w:p>
        </w:tc>
        <w:tc>
          <w:tcPr>
            <w:tcW w:w="180" w:type="dxa"/>
            <w:vAlign w:val="bottom"/>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5"/>
          </w:tcPr>
          <w:p>
            <w:pPr>
              <w:jc w:val="right"/>
              <w:spacing w:after="0"/>
              <w:rPr>
                <w:sz w:val="20"/>
                <w:szCs w:val="20"/>
                <w:color w:val="auto"/>
              </w:rPr>
            </w:pPr>
            <w:r>
              <w:rPr>
                <w:rFonts w:ascii="Arial" w:cs="Arial" w:eastAsia="Arial" w:hAnsi="Arial"/>
                <w:sz w:val="16"/>
                <w:szCs w:val="16"/>
                <w:color w:val="auto"/>
              </w:rPr>
              <w:t>4,556</w:t>
            </w:r>
          </w:p>
        </w:tc>
        <w:tc>
          <w:tcPr>
            <w:tcW w:w="140" w:type="dxa"/>
            <w:vAlign w:val="bottom"/>
            <w:shd w:val="clear" w:color="auto" w:fill="CEFFE5"/>
          </w:tcPr>
          <w:p>
            <w:pPr>
              <w:spacing w:after="0"/>
              <w:rPr>
                <w:sz w:val="18"/>
                <w:szCs w:val="18"/>
                <w:color w:val="auto"/>
              </w:rPr>
            </w:pPr>
          </w:p>
        </w:tc>
        <w:tc>
          <w:tcPr>
            <w:tcW w:w="140" w:type="dxa"/>
            <w:vAlign w:val="bottom"/>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5"/>
          </w:tcPr>
          <w:p>
            <w:pPr>
              <w:jc w:val="right"/>
              <w:spacing w:after="0"/>
              <w:rPr>
                <w:sz w:val="20"/>
                <w:szCs w:val="20"/>
                <w:color w:val="auto"/>
              </w:rPr>
            </w:pPr>
            <w:r>
              <w:rPr>
                <w:rFonts w:ascii="Arial" w:cs="Arial" w:eastAsia="Arial" w:hAnsi="Arial"/>
                <w:sz w:val="16"/>
                <w:szCs w:val="16"/>
                <w:color w:val="auto"/>
              </w:rPr>
              <w:t>8,638 $</w:t>
            </w:r>
          </w:p>
        </w:tc>
        <w:tc>
          <w:tcPr>
            <w:tcW w:w="200" w:type="dxa"/>
            <w:vAlign w:val="bottom"/>
            <w:shd w:val="clear" w:color="auto" w:fill="CEFFE5"/>
          </w:tcPr>
          <w:p>
            <w:pPr>
              <w:spacing w:after="0"/>
              <w:rPr>
                <w:sz w:val="18"/>
                <w:szCs w:val="18"/>
                <w:color w:val="auto"/>
              </w:rPr>
            </w:pPr>
          </w:p>
        </w:tc>
        <w:tc>
          <w:tcPr>
            <w:tcW w:w="940" w:type="dxa"/>
            <w:vAlign w:val="bottom"/>
            <w:gridSpan w:val="2"/>
            <w:shd w:val="clear" w:color="auto" w:fill="CEFFE5"/>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5"/>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5"/>
          </w:tcPr>
          <w:p>
            <w:pPr>
              <w:jc w:val="right"/>
              <w:spacing w:after="0"/>
              <w:rPr>
                <w:sz w:val="20"/>
                <w:szCs w:val="20"/>
                <w:color w:val="auto"/>
              </w:rPr>
            </w:pPr>
            <w:r>
              <w:rPr>
                <w:rFonts w:ascii="Arial" w:cs="Arial" w:eastAsia="Arial" w:hAnsi="Arial"/>
                <w:sz w:val="16"/>
                <w:szCs w:val="16"/>
                <w:color w:val="auto"/>
              </w:rPr>
              <w:t>646,824</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743,663</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4,745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4,559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753,252</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5"/>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shd w:val="clear" w:color="auto" w:fill="CEFFE5"/>
          </w:tcPr>
          <w:p>
            <w:pPr>
              <w:spacing w:after="0"/>
              <w:rPr>
                <w:sz w:val="18"/>
                <w:szCs w:val="18"/>
                <w:color w:val="auto"/>
              </w:rPr>
            </w:pPr>
          </w:p>
        </w:tc>
        <w:tc>
          <w:tcPr>
            <w:tcW w:w="1020" w:type="dxa"/>
            <w:vAlign w:val="bottom"/>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5"/>
          </w:tcPr>
          <w:p>
            <w:pPr>
              <w:spacing w:after="0"/>
              <w:rPr>
                <w:sz w:val="18"/>
                <w:szCs w:val="18"/>
                <w:color w:val="auto"/>
              </w:rPr>
            </w:pPr>
          </w:p>
        </w:tc>
        <w:tc>
          <w:tcPr>
            <w:tcW w:w="620" w:type="dxa"/>
            <w:vAlign w:val="bottom"/>
            <w:shd w:val="clear" w:color="auto" w:fill="CEFFE5"/>
          </w:tcPr>
          <w:p>
            <w:pPr>
              <w:spacing w:after="0"/>
              <w:rPr>
                <w:sz w:val="18"/>
                <w:szCs w:val="18"/>
                <w:color w:val="auto"/>
              </w:rPr>
            </w:pPr>
          </w:p>
        </w:tc>
        <w:tc>
          <w:tcPr>
            <w:tcW w:w="500" w:type="dxa"/>
            <w:vAlign w:val="bottom"/>
            <w:gridSpan w:val="2"/>
            <w:shd w:val="clear" w:color="auto" w:fill="CEFFE5"/>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5"/>
          </w:tcPr>
          <w:p>
            <w:pPr>
              <w:spacing w:after="0"/>
              <w:rPr>
                <w:sz w:val="18"/>
                <w:szCs w:val="18"/>
                <w:color w:val="auto"/>
              </w:rPr>
            </w:pPr>
          </w:p>
        </w:tc>
        <w:tc>
          <w:tcPr>
            <w:tcW w:w="1160" w:type="dxa"/>
            <w:vAlign w:val="bottom"/>
            <w:shd w:val="clear" w:color="auto" w:fill="CEFFE5"/>
          </w:tcPr>
          <w:p>
            <w:pPr>
              <w:jc w:val="right"/>
              <w:ind w:right="99"/>
              <w:spacing w:after="0"/>
              <w:rPr>
                <w:sz w:val="20"/>
                <w:szCs w:val="20"/>
                <w:color w:val="auto"/>
              </w:rPr>
            </w:pPr>
            <w:r>
              <w:rPr>
                <w:rFonts w:ascii="Arial" w:cs="Arial" w:eastAsia="Arial" w:hAnsi="Arial"/>
                <w:sz w:val="16"/>
                <w:szCs w:val="16"/>
                <w:color w:val="auto"/>
              </w:rPr>
              <w:t>(13,197)</w:t>
            </w:r>
          </w:p>
        </w:tc>
        <w:tc>
          <w:tcPr>
            <w:tcW w:w="200" w:type="dxa"/>
            <w:vAlign w:val="bottom"/>
            <w:shd w:val="clear" w:color="auto" w:fill="CEFFE5"/>
          </w:tcPr>
          <w:p>
            <w:pPr>
              <w:spacing w:after="0"/>
              <w:rPr>
                <w:sz w:val="18"/>
                <w:szCs w:val="18"/>
                <w:color w:val="auto"/>
              </w:rPr>
            </w:pPr>
          </w:p>
        </w:tc>
        <w:tc>
          <w:tcPr>
            <w:tcW w:w="800" w:type="dxa"/>
            <w:vAlign w:val="bottom"/>
            <w:shd w:val="clear" w:color="auto" w:fill="CEFFE5"/>
          </w:tcPr>
          <w:p>
            <w:pPr>
              <w:jc w:val="right"/>
              <w:spacing w:after="0"/>
              <w:rPr>
                <w:sz w:val="20"/>
                <w:szCs w:val="20"/>
                <w:color w:val="auto"/>
              </w:rPr>
            </w:pPr>
            <w:r>
              <w:rPr>
                <w:rFonts w:ascii="Arial" w:cs="Arial" w:eastAsia="Arial" w:hAnsi="Arial"/>
                <w:sz w:val="16"/>
                <w:szCs w:val="16"/>
                <w:color w:val="auto"/>
              </w:rPr>
              <w:t>(285)</w:t>
            </w:r>
          </w:p>
        </w:tc>
        <w:tc>
          <w:tcPr>
            <w:tcW w:w="140" w:type="dxa"/>
            <w:vAlign w:val="bottom"/>
            <w:shd w:val="clear" w:color="auto" w:fill="CEFFE5"/>
          </w:tcPr>
          <w:p>
            <w:pPr>
              <w:spacing w:after="0"/>
              <w:rPr>
                <w:sz w:val="18"/>
                <w:szCs w:val="18"/>
                <w:color w:val="auto"/>
              </w:rPr>
            </w:pPr>
          </w:p>
        </w:tc>
        <w:tc>
          <w:tcPr>
            <w:tcW w:w="160" w:type="dxa"/>
            <w:vAlign w:val="bottom"/>
            <w:shd w:val="clear" w:color="auto" w:fill="CEFFE5"/>
          </w:tcPr>
          <w:p>
            <w:pPr>
              <w:spacing w:after="0"/>
              <w:rPr>
                <w:sz w:val="18"/>
                <w:szCs w:val="18"/>
                <w:color w:val="auto"/>
              </w:rPr>
            </w:pPr>
          </w:p>
        </w:tc>
        <w:tc>
          <w:tcPr>
            <w:tcW w:w="980" w:type="dxa"/>
            <w:vAlign w:val="bottom"/>
            <w:shd w:val="clear" w:color="auto" w:fill="CEFFE5"/>
          </w:tcPr>
          <w:p>
            <w:pPr>
              <w:jc w:val="right"/>
              <w:spacing w:after="0"/>
              <w:rPr>
                <w:sz w:val="20"/>
                <w:szCs w:val="20"/>
                <w:color w:val="auto"/>
              </w:rPr>
            </w:pPr>
            <w:r>
              <w:rPr>
                <w:rFonts w:ascii="Arial" w:cs="Arial" w:eastAsia="Arial" w:hAnsi="Arial"/>
                <w:sz w:val="16"/>
                <w:szCs w:val="16"/>
                <w:color w:val="auto"/>
              </w:rPr>
              <w:t>(13,482)</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1,377,293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9,301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1,386,594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559"/>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3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54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3"/>
          </w:tcPr>
          <w:p>
            <w:pPr>
              <w:jc w:val="right"/>
              <w:ind w:right="39"/>
              <w:spacing w:after="0"/>
              <w:rPr>
                <w:sz w:val="20"/>
                <w:szCs w:val="20"/>
                <w:color w:val="auto"/>
              </w:rPr>
            </w:pPr>
            <w:r>
              <w:rPr>
                <w:rFonts w:ascii="Arial" w:cs="Arial" w:eastAsia="Arial" w:hAnsi="Arial"/>
                <w:sz w:val="16"/>
                <w:szCs w:val="16"/>
                <w:color w:val="auto"/>
              </w:rPr>
              <w:t>Three Months Ended September 30,</w:t>
            </w:r>
          </w:p>
        </w:tc>
        <w:tc>
          <w:tcPr>
            <w:tcW w:w="160" w:type="dxa"/>
            <w:vAlign w:val="bottom"/>
          </w:tcPr>
          <w:p>
            <w:pPr>
              <w:spacing w:after="0"/>
              <w:rPr>
                <w:sz w:val="24"/>
                <w:szCs w:val="24"/>
                <w:color w:val="auto"/>
              </w:rPr>
            </w:pPr>
          </w:p>
        </w:tc>
        <w:tc>
          <w:tcPr>
            <w:tcW w:w="2740" w:type="dxa"/>
            <w:vAlign w:val="bottom"/>
            <w:gridSpan w:val="3"/>
          </w:tcPr>
          <w:p>
            <w:pPr>
              <w:jc w:val="right"/>
              <w:ind w:right="99"/>
              <w:spacing w:after="0"/>
              <w:rPr>
                <w:sz w:val="20"/>
                <w:szCs w:val="20"/>
                <w:color w:val="auto"/>
              </w:rPr>
            </w:pPr>
            <w:r>
              <w:rPr>
                <w:rFonts w:ascii="Arial" w:cs="Arial" w:eastAsia="Arial" w:hAnsi="Arial"/>
                <w:sz w:val="16"/>
                <w:szCs w:val="16"/>
                <w:color w:val="auto"/>
              </w:rPr>
              <w:t>Nine Months Ended September 30,</w:t>
            </w:r>
          </w:p>
        </w:tc>
      </w:tr>
      <w:tr>
        <w:trPr>
          <w:trHeight w:val="217"/>
        </w:trPr>
        <w:tc>
          <w:tcPr>
            <w:tcW w:w="136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r>
      <w:tr>
        <w:trPr>
          <w:trHeight w:val="211"/>
        </w:trPr>
        <w:tc>
          <w:tcPr>
            <w:tcW w:w="5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EFFE7"/>
          </w:tcPr>
          <w:p>
            <w:pPr>
              <w:spacing w:after="0"/>
              <w:rPr>
                <w:sz w:val="18"/>
                <w:szCs w:val="18"/>
                <w:color w:val="auto"/>
              </w:rPr>
            </w:pPr>
          </w:p>
        </w:tc>
        <w:tc>
          <w:tcPr>
            <w:tcW w:w="132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r>
      <w:tr>
        <w:trPr>
          <w:trHeight w:val="215"/>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Electric Utilities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69,483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72,840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165,455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159,645</w:t>
            </w:r>
          </w:p>
        </w:tc>
      </w:tr>
      <w:tr>
        <w:trPr>
          <w:trHeight w:val="217"/>
        </w:trPr>
        <w:tc>
          <w:tcPr>
            <w:tcW w:w="546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Gas Utilities</w:t>
            </w:r>
          </w:p>
        </w:tc>
        <w:tc>
          <w:tcPr>
            <w:tcW w:w="12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10,583</w:t>
            </w: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17,257</w:t>
            </w:r>
          </w:p>
        </w:tc>
        <w:tc>
          <w:tcPr>
            <w:tcW w:w="16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162,318</w:t>
            </w: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139,336</w:t>
            </w:r>
          </w:p>
        </w:tc>
      </w:tr>
      <w:tr>
        <w:trPr>
          <w:trHeight w:val="215"/>
        </w:trPr>
        <w:tc>
          <w:tcPr>
            <w:tcW w:w="546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Corporate and Other</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w:t>
            </w:r>
          </w:p>
        </w:tc>
      </w:tr>
      <w:tr>
        <w:trPr>
          <w:trHeight w:val="209"/>
        </w:trPr>
        <w:tc>
          <w:tcPr>
            <w:tcW w:w="5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79,479</w:t>
            </w:r>
          </w:p>
        </w:tc>
        <w:tc>
          <w:tcPr>
            <w:tcW w:w="3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89,873</w:t>
            </w:r>
          </w:p>
        </w:tc>
        <w:tc>
          <w:tcPr>
            <w:tcW w:w="16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325,221</w:t>
            </w:r>
          </w:p>
        </w:tc>
        <w:tc>
          <w:tcPr>
            <w:tcW w:w="32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295,454</w:t>
            </w:r>
          </w:p>
        </w:tc>
      </w:tr>
      <w:tr>
        <w:trPr>
          <w:trHeight w:val="251"/>
        </w:trPr>
        <w:tc>
          <w:tcPr>
            <w:tcW w:w="13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6"/>
        </w:trPr>
        <w:tc>
          <w:tcPr>
            <w:tcW w:w="5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(40,019)</w:t>
            </w: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(38,018)</w:t>
            </w:r>
          </w:p>
        </w:tc>
        <w:tc>
          <w:tcPr>
            <w:tcW w:w="16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(117,328)</w:t>
            </w: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(113,820)</w:t>
            </w:r>
          </w:p>
        </w:tc>
      </w:tr>
      <w:tr>
        <w:trPr>
          <w:trHeight w:val="215"/>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1,560</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2,731</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17"/>
        </w:trPr>
        <w:tc>
          <w:tcPr>
            <w:tcW w:w="5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(2,090)</w:t>
            </w:r>
          </w:p>
        </w:tc>
        <w:tc>
          <w:tcPr>
            <w:tcW w:w="3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(5,253)</w:t>
            </w:r>
          </w:p>
        </w:tc>
        <w:tc>
          <w:tcPr>
            <w:tcW w:w="16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(15,920)</w:t>
            </w:r>
          </w:p>
        </w:tc>
        <w:tc>
          <w:tcPr>
            <w:tcW w:w="32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(6,333)</w:t>
            </w:r>
          </w:p>
        </w:tc>
      </w:tr>
      <w:tr>
        <w:trPr>
          <w:trHeight w:val="209"/>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37,834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48,162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194,704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176,936</w:t>
            </w:r>
          </w:p>
        </w:tc>
      </w:tr>
      <w:tr>
        <w:trPr>
          <w:trHeight w:val="216"/>
        </w:trPr>
        <w:tc>
          <w:tcPr>
            <w:tcW w:w="5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(2,861)</w:t>
            </w:r>
          </w:p>
        </w:tc>
        <w:tc>
          <w:tcPr>
            <w:tcW w:w="3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(4,050)</w:t>
            </w:r>
          </w:p>
        </w:tc>
        <w:tc>
          <w:tcPr>
            <w:tcW w:w="16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(8,790)</w:t>
            </w:r>
          </w:p>
        </w:tc>
        <w:tc>
          <w:tcPr>
            <w:tcW w:w="32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(11,347)</w:t>
            </w:r>
          </w:p>
        </w:tc>
      </w:tr>
      <w:tr>
        <w:trPr>
          <w:trHeight w:val="210"/>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34,973</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185,914</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165,589</w:t>
            </w:r>
          </w:p>
        </w:tc>
      </w:tr>
      <w:tr>
        <w:trPr>
          <w:trHeight w:val="21"/>
        </w:trPr>
        <w:tc>
          <w:tcPr>
            <w:tcW w:w="13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Condensed Consolidated Balance Sheets (in thousands) as of:</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180" w:type="dxa"/>
            <w:vAlign w:val="bottom"/>
          </w:tcPr>
          <w:p>
            <w:pPr>
              <w:spacing w:after="0"/>
              <w:rPr>
                <w:sz w:val="18"/>
                <w:szCs w:val="18"/>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10"/>
        </w:trPr>
        <w:tc>
          <w:tcPr>
            <w:tcW w:w="71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Billed Accounts Receivable</w:t>
            </w: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168,757</w:t>
            </w:r>
          </w:p>
        </w:tc>
        <w:tc>
          <w:tcPr>
            <w:tcW w:w="12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181,027</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82,925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142,738</w:t>
            </w:r>
          </w:p>
        </w:tc>
      </w:tr>
      <w:tr>
        <w:trPr>
          <w:trHeight w:val="216"/>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Less: Allowance for Credit Losses</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(1,935)</w:t>
            </w:r>
          </w:p>
        </w:tc>
        <w:tc>
          <w:tcPr>
            <w:tcW w:w="12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(2,113)</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249,747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321,652</w:t>
            </w:r>
          </w:p>
        </w:tc>
      </w:tr>
      <w:tr>
        <w:trPr>
          <w:trHeight w:val="21"/>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nine months ended September 30, 2022 and 2021, respectively, were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color w:val="auto"/>
              </w:rPr>
              <w:t>Balance at Beginning</w:t>
            </w:r>
          </w:p>
        </w:tc>
        <w:tc>
          <w:tcPr>
            <w:tcW w:w="1740" w:type="dxa"/>
            <w:vAlign w:val="bottom"/>
            <w:gridSpan w:val="3"/>
          </w:tcPr>
          <w:p>
            <w:pPr>
              <w:ind w:left="80"/>
              <w:spacing w:after="0"/>
              <w:rPr>
                <w:sz w:val="20"/>
                <w:szCs w:val="20"/>
                <w:color w:val="auto"/>
              </w:rPr>
            </w:pPr>
            <w:r>
              <w:rPr>
                <w:rFonts w:ascii="Arial" w:cs="Arial" w:eastAsia="Arial" w:hAnsi="Arial"/>
                <w:sz w:val="16"/>
                <w:szCs w:val="16"/>
                <w:color w:val="auto"/>
              </w:rPr>
              <w:t>Additions Charged to</w:t>
            </w:r>
          </w:p>
        </w:tc>
        <w:tc>
          <w:tcPr>
            <w:tcW w:w="1760" w:type="dxa"/>
            <w:vAlign w:val="bottom"/>
            <w:gridSpan w:val="3"/>
          </w:tcPr>
          <w:p>
            <w:pPr>
              <w:ind w:left="40"/>
              <w:spacing w:after="0"/>
              <w:rPr>
                <w:sz w:val="20"/>
                <w:szCs w:val="20"/>
                <w:color w:val="auto"/>
              </w:rPr>
            </w:pPr>
            <w:r>
              <w:rPr>
                <w:rFonts w:ascii="Arial" w:cs="Arial" w:eastAsia="Arial" w:hAnsi="Arial"/>
                <w:sz w:val="16"/>
                <w:szCs w:val="16"/>
                <w:color w:val="auto"/>
              </w:rPr>
              <w:t>Recoveries and Other</w:t>
            </w: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Write-offs and Other</w:t>
            </w:r>
          </w:p>
        </w:tc>
        <w:tc>
          <w:tcPr>
            <w:tcW w:w="2020" w:type="dxa"/>
            <w:vAlign w:val="bottom"/>
            <w:gridSpan w:val="2"/>
            <w:vMerge w:val="restart"/>
          </w:tcPr>
          <w:p>
            <w:pPr>
              <w:jc w:val="right"/>
              <w:spacing w:after="0"/>
              <w:rPr>
                <w:sz w:val="20"/>
                <w:szCs w:val="20"/>
                <w:color w:val="auto"/>
              </w:rPr>
            </w:pPr>
            <w:r>
              <w:rPr>
                <w:rFonts w:ascii="Arial" w:cs="Arial" w:eastAsia="Arial" w:hAnsi="Arial"/>
                <w:sz w:val="16"/>
                <w:szCs w:val="16"/>
                <w:color w:val="auto"/>
              </w:rPr>
              <w:t>Balance at September 30,</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of Year</w:t>
            </w:r>
          </w:p>
        </w:tc>
        <w:tc>
          <w:tcPr>
            <w:tcW w:w="1740" w:type="dxa"/>
            <w:vAlign w:val="bottom"/>
            <w:gridSpan w:val="3"/>
          </w:tcPr>
          <w:p>
            <w:pPr>
              <w:ind w:left="8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color w:val="auto"/>
                <w:w w:val="99"/>
              </w:rPr>
              <w:t>Deductions</w:t>
            </w:r>
          </w:p>
        </w:tc>
        <w:tc>
          <w:tcPr>
            <w:tcW w:w="2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CEFEE7"/>
            </w:tcBorders>
            <w:shd w:val="clear" w:color="auto" w:fill="CEFEE7"/>
          </w:tcPr>
          <w:p>
            <w:pPr>
              <w:jc w:val="right"/>
              <w:ind w:right="1739"/>
              <w:spacing w:after="0"/>
              <w:rPr>
                <w:sz w:val="20"/>
                <w:szCs w:val="20"/>
                <w:color w:val="auto"/>
              </w:rPr>
            </w:pPr>
            <w:r>
              <w:rPr>
                <w:rFonts w:ascii="Arial" w:cs="Arial" w:eastAsia="Arial" w:hAnsi="Arial"/>
                <w:sz w:val="16"/>
                <w:szCs w:val="16"/>
                <w:color w:val="auto"/>
              </w:rPr>
              <w:t>2022</w:t>
            </w:r>
          </w:p>
        </w:tc>
        <w:tc>
          <w:tcPr>
            <w:tcW w:w="340" w:type="dxa"/>
            <w:vAlign w:val="bottom"/>
            <w:tcBorders>
              <w:top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2,113</w:t>
            </w:r>
          </w:p>
        </w:tc>
        <w:tc>
          <w:tcPr>
            <w:tcW w:w="100" w:type="dxa"/>
            <w:vAlign w:val="bottom"/>
            <w:tcBorders>
              <w:top w:val="single" w:sz="8" w:color="CEFEE7"/>
            </w:tcBorders>
            <w:shd w:val="clear" w:color="auto" w:fill="CEFEE7"/>
          </w:tcPr>
          <w:p>
            <w:pPr>
              <w:spacing w:after="0"/>
              <w:rPr>
                <w:sz w:val="18"/>
                <w:szCs w:val="18"/>
                <w:color w:val="auto"/>
              </w:rPr>
            </w:pPr>
          </w:p>
        </w:tc>
        <w:tc>
          <w:tcPr>
            <w:tcW w:w="640" w:type="dxa"/>
            <w:vAlign w:val="bottom"/>
            <w:tcBorders>
              <w:top w:val="single" w:sz="8" w:color="auto"/>
            </w:tcBorders>
            <w:shd w:val="clear" w:color="auto" w:fill="CEFEE7"/>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6,473</w:t>
            </w:r>
          </w:p>
        </w:tc>
        <w:tc>
          <w:tcPr>
            <w:tcW w:w="80" w:type="dxa"/>
            <w:vAlign w:val="bottom"/>
            <w:tcBorders>
              <w:top w:val="single" w:sz="8" w:color="CEFEE7"/>
            </w:tcBorders>
            <w:shd w:val="clear" w:color="auto" w:fill="CEFEE7"/>
          </w:tcPr>
          <w:p>
            <w:pPr>
              <w:spacing w:after="0"/>
              <w:rPr>
                <w:sz w:val="18"/>
                <w:szCs w:val="18"/>
                <w:color w:val="auto"/>
              </w:rPr>
            </w:pPr>
          </w:p>
        </w:tc>
        <w:tc>
          <w:tcPr>
            <w:tcW w:w="300" w:type="dxa"/>
            <w:vAlign w:val="bottom"/>
            <w:tcBorders>
              <w:top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2,117</w:t>
            </w:r>
          </w:p>
        </w:tc>
        <w:tc>
          <w:tcPr>
            <w:tcW w:w="100" w:type="dxa"/>
            <w:vAlign w:val="bottom"/>
            <w:tcBorders>
              <w:top w:val="single" w:sz="8" w:color="CEFEE7"/>
            </w:tcBorders>
            <w:shd w:val="clear" w:color="auto" w:fill="CEFEE7"/>
          </w:tcPr>
          <w:p>
            <w:pPr>
              <w:spacing w:after="0"/>
              <w:rPr>
                <w:sz w:val="18"/>
                <w:szCs w:val="18"/>
                <w:color w:val="auto"/>
              </w:rPr>
            </w:pPr>
          </w:p>
        </w:tc>
        <w:tc>
          <w:tcPr>
            <w:tcW w:w="260" w:type="dxa"/>
            <w:vAlign w:val="bottom"/>
            <w:tcBorders>
              <w:top w:val="single" w:sz="8" w:color="auto"/>
            </w:tcBorders>
            <w:shd w:val="clear" w:color="auto" w:fill="CEFEE7"/>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(8,768)</w:t>
            </w:r>
          </w:p>
        </w:tc>
        <w:tc>
          <w:tcPr>
            <w:tcW w:w="120" w:type="dxa"/>
            <w:vAlign w:val="bottom"/>
            <w:tcBorders>
              <w:top w:val="single" w:sz="8" w:color="CEFEE7"/>
            </w:tcBorders>
            <w:shd w:val="clear" w:color="auto" w:fill="CEFEE7"/>
          </w:tcPr>
          <w:p>
            <w:pPr>
              <w:spacing w:after="0"/>
              <w:rPr>
                <w:sz w:val="18"/>
                <w:szCs w:val="18"/>
                <w:color w:val="auto"/>
              </w:rPr>
            </w:pPr>
          </w:p>
        </w:tc>
        <w:tc>
          <w:tcPr>
            <w:tcW w:w="820" w:type="dxa"/>
            <w:vAlign w:val="bottom"/>
            <w:tcBorders>
              <w:top w:val="single" w:sz="8" w:color="auto"/>
            </w:tcBorders>
            <w:shd w:val="clear" w:color="auto" w:fill="CEFEE7"/>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15"/>
        </w:trPr>
        <w:tc>
          <w:tcPr>
            <w:tcW w:w="2200" w:type="dxa"/>
            <w:vAlign w:val="bottom"/>
          </w:tcPr>
          <w:p>
            <w:pPr>
              <w:jc w:val="right"/>
              <w:ind w:right="1739"/>
              <w:spacing w:after="0"/>
              <w:rPr>
                <w:sz w:val="20"/>
                <w:szCs w:val="20"/>
                <w:color w:val="auto"/>
              </w:rPr>
            </w:pPr>
            <w:r>
              <w:rPr>
                <w:rFonts w:ascii="Arial" w:cs="Arial" w:eastAsia="Arial" w:hAnsi="Arial"/>
                <w:sz w:val="16"/>
                <w:szCs w:val="16"/>
                <w:color w:val="auto"/>
              </w:rPr>
              <w:t>2021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7,003</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1,111</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(8,222)</w:t>
            </w: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2,312</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Condensed Consolidated Balance Sheets (in thousands) as of: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180" w:type="dxa"/>
            <w:vAlign w:val="bottom"/>
          </w:tcPr>
          <w:p>
            <w:pPr>
              <w:spacing w:after="0"/>
              <w:rPr>
                <w:sz w:val="18"/>
                <w:szCs w:val="18"/>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10"/>
        </w:trPr>
        <w:tc>
          <w:tcPr>
            <w:tcW w:w="40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Materials and supplies</w:t>
            </w:r>
          </w:p>
        </w:tc>
        <w:tc>
          <w:tcPr>
            <w:tcW w:w="310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95,390</w:t>
            </w:r>
          </w:p>
        </w:tc>
        <w:tc>
          <w:tcPr>
            <w:tcW w:w="12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86,400</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Fuel - Electric Utilities</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7"/>
        </w:trPr>
        <w:tc>
          <w:tcPr>
            <w:tcW w:w="40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in storage</w:t>
            </w:r>
          </w:p>
        </w:tc>
        <w:tc>
          <w:tcPr>
            <w:tcW w:w="310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126,410</w:t>
            </w:r>
          </w:p>
        </w:tc>
        <w:tc>
          <w:tcPr>
            <w:tcW w:w="12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63,312</w:t>
            </w:r>
          </w:p>
        </w:tc>
        <w:tc>
          <w:tcPr>
            <w:tcW w:w="0" w:type="dxa"/>
            <w:vAlign w:val="bottom"/>
          </w:tcPr>
          <w:p>
            <w:pPr>
              <w:spacing w:after="0"/>
              <w:rPr>
                <w:sz w:val="1"/>
                <w:szCs w:val="1"/>
                <w:color w:val="auto"/>
              </w:rPr>
            </w:pPr>
          </w:p>
        </w:tc>
      </w:tr>
      <w:tr>
        <w:trPr>
          <w:trHeight w:val="209"/>
        </w:trPr>
        <w:tc>
          <w:tcPr>
            <w:tcW w:w="4060" w:type="dxa"/>
            <w:vAlign w:val="bottom"/>
          </w:tcPr>
          <w:p>
            <w:pPr>
              <w:ind w:left="220"/>
              <w:spacing w:after="0"/>
              <w:rPr>
                <w:sz w:val="20"/>
                <w:szCs w:val="20"/>
                <w:color w:val="auto"/>
              </w:rPr>
            </w:pPr>
            <w:r>
              <w:rPr>
                <w:rFonts w:ascii="Arial" w:cs="Arial" w:eastAsia="Arial" w:hAnsi="Arial"/>
                <w:sz w:val="16"/>
                <w:szCs w:val="16"/>
                <w:color w:val="auto"/>
              </w:rPr>
              <w:t>Total materials, supplies and fuel</w:t>
            </w:r>
          </w:p>
        </w:tc>
        <w:tc>
          <w:tcPr>
            <w:tcW w:w="3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223,162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150,979</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100" w:type="dxa"/>
            <w:vAlign w:val="bottom"/>
            <w:vMerge w:val="restart"/>
          </w:tcPr>
          <w:p>
            <w:pPr>
              <w:jc w:val="right"/>
              <w:ind w:right="1359"/>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40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0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48"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Condensed Consolidated Balance Sheets (in thousands) as 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180" w:type="dxa"/>
            <w:vAlign w:val="bottom"/>
          </w:tcPr>
          <w:p>
            <w:pPr>
              <w:spacing w:after="0"/>
              <w:rPr>
                <w:sz w:val="18"/>
                <w:szCs w:val="18"/>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11"/>
        </w:trPr>
        <w:tc>
          <w:tcPr>
            <w:tcW w:w="71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64,855</w:t>
            </w:r>
          </w:p>
        </w:tc>
        <w:tc>
          <w:tcPr>
            <w:tcW w:w="12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74,387</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46,513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50,874</w:t>
            </w:r>
          </w:p>
        </w:tc>
      </w:tr>
      <w:tr>
        <w:trPr>
          <w:trHeight w:val="217"/>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Customer deposits and prepayments</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44,254</w:t>
            </w:r>
          </w:p>
        </w:tc>
        <w:tc>
          <w:tcPr>
            <w:tcW w:w="1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48,814</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46,408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33,680</w:t>
            </w:r>
          </w:p>
        </w:tc>
      </w:tr>
      <w:tr>
        <w:trPr>
          <w:trHeight w:val="216"/>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48,805</w:t>
            </w:r>
          </w:p>
        </w:tc>
        <w:tc>
          <w:tcPr>
            <w:tcW w:w="12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37,004</w:t>
            </w:r>
          </w:p>
        </w:tc>
      </w:tr>
      <w:tr>
        <w:trPr>
          <w:trHeight w:val="210"/>
        </w:trPr>
        <w:tc>
          <w:tcPr>
            <w:tcW w:w="7160" w:type="dxa"/>
            <w:vAlign w:val="bottom"/>
          </w:tcPr>
          <w:p>
            <w:pPr>
              <w:ind w:left="22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250,835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244,759</w:t>
            </w:r>
          </w:p>
        </w:tc>
      </w:tr>
      <w:tr>
        <w:trPr>
          <w:trHeight w:val="21"/>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80" w:hanging="472"/>
        <w:spacing w:after="0"/>
        <w:tabs>
          <w:tab w:leader="none" w:pos="4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48" w:lineRule="exact"/>
        <w:rPr>
          <w:sz w:val="20"/>
          <w:szCs w:val="20"/>
          <w:color w:val="auto"/>
        </w:rPr>
      </w:pPr>
    </w:p>
    <w:p>
      <w:pPr>
        <w:ind w:right="860"/>
        <w:spacing w:after="0" w:line="304" w:lineRule="auto"/>
        <w:rPr>
          <w:sz w:val="20"/>
          <w:szCs w:val="20"/>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0000FF"/>
        </w:rPr>
        <w:t>Note 2</w:t>
      </w:r>
      <w:r>
        <w:rPr>
          <w:rFonts w:ascii="Arial" w:cs="Arial" w:eastAsia="Arial" w:hAnsi="Arial"/>
          <w:sz w:val="16"/>
          <w:szCs w:val="16"/>
          <w:color w:val="auto"/>
        </w:rPr>
        <w:t>, there have been no events subsequent to September 30, 2022, which would require recognition in the condensed consolidated financial statements or disclosures.</w:t>
      </w:r>
    </w:p>
    <w:p>
      <w:pPr>
        <w:spacing w:after="0" w:line="200" w:lineRule="exact"/>
        <w:rPr>
          <w:sz w:val="20"/>
          <w:szCs w:val="20"/>
          <w:color w:val="auto"/>
        </w:rPr>
      </w:pP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our 2021 Form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Summary</w:t>
      </w:r>
    </w:p>
    <w:p>
      <w:pPr>
        <w:spacing w:after="0" w:line="235"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 xml:space="preserve">Black Hills Corporation (together with its subsidiaries, referred to herein as the “Company,” “we,” “us” or “our”) is a customer-focused energy solutions provider that invests in its communities’ safety, sustainability and growth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and a vision to be the </w:t>
      </w:r>
      <w:r>
        <w:rPr>
          <w:rFonts w:ascii="Arial" w:cs="Arial" w:eastAsia="Arial" w:hAnsi="Arial"/>
          <w:sz w:val="16"/>
          <w:szCs w:val="16"/>
          <w:i w:val="1"/>
          <w:iCs w:val="1"/>
          <w:color w:val="auto"/>
        </w:rPr>
        <w:t>Energy Partner</w:t>
      </w:r>
      <w:r>
        <w:rPr>
          <w:rFonts w:ascii="Arial" w:cs="Arial" w:eastAsia="Arial" w:hAnsi="Arial"/>
          <w:sz w:val="16"/>
          <w:szCs w:val="16"/>
          <w:color w:val="auto"/>
        </w:rPr>
        <w:t xml:space="preserve"> </w:t>
      </w:r>
      <w:r>
        <w:rPr>
          <w:rFonts w:ascii="Arial" w:cs="Arial" w:eastAsia="Arial" w:hAnsi="Arial"/>
          <w:sz w:val="16"/>
          <w:szCs w:val="16"/>
          <w:i w:val="1"/>
          <w:iCs w:val="1"/>
          <w:color w:val="auto"/>
        </w:rPr>
        <w:t>of Choice</w:t>
      </w:r>
      <w:r>
        <w:rPr>
          <w:rFonts w:ascii="Arial" w:cs="Arial" w:eastAsia="Arial" w:hAnsi="Arial"/>
          <w:sz w:val="16"/>
          <w:szCs w:val="16"/>
          <w:color w:val="auto"/>
        </w:rPr>
        <w:t>. The Company’s core mission— and our primary focus — is to provide safe, reliable and cost-effective electric and natural gas service to 1.3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utility customers in over 800 communities in eight states, including Arkansas, Colorado, Iowa, Kansas, Montana, Nebraska, South Dakota and Wyoming.</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Developments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Winter Storm Uri</w:t>
      </w:r>
    </w:p>
    <w:p>
      <w:pPr>
        <w:spacing w:after="0" w:line="248"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In February 2021, Winter Storm Uri caused a substantial increase in heating and energy demand and contributed to unforeseeable and unprecedented market prices for natural gas and electricity. As a result, we incurred significant incremental fuel, purchased power and natural gas costs.</w:t>
      </w:r>
    </w:p>
    <w:p>
      <w:pPr>
        <w:spacing w:after="0" w:line="16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 xml:space="preserve">In 2021, our Utilities submitted cost recovery applications with the utility commissions in our state jurisdictions to recover incremental costs associated with Winter Storm Uri. We have received final commission approval for all of our Winter Storm Uri cost recovery applications, which will allow full recovery of our incremental fuel, purchased power and natural gas costs.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Condensed Consolidated Financial Statements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Trends</w:t>
      </w:r>
    </w:p>
    <w:p>
      <w:pPr>
        <w:spacing w:after="0" w:line="24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 xml:space="preserve">We are monitoring macroeconomic trends including inflationary pressures on the prices of commodities, materials, outside services and employee costs; supply chain constraints; rising interest rates and a competitive and tight labor market. </w:t>
      </w:r>
      <w:r>
        <w:rPr>
          <w:rFonts w:ascii="Arial" w:cs="Arial" w:eastAsia="Arial" w:hAnsi="Arial"/>
          <w:sz w:val="16"/>
          <w:szCs w:val="16"/>
          <w:color w:val="212529"/>
        </w:rPr>
        <w:t>To date, we have experienced moderate net impacts from these</w:t>
      </w:r>
      <w:r>
        <w:rPr>
          <w:rFonts w:ascii="Arial" w:cs="Arial" w:eastAsia="Arial" w:hAnsi="Arial"/>
          <w:sz w:val="16"/>
          <w:szCs w:val="16"/>
          <w:color w:val="auto"/>
        </w:rPr>
        <w:t xml:space="preserve"> </w:t>
      </w:r>
      <w:r>
        <w:rPr>
          <w:rFonts w:ascii="Arial" w:cs="Arial" w:eastAsia="Arial" w:hAnsi="Arial"/>
          <w:sz w:val="16"/>
          <w:szCs w:val="16"/>
          <w:color w:val="212529"/>
        </w:rPr>
        <w:t>trends.</w:t>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6"/>
          <w:szCs w:val="16"/>
          <w:color w:val="212529"/>
        </w:rPr>
        <w:t>Higher commodity energy costs continue to have an effect on customer bills. Our utilities have regulatory mechanisms that allow them to pass prudently incurred costs of energy through to the customer, which mitigates our exposure. Customer billing rates are adjusted periodically to reflect changes in our cost of energy. As a result of increased customer billings, we incurred higher bad debt expense.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212529"/>
        </w:rPr>
        <w:t>We are proactively managing increased costs of materials and supply chain disruptions to achieve our forecasted capital investment targets. We have contracted a significant majority of the materials needed to complete our 2022 capital program. We have also evaluated each of our forecasted projects and will prioritize depending on future constraints. Project delays may occur if costs rise significantly or if materials are not available.</w:t>
      </w:r>
    </w:p>
    <w:p>
      <w:pPr>
        <w:spacing w:after="0" w:line="19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212529"/>
        </w:rPr>
        <w:t>Inflationary pressures and supply chain constraints have increased our operating expenses, which included higher outside services expenses (i.e. consulting and contractor rates), materials expenses and vehicle expenses driven by higher fuel prices.</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6"/>
          <w:szCs w:val="16"/>
          <w:color w:val="212529"/>
        </w:rPr>
        <w:t xml:space="preserve">Rising interest rates have increased interest expense on our variable rate borrowings, which include our Revolving Credit Facility and CP Program. However, the increased interest expense was limited since 89% of our debt at </w:t>
      </w:r>
      <w:r>
        <w:rPr>
          <w:rFonts w:ascii="Arial" w:cs="Arial" w:eastAsia="Arial" w:hAnsi="Arial"/>
          <w:sz w:val="16"/>
          <w:szCs w:val="16"/>
          <w:color w:val="000000"/>
        </w:rPr>
        <w:t>September 30, 2022</w:t>
      </w:r>
      <w:r>
        <w:rPr>
          <w:rFonts w:ascii="Arial" w:cs="Arial" w:eastAsia="Arial" w:hAnsi="Arial"/>
          <w:sz w:val="16"/>
          <w:szCs w:val="16"/>
          <w:color w:val="212529"/>
        </w:rPr>
        <w:t xml:space="preserve"> is fixed rate debt. Rising discount rates and r</w:t>
      </w:r>
      <w:r>
        <w:rPr>
          <w:rFonts w:ascii="Arial" w:cs="Arial" w:eastAsia="Arial" w:hAnsi="Arial"/>
          <w:sz w:val="16"/>
          <w:szCs w:val="16"/>
          <w:color w:val="000000"/>
        </w:rPr>
        <w:t>ecent capital markets</w:t>
      </w:r>
      <w:r>
        <w:rPr>
          <w:rFonts w:ascii="Arial" w:cs="Arial" w:eastAsia="Arial" w:hAnsi="Arial"/>
          <w:sz w:val="16"/>
          <w:szCs w:val="16"/>
          <w:color w:val="212529"/>
        </w:rPr>
        <w:t xml:space="preserve"> </w:t>
      </w:r>
      <w:r>
        <w:rPr>
          <w:rFonts w:ascii="Arial" w:cs="Arial" w:eastAsia="Arial" w:hAnsi="Arial"/>
          <w:sz w:val="16"/>
          <w:szCs w:val="16"/>
          <w:color w:val="000000"/>
        </w:rPr>
        <w:t xml:space="preserve">volatility had a limited impact to our </w:t>
      </w:r>
      <w:r>
        <w:rPr>
          <w:rFonts w:ascii="Arial" w:cs="Arial" w:eastAsia="Arial" w:hAnsi="Arial"/>
          <w:sz w:val="16"/>
          <w:szCs w:val="16"/>
          <w:color w:val="212529"/>
        </w:rPr>
        <w:t>unfunded status of the BHC Pension Plan from the prior year</w:t>
      </w:r>
      <w:r>
        <w:rPr>
          <w:rFonts w:ascii="Arial" w:cs="Arial" w:eastAsia="Arial" w:hAnsi="Arial"/>
          <w:sz w:val="16"/>
          <w:szCs w:val="16"/>
          <w:color w:val="000000"/>
        </w:rPr>
        <w:t>.</w:t>
      </w:r>
    </w:p>
    <w:p>
      <w:pPr>
        <w:spacing w:after="0" w:line="19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212529"/>
        </w:rPr>
        <w:t>We are faced with increased competition for employee and contractor talent in the current labor market. To date, we have seen lower total employee costs due to workforce attrition partially offset by increased employee and contractor costs related to attraction and retention of talent.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More detailed discussion of the future uncertainties can be found in “Risk Factors” section in Part I, Item 1A of our 2021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 Goals Updated</w:t>
      </w:r>
    </w:p>
    <w:p>
      <w:pPr>
        <w:spacing w:after="0" w:line="26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August 31, 2022, we published our 2021 Sustainability Report highlighting our environmental, social and governance achievements and strategies to further decarbonize our Utilities’ systems. The report highlights our progress toward reducing greenhouse gas emissions intensity by one-third off a 2005 baseline. In addition, we announced a new Net Zero by 2035 target for our Gas Utilities, which doubles the previous target of a 50% reduction by 2035. Net Zero will be achieved through pipeline material and main replacements, advanced leak detection, third-party damage reduction, expanding the use of RNG and hydrogen and utilizing carbon credit offsets.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 - Good Neighbor Rule</w:t>
      </w:r>
    </w:p>
    <w:p>
      <w:pPr>
        <w:spacing w:after="0" w:line="2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March 2022, the EPA released its Good Neighbor Rule, which contains proposed revisions to the Cross-State Air Pollution Rule (CSAPR) framework and is intended to address ozone transport for the 2015 ozone National Ambient Air Quality Standards (NAAQS). The rule focuses on reductions of NOx, precursors to ozone formation and covers 26 states, including Wyoming for the first time. The EPA proposes to retain emissions allowance trading for generating facilities. Beginning in 2023, emissions budgets would be set at the level of reductions achievable through immediately available measures such as consistently operating existing emissions controls. Starting in 2026, emissions budgets would be set at levels achievable by the installation of Selective Catalytic Reactor controls at certain generating facilities. The EPA accepted comments on the proposal through June 21, 2022. We anticipate that any costs incurred as a result of the proposed rule would be recoverable through our regulatory mechanisms.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 Reduction Act</w:t>
      </w:r>
    </w:p>
    <w:p>
      <w:pPr>
        <w:spacing w:after="0" w:line="235"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The “Inflation Reduction Act” (“IRA”), signed into law by President Biden on August 16, 2022, features $370 billion in spending and tax incentives on clean energy provisions. Most notably, the IRA includes provisions such as the extension and expansion of production and investment tax credits for wind and solar; energy storage, renewable natural gas, and carbon capture and sequestration; and the transferability of clean energy tax credits. We are currently evaluating the IRA provisions to determine impacts and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262"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Condensed Consolidated Financial Statements for recent rate review activity for Wyoming Electric.</w:t>
      </w:r>
    </w:p>
    <w:p>
      <w:pPr>
        <w:spacing w:after="0" w:line="248" w:lineRule="exact"/>
        <w:rPr>
          <w:rFonts w:ascii="Arial" w:cs="Arial" w:eastAsia="Arial" w:hAnsi="Arial"/>
          <w:sz w:val="16"/>
          <w:szCs w:val="16"/>
          <w:color w:val="auto"/>
        </w:rPr>
      </w:pPr>
    </w:p>
    <w:p>
      <w:pPr>
        <w:ind w:left="660" w:right="320" w:hanging="328"/>
        <w:spacing w:after="0" w:line="26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On October 11, 2022, the WPSC approved a CPCN submitted by Wyoming Electric to construct an estimated 260-mile transmission expansion project. The transmission expansion project, known as </w:t>
      </w:r>
      <w:r>
        <w:rPr>
          <w:rFonts w:ascii="Arial" w:cs="Arial" w:eastAsia="Arial" w:hAnsi="Arial"/>
          <w:sz w:val="16"/>
          <w:szCs w:val="16"/>
          <w:i w:val="1"/>
          <w:iCs w:val="1"/>
          <w:color w:val="auto"/>
        </w:rPr>
        <w:t>Ready Wyoming</w:t>
      </w:r>
      <w:r>
        <w:rPr>
          <w:rFonts w:ascii="Arial" w:cs="Arial" w:eastAsia="Arial" w:hAnsi="Arial"/>
          <w:sz w:val="16"/>
          <w:szCs w:val="16"/>
          <w:color w:val="auto"/>
        </w:rPr>
        <w:t>, will provide customers long-term price stability and greater flexibility as power markets develop in the Western States. Construction of the project is expected to take place in multiple phases or segments from 2023 through 2025 and will interconnect South Dakota Electric’s and Wyoming Electric’s transmission systems.</w:t>
      </w:r>
    </w:p>
    <w:p>
      <w:pPr>
        <w:spacing w:after="0" w:line="213"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July 21, 2022, Wyoming Electric set a new all-time and summer peak load of 294 MW, surpassing the previous summer peaks of 288 MW set on July 18, 2022, 282 MW set on June 13, 2022 and 274 MW set in July 2021.</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60" w:right="22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July 18, 2022, South Dakota Electric set a new all-time and summer peak load of 403 MW, surpassing the previous summer peak of 397 MW set in July 2021.</w:t>
      </w:r>
    </w:p>
    <w:p>
      <w:pPr>
        <w:spacing w:after="0" w:line="196" w:lineRule="exact"/>
        <w:rPr>
          <w:rFonts w:ascii="Arial" w:cs="Arial" w:eastAsia="Arial" w:hAnsi="Arial"/>
          <w:sz w:val="16"/>
          <w:szCs w:val="16"/>
          <w:color w:val="auto"/>
        </w:rPr>
      </w:pPr>
    </w:p>
    <w:p>
      <w:pPr>
        <w:ind w:left="660" w:right="22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June 21, 2022, Wyoming Electric completed its first agreement for service under its Blockchain Interruptible Service tariff. Under the five-year agreement, Wyoming Electric will deliver to a new customer in Cheyenne, Wyoming up to 45 MW with an option to expand service up to 75 MW. Energy will be sourced through the electric energy market and delivered through our Electric Utilities’ infrastructure. Under the agreement, the customer will be responsible for costs of service, and the load will be interruptible to prioritize the needs of Wyoming Electric’s existing retail customers. Wyoming Electric expects to begin delivering energy to this customer in the fourth quarter of 2022.</w:t>
      </w:r>
    </w:p>
    <w:p>
      <w:pPr>
        <w:spacing w:after="0" w:line="218" w:lineRule="exact"/>
        <w:rPr>
          <w:rFonts w:ascii="Arial" w:cs="Arial" w:eastAsia="Arial" w:hAnsi="Arial"/>
          <w:sz w:val="16"/>
          <w:szCs w:val="16"/>
          <w:color w:val="auto"/>
        </w:rPr>
      </w:pPr>
    </w:p>
    <w:p>
      <w:pPr>
        <w:ind w:left="660" w:hanging="328"/>
        <w:spacing w:after="0" w:line="259"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May 27, 2022, Colorado Electric filed its Clean Energy Plan, “2030 Ready Plan”, with the CPUC. The 2030 Ready Plan establishes a roadmap and preferred resource portfolio for Colorado Electric to achieve the state of Colorado’s requirement calling upon electric utilities to reduce GHG emissions by a minimum of 80% by 2030. The preferred resource portfolio calls for the addition of 149 MW of wind, 258 MW of solar and 50 MW of battery storage to Colorado Electric's system. The final mix of resources would be determined by the results of a competitive solicitation starting in 2023. Colorado legislation provides up to 50% utility ownership of these additions. As proposed, the plan will achieve a 90% reduction in emissions and result in 79% of Colorado Electric’s customers' electricity being generated by carbon-free sources by 2030. A CPUC decision on Phase 1 of the 2030 Ready Plan is expected in March 2023, which would be followed by a request for proposals for renewable energy resources.</w:t>
      </w:r>
    </w:p>
    <w:p>
      <w:pPr>
        <w:spacing w:after="0" w:line="20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February 23, 2022, Wyoming Electric set a new winter peak load of 262 MW, surpassing the previous winter peaks of 252 MW set on January 5, 2022 and 247 MW set in December 2019.</w:t>
      </w:r>
    </w:p>
    <w:p>
      <w:pPr>
        <w:spacing w:after="0" w:line="168" w:lineRule="exact"/>
        <w:rPr>
          <w:rFonts w:ascii="Arial" w:cs="Arial" w:eastAsia="Arial" w:hAnsi="Arial"/>
          <w:sz w:val="16"/>
          <w:szCs w:val="16"/>
          <w:color w:val="auto"/>
        </w:rPr>
      </w:pPr>
    </w:p>
    <w:p>
      <w:pPr>
        <w:ind w:left="660" w:right="340" w:hanging="328"/>
        <w:spacing w:after="0" w:line="26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first quarter of 2022, Colorado Electric agreed to join SPP’s Western Energy Imbalance Service (“WEIS”) Market. On September 26, 2022, South Dakota Electric and Wyoming Electric also agreed to join the WEIS Market. South Dakota Electric and Wyoming Electric will join Colorado Electric in integrating into the WEIS Market in April 2023 and will continue to study long-term solutions for joining or developing an organized wholesale market. The expansion allows the utilities to participate in a real-time market.</w:t>
      </w:r>
    </w:p>
    <w:p>
      <w:pPr>
        <w:spacing w:after="0" w:line="213"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January 2022, South Dakota Electric placed in service a $19 million, 54-mile, 230 kV electric transmission line from Rapid City to Spearfish, South Dakota. The second leg of this transmission line rebuild project, an 85-mile segment from Spearfish to Gillette, Wyoming, is expected to be in service by the end of 2023.</w:t>
      </w:r>
    </w:p>
    <w:p>
      <w:pPr>
        <w:spacing w:after="0" w:line="191" w:lineRule="exact"/>
        <w:rPr>
          <w:rFonts w:ascii="Arial" w:cs="Arial" w:eastAsia="Arial" w:hAnsi="Arial"/>
          <w:sz w:val="16"/>
          <w:szCs w:val="16"/>
          <w:color w:val="auto"/>
        </w:rPr>
      </w:pPr>
    </w:p>
    <w:p>
      <w:pPr>
        <w:ind w:left="660" w:right="10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January 5, 2022, South Dakota Electric set a new winter peak load of 327 MW, surpassing the previous winter peak of 326 MW set in February 2021.</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248"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Condensed Consolidated Financial Statements for recent rate review activity for Arkansas Gas and RMNG.</w:t>
      </w:r>
    </w:p>
    <w:p>
      <w:pPr>
        <w:spacing w:after="0" w:line="261" w:lineRule="exact"/>
        <w:rPr>
          <w:rFonts w:ascii="Arial" w:cs="Arial" w:eastAsia="Arial" w:hAnsi="Arial"/>
          <w:sz w:val="16"/>
          <w:szCs w:val="16"/>
          <w:color w:val="auto"/>
        </w:rPr>
      </w:pPr>
    </w:p>
    <w:p>
      <w:pPr>
        <w:ind w:left="660" w:right="20" w:hanging="328"/>
        <w:spacing w:after="0" w:line="25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During the third quarter of 2022, Kansas Gas and Nebraska Gas submitted proposals to their respective state utility commissions seeking approval to offer a voluntary RNG and carbon offset program for residential and business customers. The program would allow participants to offset 100% or more of the emissions associated with their own natural gas usage. The offset would be achieved through a combination of carbon offset credits and RNG attributes. Kansas Gas and Nebraska Gas designed their voluntary RNG and carbon offset programs as comprehensive four-year pilot programs starting in 2023 and running through 2026. On October 25, 2022, Kansas Gas received approval from the KCC for its voluntary RNG and carbon offset program. On June 6, 2022, Colorado Gas had submitted a similar proposal to the CPUC. In response to intervenor-filed testimony, Colorado Gas filed a motion to withdraw its application which was granted by an administrative law judge on October 26, 2022.</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262" w:lineRule="exact"/>
        <w:rPr>
          <w:sz w:val="20"/>
          <w:szCs w:val="20"/>
          <w:color w:val="auto"/>
        </w:rPr>
      </w:pPr>
    </w:p>
    <w:p>
      <w:pPr>
        <w:ind w:left="660" w:right="160" w:hanging="328"/>
        <w:spacing w:after="0" w:line="26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2.3-million-acre concession award in Costa Rica which was acquired by a BHC subsidiary in 2003. We believe we have meritorious defenses to the verdict and have appealed the verdict. See additional information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48"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nine months ended September 30, 2022 and 2021, and our financial condition as of September 30, 2022 and December 31, 2021, are not necessarily indicative of the results of operations and financial condition to be expected as of or for any other period or for the entire year.</w:t>
      </w:r>
    </w:p>
    <w:p>
      <w:pPr>
        <w:spacing w:after="0" w:line="20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 xml:space="preserve">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 See further segment information in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of the Notes to Condensed Consolidated Financial Statements.</w:t>
      </w:r>
    </w:p>
    <w:p>
      <w:pPr>
        <w:spacing w:after="0" w:line="191"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Segment information does not include inter-company eliminations and all amounts are presented on a pre-tax basis unless otherwise indicated. Minor differences in amounts may result due to rounding.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64"/>
        </w:trPr>
        <w:tc>
          <w:tcPr>
            <w:tcW w:w="4560" w:type="dxa"/>
            <w:vAlign w:val="bottom"/>
          </w:tcPr>
          <w:p>
            <w:pPr>
              <w:spacing w:after="0"/>
              <w:rPr>
                <w:sz w:val="24"/>
                <w:szCs w:val="24"/>
                <w:color w:val="auto"/>
              </w:rPr>
            </w:pPr>
          </w:p>
        </w:tc>
        <w:tc>
          <w:tcPr>
            <w:tcW w:w="3320" w:type="dxa"/>
            <w:vAlign w:val="bottom"/>
            <w:gridSpan w:val="4"/>
          </w:tcPr>
          <w:p>
            <w:pPr>
              <w:jc w:val="right"/>
              <w:ind w:right="259"/>
              <w:spacing w:after="0"/>
              <w:rPr>
                <w:sz w:val="20"/>
                <w:szCs w:val="20"/>
                <w:color w:val="auto"/>
              </w:rPr>
            </w:pPr>
            <w:r>
              <w:rPr>
                <w:rFonts w:ascii="Arial" w:cs="Arial" w:eastAsia="Arial" w:hAnsi="Arial"/>
                <w:sz w:val="16"/>
                <w:szCs w:val="16"/>
                <w:color w:val="auto"/>
              </w:rPr>
              <w:t>Three Months Ended September 30,</w:t>
            </w:r>
          </w:p>
        </w:tc>
        <w:tc>
          <w:tcPr>
            <w:tcW w:w="280" w:type="dxa"/>
            <w:vAlign w:val="bottom"/>
          </w:tcPr>
          <w:p>
            <w:pPr>
              <w:spacing w:after="0"/>
              <w:rPr>
                <w:sz w:val="24"/>
                <w:szCs w:val="24"/>
                <w:color w:val="auto"/>
              </w:rPr>
            </w:pPr>
          </w:p>
        </w:tc>
        <w:tc>
          <w:tcPr>
            <w:tcW w:w="3080" w:type="dxa"/>
            <w:vAlign w:val="bottom"/>
            <w:gridSpan w:val="3"/>
          </w:tcPr>
          <w:p>
            <w:pPr>
              <w:jc w:val="right"/>
              <w:ind w:right="319"/>
              <w:spacing w:after="0"/>
              <w:rPr>
                <w:sz w:val="20"/>
                <w:szCs w:val="20"/>
                <w:color w:val="auto"/>
              </w:rPr>
            </w:pPr>
            <w:r>
              <w:rPr>
                <w:rFonts w:ascii="Arial" w:cs="Arial" w:eastAsia="Arial" w:hAnsi="Arial"/>
                <w:sz w:val="16"/>
                <w:szCs w:val="16"/>
                <w:color w:val="auto"/>
              </w:rPr>
              <w:t>Nine Months Ended September 30,</w:t>
            </w:r>
          </w:p>
        </w:tc>
      </w:tr>
      <w:tr>
        <w:trPr>
          <w:trHeight w:val="217"/>
        </w:trPr>
        <w:tc>
          <w:tcPr>
            <w:tcW w:w="45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r>
      <w:tr>
        <w:trPr>
          <w:trHeight w:val="210"/>
        </w:trPr>
        <w:tc>
          <w:tcPr>
            <w:tcW w:w="4560" w:type="dxa"/>
            <w:vAlign w:val="bottom"/>
            <w:tcBorders>
              <w:bottom w:val="single" w:sz="8" w:color="CEFFE7"/>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(in thousands, except per share amounts)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97"/>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income (loss):</w:t>
            </w:r>
          </w:p>
        </w:tc>
        <w:tc>
          <w:tcPr>
            <w:tcW w:w="1020" w:type="dxa"/>
            <w:vAlign w:val="bottom"/>
            <w:shd w:val="clear" w:color="auto" w:fill="CEFFE7"/>
          </w:tcPr>
          <w:p>
            <w:pPr>
              <w:spacing w:after="0"/>
              <w:rPr>
                <w:sz w:val="17"/>
                <w:szCs w:val="17"/>
                <w:color w:val="auto"/>
              </w:rPr>
            </w:pPr>
          </w:p>
        </w:tc>
        <w:tc>
          <w:tcPr>
            <w:tcW w:w="64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1520" w:type="dxa"/>
            <w:vAlign w:val="bottom"/>
            <w:shd w:val="clear" w:color="auto" w:fill="CEFFE7"/>
          </w:tcPr>
          <w:p>
            <w:pPr>
              <w:spacing w:after="0"/>
              <w:rPr>
                <w:sz w:val="17"/>
                <w:szCs w:val="17"/>
                <w:color w:val="auto"/>
              </w:rPr>
            </w:pPr>
          </w:p>
        </w:tc>
        <w:tc>
          <w:tcPr>
            <w:tcW w:w="280" w:type="dxa"/>
            <w:vAlign w:val="bottom"/>
            <w:shd w:val="clear" w:color="auto" w:fill="CEFFE7"/>
          </w:tcPr>
          <w:p>
            <w:pPr>
              <w:spacing w:after="0"/>
              <w:rPr>
                <w:sz w:val="17"/>
                <w:szCs w:val="17"/>
                <w:color w:val="auto"/>
              </w:rPr>
            </w:pPr>
          </w:p>
        </w:tc>
        <w:tc>
          <w:tcPr>
            <w:tcW w:w="140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r>
      <w:tr>
        <w:trPr>
          <w:trHeight w:val="215"/>
        </w:trPr>
        <w:tc>
          <w:tcPr>
            <w:tcW w:w="4560" w:type="dxa"/>
            <w:vAlign w:val="bottom"/>
          </w:tcPr>
          <w:p>
            <w:pPr>
              <w:ind w:left="140"/>
              <w:spacing w:after="0"/>
              <w:rPr>
                <w:sz w:val="20"/>
                <w:szCs w:val="20"/>
                <w:color w:val="auto"/>
              </w:rPr>
            </w:pPr>
            <w:r>
              <w:rPr>
                <w:rFonts w:ascii="Arial" w:cs="Arial" w:eastAsia="Arial" w:hAnsi="Arial"/>
                <w:sz w:val="16"/>
                <w:szCs w:val="16"/>
                <w:color w:val="auto"/>
              </w:rPr>
              <w:t>Electric Utilities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69,483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72,840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165,455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159,645</w:t>
            </w:r>
          </w:p>
        </w:tc>
      </w:tr>
      <w:tr>
        <w:trPr>
          <w:trHeight w:val="217"/>
        </w:trPr>
        <w:tc>
          <w:tcPr>
            <w:tcW w:w="45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Gas Utilities</w:t>
            </w:r>
          </w:p>
        </w:tc>
        <w:tc>
          <w:tcPr>
            <w:tcW w:w="102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10,583</w:t>
            </w:r>
          </w:p>
        </w:tc>
        <w:tc>
          <w:tcPr>
            <w:tcW w:w="14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17,257</w:t>
            </w:r>
          </w:p>
        </w:tc>
        <w:tc>
          <w:tcPr>
            <w:tcW w:w="2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162,318</w:t>
            </w:r>
          </w:p>
        </w:tc>
        <w:tc>
          <w:tcPr>
            <w:tcW w:w="38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139,336</w:t>
            </w:r>
          </w:p>
        </w:tc>
      </w:tr>
      <w:tr>
        <w:trPr>
          <w:trHeight w:val="215"/>
        </w:trPr>
        <w:tc>
          <w:tcPr>
            <w:tcW w:w="456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Corporate and Other</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w:t>
            </w:r>
          </w:p>
        </w:tc>
      </w:tr>
      <w:tr>
        <w:trPr>
          <w:trHeight w:val="210"/>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0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79,479</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89,873</w:t>
            </w:r>
          </w:p>
        </w:tc>
        <w:tc>
          <w:tcPr>
            <w:tcW w:w="2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325,221</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295,454</w:t>
            </w:r>
          </w:p>
        </w:tc>
      </w:tr>
      <w:tr>
        <w:trPr>
          <w:trHeight w:val="237"/>
        </w:trPr>
        <w:tc>
          <w:tcPr>
            <w:tcW w:w="4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02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(40,019)</w:t>
            </w:r>
          </w:p>
        </w:tc>
        <w:tc>
          <w:tcPr>
            <w:tcW w:w="14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(38,018)</w:t>
            </w:r>
          </w:p>
        </w:tc>
        <w:tc>
          <w:tcPr>
            <w:tcW w:w="2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(117,328)</w:t>
            </w:r>
          </w:p>
        </w:tc>
        <w:tc>
          <w:tcPr>
            <w:tcW w:w="38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(113,820)</w:t>
            </w: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464</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1,560</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2,731</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17"/>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(2,090)</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(5,253)</w:t>
            </w:r>
          </w:p>
        </w:tc>
        <w:tc>
          <w:tcPr>
            <w:tcW w:w="2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(15,920)</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(6,333)</w:t>
            </w:r>
          </w:p>
        </w:tc>
      </w:tr>
      <w:tr>
        <w:trPr>
          <w:trHeight w:val="209"/>
        </w:trPr>
        <w:tc>
          <w:tcPr>
            <w:tcW w:w="4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37,834</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48,162</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194,704</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176,936</w:t>
            </w:r>
          </w:p>
        </w:tc>
      </w:tr>
      <w:tr>
        <w:trPr>
          <w:trHeight w:val="216"/>
        </w:trPr>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0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(2,861)</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(4,050)</w:t>
            </w:r>
          </w:p>
        </w:tc>
        <w:tc>
          <w:tcPr>
            <w:tcW w:w="2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(8,790)</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(11,347)</w:t>
            </w:r>
          </w:p>
        </w:tc>
      </w:tr>
      <w:tr>
        <w:trPr>
          <w:trHeight w:val="210"/>
        </w:trPr>
        <w:tc>
          <w:tcPr>
            <w:tcW w:w="456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185,914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165,589</w:t>
            </w:r>
          </w:p>
        </w:tc>
      </w:tr>
      <w:tr>
        <w:trPr>
          <w:trHeight w:val="20"/>
        </w:trPr>
        <w:tc>
          <w:tcPr>
            <w:tcW w:w="4560" w:type="dxa"/>
            <w:vAlign w:val="bottom"/>
            <w:tcBorders>
              <w:bottom w:val="single" w:sz="8" w:color="CEFFE7"/>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4560" w:type="dxa"/>
            <w:vAlign w:val="bottom"/>
            <w:shd w:val="clear" w:color="auto" w:fill="CEFFE7"/>
          </w:tcPr>
          <w:p>
            <w:pPr>
              <w:spacing w:after="0"/>
              <w:rPr>
                <w:sz w:val="20"/>
                <w:szCs w:val="20"/>
                <w:color w:val="auto"/>
              </w:rPr>
            </w:pPr>
          </w:p>
        </w:tc>
        <w:tc>
          <w:tcPr>
            <w:tcW w:w="102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52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1400" w:type="dxa"/>
            <w:vAlign w:val="bottom"/>
            <w:shd w:val="clear" w:color="auto" w:fill="CEFFE7"/>
          </w:tcPr>
          <w:p>
            <w:pPr>
              <w:spacing w:after="0"/>
              <w:rPr>
                <w:sz w:val="20"/>
                <w:szCs w:val="20"/>
                <w:color w:val="auto"/>
              </w:rPr>
            </w:pPr>
          </w:p>
        </w:tc>
        <w:tc>
          <w:tcPr>
            <w:tcW w:w="38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0"/>
        </w:trPr>
        <w:tc>
          <w:tcPr>
            <w:tcW w:w="4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2022 Compared to Three Months Ended September 30, 2021:</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62" w:lineRule="exact"/>
        <w:rPr>
          <w:sz w:val="20"/>
          <w:szCs w:val="20"/>
          <w:color w:val="auto"/>
        </w:rPr>
      </w:pPr>
    </w:p>
    <w:p>
      <w:pPr>
        <w:ind w:left="660" w:right="60" w:hanging="328"/>
        <w:spacing w:after="0" w:line="257"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Electric Utilities’ operating income decreased $3.4 million primarily due to higher operating expenses, prior year mark-to-market gains on wholesale energy contacts and lower pricing on the new Wygen I PPA partially offset by increased rider revenues, increased transmission services revenue and off-system excess energy sales and favorable weather;</w:t>
      </w:r>
    </w:p>
    <w:p>
      <w:pPr>
        <w:spacing w:after="0" w:line="1"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Gas Utilities’ operating income decreased $6.7 million primarily due to higher operating expenses and mark-to-market losses on wholesale commodity contracts partially offset by favorable weather, new rates and rider recovery and carrying costs on our Winter Storm Uri regulatory asset;</w:t>
      </w: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Interest expense increased $2.0 million due to higher interest rates and higher short-term borrowings;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income decreased $1.1 million primarily due to a prior year recognition of death benefits from Company-owned life insurance;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Income tax expense decreased $3.2 million primarily due to lower pre-tax income; and</w:t>
      </w:r>
    </w:p>
    <w:p>
      <w:pPr>
        <w:spacing w:after="0" w:line="18" w:lineRule="exact"/>
        <w:rPr>
          <w:rFonts w:ascii="Arial" w:cs="Arial" w:eastAsia="Arial" w:hAnsi="Arial"/>
          <w:sz w:val="16"/>
          <w:szCs w:val="16"/>
          <w:b w:val="1"/>
          <w:bCs w:val="1"/>
          <w:color w:val="auto"/>
        </w:rPr>
      </w:pPr>
    </w:p>
    <w:p>
      <w:pPr>
        <w:ind w:left="660" w:right="100" w:hanging="328"/>
        <w:spacing w:after="0" w:line="26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 income attributable to non-controlling interest decreased $1.2 million due to lower net income from Black Hills Colorado IPP primarily driven by lower fired-engine hours.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2022 Compared to Nine Months Ended September 30, 2021:</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ind w:left="660" w:right="4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Electric Utilities’ operating income increased $5.8 million primarily due to increased rider revenues, prior year impacts related to Colorado Electric’s TCJA-related bill credits to customers (which were offset by reduced income tax expense), increased transmission services revenue and off-system excess energy sales and prior year mark-to-market losses on wholesale energy contacts partially offset by higher operating expenses and lower pricing on the new Wygen I PPA;</w:t>
      </w:r>
    </w:p>
    <w:p>
      <w:pPr>
        <w:spacing w:after="0" w:line="1" w:lineRule="exact"/>
        <w:rPr>
          <w:rFonts w:ascii="Arial" w:cs="Arial" w:eastAsia="Arial" w:hAnsi="Arial"/>
          <w:sz w:val="16"/>
          <w:szCs w:val="16"/>
          <w:color w:val="auto"/>
        </w:rPr>
      </w:pPr>
    </w:p>
    <w:p>
      <w:pPr>
        <w:ind w:left="660" w:right="100" w:hanging="328"/>
        <w:spacing w:after="0" w:line="252"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Gas Utilities’ operating income increased $23 million primarily due to new rates and rider recovery, carrying costs on our Winter Storm Uri regulatory asset, prior year Black Hills Energy Services Winter Storm Uri costs, customer growth and increased usage per customer partially offset by higher operating expenses;</w:t>
      </w:r>
    </w:p>
    <w:p>
      <w:pPr>
        <w:ind w:left="660" w:right="300" w:hanging="328"/>
        <w:spacing w:after="0" w:line="25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Corporate and Other expenses decreased $1.0 million primarily due to an allocation of a 2020 employee cost true-up in the first quarter of 2021, which was offset in our business segments;</w:t>
      </w: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expense increased $3.5 million due to higher interest rates and higher short-term and long-term debt balances;</w:t>
      </w:r>
    </w:p>
    <w:p>
      <w:pPr>
        <w:spacing w:after="0" w:line="5" w:lineRule="exact"/>
        <w:rPr>
          <w:rFonts w:ascii="Arial" w:cs="Arial" w:eastAsia="Arial" w:hAnsi="Arial"/>
          <w:sz w:val="16"/>
          <w:szCs w:val="16"/>
          <w:color w:val="auto"/>
        </w:rPr>
      </w:pPr>
    </w:p>
    <w:p>
      <w:pPr>
        <w:ind w:left="660" w:right="500" w:hanging="328"/>
        <w:spacing w:after="0" w:line="25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income increased $1.1 million primarily due to lower costs for our non-qualified benefit plans which were driven by market performance partially offset by a prior year recognition of death benefits from Company-owned life insurance;</w:t>
      </w:r>
    </w:p>
    <w:p>
      <w:pPr>
        <w:ind w:left="660" w:right="280" w:hanging="328"/>
        <w:spacing w:after="0" w:line="255" w:lineRule="auto"/>
        <w:tabs>
          <w:tab w:leader="none" w:pos="649"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Income tax expense increased $9.6 million driven by higher pre-tax income and a higher effective tax rate primarily due to prior year tax benefits from Colorado Electric and Nebraska Gas TCJA-related bill credits partially offset by tax benefits from state tax rate changes; and</w:t>
      </w:r>
    </w:p>
    <w:p>
      <w:pPr>
        <w:ind w:left="660" w:right="100" w:hanging="328"/>
        <w:spacing w:after="0" w:line="26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income attributable to non-controlling interest decreased $2.6 million due to lower net income from Black Hills Colorado IPP primarily driven by lower fired-engine hours and a planned outage.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26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218"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200"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Electric Utilities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6"/>
          </w:tcPr>
          <w:p>
            <w:pPr>
              <w:jc w:val="right"/>
              <w:ind w:right="480"/>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18"/>
                <w:szCs w:val="18"/>
                <w:color w:val="auto"/>
              </w:rPr>
            </w:pPr>
          </w:p>
        </w:tc>
        <w:tc>
          <w:tcPr>
            <w:tcW w:w="3340" w:type="dxa"/>
            <w:vAlign w:val="bottom"/>
            <w:gridSpan w:val="6"/>
          </w:tcPr>
          <w:p>
            <w:pPr>
              <w:jc w:val="right"/>
              <w:ind w:right="459"/>
              <w:spacing w:after="0"/>
              <w:rPr>
                <w:sz w:val="20"/>
                <w:szCs w:val="20"/>
                <w:color w:val="auto"/>
              </w:rPr>
            </w:pPr>
            <w:r>
              <w:rPr>
                <w:rFonts w:ascii="Arial" w:cs="Arial" w:eastAsia="Arial" w:hAnsi="Arial"/>
                <w:sz w:val="16"/>
                <w:szCs w:val="16"/>
                <w:color w:val="auto"/>
              </w:rPr>
              <w:t>Nine Months Ended September 30,</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Variance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Variance</w:t>
            </w:r>
          </w:p>
        </w:tc>
        <w:tc>
          <w:tcPr>
            <w:tcW w:w="20" w:type="dxa"/>
            <w:vAlign w:val="bottom"/>
          </w:tcPr>
          <w:p>
            <w:pPr>
              <w:spacing w:after="0"/>
              <w:rPr>
                <w:sz w:val="18"/>
                <w:szCs w:val="18"/>
                <w:color w:val="auto"/>
              </w:rPr>
            </w:pPr>
          </w:p>
        </w:tc>
      </w:tr>
      <w:tr>
        <w:trPr>
          <w:trHeight w:val="76"/>
        </w:trPr>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20" w:type="dxa"/>
            <w:vAlign w:val="bottom"/>
            <w:gridSpan w:val="2"/>
          </w:tcPr>
          <w:p>
            <w:pPr>
              <w:ind w:left="120"/>
              <w:spacing w:after="0"/>
              <w:rPr>
                <w:sz w:val="20"/>
                <w:szCs w:val="20"/>
                <w:color w:val="auto"/>
              </w:rPr>
            </w:pPr>
            <w:r>
              <w:rPr>
                <w:rFonts w:ascii="Arial" w:cs="Arial" w:eastAsia="Arial" w:hAnsi="Arial"/>
                <w:sz w:val="16"/>
                <w:szCs w:val="16"/>
                <w:color w:val="auto"/>
              </w:rPr>
              <w:t>Electric - regulated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245,269</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210,053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35,216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635,190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614,652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20,538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0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Other - non-regulated</w:t>
            </w:r>
          </w:p>
        </w:tc>
        <w:tc>
          <w:tcPr>
            <w:tcW w:w="30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13,401</w:t>
            </w:r>
          </w:p>
        </w:tc>
        <w:tc>
          <w:tcPr>
            <w:tcW w:w="3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10,351</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3,050</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34,396</w:t>
            </w:r>
          </w:p>
        </w:tc>
        <w:tc>
          <w:tcPr>
            <w:tcW w:w="2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32,172</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2,224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EFFE7"/>
            </w:tcBorders>
            <w:gridSpan w:val="2"/>
          </w:tcPr>
          <w:p>
            <w:pPr>
              <w:ind w:left="24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258,669</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220,404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38,265</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669,586</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646,824</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22,762</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1500" w:type="dxa"/>
            <w:vAlign w:val="bottom"/>
            <w:shd w:val="clear" w:color="auto" w:fill="CEFFE7"/>
          </w:tcPr>
          <w:p>
            <w:pPr>
              <w:spacing w:after="0"/>
              <w:rPr>
                <w:sz w:val="21"/>
                <w:szCs w:val="21"/>
                <w:color w:val="auto"/>
              </w:rPr>
            </w:pPr>
          </w:p>
        </w:tc>
        <w:tc>
          <w:tcPr>
            <w:tcW w:w="252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86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90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78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c>
          <w:tcPr>
            <w:tcW w:w="92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80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1000" w:type="dxa"/>
            <w:vAlign w:val="bottom"/>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Cost of fuel and purchased power:</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0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Electric - regulated</w:t>
            </w: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84,309</w:t>
            </w:r>
          </w:p>
        </w:tc>
        <w:tc>
          <w:tcPr>
            <w:tcW w:w="30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50,238</w:t>
            </w:r>
          </w:p>
        </w:tc>
        <w:tc>
          <w:tcPr>
            <w:tcW w:w="220" w:type="dxa"/>
            <w:vAlign w:val="bottom"/>
            <w:shd w:val="clear" w:color="auto" w:fill="CEFFE7"/>
          </w:tcPr>
          <w:p>
            <w:pPr>
              <w:spacing w:after="0"/>
              <w:rPr>
                <w:sz w:val="18"/>
                <w:szCs w:val="18"/>
                <w:color w:val="auto"/>
              </w:rPr>
            </w:pPr>
          </w:p>
        </w:tc>
        <w:tc>
          <w:tcPr>
            <w:tcW w:w="100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34,071</w:t>
            </w: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191,511</w:t>
            </w:r>
          </w:p>
        </w:tc>
        <w:tc>
          <w:tcPr>
            <w:tcW w:w="2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194,314</w:t>
            </w: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(2,803)</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Other - non-regulated</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751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2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Total cost of fuel and purchased power</w:t>
            </w:r>
          </w:p>
        </w:tc>
        <w:tc>
          <w:tcPr>
            <w:tcW w:w="30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85,953</w:t>
            </w:r>
          </w:p>
        </w:tc>
        <w:tc>
          <w:tcPr>
            <w:tcW w:w="3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51,131</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34,822</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194,995</w:t>
            </w:r>
          </w:p>
        </w:tc>
        <w:tc>
          <w:tcPr>
            <w:tcW w:w="2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196,993</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(1,998)</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1500" w:type="dxa"/>
            <w:vAlign w:val="bottom"/>
            <w:tcBorders>
              <w:bottom w:val="single" w:sz="8" w:color="CEFFE7"/>
            </w:tcBorders>
          </w:tcPr>
          <w:p>
            <w:pPr>
              <w:spacing w:after="0"/>
              <w:rPr>
                <w:sz w:val="21"/>
                <w:szCs w:val="21"/>
                <w:color w:val="auto"/>
              </w:rPr>
            </w:pPr>
          </w:p>
        </w:tc>
        <w:tc>
          <w:tcPr>
            <w:tcW w:w="2520" w:type="dxa"/>
            <w:vAlign w:val="bottom"/>
            <w:tcBorders>
              <w:bottom w:val="single" w:sz="8" w:color="CEFFE7"/>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4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Electric Utility margin (non-GAAP)</w:t>
            </w:r>
          </w:p>
        </w:tc>
        <w:tc>
          <w:tcPr>
            <w:tcW w:w="30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172,716</w:t>
            </w:r>
          </w:p>
        </w:tc>
        <w:tc>
          <w:tcPr>
            <w:tcW w:w="3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169,273</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3,443</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474,591</w:t>
            </w:r>
          </w:p>
        </w:tc>
        <w:tc>
          <w:tcPr>
            <w:tcW w:w="2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449,831</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24,760</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68,896</w:t>
            </w:r>
          </w:p>
        </w:tc>
        <w:tc>
          <w:tcPr>
            <w:tcW w:w="30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63,472</w:t>
            </w:r>
          </w:p>
        </w:tc>
        <w:tc>
          <w:tcPr>
            <w:tcW w:w="220" w:type="dxa"/>
            <w:vAlign w:val="bottom"/>
            <w:shd w:val="clear" w:color="auto" w:fill="CEFFE7"/>
          </w:tcPr>
          <w:p>
            <w:pPr>
              <w:spacing w:after="0"/>
              <w:rPr>
                <w:sz w:val="18"/>
                <w:szCs w:val="18"/>
                <w:color w:val="auto"/>
              </w:rPr>
            </w:pPr>
          </w:p>
        </w:tc>
        <w:tc>
          <w:tcPr>
            <w:tcW w:w="100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5,424</w:t>
            </w: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207,565</w:t>
            </w:r>
          </w:p>
        </w:tc>
        <w:tc>
          <w:tcPr>
            <w:tcW w:w="2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192,507</w:t>
            </w: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15,058</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34,337</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32,961</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1,376</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101,571</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97,679</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103,233</w:t>
            </w:r>
          </w:p>
        </w:tc>
        <w:tc>
          <w:tcPr>
            <w:tcW w:w="3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96,433</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6,800</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309,136</w:t>
            </w:r>
          </w:p>
        </w:tc>
        <w:tc>
          <w:tcPr>
            <w:tcW w:w="2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290,186</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18,950</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1500" w:type="dxa"/>
            <w:vAlign w:val="bottom"/>
            <w:tcBorders>
              <w:bottom w:val="single" w:sz="8" w:color="CEFFE7"/>
            </w:tcBorders>
          </w:tcPr>
          <w:p>
            <w:pPr>
              <w:spacing w:after="0"/>
              <w:rPr>
                <w:sz w:val="21"/>
                <w:szCs w:val="21"/>
                <w:color w:val="auto"/>
              </w:rPr>
            </w:pPr>
          </w:p>
        </w:tc>
        <w:tc>
          <w:tcPr>
            <w:tcW w:w="2520" w:type="dxa"/>
            <w:vAlign w:val="bottom"/>
            <w:tcBorders>
              <w:bottom w:val="single" w:sz="8" w:color="CEFFE7"/>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4"/>
        </w:trPr>
        <w:tc>
          <w:tcPr>
            <w:tcW w:w="20" w:type="dxa"/>
            <w:vAlign w:val="bottom"/>
          </w:tcPr>
          <w:p>
            <w:pPr>
              <w:spacing w:after="0"/>
              <w:rPr>
                <w:sz w:val="19"/>
                <w:szCs w:val="19"/>
                <w:color w:val="auto"/>
              </w:rPr>
            </w:pPr>
          </w:p>
        </w:tc>
        <w:tc>
          <w:tcPr>
            <w:tcW w:w="40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69,483</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72,840</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(3,357)</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165,455</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159,645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5,810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CEFFE7"/>
            </w:tcBorders>
          </w:tcPr>
          <w:p>
            <w:pPr>
              <w:spacing w:after="0" w:line="20" w:lineRule="exact"/>
              <w:rPr>
                <w:sz w:val="1"/>
                <w:szCs w:val="1"/>
                <w:color w:val="auto"/>
              </w:rPr>
            </w:pPr>
          </w:p>
        </w:tc>
        <w:tc>
          <w:tcPr>
            <w:tcW w:w="2520" w:type="dxa"/>
            <w:vAlign w:val="bottom"/>
            <w:tcBorders>
              <w:top w:val="single" w:sz="8" w:color="CEFFE7"/>
            </w:tcBorders>
          </w:tcPr>
          <w:p>
            <w:pPr>
              <w:spacing w:after="0" w:line="20" w:lineRule="exact"/>
              <w:rPr>
                <w:sz w:val="1"/>
                <w:szCs w:val="1"/>
                <w:color w:val="auto"/>
              </w:rPr>
            </w:pPr>
          </w:p>
        </w:tc>
        <w:tc>
          <w:tcPr>
            <w:tcW w:w="3360" w:type="dxa"/>
            <w:vAlign w:val="bottom"/>
            <w:tcBorders>
              <w:top w:val="single" w:sz="8" w:color="CEFFE7"/>
              <w:bottom w:val="single" w:sz="8" w:color="auto"/>
            </w:tcBorders>
            <w:gridSpan w:val="6"/>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0"/>
        </w:trPr>
        <w:tc>
          <w:tcPr>
            <w:tcW w:w="7620" w:type="dxa"/>
            <w:vAlign w:val="bottom"/>
            <w:gridSpan w:val="10"/>
          </w:tcPr>
          <w:p>
            <w:pPr>
              <w:spacing w:after="0"/>
              <w:rPr>
                <w:sz w:val="20"/>
                <w:szCs w:val="20"/>
                <w:color w:val="auto"/>
              </w:rPr>
            </w:pPr>
            <w:r>
              <w:rPr>
                <w:rFonts w:ascii="Arial" w:cs="Arial" w:eastAsia="Arial" w:hAnsi="Arial"/>
                <w:sz w:val="16"/>
                <w:szCs w:val="16"/>
                <w:color w:val="auto"/>
              </w:rPr>
              <w:t>Three Months Ended September 30, 2022 Compared to the Three Months Ended September 30, 2021: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434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6"/>
        </w:trPr>
        <w:tc>
          <w:tcPr>
            <w:tcW w:w="20" w:type="dxa"/>
            <w:vAlign w:val="bottom"/>
            <w:tcBorders>
              <w:top w:val="single" w:sz="8" w:color="auto"/>
              <w:bottom w:val="single" w:sz="8" w:color="CEFFE7"/>
            </w:tcBorders>
          </w:tcPr>
          <w:p>
            <w:pPr>
              <w:spacing w:after="0"/>
              <w:rPr>
                <w:sz w:val="24"/>
                <w:szCs w:val="24"/>
                <w:color w:val="auto"/>
              </w:rPr>
            </w:pPr>
          </w:p>
        </w:tc>
        <w:tc>
          <w:tcPr>
            <w:tcW w:w="1500" w:type="dxa"/>
            <w:vAlign w:val="bottom"/>
            <w:tcBorders>
              <w:top w:val="single" w:sz="8" w:color="auto"/>
              <w:bottom w:val="single" w:sz="8" w:color="CEFFE7"/>
            </w:tcBorders>
          </w:tcPr>
          <w:p>
            <w:pPr>
              <w:spacing w:after="0"/>
              <w:rPr>
                <w:sz w:val="24"/>
                <w:szCs w:val="24"/>
                <w:color w:val="auto"/>
              </w:rPr>
            </w:pPr>
          </w:p>
        </w:tc>
        <w:tc>
          <w:tcPr>
            <w:tcW w:w="2520" w:type="dxa"/>
            <w:vAlign w:val="bottom"/>
            <w:tcBorders>
              <w:bottom w:val="single" w:sz="8" w:color="CEFFE7"/>
            </w:tcBorders>
          </w:tcPr>
          <w:p>
            <w:pPr>
              <w:spacing w:after="0"/>
              <w:rPr>
                <w:sz w:val="24"/>
                <w:szCs w:val="24"/>
                <w:color w:val="auto"/>
              </w:rPr>
            </w:pPr>
          </w:p>
        </w:tc>
        <w:tc>
          <w:tcPr>
            <w:tcW w:w="300" w:type="dxa"/>
            <w:vAlign w:val="bottom"/>
            <w:tcBorders>
              <w:bottom w:val="single" w:sz="8" w:color="CEFFE7"/>
            </w:tcBorders>
          </w:tcPr>
          <w:p>
            <w:pPr>
              <w:spacing w:after="0"/>
              <w:rPr>
                <w:sz w:val="24"/>
                <w:szCs w:val="24"/>
                <w:color w:val="auto"/>
              </w:rPr>
            </w:pPr>
          </w:p>
        </w:tc>
        <w:tc>
          <w:tcPr>
            <w:tcW w:w="860" w:type="dxa"/>
            <w:vAlign w:val="bottom"/>
            <w:tcBorders>
              <w:bottom w:val="single" w:sz="8" w:color="CEFFE7"/>
            </w:tcBorders>
          </w:tcPr>
          <w:p>
            <w:pPr>
              <w:spacing w:after="0"/>
              <w:rPr>
                <w:sz w:val="24"/>
                <w:szCs w:val="24"/>
                <w:color w:val="auto"/>
              </w:rPr>
            </w:pPr>
          </w:p>
        </w:tc>
        <w:tc>
          <w:tcPr>
            <w:tcW w:w="300" w:type="dxa"/>
            <w:vAlign w:val="bottom"/>
            <w:tcBorders>
              <w:bottom w:val="single" w:sz="8" w:color="CEFFE7"/>
            </w:tcBorders>
          </w:tcPr>
          <w:p>
            <w:pPr>
              <w:spacing w:after="0"/>
              <w:rPr>
                <w:sz w:val="24"/>
                <w:szCs w:val="24"/>
                <w:color w:val="auto"/>
              </w:rPr>
            </w:pPr>
          </w:p>
        </w:tc>
        <w:tc>
          <w:tcPr>
            <w:tcW w:w="900" w:type="dxa"/>
            <w:vAlign w:val="bottom"/>
            <w:tcBorders>
              <w:bottom w:val="single" w:sz="8" w:color="CEFFE7"/>
            </w:tcBorders>
          </w:tcPr>
          <w:p>
            <w:pPr>
              <w:spacing w:after="0"/>
              <w:rPr>
                <w:sz w:val="24"/>
                <w:szCs w:val="24"/>
                <w:color w:val="auto"/>
              </w:rPr>
            </w:pPr>
          </w:p>
        </w:tc>
        <w:tc>
          <w:tcPr>
            <w:tcW w:w="220" w:type="dxa"/>
            <w:vAlign w:val="bottom"/>
            <w:tcBorders>
              <w:bottom w:val="single" w:sz="8" w:color="CEFFE7"/>
            </w:tcBorders>
          </w:tcPr>
          <w:p>
            <w:pPr>
              <w:spacing w:after="0"/>
              <w:rPr>
                <w:sz w:val="24"/>
                <w:szCs w:val="24"/>
                <w:color w:val="auto"/>
              </w:rPr>
            </w:pPr>
          </w:p>
        </w:tc>
        <w:tc>
          <w:tcPr>
            <w:tcW w:w="780" w:type="dxa"/>
            <w:vAlign w:val="bottom"/>
            <w:tcBorders>
              <w:bottom w:val="single" w:sz="8" w:color="CEFFE7"/>
            </w:tcBorders>
          </w:tcPr>
          <w:p>
            <w:pPr>
              <w:spacing w:after="0"/>
              <w:rPr>
                <w:sz w:val="24"/>
                <w:szCs w:val="24"/>
                <w:color w:val="auto"/>
              </w:rPr>
            </w:pPr>
          </w:p>
        </w:tc>
        <w:tc>
          <w:tcPr>
            <w:tcW w:w="220" w:type="dxa"/>
            <w:vAlign w:val="bottom"/>
            <w:tcBorders>
              <w:bottom w:val="single" w:sz="8" w:color="CEFFE7"/>
            </w:tcBorders>
          </w:tcPr>
          <w:p>
            <w:pPr>
              <w:spacing w:after="0"/>
              <w:rPr>
                <w:sz w:val="24"/>
                <w:szCs w:val="24"/>
                <w:color w:val="auto"/>
              </w:rPr>
            </w:pPr>
          </w:p>
        </w:tc>
        <w:tc>
          <w:tcPr>
            <w:tcW w:w="260" w:type="dxa"/>
            <w:vAlign w:val="bottom"/>
            <w:tcBorders>
              <w:bottom w:val="single" w:sz="8" w:color="CEFFE7"/>
            </w:tcBorders>
          </w:tcPr>
          <w:p>
            <w:pPr>
              <w:spacing w:after="0"/>
              <w:rPr>
                <w:sz w:val="24"/>
                <w:szCs w:val="24"/>
                <w:color w:val="auto"/>
              </w:rPr>
            </w:pPr>
          </w:p>
        </w:tc>
        <w:tc>
          <w:tcPr>
            <w:tcW w:w="920" w:type="dxa"/>
            <w:vAlign w:val="bottom"/>
            <w:tcBorders>
              <w:bottom w:val="single" w:sz="8" w:color="CEFFE7"/>
            </w:tcBorders>
          </w:tcPr>
          <w:p>
            <w:pPr>
              <w:spacing w:after="0"/>
              <w:rPr>
                <w:sz w:val="24"/>
                <w:szCs w:val="24"/>
                <w:color w:val="auto"/>
              </w:rPr>
            </w:pPr>
          </w:p>
        </w:tc>
        <w:tc>
          <w:tcPr>
            <w:tcW w:w="240" w:type="dxa"/>
            <w:vAlign w:val="bottom"/>
            <w:tcBorders>
              <w:bottom w:val="single" w:sz="8" w:color="CEFFE7"/>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auto"/>
            </w:tcBorders>
          </w:tcPr>
          <w:p>
            <w:pPr>
              <w:spacing w:after="0"/>
              <w:rPr>
                <w:sz w:val="24"/>
                <w:szCs w:val="24"/>
                <w:color w:val="auto"/>
              </w:rPr>
            </w:pPr>
          </w:p>
        </w:tc>
      </w:tr>
      <w:tr>
        <w:trPr>
          <w:trHeight w:val="210"/>
        </w:trPr>
        <w:tc>
          <w:tcPr>
            <w:tcW w:w="20" w:type="dxa"/>
            <w:vAlign w:val="bottom"/>
            <w:shd w:val="clear" w:color="auto" w:fill="CEFFE7"/>
          </w:tcPr>
          <w:p>
            <w:pPr>
              <w:spacing w:after="0"/>
              <w:rPr>
                <w:sz w:val="18"/>
                <w:szCs w:val="18"/>
                <w:color w:val="auto"/>
              </w:rPr>
            </w:pPr>
          </w:p>
        </w:tc>
        <w:tc>
          <w:tcPr>
            <w:tcW w:w="402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New rates and rider recovery</w:t>
            </w: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w:t>
            </w:r>
          </w:p>
        </w:tc>
        <w:tc>
          <w:tcPr>
            <w:tcW w:w="20" w:type="dxa"/>
            <w:vAlign w:val="bottom"/>
            <w:shd w:val="clear" w:color="auto" w:fill="CEFFE7"/>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6"/>
                <w:szCs w:val="16"/>
                <w:color w:val="auto"/>
              </w:rPr>
              <w:t>Transmission services and off-system excess energy sales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r>
      <w:tr>
        <w:trPr>
          <w:trHeight w:val="217"/>
        </w:trPr>
        <w:tc>
          <w:tcPr>
            <w:tcW w:w="20" w:type="dxa"/>
            <w:vAlign w:val="bottom"/>
            <w:shd w:val="clear" w:color="auto" w:fill="CEFFE7"/>
          </w:tcPr>
          <w:p>
            <w:pPr>
              <w:spacing w:after="0"/>
              <w:rPr>
                <w:sz w:val="18"/>
                <w:szCs w:val="18"/>
                <w:color w:val="auto"/>
              </w:rPr>
            </w:pPr>
          </w:p>
        </w:tc>
        <w:tc>
          <w:tcPr>
            <w:tcW w:w="402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Weather</w:t>
            </w: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EFFE7"/>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Commercial and industrial load growth</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8"/>
                <w:szCs w:val="18"/>
                <w:color w:val="auto"/>
              </w:rPr>
            </w:pPr>
          </w:p>
        </w:tc>
      </w:tr>
      <w:tr>
        <w:trPr>
          <w:trHeight w:val="217"/>
        </w:trPr>
        <w:tc>
          <w:tcPr>
            <w:tcW w:w="20" w:type="dxa"/>
            <w:vAlign w:val="bottom"/>
            <w:shd w:val="clear" w:color="auto" w:fill="CEFFE7"/>
          </w:tcPr>
          <w:p>
            <w:pPr>
              <w:spacing w:after="0"/>
              <w:rPr>
                <w:sz w:val="18"/>
                <w:szCs w:val="18"/>
                <w:color w:val="auto"/>
              </w:rPr>
            </w:pPr>
          </w:p>
        </w:tc>
        <w:tc>
          <w:tcPr>
            <w:tcW w:w="4020" w:type="dxa"/>
            <w:vAlign w:val="bottom"/>
            <w:gridSpan w:val="2"/>
            <w:shd w:val="clear" w:color="auto" w:fill="CEFFE7"/>
          </w:tcPr>
          <w:p>
            <w:pPr>
              <w:spacing w:after="0" w:line="217" w:lineRule="exact"/>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(a)</w:t>
            </w: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EFFE7"/>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Lower pricing on new Wygen I PPA</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Prior year mark-to-market on wholesale energy contracts</w:t>
            </w:r>
          </w:p>
        </w:tc>
        <w:tc>
          <w:tcPr>
            <w:tcW w:w="8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20" w:type="dxa"/>
            <w:vAlign w:val="bottom"/>
            <w:shd w:val="clear" w:color="auto" w:fill="CEFFE7"/>
          </w:tcPr>
          <w:p>
            <w:pPr>
              <w:spacing w:after="0"/>
              <w:rPr>
                <w:sz w:val="18"/>
                <w:szCs w:val="18"/>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020" w:type="dxa"/>
            <w:vAlign w:val="bottom"/>
            <w:tcBorders>
              <w:bottom w:val="single" w:sz="8" w:color="CEFFE7"/>
            </w:tcBorders>
            <w:gridSpan w:val="2"/>
          </w:tcPr>
          <w:p>
            <w:pPr>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EFFE7"/>
            </w:tcBorders>
          </w:tcPr>
          <w:p>
            <w:pPr>
              <w:spacing w:after="0"/>
              <w:rPr>
                <w:sz w:val="18"/>
                <w:szCs w:val="18"/>
                <w:color w:val="auto"/>
              </w:rPr>
            </w:pPr>
          </w:p>
        </w:tc>
        <w:tc>
          <w:tcPr>
            <w:tcW w:w="860" w:type="dxa"/>
            <w:vAlign w:val="bottom"/>
            <w:tcBorders>
              <w:bottom w:val="single" w:sz="8" w:color="CEFFE7"/>
            </w:tcBorders>
          </w:tcPr>
          <w:p>
            <w:pPr>
              <w:spacing w:after="0"/>
              <w:rPr>
                <w:sz w:val="18"/>
                <w:szCs w:val="18"/>
                <w:color w:val="auto"/>
              </w:rPr>
            </w:pPr>
          </w:p>
        </w:tc>
        <w:tc>
          <w:tcPr>
            <w:tcW w:w="300" w:type="dxa"/>
            <w:vAlign w:val="bottom"/>
            <w:tcBorders>
              <w:bottom w:val="single" w:sz="8" w:color="CEFFE7"/>
            </w:tcBorders>
          </w:tcPr>
          <w:p>
            <w:pPr>
              <w:spacing w:after="0"/>
              <w:rPr>
                <w:sz w:val="18"/>
                <w:szCs w:val="18"/>
                <w:color w:val="auto"/>
              </w:rPr>
            </w:pPr>
          </w:p>
        </w:tc>
        <w:tc>
          <w:tcPr>
            <w:tcW w:w="900" w:type="dxa"/>
            <w:vAlign w:val="bottom"/>
            <w:tcBorders>
              <w:bottom w:val="single" w:sz="8" w:color="CEFFE7"/>
            </w:tcBorders>
          </w:tcPr>
          <w:p>
            <w:pPr>
              <w:spacing w:after="0"/>
              <w:rPr>
                <w:sz w:val="18"/>
                <w:szCs w:val="18"/>
                <w:color w:val="auto"/>
              </w:rPr>
            </w:pPr>
          </w:p>
        </w:tc>
        <w:tc>
          <w:tcPr>
            <w:tcW w:w="220" w:type="dxa"/>
            <w:vAlign w:val="bottom"/>
            <w:tcBorders>
              <w:bottom w:val="single" w:sz="8" w:color="CEFFE7"/>
            </w:tcBorders>
          </w:tcPr>
          <w:p>
            <w:pPr>
              <w:spacing w:after="0"/>
              <w:rPr>
                <w:sz w:val="18"/>
                <w:szCs w:val="18"/>
                <w:color w:val="auto"/>
              </w:rPr>
            </w:pPr>
          </w:p>
        </w:tc>
        <w:tc>
          <w:tcPr>
            <w:tcW w:w="780" w:type="dxa"/>
            <w:vAlign w:val="bottom"/>
            <w:tcBorders>
              <w:bottom w:val="single" w:sz="8" w:color="CEFFE7"/>
            </w:tcBorders>
          </w:tcPr>
          <w:p>
            <w:pPr>
              <w:spacing w:after="0"/>
              <w:rPr>
                <w:sz w:val="18"/>
                <w:szCs w:val="18"/>
                <w:color w:val="auto"/>
              </w:rPr>
            </w:pPr>
          </w:p>
        </w:tc>
        <w:tc>
          <w:tcPr>
            <w:tcW w:w="220" w:type="dxa"/>
            <w:vAlign w:val="bottom"/>
            <w:tcBorders>
              <w:bottom w:val="single" w:sz="8" w:color="CEFFE7"/>
            </w:tcBorders>
          </w:tcPr>
          <w:p>
            <w:pPr>
              <w:spacing w:after="0"/>
              <w:rPr>
                <w:sz w:val="18"/>
                <w:szCs w:val="18"/>
                <w:color w:val="auto"/>
              </w:rPr>
            </w:pPr>
          </w:p>
        </w:tc>
        <w:tc>
          <w:tcPr>
            <w:tcW w:w="260" w:type="dxa"/>
            <w:vAlign w:val="bottom"/>
            <w:tcBorders>
              <w:bottom w:val="single" w:sz="8" w:color="CEFFE7"/>
            </w:tcBorders>
          </w:tcPr>
          <w:p>
            <w:pPr>
              <w:spacing w:after="0"/>
              <w:rPr>
                <w:sz w:val="18"/>
                <w:szCs w:val="18"/>
                <w:color w:val="auto"/>
              </w:rPr>
            </w:pPr>
          </w:p>
        </w:tc>
        <w:tc>
          <w:tcPr>
            <w:tcW w:w="920" w:type="dxa"/>
            <w:vAlign w:val="bottom"/>
            <w:tcBorders>
              <w:bottom w:val="single" w:sz="8" w:color="CEFFE7"/>
            </w:tcBorders>
          </w:tcPr>
          <w:p>
            <w:pPr>
              <w:spacing w:after="0"/>
              <w:rPr>
                <w:sz w:val="18"/>
                <w:szCs w:val="18"/>
                <w:color w:val="auto"/>
              </w:rPr>
            </w:pPr>
          </w:p>
        </w:tc>
        <w:tc>
          <w:tcPr>
            <w:tcW w:w="24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 w:type="dxa"/>
            <w:vAlign w:val="bottom"/>
            <w:tcBorders>
              <w:bottom w:val="single" w:sz="8" w:color="auto"/>
            </w:tcBorders>
          </w:tcPr>
          <w:p>
            <w:pPr>
              <w:spacing w:after="0"/>
              <w:rPr>
                <w:sz w:val="18"/>
                <w:szCs w:val="18"/>
                <w:color w:val="auto"/>
              </w:rPr>
            </w:pPr>
          </w:p>
        </w:tc>
      </w:tr>
      <w:tr>
        <w:trPr>
          <w:trHeight w:val="235"/>
        </w:trPr>
        <w:tc>
          <w:tcPr>
            <w:tcW w:w="20" w:type="dxa"/>
            <w:vAlign w:val="bottom"/>
            <w:tcBorders>
              <w:bottom w:val="single" w:sz="8" w:color="CEFFE7"/>
            </w:tcBorders>
            <w:shd w:val="clear" w:color="auto" w:fill="CEFFE7"/>
          </w:tcPr>
          <w:p>
            <w:pPr>
              <w:spacing w:after="0"/>
              <w:rPr>
                <w:sz w:val="20"/>
                <w:szCs w:val="20"/>
                <w:color w:val="auto"/>
              </w:rPr>
            </w:pPr>
          </w:p>
        </w:tc>
        <w:tc>
          <w:tcPr>
            <w:tcW w:w="40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Total increase in Electric Utility margin</w:t>
            </w:r>
          </w:p>
        </w:tc>
        <w:tc>
          <w:tcPr>
            <w:tcW w:w="30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spacing w:after="0"/>
              <w:rPr>
                <w:sz w:val="20"/>
                <w:szCs w:val="20"/>
                <w:color w:val="auto"/>
              </w:rPr>
            </w:pPr>
          </w:p>
        </w:tc>
        <w:tc>
          <w:tcPr>
            <w:tcW w:w="300" w:type="dxa"/>
            <w:vAlign w:val="bottom"/>
            <w:tcBorders>
              <w:bottom w:val="single" w:sz="8" w:color="CEFFE7"/>
            </w:tcBorders>
            <w:shd w:val="clear" w:color="auto" w:fill="CEFFE7"/>
          </w:tcPr>
          <w:p>
            <w:pPr>
              <w:spacing w:after="0"/>
              <w:rPr>
                <w:sz w:val="20"/>
                <w:szCs w:val="20"/>
                <w:color w:val="auto"/>
              </w:rPr>
            </w:pPr>
          </w:p>
        </w:tc>
        <w:tc>
          <w:tcPr>
            <w:tcW w:w="90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EFFE7"/>
          </w:tcPr>
          <w:p>
            <w:pPr>
              <w:spacing w:after="0"/>
              <w:rPr>
                <w:sz w:val="20"/>
                <w:szCs w:val="20"/>
                <w:color w:val="auto"/>
              </w:rPr>
            </w:pPr>
          </w:p>
        </w:tc>
        <w:tc>
          <w:tcPr>
            <w:tcW w:w="22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20" w:type="dxa"/>
            <w:vAlign w:val="bottom"/>
            <w:tcBorders>
              <w:bottom w:val="single" w:sz="8" w:color="auto"/>
            </w:tcBorders>
            <w:shd w:val="clear" w:color="auto" w:fill="CEFFE7"/>
          </w:tcPr>
          <w:p>
            <w:pPr>
              <w:spacing w:after="0"/>
              <w:rPr>
                <w:sz w:val="20"/>
                <w:szCs w:val="20"/>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500" w:type="dxa"/>
            <w:vAlign w:val="bottom"/>
            <w:tcBorders>
              <w:top w:val="single" w:sz="8" w:color="CEFFE7"/>
            </w:tcBorders>
          </w:tcPr>
          <w:p>
            <w:pPr>
              <w:spacing w:after="0" w:line="20" w:lineRule="exact"/>
              <w:rPr>
                <w:sz w:val="1"/>
                <w:szCs w:val="1"/>
                <w:color w:val="auto"/>
              </w:rPr>
            </w:pPr>
          </w:p>
        </w:tc>
        <w:tc>
          <w:tcPr>
            <w:tcW w:w="252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tcBorders>
          </w:tcPr>
          <w:p>
            <w:pPr>
              <w:spacing w:after="0" w:line="20" w:lineRule="exact"/>
              <w:rPr>
                <w:sz w:val="1"/>
                <w:szCs w:val="1"/>
                <w:color w:val="auto"/>
              </w:rPr>
            </w:pPr>
          </w:p>
        </w:tc>
        <w:tc>
          <w:tcPr>
            <w:tcW w:w="90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tcBorders>
          </w:tcPr>
          <w:p>
            <w:pPr>
              <w:spacing w:after="0" w:line="20" w:lineRule="exact"/>
              <w:rPr>
                <w:sz w:val="1"/>
                <w:szCs w:val="1"/>
                <w:color w:val="auto"/>
              </w:rPr>
            </w:pPr>
          </w:p>
        </w:tc>
        <w:tc>
          <w:tcPr>
            <w:tcW w:w="9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driven by favorable market pricing.</w:t>
      </w:r>
    </w:p>
    <w:p>
      <w:pPr>
        <w:spacing w:after="0" w:line="23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generation-related expenses, higher vehicle expenses due to higher fuel costs, increased royalties on higher mining revenues partially offset by lower employee costs.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2022 Compared to the Nine Months Ended September 30,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Utility margin</w:t>
      </w:r>
      <w:r>
        <w:rPr>
          <w:rFonts w:ascii="Arial" w:cs="Arial" w:eastAsia="Arial" w:hAnsi="Arial"/>
          <w:sz w:val="16"/>
          <w:szCs w:val="16"/>
          <w:color w:val="auto"/>
        </w:rPr>
        <w:t xml:space="preserve"> increased as a result of the following:</w:t>
      </w:r>
    </w:p>
    <w:p>
      <w:pPr>
        <w:spacing w:after="0" w:line="356" w:lineRule="exact"/>
        <w:rPr>
          <w:sz w:val="20"/>
          <w:szCs w:val="20"/>
          <w:color w:val="auto"/>
        </w:rPr>
      </w:pPr>
    </w:p>
    <w:p>
      <w:pPr>
        <w:jc w:val="right"/>
        <w:ind w:right="70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rates and rider recovery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Prior year TCJA-related bill credits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Transmission services and off-system excess energy sales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Prior year mark-to-market on wholesale energy contracts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17" w:lineRule="auto"/>
        <w:rPr>
          <w:sz w:val="20"/>
          <w:szCs w:val="20"/>
          <w:color w:val="auto"/>
        </w:rPr>
      </w:pPr>
      <w:r>
        <w:rPr>
          <w:rFonts w:ascii="Arial" w:cs="Arial" w:eastAsia="Arial" w:hAnsi="Arial"/>
          <w:sz w:val="16"/>
          <w:szCs w:val="16"/>
          <w:color w:val="auto"/>
        </w:rPr>
        <w:t xml:space="preserve">Prior year Winter Storm Uri impacts </w:t>
      </w:r>
      <w:r>
        <w:rPr>
          <w:rFonts w:ascii="Arial" w:cs="Arial" w:eastAsia="Arial" w:hAnsi="Arial"/>
          <w:sz w:val="21"/>
          <w:szCs w:val="2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Weather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Lower pricing on new Wygen I PPA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increase in Electric Utility margin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9.3</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4.4</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0.8</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46355</wp:posOffset>
            </wp:positionV>
            <wp:extent cx="1397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p>
      <w:pPr>
        <w:ind w:left="340" w:right="140" w:hanging="332"/>
        <w:spacing w:after="0" w:line="256" w:lineRule="auto"/>
        <w:tabs>
          <w:tab w:leader="none" w:pos="3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February 2021, Colorado Electric delivered $9.3 million of TCJA-related bill credits to its customers. These bill credits were offset by a reduction in income tax expense and resulted in an immaterial impact to Net income.</w:t>
      </w: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Primarily driven by favorable market pricing.</w:t>
      </w:r>
    </w:p>
    <w:p>
      <w:pPr>
        <w:spacing w:after="0" w:line="14" w:lineRule="exact"/>
        <w:rPr>
          <w:rFonts w:ascii="Arial" w:cs="Arial" w:eastAsia="Arial" w:hAnsi="Arial"/>
          <w:sz w:val="14"/>
          <w:szCs w:val="14"/>
          <w:color w:val="auto"/>
        </w:rPr>
      </w:pPr>
    </w:p>
    <w:p>
      <w:pPr>
        <w:ind w:left="340" w:right="340" w:hanging="332"/>
        <w:spacing w:after="0" w:line="272" w:lineRule="auto"/>
        <w:tabs>
          <w:tab w:leader="none" w:pos="33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a result of Winter Storm Uri, our Electric Utilities incurred a $0.8 million negative impact to our regulated wholesale power margins due to higher fuel costs and $2.1 million of incremental fuel costs that are not recoverable through our fuel cost recovery mechanisms partially offset by $1.7 million of increased Electric Utility margin realized under Black Hills Wyoming’s Economy Energy PSA.</w:t>
      </w:r>
    </w:p>
    <w:p>
      <w:pPr>
        <w:spacing w:after="0" w:line="20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cloud computing licensing costs, higher generation-related expenses, higher vehicle expenses due to higher fuel costs, higher outside services expenses and increased property taxes due to expiration of an abatement partially offset by lower employee costs.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color w:val="auto"/>
              </w:rPr>
              <w:t>Revenue (in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Quantities Sold (MWh)</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ind w:right="288"/>
              <w:spacing w:after="0" w:line="151" w:lineRule="exact"/>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3"/>
                <w:szCs w:val="13"/>
                <w:color w:val="auto"/>
              </w:rPr>
            </w:pPr>
          </w:p>
        </w:tc>
        <w:tc>
          <w:tcPr>
            <w:tcW w:w="1960" w:type="dxa"/>
            <w:vAlign w:val="bottom"/>
            <w:gridSpan w:val="4"/>
          </w:tcPr>
          <w:p>
            <w:pPr>
              <w:jc w:val="center"/>
              <w:ind w:right="340"/>
              <w:spacing w:after="0" w:line="151" w:lineRule="exact"/>
              <w:rPr>
                <w:sz w:val="20"/>
                <w:szCs w:val="20"/>
                <w:color w:val="auto"/>
              </w:rPr>
            </w:pPr>
            <w:r>
              <w:rPr>
                <w:rFonts w:ascii="Arial" w:cs="Arial" w:eastAsia="Arial" w:hAnsi="Arial"/>
                <w:sz w:val="14"/>
                <w:szCs w:val="14"/>
                <w:color w:val="auto"/>
              </w:rPr>
              <w:t>Nine Months Ended</w:t>
            </w:r>
          </w:p>
        </w:tc>
        <w:tc>
          <w:tcPr>
            <w:tcW w:w="2220" w:type="dxa"/>
            <w:vAlign w:val="bottom"/>
            <w:gridSpan w:val="2"/>
          </w:tcPr>
          <w:p>
            <w:pPr>
              <w:jc w:val="right"/>
              <w:ind w:right="428"/>
              <w:spacing w:after="0" w:line="151" w:lineRule="exact"/>
              <w:rPr>
                <w:sz w:val="20"/>
                <w:szCs w:val="20"/>
                <w:color w:val="auto"/>
              </w:rPr>
            </w:pPr>
            <w:r>
              <w:rPr>
                <w:rFonts w:ascii="Arial" w:cs="Arial" w:eastAsia="Arial" w:hAnsi="Arial"/>
                <w:sz w:val="14"/>
                <w:szCs w:val="14"/>
                <w:color w:val="auto"/>
              </w:rPr>
              <w:t>Three Months Ended</w:t>
            </w:r>
          </w:p>
        </w:tc>
        <w:tc>
          <w:tcPr>
            <w:tcW w:w="1940" w:type="dxa"/>
            <w:vAlign w:val="bottom"/>
            <w:gridSpan w:val="2"/>
          </w:tcPr>
          <w:p>
            <w:pPr>
              <w:jc w:val="right"/>
              <w:ind w:right="328"/>
              <w:spacing w:after="0" w:line="151"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3"/>
          </w:tcPr>
          <w:p>
            <w:pPr>
              <w:jc w:val="right"/>
              <w:ind w:right="488"/>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6"/>
                <w:szCs w:val="16"/>
                <w:color w:val="auto"/>
              </w:rPr>
            </w:pPr>
          </w:p>
        </w:tc>
        <w:tc>
          <w:tcPr>
            <w:tcW w:w="1960" w:type="dxa"/>
            <w:vAlign w:val="bottom"/>
            <w:gridSpan w:val="4"/>
          </w:tcPr>
          <w:p>
            <w:pPr>
              <w:jc w:val="center"/>
              <w:ind w:right="340"/>
              <w:spacing w:after="0"/>
              <w:rPr>
                <w:sz w:val="20"/>
                <w:szCs w:val="20"/>
                <w:color w:val="auto"/>
              </w:rPr>
            </w:pPr>
            <w:r>
              <w:rPr>
                <w:rFonts w:ascii="Arial" w:cs="Arial" w:eastAsia="Arial" w:hAnsi="Arial"/>
                <w:sz w:val="14"/>
                <w:szCs w:val="14"/>
                <w:color w:val="auto"/>
              </w:rPr>
              <w:t>September 30,</w:t>
            </w:r>
          </w:p>
        </w:tc>
        <w:tc>
          <w:tcPr>
            <w:tcW w:w="2220" w:type="dxa"/>
            <w:vAlign w:val="bottom"/>
            <w:gridSpan w:val="2"/>
          </w:tcPr>
          <w:p>
            <w:pPr>
              <w:jc w:val="right"/>
              <w:ind w:right="628"/>
              <w:spacing w:after="0"/>
              <w:rPr>
                <w:sz w:val="20"/>
                <w:szCs w:val="20"/>
                <w:color w:val="auto"/>
              </w:rPr>
            </w:pPr>
            <w:r>
              <w:rPr>
                <w:rFonts w:ascii="Arial" w:cs="Arial" w:eastAsia="Arial" w:hAnsi="Arial"/>
                <w:sz w:val="14"/>
                <w:szCs w:val="14"/>
                <w:color w:val="auto"/>
              </w:rPr>
              <w:t>September 30,</w:t>
            </w:r>
          </w:p>
        </w:tc>
        <w:tc>
          <w:tcPr>
            <w:tcW w:w="1940" w:type="dxa"/>
            <w:vAlign w:val="bottom"/>
            <w:gridSpan w:val="2"/>
          </w:tcPr>
          <w:p>
            <w:pPr>
              <w:jc w:val="right"/>
              <w:ind w:right="48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94"/>
        </w:trPr>
        <w:tc>
          <w:tcPr>
            <w:tcW w:w="2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EFFE7"/>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2022</w:t>
            </w: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0"/>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72,115</w:t>
            </w:r>
          </w:p>
        </w:tc>
        <w:tc>
          <w:tcPr>
            <w:tcW w:w="2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66,138</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187,217</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192,349</w:t>
            </w: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421,782</w:t>
            </w:r>
          </w:p>
        </w:tc>
        <w:tc>
          <w:tcPr>
            <w:tcW w:w="106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419,001</w:t>
            </w:r>
          </w:p>
        </w:tc>
        <w:tc>
          <w:tcPr>
            <w:tcW w:w="104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1,137,139</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1,150,150</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77,314</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70,696</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210,423</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214,512</w:t>
            </w:r>
          </w:p>
        </w:tc>
        <w:tc>
          <w:tcPr>
            <w:tcW w:w="10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581,239</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576,037</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1,581,487</w:t>
            </w:r>
          </w:p>
        </w:tc>
        <w:tc>
          <w:tcPr>
            <w:tcW w:w="900" w:type="dxa"/>
            <w:vAlign w:val="bottom"/>
          </w:tcPr>
          <w:p>
            <w:pPr>
              <w:jc w:val="right"/>
              <w:spacing w:after="0"/>
              <w:rPr>
                <w:sz w:val="20"/>
                <w:szCs w:val="20"/>
                <w:color w:val="auto"/>
              </w:rPr>
            </w:pPr>
            <w:r>
              <w:rPr>
                <w:rFonts w:ascii="Arial" w:cs="Arial" w:eastAsia="Arial" w:hAnsi="Arial"/>
                <w:sz w:val="14"/>
                <w:szCs w:val="14"/>
                <w:color w:val="auto"/>
              </w:rPr>
              <w:t>1,570,455</w:t>
            </w:r>
          </w:p>
        </w:tc>
        <w:tc>
          <w:tcPr>
            <w:tcW w:w="0" w:type="dxa"/>
            <w:vAlign w:val="bottom"/>
          </w:tcPr>
          <w:p>
            <w:pPr>
              <w:spacing w:after="0"/>
              <w:rPr>
                <w:sz w:val="1"/>
                <w:szCs w:val="1"/>
                <w:color w:val="auto"/>
              </w:rPr>
            </w:pPr>
          </w:p>
        </w:tc>
      </w:tr>
      <w:tr>
        <w:trPr>
          <w:trHeight w:val="207"/>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Industrial</w:t>
            </w:r>
          </w:p>
        </w:tc>
        <w:tc>
          <w:tcPr>
            <w:tcW w:w="22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47,090</w:t>
            </w:r>
          </w:p>
        </w:tc>
        <w:tc>
          <w:tcPr>
            <w:tcW w:w="20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37,323</w:t>
            </w:r>
          </w:p>
        </w:tc>
        <w:tc>
          <w:tcPr>
            <w:tcW w:w="24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120,688</w:t>
            </w:r>
          </w:p>
        </w:tc>
        <w:tc>
          <w:tcPr>
            <w:tcW w:w="240" w:type="dxa"/>
            <w:vAlign w:val="bottom"/>
            <w:shd w:val="clear" w:color="auto" w:fill="CEFFE7"/>
          </w:tcPr>
          <w:p>
            <w:pPr>
              <w:spacing w:after="0"/>
              <w:rPr>
                <w:sz w:val="17"/>
                <w:szCs w:val="17"/>
                <w:color w:val="auto"/>
              </w:rPr>
            </w:pP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115,518</w:t>
            </w: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483,223</w:t>
            </w:r>
          </w:p>
        </w:tc>
        <w:tc>
          <w:tcPr>
            <w:tcW w:w="106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459,076</w:t>
            </w:r>
          </w:p>
        </w:tc>
        <w:tc>
          <w:tcPr>
            <w:tcW w:w="104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1,411,919</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1,316,060</w:t>
            </w:r>
          </w:p>
        </w:tc>
        <w:tc>
          <w:tcPr>
            <w:tcW w:w="0" w:type="dxa"/>
            <w:vAlign w:val="bottom"/>
          </w:tcPr>
          <w:p>
            <w:pPr>
              <w:spacing w:after="0"/>
              <w:rPr>
                <w:sz w:val="1"/>
                <w:szCs w:val="1"/>
                <w:color w:val="auto"/>
              </w:rPr>
            </w:pPr>
          </w:p>
        </w:tc>
      </w:tr>
      <w:tr>
        <w:trPr>
          <w:trHeight w:val="198"/>
        </w:trPr>
        <w:tc>
          <w:tcPr>
            <w:tcW w:w="28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Municipal</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6,093</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5,069</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15,660</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14,471</w:t>
            </w:r>
          </w:p>
        </w:tc>
        <w:tc>
          <w:tcPr>
            <w:tcW w:w="100" w:type="dxa"/>
            <w:vAlign w:val="bottom"/>
            <w:tcBorders>
              <w:bottom w:val="single" w:sz="8" w:color="CEFFE7"/>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46,745</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47,515</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122,290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123,620</w:t>
            </w:r>
          </w:p>
        </w:tc>
        <w:tc>
          <w:tcPr>
            <w:tcW w:w="0" w:type="dxa"/>
            <w:vAlign w:val="bottom"/>
          </w:tcPr>
          <w:p>
            <w:pPr>
              <w:spacing w:after="0"/>
              <w:rPr>
                <w:sz w:val="1"/>
                <w:szCs w:val="1"/>
                <w:color w:val="auto"/>
              </w:rPr>
            </w:pPr>
          </w:p>
        </w:tc>
      </w:tr>
      <w:tr>
        <w:trPr>
          <w:trHeight w:val="200"/>
        </w:trPr>
        <w:tc>
          <w:tcPr>
            <w:tcW w:w="28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Subtotal Retail Revenue - Electric</w:t>
            </w:r>
          </w:p>
        </w:tc>
        <w:tc>
          <w:tcPr>
            <w:tcW w:w="220" w:type="dxa"/>
            <w:vAlign w:val="bottom"/>
            <w:tcBorders>
              <w:bottom w:val="single" w:sz="8" w:color="auto"/>
            </w:tcBorders>
            <w:shd w:val="clear" w:color="auto" w:fill="CEFFE7"/>
          </w:tcPr>
          <w:p>
            <w:pPr>
              <w:spacing w:after="0"/>
              <w:rPr>
                <w:sz w:val="17"/>
                <w:szCs w:val="17"/>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202,612</w:t>
            </w:r>
          </w:p>
        </w:tc>
        <w:tc>
          <w:tcPr>
            <w:tcW w:w="200" w:type="dxa"/>
            <w:vAlign w:val="bottom"/>
            <w:tcBorders>
              <w:bottom w:val="single" w:sz="8" w:color="auto"/>
            </w:tcBorders>
            <w:shd w:val="clear" w:color="auto" w:fill="CEFFE7"/>
          </w:tcPr>
          <w:p>
            <w:pPr>
              <w:spacing w:after="0"/>
              <w:rPr>
                <w:sz w:val="17"/>
                <w:szCs w:val="17"/>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179,226</w:t>
            </w:r>
          </w:p>
        </w:tc>
        <w:tc>
          <w:tcPr>
            <w:tcW w:w="240" w:type="dxa"/>
            <w:vAlign w:val="bottom"/>
            <w:tcBorders>
              <w:bottom w:val="single" w:sz="8" w:color="auto"/>
            </w:tcBorders>
            <w:shd w:val="clear" w:color="auto" w:fill="CEFFE7"/>
          </w:tcPr>
          <w:p>
            <w:pPr>
              <w:spacing w:after="0"/>
              <w:rPr>
                <w:sz w:val="17"/>
                <w:szCs w:val="17"/>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533,989</w:t>
            </w:r>
          </w:p>
        </w:tc>
        <w:tc>
          <w:tcPr>
            <w:tcW w:w="240" w:type="dxa"/>
            <w:vAlign w:val="bottom"/>
            <w:tcBorders>
              <w:bottom w:val="single" w:sz="8" w:color="auto"/>
            </w:tcBorders>
            <w:shd w:val="clear" w:color="auto" w:fill="CEFFE7"/>
          </w:tcPr>
          <w:p>
            <w:pPr>
              <w:spacing w:after="0"/>
              <w:rPr>
                <w:sz w:val="17"/>
                <w:szCs w:val="17"/>
                <w:color w:val="auto"/>
              </w:rPr>
            </w:pP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536,850</w:t>
            </w:r>
          </w:p>
        </w:tc>
        <w:tc>
          <w:tcPr>
            <w:tcW w:w="100" w:type="dxa"/>
            <w:vAlign w:val="bottom"/>
            <w:shd w:val="clear" w:color="auto" w:fill="CEFFE7"/>
          </w:tcPr>
          <w:p>
            <w:pPr>
              <w:spacing w:after="0"/>
              <w:rPr>
                <w:sz w:val="17"/>
                <w:szCs w:val="17"/>
                <w:color w:val="auto"/>
              </w:rPr>
            </w:pPr>
          </w:p>
        </w:tc>
        <w:tc>
          <w:tcPr>
            <w:tcW w:w="1160" w:type="dxa"/>
            <w:vAlign w:val="bottom"/>
            <w:tcBorders>
              <w:bottom w:val="single" w:sz="8" w:color="auto"/>
            </w:tcBorders>
            <w:shd w:val="clear" w:color="auto" w:fill="CEFFE7"/>
          </w:tcPr>
          <w:p>
            <w:pPr>
              <w:jc w:val="right"/>
              <w:ind w:right="108"/>
              <w:spacing w:after="0"/>
              <w:rPr>
                <w:sz w:val="20"/>
                <w:szCs w:val="20"/>
                <w:color w:val="auto"/>
              </w:rPr>
            </w:pPr>
            <w:r>
              <w:rPr>
                <w:rFonts w:ascii="Arial" w:cs="Arial" w:eastAsia="Arial" w:hAnsi="Arial"/>
                <w:sz w:val="14"/>
                <w:szCs w:val="14"/>
                <w:color w:val="auto"/>
              </w:rPr>
              <w:t>1,532,989</w:t>
            </w:r>
          </w:p>
        </w:tc>
        <w:tc>
          <w:tcPr>
            <w:tcW w:w="106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1,501,629</w:t>
            </w:r>
          </w:p>
        </w:tc>
        <w:tc>
          <w:tcPr>
            <w:tcW w:w="104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4,252,835</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4,160,285</w:t>
            </w:r>
          </w:p>
        </w:tc>
        <w:tc>
          <w:tcPr>
            <w:tcW w:w="0" w:type="dxa"/>
            <w:vAlign w:val="bottom"/>
          </w:tcPr>
          <w:p>
            <w:pPr>
              <w:spacing w:after="0"/>
              <w:rPr>
                <w:sz w:val="1"/>
                <w:szCs w:val="1"/>
                <w:color w:val="auto"/>
              </w:rPr>
            </w:pPr>
          </w:p>
        </w:tc>
      </w:tr>
      <w:tr>
        <w:trPr>
          <w:trHeight w:val="192"/>
        </w:trPr>
        <w:tc>
          <w:tcPr>
            <w:tcW w:w="2820" w:type="dxa"/>
            <w:vAlign w:val="bottom"/>
          </w:tcPr>
          <w:p>
            <w:pPr>
              <w:ind w:left="20"/>
              <w:spacing w:after="0"/>
              <w:rPr>
                <w:sz w:val="20"/>
                <w:szCs w:val="20"/>
                <w:color w:val="auto"/>
              </w:rPr>
            </w:pPr>
            <w:r>
              <w:rPr>
                <w:rFonts w:ascii="Arial" w:cs="Arial" w:eastAsia="Arial" w:hAnsi="Arial"/>
                <w:sz w:val="14"/>
                <w:szCs w:val="14"/>
                <w:color w:val="auto"/>
              </w:rPr>
              <w:t>Contract Wholesale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8,378</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3,855</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18,639</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12,787</w:t>
            </w:r>
          </w:p>
        </w:tc>
        <w:tc>
          <w:tcPr>
            <w:tcW w:w="10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160,070</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129,221</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492,922</w:t>
            </w:r>
          </w:p>
        </w:tc>
        <w:tc>
          <w:tcPr>
            <w:tcW w:w="900" w:type="dxa"/>
            <w:vAlign w:val="bottom"/>
          </w:tcPr>
          <w:p>
            <w:pPr>
              <w:jc w:val="right"/>
              <w:spacing w:after="0"/>
              <w:rPr>
                <w:sz w:val="20"/>
                <w:szCs w:val="20"/>
                <w:color w:val="auto"/>
              </w:rPr>
            </w:pPr>
            <w:r>
              <w:rPr>
                <w:rFonts w:ascii="Arial" w:cs="Arial" w:eastAsia="Arial" w:hAnsi="Arial"/>
                <w:sz w:val="14"/>
                <w:szCs w:val="14"/>
                <w:color w:val="auto"/>
              </w:rPr>
              <w:t>415,979</w:t>
            </w:r>
          </w:p>
        </w:tc>
        <w:tc>
          <w:tcPr>
            <w:tcW w:w="0" w:type="dxa"/>
            <w:vAlign w:val="bottom"/>
          </w:tcPr>
          <w:p>
            <w:pPr>
              <w:spacing w:after="0"/>
              <w:rPr>
                <w:sz w:val="1"/>
                <w:szCs w:val="1"/>
                <w:color w:val="auto"/>
              </w:rPr>
            </w:pPr>
          </w:p>
        </w:tc>
      </w:tr>
      <w:tr>
        <w:trPr>
          <w:trHeight w:val="207"/>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Off-system/Power Marketing Wholesale</w:t>
            </w:r>
          </w:p>
        </w:tc>
        <w:tc>
          <w:tcPr>
            <w:tcW w:w="22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16,769</w:t>
            </w:r>
          </w:p>
        </w:tc>
        <w:tc>
          <w:tcPr>
            <w:tcW w:w="20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13,511</w:t>
            </w:r>
          </w:p>
        </w:tc>
        <w:tc>
          <w:tcPr>
            <w:tcW w:w="24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32,590</w:t>
            </w:r>
          </w:p>
        </w:tc>
        <w:tc>
          <w:tcPr>
            <w:tcW w:w="240" w:type="dxa"/>
            <w:vAlign w:val="bottom"/>
            <w:shd w:val="clear" w:color="auto" w:fill="CEFFE7"/>
          </w:tcPr>
          <w:p>
            <w:pPr>
              <w:spacing w:after="0"/>
              <w:rPr>
                <w:sz w:val="17"/>
                <w:szCs w:val="17"/>
                <w:color w:val="auto"/>
              </w:rPr>
            </w:pP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25,549</w:t>
            </w: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131,469</w:t>
            </w:r>
          </w:p>
        </w:tc>
        <w:tc>
          <w:tcPr>
            <w:tcW w:w="106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120,224</w:t>
            </w:r>
          </w:p>
        </w:tc>
        <w:tc>
          <w:tcPr>
            <w:tcW w:w="104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436,335</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329,426</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CEFFE7"/>
            </w:tcBorders>
          </w:tcPr>
          <w:p>
            <w:pPr>
              <w:ind w:left="20"/>
              <w:spacing w:after="0" w:line="20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17,509</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49,972</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39,466</w:t>
            </w:r>
          </w:p>
        </w:tc>
        <w:tc>
          <w:tcPr>
            <w:tcW w:w="100" w:type="dxa"/>
            <w:vAlign w:val="bottom"/>
            <w:tcBorders>
              <w:bottom w:val="single" w:sz="8" w:color="CEFFE7"/>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8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Total Regulated</w:t>
            </w:r>
          </w:p>
        </w:tc>
        <w:tc>
          <w:tcPr>
            <w:tcW w:w="22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245,269</w:t>
            </w:r>
          </w:p>
        </w:tc>
        <w:tc>
          <w:tcPr>
            <w:tcW w:w="20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210,053</w:t>
            </w:r>
          </w:p>
        </w:tc>
        <w:tc>
          <w:tcPr>
            <w:tcW w:w="24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635,190</w:t>
            </w:r>
          </w:p>
        </w:tc>
        <w:tc>
          <w:tcPr>
            <w:tcW w:w="240" w:type="dxa"/>
            <w:vAlign w:val="bottom"/>
            <w:shd w:val="clear" w:color="auto" w:fill="CEFFE7"/>
          </w:tcPr>
          <w:p>
            <w:pPr>
              <w:spacing w:after="0"/>
              <w:rPr>
                <w:sz w:val="17"/>
                <w:szCs w:val="17"/>
                <w:color w:val="auto"/>
              </w:rPr>
            </w:pP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614,652</w:t>
            </w: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1,824,528</w:t>
            </w:r>
          </w:p>
        </w:tc>
        <w:tc>
          <w:tcPr>
            <w:tcW w:w="106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1,751,074</w:t>
            </w:r>
          </w:p>
        </w:tc>
        <w:tc>
          <w:tcPr>
            <w:tcW w:w="104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5,182,092</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4,905,690</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CEFFE7"/>
            </w:tcBorders>
          </w:tcPr>
          <w:p>
            <w:pPr>
              <w:ind w:left="20"/>
              <w:spacing w:after="0" w:line="202" w:lineRule="exact"/>
              <w:rPr>
                <w:sz w:val="20"/>
                <w:szCs w:val="20"/>
                <w:color w:val="auto"/>
              </w:rPr>
            </w:pPr>
            <w:r>
              <w:rPr>
                <w:rFonts w:ascii="Arial" w:cs="Arial" w:eastAsia="Arial" w:hAnsi="Arial"/>
                <w:sz w:val="14"/>
                <w:szCs w:val="14"/>
                <w:color w:val="auto"/>
              </w:rPr>
              <w:t xml:space="preserve">Non-Regulated </w:t>
            </w:r>
            <w:r>
              <w:rPr>
                <w:rFonts w:ascii="Arial" w:cs="Arial" w:eastAsia="Arial" w:hAnsi="Arial"/>
                <w:sz w:val="18"/>
                <w:szCs w:val="18"/>
                <w:color w:val="auto"/>
                <w:vertAlign w:val="superscript"/>
              </w:rPr>
              <w:t>(b)</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13,401</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34,396</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32,172</w:t>
            </w:r>
          </w:p>
        </w:tc>
        <w:tc>
          <w:tcPr>
            <w:tcW w:w="100" w:type="dxa"/>
            <w:vAlign w:val="bottom"/>
            <w:tcBorders>
              <w:bottom w:val="single" w:sz="8" w:color="CEFFE7"/>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59,745</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56,583</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221,609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197,506</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4"/>
                <w:szCs w:val="14"/>
                <w:color w:val="auto"/>
              </w:rPr>
              <w:t>Total Revenue and Quantities Sold</w:t>
            </w:r>
          </w:p>
        </w:tc>
        <w:tc>
          <w:tcPr>
            <w:tcW w:w="2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258,669</w:t>
            </w:r>
          </w:p>
        </w:tc>
        <w:tc>
          <w:tcPr>
            <w:tcW w:w="2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220,404</w:t>
            </w:r>
          </w:p>
        </w:tc>
        <w:tc>
          <w:tcPr>
            <w:tcW w:w="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669,586</w:t>
            </w:r>
          </w:p>
        </w:tc>
        <w:tc>
          <w:tcPr>
            <w:tcW w:w="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646,824</w:t>
            </w:r>
          </w:p>
        </w:tc>
        <w:tc>
          <w:tcPr>
            <w:tcW w:w="100" w:type="dxa"/>
            <w:vAlign w:val="bottom"/>
            <w:tcBorders>
              <w:bottom w:val="single" w:sz="8" w:color="CEFFE7"/>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ind w:right="108"/>
              <w:spacing w:after="0"/>
              <w:rPr>
                <w:sz w:val="20"/>
                <w:szCs w:val="20"/>
                <w:color w:val="auto"/>
              </w:rPr>
            </w:pPr>
            <w:r>
              <w:rPr>
                <w:rFonts w:ascii="Arial" w:cs="Arial" w:eastAsia="Arial" w:hAnsi="Arial"/>
                <w:sz w:val="14"/>
                <w:szCs w:val="14"/>
                <w:color w:val="auto"/>
              </w:rPr>
              <w:t>1,884,273</w:t>
            </w:r>
          </w:p>
        </w:tc>
        <w:tc>
          <w:tcPr>
            <w:tcW w:w="106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1,807,657</w:t>
            </w:r>
          </w:p>
        </w:tc>
        <w:tc>
          <w:tcPr>
            <w:tcW w:w="104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5,403,701</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5,103,196</w:t>
            </w:r>
          </w:p>
        </w:tc>
        <w:tc>
          <w:tcPr>
            <w:tcW w:w="0" w:type="dxa"/>
            <w:vAlign w:val="bottom"/>
          </w:tcPr>
          <w:p>
            <w:pPr>
              <w:spacing w:after="0"/>
              <w:rPr>
                <w:sz w:val="1"/>
                <w:szCs w:val="1"/>
                <w:color w:val="auto"/>
              </w:rPr>
            </w:pPr>
          </w:p>
        </w:tc>
      </w:tr>
      <w:tr>
        <w:trPr>
          <w:trHeight w:val="20"/>
        </w:trPr>
        <w:tc>
          <w:tcPr>
            <w:tcW w:w="2820" w:type="dxa"/>
            <w:vAlign w:val="bottom"/>
            <w:tcBorders>
              <w:top w:val="single" w:sz="8" w:color="CEFFE7"/>
              <w:bottom w:val="single" w:sz="8" w:color="CEFFE7"/>
            </w:tcBorders>
            <w:vMerge w:val="restart"/>
          </w:tcPr>
          <w:p>
            <w:pPr>
              <w:ind w:left="20"/>
              <w:spacing w:after="0"/>
              <w:rPr>
                <w:sz w:val="20"/>
                <w:szCs w:val="20"/>
                <w:color w:val="auto"/>
              </w:rPr>
            </w:pPr>
            <w:r>
              <w:rPr>
                <w:rFonts w:ascii="Arial" w:cs="Arial" w:eastAsia="Arial" w:hAnsi="Arial"/>
                <w:sz w:val="14"/>
                <w:szCs w:val="14"/>
                <w:color w:val="auto"/>
              </w:rPr>
              <w:t xml:space="preserve">Other Uses, Losses or Generation, net </w:t>
            </w:r>
            <w:r>
              <w:rPr>
                <w:rFonts w:ascii="Arial" w:cs="Arial" w:eastAsia="Arial" w:hAnsi="Arial"/>
                <w:sz w:val="18"/>
                <w:szCs w:val="18"/>
                <w:color w:val="auto"/>
                <w:vertAlign w:val="superscript"/>
              </w:rPr>
              <w:t>(c)</w:t>
            </w: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20" w:type="dxa"/>
            <w:vAlign w:val="bottom"/>
            <w:tcBorders>
              <w:bottom w:val="single" w:sz="8" w:color="CEFFE7"/>
            </w:tcBorders>
            <w:vMerge w:val="continue"/>
          </w:tcPr>
          <w:p>
            <w:pPr>
              <w:spacing w:after="0"/>
              <w:rPr>
                <w:sz w:val="15"/>
                <w:szCs w:val="15"/>
                <w:color w:val="auto"/>
              </w:rPr>
            </w:pPr>
          </w:p>
        </w:tc>
        <w:tc>
          <w:tcPr>
            <w:tcW w:w="220" w:type="dxa"/>
            <w:vAlign w:val="bottom"/>
            <w:tcBorders>
              <w:bottom w:val="single" w:sz="8" w:color="CEFFE7"/>
            </w:tcBorders>
          </w:tcPr>
          <w:p>
            <w:pPr>
              <w:spacing w:after="0"/>
              <w:rPr>
                <w:sz w:val="15"/>
                <w:szCs w:val="15"/>
                <w:color w:val="auto"/>
              </w:rPr>
            </w:pPr>
          </w:p>
        </w:tc>
        <w:tc>
          <w:tcPr>
            <w:tcW w:w="800" w:type="dxa"/>
            <w:vAlign w:val="bottom"/>
            <w:tcBorders>
              <w:bottom w:val="single" w:sz="8" w:color="CEFFE7"/>
            </w:tcBorders>
          </w:tcPr>
          <w:p>
            <w:pPr>
              <w:spacing w:after="0"/>
              <w:rPr>
                <w:sz w:val="15"/>
                <w:szCs w:val="15"/>
                <w:color w:val="auto"/>
              </w:rPr>
            </w:pPr>
          </w:p>
        </w:tc>
        <w:tc>
          <w:tcPr>
            <w:tcW w:w="200" w:type="dxa"/>
            <w:vAlign w:val="bottom"/>
            <w:tcBorders>
              <w:bottom w:val="single" w:sz="8" w:color="CEFFE7"/>
            </w:tcBorders>
          </w:tcPr>
          <w:p>
            <w:pPr>
              <w:spacing w:after="0"/>
              <w:rPr>
                <w:sz w:val="15"/>
                <w:szCs w:val="15"/>
                <w:color w:val="auto"/>
              </w:rPr>
            </w:pPr>
          </w:p>
        </w:tc>
        <w:tc>
          <w:tcPr>
            <w:tcW w:w="840" w:type="dxa"/>
            <w:vAlign w:val="bottom"/>
            <w:tcBorders>
              <w:bottom w:val="single" w:sz="8" w:color="CEFFE7"/>
            </w:tcBorders>
          </w:tcPr>
          <w:p>
            <w:pPr>
              <w:spacing w:after="0"/>
              <w:rPr>
                <w:sz w:val="15"/>
                <w:szCs w:val="15"/>
                <w:color w:val="auto"/>
              </w:rPr>
            </w:pPr>
          </w:p>
        </w:tc>
        <w:tc>
          <w:tcPr>
            <w:tcW w:w="240" w:type="dxa"/>
            <w:vAlign w:val="bottom"/>
            <w:tcBorders>
              <w:bottom w:val="single" w:sz="8" w:color="CEFFE7"/>
            </w:tcBorders>
          </w:tcPr>
          <w:p>
            <w:pPr>
              <w:spacing w:after="0"/>
              <w:rPr>
                <w:sz w:val="15"/>
                <w:szCs w:val="15"/>
                <w:color w:val="auto"/>
              </w:rPr>
            </w:pPr>
          </w:p>
        </w:tc>
        <w:tc>
          <w:tcPr>
            <w:tcW w:w="800" w:type="dxa"/>
            <w:vAlign w:val="bottom"/>
            <w:tcBorders>
              <w:bottom w:val="single" w:sz="8" w:color="CEFFE7"/>
            </w:tcBorders>
          </w:tcPr>
          <w:p>
            <w:pPr>
              <w:spacing w:after="0"/>
              <w:rPr>
                <w:sz w:val="15"/>
                <w:szCs w:val="15"/>
                <w:color w:val="auto"/>
              </w:rPr>
            </w:pPr>
          </w:p>
        </w:tc>
        <w:tc>
          <w:tcPr>
            <w:tcW w:w="240" w:type="dxa"/>
            <w:vAlign w:val="bottom"/>
            <w:tcBorders>
              <w:bottom w:val="single" w:sz="8" w:color="CEFFE7"/>
            </w:tcBorders>
          </w:tcPr>
          <w:p>
            <w:pPr>
              <w:spacing w:after="0"/>
              <w:rPr>
                <w:sz w:val="15"/>
                <w:szCs w:val="15"/>
                <w:color w:val="auto"/>
              </w:rPr>
            </w:pPr>
          </w:p>
        </w:tc>
        <w:tc>
          <w:tcPr>
            <w:tcW w:w="820" w:type="dxa"/>
            <w:vAlign w:val="bottom"/>
            <w:tcBorders>
              <w:bottom w:val="single" w:sz="8" w:color="CEFFE7"/>
            </w:tcBorders>
          </w:tcPr>
          <w:p>
            <w:pPr>
              <w:spacing w:after="0"/>
              <w:rPr>
                <w:sz w:val="15"/>
                <w:szCs w:val="15"/>
                <w:color w:val="auto"/>
              </w:rPr>
            </w:pPr>
          </w:p>
        </w:tc>
        <w:tc>
          <w:tcPr>
            <w:tcW w:w="100" w:type="dxa"/>
            <w:vAlign w:val="bottom"/>
            <w:tcBorders>
              <w:bottom w:val="single" w:sz="8" w:color="CEFFE7"/>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125,613</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139,521</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337,222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367,201</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4"/>
                <w:szCs w:val="14"/>
                <w:color w:val="auto"/>
              </w:rPr>
              <w:t>Total Energy</w:t>
            </w:r>
          </w:p>
        </w:tc>
        <w:tc>
          <w:tcPr>
            <w:tcW w:w="220" w:type="dxa"/>
            <w:vAlign w:val="bottom"/>
            <w:tcBorders>
              <w:bottom w:val="single" w:sz="8" w:color="CEFFE7"/>
            </w:tcBorders>
            <w:shd w:val="clear" w:color="auto" w:fill="CEFFE7"/>
          </w:tcPr>
          <w:p>
            <w:pPr>
              <w:spacing w:after="0"/>
              <w:rPr>
                <w:sz w:val="18"/>
                <w:szCs w:val="18"/>
                <w:color w:val="auto"/>
              </w:rPr>
            </w:pPr>
          </w:p>
        </w:tc>
        <w:tc>
          <w:tcPr>
            <w:tcW w:w="800" w:type="dxa"/>
            <w:vAlign w:val="bottom"/>
            <w:tcBorders>
              <w:bottom w:val="single" w:sz="8" w:color="CEFFE7"/>
            </w:tcBorders>
            <w:shd w:val="clear" w:color="auto" w:fill="CEFFE7"/>
          </w:tcPr>
          <w:p>
            <w:pPr>
              <w:spacing w:after="0"/>
              <w:rPr>
                <w:sz w:val="18"/>
                <w:szCs w:val="18"/>
                <w:color w:val="auto"/>
              </w:rPr>
            </w:pPr>
          </w:p>
        </w:tc>
        <w:tc>
          <w:tcPr>
            <w:tcW w:w="200" w:type="dxa"/>
            <w:vAlign w:val="bottom"/>
            <w:tcBorders>
              <w:bottom w:val="single" w:sz="8" w:color="CEFFE7"/>
            </w:tcBorders>
            <w:shd w:val="clear" w:color="auto" w:fill="CEFFE7"/>
          </w:tcPr>
          <w:p>
            <w:pPr>
              <w:spacing w:after="0"/>
              <w:rPr>
                <w:sz w:val="18"/>
                <w:szCs w:val="18"/>
                <w:color w:val="auto"/>
              </w:rPr>
            </w:pPr>
          </w:p>
        </w:tc>
        <w:tc>
          <w:tcPr>
            <w:tcW w:w="840" w:type="dxa"/>
            <w:vAlign w:val="bottom"/>
            <w:tcBorders>
              <w:bottom w:val="single" w:sz="8" w:color="CEFFE7"/>
            </w:tcBorders>
            <w:shd w:val="clear" w:color="auto" w:fill="CEFFE7"/>
          </w:tcPr>
          <w:p>
            <w:pPr>
              <w:spacing w:after="0"/>
              <w:rPr>
                <w:sz w:val="18"/>
                <w:szCs w:val="18"/>
                <w:color w:val="auto"/>
              </w:rPr>
            </w:pPr>
          </w:p>
        </w:tc>
        <w:tc>
          <w:tcPr>
            <w:tcW w:w="240" w:type="dxa"/>
            <w:vAlign w:val="bottom"/>
            <w:tcBorders>
              <w:bottom w:val="single" w:sz="8" w:color="CEFFE7"/>
            </w:tcBorders>
            <w:shd w:val="clear" w:color="auto" w:fill="CEFFE7"/>
          </w:tcPr>
          <w:p>
            <w:pPr>
              <w:spacing w:after="0"/>
              <w:rPr>
                <w:sz w:val="18"/>
                <w:szCs w:val="18"/>
                <w:color w:val="auto"/>
              </w:rPr>
            </w:pPr>
          </w:p>
        </w:tc>
        <w:tc>
          <w:tcPr>
            <w:tcW w:w="800" w:type="dxa"/>
            <w:vAlign w:val="bottom"/>
            <w:tcBorders>
              <w:bottom w:val="single" w:sz="8" w:color="CEFFE7"/>
            </w:tcBorders>
            <w:shd w:val="clear" w:color="auto" w:fill="CEFFE7"/>
          </w:tcPr>
          <w:p>
            <w:pPr>
              <w:spacing w:after="0"/>
              <w:rPr>
                <w:sz w:val="18"/>
                <w:szCs w:val="18"/>
                <w:color w:val="auto"/>
              </w:rPr>
            </w:pPr>
          </w:p>
        </w:tc>
        <w:tc>
          <w:tcPr>
            <w:tcW w:w="240" w:type="dxa"/>
            <w:vAlign w:val="bottom"/>
            <w:tcBorders>
              <w:bottom w:val="single" w:sz="8" w:color="CEFFE7"/>
            </w:tcBorders>
            <w:shd w:val="clear" w:color="auto" w:fill="CEFFE7"/>
          </w:tcPr>
          <w:p>
            <w:pPr>
              <w:spacing w:after="0"/>
              <w:rPr>
                <w:sz w:val="18"/>
                <w:szCs w:val="18"/>
                <w:color w:val="auto"/>
              </w:rPr>
            </w:pPr>
          </w:p>
        </w:tc>
        <w:tc>
          <w:tcPr>
            <w:tcW w:w="820" w:type="dxa"/>
            <w:vAlign w:val="bottom"/>
            <w:tcBorders>
              <w:bottom w:val="single" w:sz="8" w:color="CEFFE7"/>
            </w:tcBorders>
            <w:shd w:val="clear" w:color="auto" w:fill="CEFFE7"/>
          </w:tcPr>
          <w:p>
            <w:pPr>
              <w:spacing w:after="0"/>
              <w:rPr>
                <w:sz w:val="18"/>
                <w:szCs w:val="18"/>
                <w:color w:val="auto"/>
              </w:rPr>
            </w:pPr>
          </w:p>
        </w:tc>
        <w:tc>
          <w:tcPr>
            <w:tcW w:w="100" w:type="dxa"/>
            <w:vAlign w:val="bottom"/>
            <w:tcBorders>
              <w:bottom w:val="single" w:sz="8" w:color="CEFFE7"/>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ind w:right="108"/>
              <w:spacing w:after="0"/>
              <w:rPr>
                <w:sz w:val="20"/>
                <w:szCs w:val="20"/>
                <w:color w:val="auto"/>
              </w:rPr>
            </w:pPr>
            <w:r>
              <w:rPr>
                <w:rFonts w:ascii="Arial" w:cs="Arial" w:eastAsia="Arial" w:hAnsi="Arial"/>
                <w:sz w:val="14"/>
                <w:szCs w:val="14"/>
                <w:color w:val="auto"/>
              </w:rPr>
              <w:t>2,009,886</w:t>
            </w:r>
          </w:p>
        </w:tc>
        <w:tc>
          <w:tcPr>
            <w:tcW w:w="106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1,947,178</w:t>
            </w:r>
          </w:p>
        </w:tc>
        <w:tc>
          <w:tcPr>
            <w:tcW w:w="104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5,740,923</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5,470,397</w:t>
            </w:r>
          </w:p>
        </w:tc>
        <w:tc>
          <w:tcPr>
            <w:tcW w:w="0" w:type="dxa"/>
            <w:vAlign w:val="bottom"/>
          </w:tcPr>
          <w:p>
            <w:pPr>
              <w:spacing w:after="0"/>
              <w:rPr>
                <w:sz w:val="1"/>
                <w:szCs w:val="1"/>
                <w:color w:val="auto"/>
              </w:rPr>
            </w:pPr>
          </w:p>
        </w:tc>
      </w:tr>
      <w:tr>
        <w:trPr>
          <w:trHeight w:val="20"/>
        </w:trPr>
        <w:tc>
          <w:tcPr>
            <w:tcW w:w="28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tcBorders>
          </w:tcPr>
          <w:p>
            <w:pPr>
              <w:spacing w:after="0" w:line="20" w:lineRule="exact"/>
              <w:rPr>
                <w:sz w:val="1"/>
                <w:szCs w:val="1"/>
                <w:color w:val="auto"/>
              </w:rPr>
            </w:pPr>
          </w:p>
        </w:tc>
        <w:tc>
          <w:tcPr>
            <w:tcW w:w="80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tcBorders>
          </w:tcPr>
          <w:p>
            <w:pPr>
              <w:spacing w:after="0" w:line="20" w:lineRule="exact"/>
              <w:rPr>
                <w:sz w:val="1"/>
                <w:szCs w:val="1"/>
                <w:color w:val="auto"/>
              </w:rPr>
            </w:pPr>
          </w:p>
        </w:tc>
        <w:tc>
          <w:tcPr>
            <w:tcW w:w="84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80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8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color w:val="auto"/>
              </w:rPr>
              <w:t>Revenue (in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color w:val="auto"/>
              </w:rPr>
              <w:t>Quantities Sold (MWh)</w:t>
            </w:r>
          </w:p>
        </w:tc>
        <w:tc>
          <w:tcPr>
            <w:tcW w:w="820" w:type="dxa"/>
            <w:vAlign w:val="bottom"/>
            <w:tcBorders>
              <w:bottom w:val="single" w:sz="8" w:color="auto"/>
            </w:tcBorders>
          </w:tcPr>
          <w:p>
            <w:pPr>
              <w:spacing w:after="0"/>
              <w:rPr>
                <w:sz w:val="16"/>
                <w:szCs w:val="16"/>
                <w:color w:val="auto"/>
              </w:rPr>
            </w:pPr>
          </w:p>
        </w:tc>
      </w:tr>
      <w:tr>
        <w:trPr>
          <w:trHeight w:val="150"/>
        </w:trPr>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ind w:right="288"/>
              <w:spacing w:after="0" w:line="151" w:lineRule="exact"/>
              <w:rPr>
                <w:sz w:val="20"/>
                <w:szCs w:val="20"/>
                <w:color w:val="auto"/>
              </w:rPr>
            </w:pPr>
            <w:r>
              <w:rPr>
                <w:rFonts w:ascii="Arial" w:cs="Arial" w:eastAsia="Arial" w:hAnsi="Arial"/>
                <w:sz w:val="14"/>
                <w:szCs w:val="14"/>
                <w:color w:val="auto"/>
              </w:rPr>
              <w:t>Three Months Ended</w:t>
            </w:r>
          </w:p>
        </w:tc>
        <w:tc>
          <w:tcPr>
            <w:tcW w:w="2200" w:type="dxa"/>
            <w:vAlign w:val="bottom"/>
            <w:gridSpan w:val="5"/>
          </w:tcPr>
          <w:p>
            <w:pPr>
              <w:ind w:left="60"/>
              <w:spacing w:after="0" w:line="151" w:lineRule="exact"/>
              <w:rPr>
                <w:sz w:val="20"/>
                <w:szCs w:val="20"/>
                <w:color w:val="auto"/>
              </w:rPr>
            </w:pPr>
            <w:r>
              <w:rPr>
                <w:rFonts w:ascii="Arial" w:cs="Arial" w:eastAsia="Arial" w:hAnsi="Arial"/>
                <w:sz w:val="14"/>
                <w:szCs w:val="14"/>
                <w:color w:val="auto"/>
              </w:rPr>
              <w:t>Nine Months Ended September</w:t>
            </w:r>
          </w:p>
        </w:tc>
        <w:tc>
          <w:tcPr>
            <w:tcW w:w="2060" w:type="dxa"/>
            <w:vAlign w:val="bottom"/>
            <w:gridSpan w:val="2"/>
          </w:tcPr>
          <w:p>
            <w:pPr>
              <w:jc w:val="right"/>
              <w:ind w:right="268"/>
              <w:spacing w:after="0" w:line="151" w:lineRule="exact"/>
              <w:rPr>
                <w:sz w:val="20"/>
                <w:szCs w:val="20"/>
                <w:color w:val="auto"/>
              </w:rPr>
            </w:pPr>
            <w:r>
              <w:rPr>
                <w:rFonts w:ascii="Arial" w:cs="Arial" w:eastAsia="Arial" w:hAnsi="Arial"/>
                <w:sz w:val="14"/>
                <w:szCs w:val="14"/>
                <w:color w:val="auto"/>
              </w:rPr>
              <w:t>Three Months Ended</w:t>
            </w:r>
          </w:p>
        </w:tc>
        <w:tc>
          <w:tcPr>
            <w:tcW w:w="21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Nine Months Ended September</w:t>
            </w:r>
          </w:p>
        </w:tc>
      </w:tr>
      <w:tr>
        <w:trPr>
          <w:trHeight w:val="189"/>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3"/>
          </w:tcPr>
          <w:p>
            <w:pPr>
              <w:jc w:val="right"/>
              <w:ind w:right="488"/>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6"/>
                <w:szCs w:val="16"/>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right"/>
              <w:ind w:right="468"/>
              <w:spacing w:after="0"/>
              <w:rPr>
                <w:sz w:val="20"/>
                <w:szCs w:val="20"/>
                <w:color w:val="auto"/>
              </w:rPr>
            </w:pPr>
            <w:r>
              <w:rPr>
                <w:rFonts w:ascii="Arial" w:cs="Arial" w:eastAsia="Arial" w:hAnsi="Arial"/>
                <w:sz w:val="14"/>
                <w:szCs w:val="14"/>
                <w:color w:val="auto"/>
              </w:rPr>
              <w:t>September 30,</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820" w:type="dxa"/>
            <w:vAlign w:val="bottom"/>
          </w:tcPr>
          <w:p>
            <w:pPr>
              <w:spacing w:after="0"/>
              <w:rPr>
                <w:sz w:val="16"/>
                <w:szCs w:val="16"/>
                <w:color w:val="auto"/>
              </w:rPr>
            </w:pPr>
          </w:p>
        </w:tc>
      </w:tr>
      <w:tr>
        <w:trPr>
          <w:trHeight w:val="194"/>
        </w:trPr>
        <w:tc>
          <w:tcPr>
            <w:tcW w:w="2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EFFE7"/>
            </w:tcBorders>
          </w:tcPr>
          <w:p>
            <w:pPr>
              <w:spacing w:after="0"/>
              <w:rPr>
                <w:sz w:val="16"/>
                <w:szCs w:val="16"/>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2022</w:t>
            </w: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r>
      <w:tr>
        <w:trPr>
          <w:trHeight w:val="200"/>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Colorado Electric</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96,380</w:t>
            </w:r>
          </w:p>
        </w:tc>
        <w:tc>
          <w:tcPr>
            <w:tcW w:w="2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82,971</w:t>
            </w:r>
          </w:p>
        </w:tc>
        <w:tc>
          <w:tcPr>
            <w:tcW w:w="240" w:type="dxa"/>
            <w:vAlign w:val="bottom"/>
            <w:shd w:val="clear" w:color="auto" w:fill="CEFFE7"/>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243,022</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226,417</w:t>
            </w: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647,532</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667,477</w:t>
            </w:r>
          </w:p>
        </w:tc>
        <w:tc>
          <w:tcPr>
            <w:tcW w:w="12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1,836,010</w:t>
            </w: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1,817,821</w:t>
            </w:r>
          </w:p>
        </w:tc>
      </w:tr>
      <w:tr>
        <w:trPr>
          <w:trHeight w:val="199"/>
        </w:trPr>
        <w:tc>
          <w:tcPr>
            <w:tcW w:w="2820" w:type="dxa"/>
            <w:vAlign w:val="bottom"/>
          </w:tcPr>
          <w:p>
            <w:pPr>
              <w:ind w:left="20"/>
              <w:spacing w:after="0"/>
              <w:rPr>
                <w:sz w:val="20"/>
                <w:szCs w:val="20"/>
                <w:color w:val="auto"/>
              </w:rPr>
            </w:pPr>
            <w:r>
              <w:rPr>
                <w:rFonts w:ascii="Arial" w:cs="Arial" w:eastAsia="Arial" w:hAnsi="Arial"/>
                <w:sz w:val="14"/>
                <w:szCs w:val="14"/>
                <w:color w:val="auto"/>
              </w:rPr>
              <w:t>South Dakota Electric</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94,281</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80,674</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249,073</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247,443</w:t>
            </w:r>
          </w:p>
        </w:tc>
        <w:tc>
          <w:tcPr>
            <w:tcW w:w="10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684,059</w:t>
            </w:r>
          </w:p>
        </w:tc>
        <w:tc>
          <w:tcPr>
            <w:tcW w:w="900" w:type="dxa"/>
            <w:vAlign w:val="bottom"/>
          </w:tcPr>
          <w:p>
            <w:pPr>
              <w:jc w:val="right"/>
              <w:spacing w:after="0"/>
              <w:rPr>
                <w:sz w:val="20"/>
                <w:szCs w:val="20"/>
                <w:color w:val="auto"/>
              </w:rPr>
            </w:pPr>
            <w:r>
              <w:rPr>
                <w:rFonts w:ascii="Arial" w:cs="Arial" w:eastAsia="Arial" w:hAnsi="Arial"/>
                <w:sz w:val="14"/>
                <w:szCs w:val="14"/>
                <w:color w:val="auto"/>
              </w:rPr>
              <w:t>630,832</w:t>
            </w: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1,928,454</w:t>
            </w:r>
          </w:p>
        </w:tc>
        <w:tc>
          <w:tcPr>
            <w:tcW w:w="820" w:type="dxa"/>
            <w:vAlign w:val="bottom"/>
          </w:tcPr>
          <w:p>
            <w:pPr>
              <w:jc w:val="right"/>
              <w:spacing w:after="0"/>
              <w:rPr>
                <w:sz w:val="20"/>
                <w:szCs w:val="20"/>
                <w:color w:val="auto"/>
              </w:rPr>
            </w:pPr>
            <w:r>
              <w:rPr>
                <w:rFonts w:ascii="Arial" w:cs="Arial" w:eastAsia="Arial" w:hAnsi="Arial"/>
                <w:sz w:val="14"/>
                <w:szCs w:val="14"/>
                <w:color w:val="auto"/>
              </w:rPr>
              <w:t>1,794,308</w:t>
            </w:r>
          </w:p>
        </w:tc>
      </w:tr>
      <w:tr>
        <w:trPr>
          <w:trHeight w:val="206"/>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Wyoming Electric</w:t>
            </w:r>
          </w:p>
        </w:tc>
        <w:tc>
          <w:tcPr>
            <w:tcW w:w="22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55,058</w:t>
            </w:r>
          </w:p>
        </w:tc>
        <w:tc>
          <w:tcPr>
            <w:tcW w:w="20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46,813</w:t>
            </w:r>
          </w:p>
        </w:tc>
        <w:tc>
          <w:tcPr>
            <w:tcW w:w="24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144,293</w:t>
            </w:r>
          </w:p>
        </w:tc>
        <w:tc>
          <w:tcPr>
            <w:tcW w:w="240" w:type="dxa"/>
            <w:vAlign w:val="bottom"/>
            <w:shd w:val="clear" w:color="auto" w:fill="CEFFE7"/>
          </w:tcPr>
          <w:p>
            <w:pPr>
              <w:spacing w:after="0"/>
              <w:rPr>
                <w:sz w:val="17"/>
                <w:szCs w:val="17"/>
                <w:color w:val="auto"/>
              </w:rPr>
            </w:pP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142,364</w:t>
            </w: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492,938</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452,765</w:t>
            </w:r>
          </w:p>
        </w:tc>
        <w:tc>
          <w:tcPr>
            <w:tcW w:w="12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1,417,629</w:t>
            </w:r>
          </w:p>
        </w:tc>
        <w:tc>
          <w:tcPr>
            <w:tcW w:w="8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1,293,561</w:t>
            </w:r>
          </w:p>
        </w:tc>
      </w:tr>
      <w:tr>
        <w:trPr>
          <w:trHeight w:val="199"/>
        </w:trPr>
        <w:tc>
          <w:tcPr>
            <w:tcW w:w="28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Integrated Generation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12,950</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9,946</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33,198</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30,600</w:t>
            </w:r>
          </w:p>
        </w:tc>
        <w:tc>
          <w:tcPr>
            <w:tcW w:w="100" w:type="dxa"/>
            <w:vAlign w:val="bottom"/>
            <w:tcBorders>
              <w:bottom w:val="single" w:sz="8" w:color="CEFFE7"/>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59,744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56,583</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221,608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197,506</w:t>
            </w:r>
          </w:p>
        </w:tc>
      </w:tr>
      <w:tr>
        <w:trPr>
          <w:trHeight w:val="225"/>
        </w:trPr>
        <w:tc>
          <w:tcPr>
            <w:tcW w:w="28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4"/>
                <w:szCs w:val="14"/>
                <w:color w:val="auto"/>
              </w:rPr>
              <w:t>Total Revenue and Quantities Sold</w:t>
            </w:r>
          </w:p>
        </w:tc>
        <w:tc>
          <w:tcPr>
            <w:tcW w:w="2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258,669</w:t>
            </w:r>
          </w:p>
        </w:tc>
        <w:tc>
          <w:tcPr>
            <w:tcW w:w="2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220,404</w:t>
            </w:r>
          </w:p>
        </w:tc>
        <w:tc>
          <w:tcPr>
            <w:tcW w:w="24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669,586</w:t>
            </w:r>
          </w:p>
        </w:tc>
        <w:tc>
          <w:tcPr>
            <w:tcW w:w="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646,824</w:t>
            </w:r>
          </w:p>
        </w:tc>
        <w:tc>
          <w:tcPr>
            <w:tcW w:w="100" w:type="dxa"/>
            <w:vAlign w:val="bottom"/>
            <w:tcBorders>
              <w:bottom w:val="single" w:sz="8" w:color="CEFFE7"/>
            </w:tcBorders>
            <w:shd w:val="clear" w:color="auto" w:fill="CEFFE7"/>
          </w:tcPr>
          <w:p>
            <w:pPr>
              <w:spacing w:after="0"/>
              <w:rPr>
                <w:sz w:val="19"/>
                <w:szCs w:val="19"/>
                <w:color w:val="auto"/>
              </w:rPr>
            </w:pPr>
          </w:p>
        </w:tc>
        <w:tc>
          <w:tcPr>
            <w:tcW w:w="1160" w:type="dxa"/>
            <w:vAlign w:val="bottom"/>
            <w:tcBorders>
              <w:bottom w:val="single" w:sz="8" w:color="auto"/>
            </w:tcBorders>
            <w:shd w:val="clear" w:color="auto" w:fill="CEFFE7"/>
          </w:tcPr>
          <w:p>
            <w:pPr>
              <w:jc w:val="right"/>
              <w:ind w:right="108"/>
              <w:spacing w:after="0"/>
              <w:rPr>
                <w:sz w:val="20"/>
                <w:szCs w:val="20"/>
                <w:color w:val="auto"/>
              </w:rPr>
            </w:pPr>
            <w:r>
              <w:rPr>
                <w:rFonts w:ascii="Arial" w:cs="Arial" w:eastAsia="Arial" w:hAnsi="Arial"/>
                <w:sz w:val="14"/>
                <w:szCs w:val="14"/>
                <w:color w:val="auto"/>
              </w:rPr>
              <w:t>1,884,273</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1,807,657</w:t>
            </w:r>
          </w:p>
        </w:tc>
        <w:tc>
          <w:tcPr>
            <w:tcW w:w="12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5,403,701</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5,103,196</w:t>
            </w:r>
          </w:p>
        </w:tc>
      </w:tr>
      <w:tr>
        <w:trPr>
          <w:trHeight w:val="20"/>
        </w:trPr>
        <w:tc>
          <w:tcPr>
            <w:tcW w:w="28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2900" w:type="dxa"/>
            <w:vAlign w:val="bottom"/>
            <w:gridSpan w:val="2"/>
          </w:tcPr>
          <w:p>
            <w:pPr>
              <w:jc w:val="right"/>
              <w:ind w:right="79"/>
              <w:spacing w:after="0"/>
              <w:rPr>
                <w:sz w:val="20"/>
                <w:szCs w:val="20"/>
                <w:color w:val="auto"/>
              </w:rPr>
            </w:pPr>
            <w:r>
              <w:rPr>
                <w:rFonts w:ascii="Arial" w:cs="Arial" w:eastAsia="Arial" w:hAnsi="Arial"/>
                <w:sz w:val="16"/>
                <w:szCs w:val="16"/>
                <w:color w:val="auto"/>
              </w:rPr>
              <w:t>Three Months Ended September 30,</w:t>
            </w:r>
          </w:p>
        </w:tc>
        <w:tc>
          <w:tcPr>
            <w:tcW w:w="2820" w:type="dxa"/>
            <w:vAlign w:val="bottom"/>
            <w:gridSpan w:val="2"/>
          </w:tcPr>
          <w:p>
            <w:pPr>
              <w:jc w:val="right"/>
              <w:ind w:right="79"/>
              <w:spacing w:after="0"/>
              <w:rPr>
                <w:sz w:val="20"/>
                <w:szCs w:val="20"/>
                <w:color w:val="auto"/>
              </w:rPr>
            </w:pPr>
            <w:r>
              <w:rPr>
                <w:rFonts w:ascii="Arial" w:cs="Arial" w:eastAsia="Arial" w:hAnsi="Arial"/>
                <w:sz w:val="16"/>
                <w:szCs w:val="16"/>
                <w:color w:val="auto"/>
              </w:rPr>
              <w:t>Nine Months Ended September 30,</w:t>
            </w:r>
          </w:p>
        </w:tc>
      </w:tr>
      <w:tr>
        <w:trPr>
          <w:trHeight w:val="21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Quantities Generated and Purchased by Fuel Type (MWh)</w:t>
            </w:r>
          </w:p>
        </w:tc>
        <w:tc>
          <w:tcPr>
            <w:tcW w:w="16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2022</w:t>
            </w: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520" w:type="dxa"/>
            <w:vAlign w:val="bottom"/>
            <w:shd w:val="clear" w:color="auto" w:fill="CEFFE7"/>
          </w:tcPr>
          <w:p>
            <w:pPr>
              <w:ind w:left="240"/>
              <w:spacing w:after="0"/>
              <w:rPr>
                <w:sz w:val="20"/>
                <w:szCs w:val="20"/>
                <w:color w:val="auto"/>
              </w:rPr>
            </w:pPr>
            <w:r>
              <w:rPr>
                <w:rFonts w:ascii="Arial" w:cs="Arial" w:eastAsia="Arial" w:hAnsi="Arial"/>
                <w:sz w:val="16"/>
                <w:szCs w:val="16"/>
                <w:color w:val="auto"/>
              </w:rPr>
              <w:t>Coal</w:t>
            </w: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736,181</w:t>
            </w:r>
          </w:p>
        </w:tc>
        <w:tc>
          <w:tcPr>
            <w:tcW w:w="1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711,148</w:t>
            </w:r>
          </w:p>
        </w:tc>
        <w:tc>
          <w:tcPr>
            <w:tcW w:w="16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1,989,057</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1,953,104</w:t>
            </w:r>
          </w:p>
        </w:tc>
      </w:tr>
      <w:tr>
        <w:trPr>
          <w:trHeight w:val="215"/>
        </w:trPr>
        <w:tc>
          <w:tcPr>
            <w:tcW w:w="5520" w:type="dxa"/>
            <w:vAlign w:val="bottom"/>
          </w:tcPr>
          <w:p>
            <w:pPr>
              <w:ind w:left="240"/>
              <w:spacing w:after="0"/>
              <w:rPr>
                <w:sz w:val="20"/>
                <w:szCs w:val="20"/>
                <w:color w:val="auto"/>
              </w:rPr>
            </w:pPr>
            <w:r>
              <w:rPr>
                <w:rFonts w:ascii="Arial" w:cs="Arial" w:eastAsia="Arial" w:hAnsi="Arial"/>
                <w:sz w:val="16"/>
                <w:szCs w:val="16"/>
                <w:color w:val="auto"/>
              </w:rPr>
              <w:t>Natural Gas and Oil</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457,790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508,170</w:t>
            </w: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1,016,369</w:t>
            </w:r>
          </w:p>
        </w:tc>
        <w:tc>
          <w:tcPr>
            <w:tcW w:w="1200" w:type="dxa"/>
            <w:vAlign w:val="bottom"/>
          </w:tcPr>
          <w:p>
            <w:pPr>
              <w:jc w:val="right"/>
              <w:spacing w:after="0"/>
              <w:rPr>
                <w:sz w:val="20"/>
                <w:szCs w:val="20"/>
                <w:color w:val="auto"/>
              </w:rPr>
            </w:pPr>
            <w:r>
              <w:rPr>
                <w:rFonts w:ascii="Arial" w:cs="Arial" w:eastAsia="Arial" w:hAnsi="Arial"/>
                <w:sz w:val="16"/>
                <w:szCs w:val="16"/>
                <w:color w:val="auto"/>
              </w:rPr>
              <w:t>1,259,111</w:t>
            </w:r>
          </w:p>
        </w:tc>
      </w:tr>
      <w:tr>
        <w:trPr>
          <w:trHeight w:val="217"/>
        </w:trPr>
        <w:tc>
          <w:tcPr>
            <w:tcW w:w="552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6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143,278</w:t>
            </w:r>
          </w:p>
        </w:tc>
        <w:tc>
          <w:tcPr>
            <w:tcW w:w="1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162,924</w:t>
            </w:r>
          </w:p>
        </w:tc>
        <w:tc>
          <w:tcPr>
            <w:tcW w:w="162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641,302</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572,507</w:t>
            </w:r>
          </w:p>
        </w:tc>
      </w:tr>
      <w:tr>
        <w:trPr>
          <w:trHeight w:val="209"/>
        </w:trPr>
        <w:tc>
          <w:tcPr>
            <w:tcW w:w="5520" w:type="dxa"/>
            <w:vAlign w:val="bottom"/>
            <w:tcBorders>
              <w:bottom w:val="single" w:sz="8" w:color="CEFFE7"/>
            </w:tcBorders>
          </w:tcPr>
          <w:p>
            <w:pPr>
              <w:ind w:left="440"/>
              <w:spacing w:after="0"/>
              <w:rPr>
                <w:sz w:val="20"/>
                <w:szCs w:val="20"/>
                <w:color w:val="auto"/>
              </w:rPr>
            </w:pPr>
            <w:r>
              <w:rPr>
                <w:rFonts w:ascii="Arial" w:cs="Arial" w:eastAsia="Arial" w:hAnsi="Arial"/>
                <w:sz w:val="16"/>
                <w:szCs w:val="16"/>
                <w:color w:val="auto"/>
              </w:rPr>
              <w:t>Total Generated</w:t>
            </w: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1,337,249</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1,382,242</w:t>
            </w: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3,646,728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3,784,722</w:t>
            </w:r>
          </w:p>
        </w:tc>
      </w:tr>
      <w:tr>
        <w:trPr>
          <w:trHeight w:val="197"/>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660" w:type="dxa"/>
            <w:vAlign w:val="bottom"/>
            <w:shd w:val="clear" w:color="auto" w:fill="CEFFE7"/>
          </w:tcPr>
          <w:p>
            <w:pPr>
              <w:spacing w:after="0"/>
              <w:rPr>
                <w:sz w:val="17"/>
                <w:szCs w:val="17"/>
                <w:color w:val="auto"/>
              </w:rPr>
            </w:pPr>
          </w:p>
        </w:tc>
        <w:tc>
          <w:tcPr>
            <w:tcW w:w="1240" w:type="dxa"/>
            <w:vAlign w:val="bottom"/>
            <w:shd w:val="clear" w:color="auto" w:fill="CEFFE7"/>
          </w:tcPr>
          <w:p>
            <w:pPr>
              <w:spacing w:after="0"/>
              <w:rPr>
                <w:sz w:val="17"/>
                <w:szCs w:val="17"/>
                <w:color w:val="auto"/>
              </w:rPr>
            </w:pPr>
          </w:p>
        </w:tc>
        <w:tc>
          <w:tcPr>
            <w:tcW w:w="162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r>
      <w:tr>
        <w:trPr>
          <w:trHeight w:val="215"/>
        </w:trPr>
        <w:tc>
          <w:tcPr>
            <w:tcW w:w="5520" w:type="dxa"/>
            <w:vAlign w:val="bottom"/>
          </w:tcPr>
          <w:p>
            <w:pPr>
              <w:ind w:left="240"/>
              <w:spacing w:after="0"/>
              <w:rPr>
                <w:sz w:val="20"/>
                <w:szCs w:val="20"/>
                <w:color w:val="auto"/>
              </w:rPr>
            </w:pPr>
            <w:r>
              <w:rPr>
                <w:rFonts w:ascii="Arial" w:cs="Arial" w:eastAsia="Arial" w:hAnsi="Arial"/>
                <w:sz w:val="16"/>
                <w:szCs w:val="16"/>
                <w:color w:val="auto"/>
              </w:rPr>
              <w:t>Coal, Natural Gas, Oil and Other Market Purchases</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609,699</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495,905</w:t>
            </w: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1,805,904</w:t>
            </w:r>
          </w:p>
        </w:tc>
        <w:tc>
          <w:tcPr>
            <w:tcW w:w="1200" w:type="dxa"/>
            <w:vAlign w:val="bottom"/>
          </w:tcPr>
          <w:p>
            <w:pPr>
              <w:jc w:val="right"/>
              <w:spacing w:after="0"/>
              <w:rPr>
                <w:sz w:val="20"/>
                <w:szCs w:val="20"/>
                <w:color w:val="auto"/>
              </w:rPr>
            </w:pPr>
            <w:r>
              <w:rPr>
                <w:rFonts w:ascii="Arial" w:cs="Arial" w:eastAsia="Arial" w:hAnsi="Arial"/>
                <w:sz w:val="16"/>
                <w:szCs w:val="16"/>
                <w:color w:val="auto"/>
              </w:rPr>
              <w:t>1,441,792</w:t>
            </w:r>
          </w:p>
        </w:tc>
      </w:tr>
      <w:tr>
        <w:trPr>
          <w:trHeight w:val="217"/>
        </w:trPr>
        <w:tc>
          <w:tcPr>
            <w:tcW w:w="552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6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62,938</w:t>
            </w:r>
          </w:p>
        </w:tc>
        <w:tc>
          <w:tcPr>
            <w:tcW w:w="1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69,031</w:t>
            </w:r>
          </w:p>
        </w:tc>
        <w:tc>
          <w:tcPr>
            <w:tcW w:w="162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288,291</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243,883</w:t>
            </w:r>
          </w:p>
        </w:tc>
      </w:tr>
      <w:tr>
        <w:trPr>
          <w:trHeight w:val="209"/>
        </w:trPr>
        <w:tc>
          <w:tcPr>
            <w:tcW w:w="5520" w:type="dxa"/>
            <w:vAlign w:val="bottom"/>
            <w:tcBorders>
              <w:bottom w:val="single" w:sz="8" w:color="CEFFE7"/>
            </w:tcBorders>
          </w:tcPr>
          <w:p>
            <w:pPr>
              <w:ind w:left="440"/>
              <w:spacing w:after="0"/>
              <w:rPr>
                <w:sz w:val="20"/>
                <w:szCs w:val="20"/>
                <w:color w:val="auto"/>
              </w:rPr>
            </w:pPr>
            <w:r>
              <w:rPr>
                <w:rFonts w:ascii="Arial" w:cs="Arial" w:eastAsia="Arial" w:hAnsi="Arial"/>
                <w:sz w:val="16"/>
                <w:szCs w:val="16"/>
                <w:color w:val="auto"/>
              </w:rPr>
              <w:t>Total Purchased</w:t>
            </w: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672,637</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564,936</w:t>
            </w: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2,094,195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1,685,675</w:t>
            </w:r>
          </w:p>
        </w:tc>
      </w:tr>
      <w:tr>
        <w:trPr>
          <w:trHeight w:val="143"/>
        </w:trPr>
        <w:tc>
          <w:tcPr>
            <w:tcW w:w="5520" w:type="dxa"/>
            <w:vAlign w:val="bottom"/>
            <w:shd w:val="clear" w:color="auto" w:fill="CEFFE7"/>
          </w:tcPr>
          <w:p>
            <w:pPr>
              <w:spacing w:after="0"/>
              <w:rPr>
                <w:sz w:val="12"/>
                <w:szCs w:val="12"/>
                <w:color w:val="auto"/>
              </w:rPr>
            </w:pPr>
          </w:p>
        </w:tc>
        <w:tc>
          <w:tcPr>
            <w:tcW w:w="1660" w:type="dxa"/>
            <w:vAlign w:val="bottom"/>
            <w:shd w:val="clear" w:color="auto" w:fill="CEFFE7"/>
          </w:tcPr>
          <w:p>
            <w:pPr>
              <w:spacing w:after="0"/>
              <w:rPr>
                <w:sz w:val="12"/>
                <w:szCs w:val="12"/>
                <w:color w:val="auto"/>
              </w:rPr>
            </w:pPr>
          </w:p>
        </w:tc>
        <w:tc>
          <w:tcPr>
            <w:tcW w:w="1240" w:type="dxa"/>
            <w:vAlign w:val="bottom"/>
            <w:shd w:val="clear" w:color="auto" w:fill="CEFFE7"/>
          </w:tcPr>
          <w:p>
            <w:pPr>
              <w:spacing w:after="0"/>
              <w:rPr>
                <w:sz w:val="12"/>
                <w:szCs w:val="12"/>
                <w:color w:val="auto"/>
              </w:rPr>
            </w:pPr>
          </w:p>
        </w:tc>
        <w:tc>
          <w:tcPr>
            <w:tcW w:w="1620" w:type="dxa"/>
            <w:vAlign w:val="bottom"/>
            <w:shd w:val="clear" w:color="auto" w:fill="CEFFE7"/>
          </w:tcPr>
          <w:p>
            <w:pPr>
              <w:spacing w:after="0"/>
              <w:rPr>
                <w:sz w:val="12"/>
                <w:szCs w:val="12"/>
                <w:color w:val="auto"/>
              </w:rPr>
            </w:pPr>
          </w:p>
        </w:tc>
        <w:tc>
          <w:tcPr>
            <w:tcW w:w="1200" w:type="dxa"/>
            <w:vAlign w:val="bottom"/>
            <w:shd w:val="clear" w:color="auto" w:fill="CEFFE7"/>
          </w:tcPr>
          <w:p>
            <w:pPr>
              <w:spacing w:after="0"/>
              <w:rPr>
                <w:sz w:val="12"/>
                <w:szCs w:val="12"/>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Total Generated and Purchased</w:t>
            </w: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2,009,886</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1,947,178</w:t>
            </w: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5,740,923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5,470,397</w:t>
            </w:r>
          </w:p>
        </w:tc>
      </w:tr>
      <w:tr>
        <w:trPr>
          <w:trHeight w:val="21"/>
        </w:trPr>
        <w:tc>
          <w:tcPr>
            <w:tcW w:w="5520" w:type="dxa"/>
            <w:vAlign w:val="bottom"/>
          </w:tcPr>
          <w:p>
            <w:pPr>
              <w:spacing w:after="0" w:line="20" w:lineRule="exact"/>
              <w:rPr>
                <w:sz w:val="1"/>
                <w:szCs w:val="1"/>
                <w:color w:val="auto"/>
              </w:rPr>
            </w:pPr>
          </w:p>
        </w:tc>
        <w:tc>
          <w:tcPr>
            <w:tcW w:w="2900" w:type="dxa"/>
            <w:vAlign w:val="bottom"/>
            <w:tcBorders>
              <w:bottom w:val="single" w:sz="8" w:color="auto"/>
            </w:tcBorders>
            <w:gridSpan w:val="2"/>
          </w:tcPr>
          <w:p>
            <w:pPr>
              <w:spacing w:after="0" w:line="20" w:lineRule="exact"/>
              <w:rPr>
                <w:sz w:val="1"/>
                <w:szCs w:val="1"/>
                <w:color w:val="auto"/>
              </w:rPr>
            </w:pPr>
          </w:p>
        </w:tc>
        <w:tc>
          <w:tcPr>
            <w:tcW w:w="2820" w:type="dxa"/>
            <w:vAlign w:val="bottom"/>
            <w:tcBorders>
              <w:bottom w:val="single" w:sz="8" w:color="auto"/>
            </w:tcBorders>
            <w:gridSpan w:val="2"/>
          </w:tcPr>
          <w:p>
            <w:pPr>
              <w:spacing w:after="0" w:line="20" w:lineRule="exact"/>
              <w:rPr>
                <w:sz w:val="1"/>
                <w:szCs w:val="1"/>
                <w:color w:val="auto"/>
              </w:rPr>
            </w:pPr>
          </w:p>
        </w:tc>
      </w:tr>
      <w:tr>
        <w:trPr>
          <w:trHeight w:val="801"/>
        </w:trPr>
        <w:tc>
          <w:tcPr>
            <w:tcW w:w="5520" w:type="dxa"/>
            <w:vAlign w:val="bottom"/>
          </w:tcPr>
          <w:p>
            <w:pPr>
              <w:spacing w:after="0"/>
              <w:rPr>
                <w:sz w:val="24"/>
                <w:szCs w:val="24"/>
                <w:color w:val="auto"/>
              </w:rPr>
            </w:pPr>
          </w:p>
        </w:tc>
        <w:tc>
          <w:tcPr>
            <w:tcW w:w="2900" w:type="dxa"/>
            <w:vAlign w:val="bottom"/>
            <w:gridSpan w:val="2"/>
          </w:tcPr>
          <w:p>
            <w:pPr>
              <w:jc w:val="right"/>
              <w:ind w:right="79"/>
              <w:spacing w:after="0"/>
              <w:rPr>
                <w:sz w:val="20"/>
                <w:szCs w:val="20"/>
                <w:color w:val="auto"/>
              </w:rPr>
            </w:pPr>
            <w:r>
              <w:rPr>
                <w:rFonts w:ascii="Arial" w:cs="Arial" w:eastAsia="Arial" w:hAnsi="Arial"/>
                <w:sz w:val="16"/>
                <w:szCs w:val="16"/>
                <w:color w:val="auto"/>
              </w:rPr>
              <w:t>Three Months Ended September 30,</w:t>
            </w:r>
          </w:p>
        </w:tc>
        <w:tc>
          <w:tcPr>
            <w:tcW w:w="2820" w:type="dxa"/>
            <w:vAlign w:val="bottom"/>
            <w:gridSpan w:val="2"/>
          </w:tcPr>
          <w:p>
            <w:pPr>
              <w:jc w:val="right"/>
              <w:ind w:right="79"/>
              <w:spacing w:after="0"/>
              <w:rPr>
                <w:sz w:val="20"/>
                <w:szCs w:val="20"/>
                <w:color w:val="auto"/>
              </w:rPr>
            </w:pPr>
            <w:r>
              <w:rPr>
                <w:rFonts w:ascii="Arial" w:cs="Arial" w:eastAsia="Arial" w:hAnsi="Arial"/>
                <w:sz w:val="16"/>
                <w:szCs w:val="16"/>
                <w:color w:val="auto"/>
              </w:rPr>
              <w:t>Nine Months Ended September 30,</w:t>
            </w:r>
          </w:p>
        </w:tc>
      </w:tr>
      <w:tr>
        <w:trPr>
          <w:trHeight w:val="21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6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2022</w:t>
            </w: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520" w:type="dxa"/>
            <w:vAlign w:val="bottom"/>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127,090</w:t>
            </w:r>
          </w:p>
        </w:tc>
        <w:tc>
          <w:tcPr>
            <w:tcW w:w="1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150,646</w:t>
            </w:r>
          </w:p>
        </w:tc>
        <w:tc>
          <w:tcPr>
            <w:tcW w:w="16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324,638</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351,723</w:t>
            </w: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South Dakota Electric</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510,443</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538,632</w:t>
            </w: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1,333,984</w:t>
            </w:r>
          </w:p>
        </w:tc>
        <w:tc>
          <w:tcPr>
            <w:tcW w:w="1200" w:type="dxa"/>
            <w:vAlign w:val="bottom"/>
          </w:tcPr>
          <w:p>
            <w:pPr>
              <w:jc w:val="right"/>
              <w:spacing w:after="0"/>
              <w:rPr>
                <w:sz w:val="20"/>
                <w:szCs w:val="20"/>
                <w:color w:val="auto"/>
              </w:rPr>
            </w:pPr>
            <w:r>
              <w:rPr>
                <w:rFonts w:ascii="Arial" w:cs="Arial" w:eastAsia="Arial" w:hAnsi="Arial"/>
                <w:sz w:val="16"/>
                <w:szCs w:val="16"/>
                <w:color w:val="auto"/>
              </w:rPr>
              <w:t>1,450,113</w:t>
            </w:r>
          </w:p>
        </w:tc>
      </w:tr>
      <w:tr>
        <w:trPr>
          <w:trHeight w:val="217"/>
        </w:trPr>
        <w:tc>
          <w:tcPr>
            <w:tcW w:w="5520" w:type="dxa"/>
            <w:vAlign w:val="bottom"/>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236,761</w:t>
            </w:r>
          </w:p>
        </w:tc>
        <w:tc>
          <w:tcPr>
            <w:tcW w:w="1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221,845</w:t>
            </w:r>
          </w:p>
        </w:tc>
        <w:tc>
          <w:tcPr>
            <w:tcW w:w="16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667,079</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618,375</w:t>
            </w:r>
          </w:p>
        </w:tc>
      </w:tr>
      <w:tr>
        <w:trPr>
          <w:trHeight w:val="215"/>
        </w:trPr>
        <w:tc>
          <w:tcPr>
            <w:tcW w:w="5520" w:type="dxa"/>
            <w:vAlign w:val="bottom"/>
            <w:tcBorders>
              <w:bottom w:val="single" w:sz="8" w:color="CEFFE7"/>
            </w:tcBorders>
          </w:tcPr>
          <w:p>
            <w:pPr>
              <w:ind w:left="220"/>
              <w:spacing w:after="0"/>
              <w:rPr>
                <w:sz w:val="20"/>
                <w:szCs w:val="20"/>
                <w:color w:val="auto"/>
              </w:rPr>
            </w:pPr>
            <w:r>
              <w:rPr>
                <w:rFonts w:ascii="Arial" w:cs="Arial" w:eastAsia="Arial" w:hAnsi="Arial"/>
                <w:sz w:val="16"/>
                <w:szCs w:val="16"/>
                <w:color w:val="auto"/>
              </w:rPr>
              <w:t>Integrated Generation</w:t>
            </w: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462,955</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471,119</w:t>
            </w: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1,321,027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1,364,511</w:t>
            </w:r>
          </w:p>
        </w:tc>
      </w:tr>
      <w:tr>
        <w:trPr>
          <w:trHeight w:val="210"/>
        </w:trPr>
        <w:tc>
          <w:tcPr>
            <w:tcW w:w="552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Generated</w:t>
            </w:r>
          </w:p>
        </w:tc>
        <w:tc>
          <w:tcPr>
            <w:tcW w:w="16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1,337,249</w:t>
            </w:r>
          </w:p>
        </w:tc>
        <w:tc>
          <w:tcPr>
            <w:tcW w:w="1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1,382,242</w:t>
            </w:r>
          </w:p>
        </w:tc>
        <w:tc>
          <w:tcPr>
            <w:tcW w:w="162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3,646,728</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3,784,722</w:t>
            </w:r>
          </w:p>
        </w:tc>
      </w:tr>
      <w:tr>
        <w:trPr>
          <w:trHeight w:val="195"/>
        </w:trPr>
        <w:tc>
          <w:tcPr>
            <w:tcW w:w="552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5520" w:type="dxa"/>
            <w:vAlign w:val="bottom"/>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251,076</w:t>
            </w:r>
          </w:p>
        </w:tc>
        <w:tc>
          <w:tcPr>
            <w:tcW w:w="1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244,613</w:t>
            </w:r>
          </w:p>
        </w:tc>
        <w:tc>
          <w:tcPr>
            <w:tcW w:w="16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807,442</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716,506</w:t>
            </w:r>
          </w:p>
        </w:tc>
      </w:tr>
      <w:tr>
        <w:trPr>
          <w:trHeight w:val="215"/>
        </w:trPr>
        <w:tc>
          <w:tcPr>
            <w:tcW w:w="5520" w:type="dxa"/>
            <w:vAlign w:val="bottom"/>
          </w:tcPr>
          <w:p>
            <w:pPr>
              <w:ind w:left="220"/>
              <w:spacing w:after="0"/>
              <w:rPr>
                <w:sz w:val="20"/>
                <w:szCs w:val="20"/>
                <w:color w:val="auto"/>
              </w:rPr>
            </w:pPr>
            <w:r>
              <w:rPr>
                <w:rFonts w:ascii="Arial" w:cs="Arial" w:eastAsia="Arial" w:hAnsi="Arial"/>
                <w:sz w:val="16"/>
                <w:szCs w:val="16"/>
                <w:color w:val="auto"/>
              </w:rPr>
              <w:t>South Dakota Electric</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221,872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150,269</w:t>
            </w:r>
          </w:p>
        </w:tc>
        <w:tc>
          <w:tcPr>
            <w:tcW w:w="1620" w:type="dxa"/>
            <w:vAlign w:val="bottom"/>
          </w:tcPr>
          <w:p>
            <w:pPr>
              <w:jc w:val="right"/>
              <w:ind w:right="219"/>
              <w:spacing w:after="0"/>
              <w:rPr>
                <w:sz w:val="20"/>
                <w:szCs w:val="20"/>
                <w:color w:val="auto"/>
              </w:rPr>
            </w:pPr>
            <w:r>
              <w:rPr>
                <w:rFonts w:ascii="Arial" w:cs="Arial" w:eastAsia="Arial" w:hAnsi="Arial"/>
                <w:sz w:val="16"/>
                <w:szCs w:val="16"/>
                <w:color w:val="auto"/>
              </w:rPr>
              <w:t>667,560</w:t>
            </w:r>
          </w:p>
        </w:tc>
        <w:tc>
          <w:tcPr>
            <w:tcW w:w="1200" w:type="dxa"/>
            <w:vAlign w:val="bottom"/>
          </w:tcPr>
          <w:p>
            <w:pPr>
              <w:jc w:val="right"/>
              <w:spacing w:after="0"/>
              <w:rPr>
                <w:sz w:val="20"/>
                <w:szCs w:val="20"/>
                <w:color w:val="auto"/>
              </w:rPr>
            </w:pPr>
            <w:r>
              <w:rPr>
                <w:rFonts w:ascii="Arial" w:cs="Arial" w:eastAsia="Arial" w:hAnsi="Arial"/>
                <w:sz w:val="16"/>
                <w:szCs w:val="16"/>
                <w:color w:val="auto"/>
              </w:rPr>
              <w:t>446,904</w:t>
            </w:r>
          </w:p>
        </w:tc>
      </w:tr>
      <w:tr>
        <w:trPr>
          <w:trHeight w:val="217"/>
        </w:trPr>
        <w:tc>
          <w:tcPr>
            <w:tcW w:w="5520" w:type="dxa"/>
            <w:vAlign w:val="bottom"/>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174,946</w:t>
            </w:r>
          </w:p>
        </w:tc>
        <w:tc>
          <w:tcPr>
            <w:tcW w:w="1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146,489</w:t>
            </w:r>
          </w:p>
        </w:tc>
        <w:tc>
          <w:tcPr>
            <w:tcW w:w="16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551,683</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454,091</w:t>
            </w:r>
          </w:p>
        </w:tc>
      </w:tr>
      <w:tr>
        <w:trPr>
          <w:trHeight w:val="215"/>
        </w:trPr>
        <w:tc>
          <w:tcPr>
            <w:tcW w:w="5520" w:type="dxa"/>
            <w:vAlign w:val="bottom"/>
            <w:tcBorders>
              <w:bottom w:val="single" w:sz="8" w:color="CEFFE7"/>
            </w:tcBorders>
          </w:tcPr>
          <w:p>
            <w:pPr>
              <w:ind w:left="220"/>
              <w:spacing w:after="0"/>
              <w:rPr>
                <w:sz w:val="20"/>
                <w:szCs w:val="20"/>
                <w:color w:val="auto"/>
              </w:rPr>
            </w:pPr>
            <w:r>
              <w:rPr>
                <w:rFonts w:ascii="Arial" w:cs="Arial" w:eastAsia="Arial" w:hAnsi="Arial"/>
                <w:sz w:val="16"/>
                <w:szCs w:val="16"/>
                <w:color w:val="auto"/>
              </w:rPr>
              <w:t>Integrated Generation</w:t>
            </w: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24,743</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23,565</w:t>
            </w: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67,510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68,174</w:t>
            </w:r>
          </w:p>
        </w:tc>
      </w:tr>
      <w:tr>
        <w:trPr>
          <w:trHeight w:val="209"/>
        </w:trPr>
        <w:tc>
          <w:tcPr>
            <w:tcW w:w="552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6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672,637</w:t>
            </w:r>
          </w:p>
        </w:tc>
        <w:tc>
          <w:tcPr>
            <w:tcW w:w="1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564,936</w:t>
            </w:r>
          </w:p>
        </w:tc>
        <w:tc>
          <w:tcPr>
            <w:tcW w:w="162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2,094,195</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1,685,675</w:t>
            </w:r>
          </w:p>
        </w:tc>
      </w:tr>
      <w:tr>
        <w:trPr>
          <w:trHeight w:val="143"/>
        </w:trPr>
        <w:tc>
          <w:tcPr>
            <w:tcW w:w="5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41"/>
        </w:trPr>
        <w:tc>
          <w:tcPr>
            <w:tcW w:w="5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Generated and Purchased</w:t>
            </w:r>
          </w:p>
        </w:tc>
        <w:tc>
          <w:tcPr>
            <w:tcW w:w="16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2,009,886</w:t>
            </w:r>
          </w:p>
        </w:tc>
        <w:tc>
          <w:tcPr>
            <w:tcW w:w="1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1,947,178</w:t>
            </w:r>
          </w:p>
        </w:tc>
        <w:tc>
          <w:tcPr>
            <w:tcW w:w="162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5,740,923</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5,470,397</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66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162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r>
      <w:tr>
        <w:trPr>
          <w:trHeight w:val="1093"/>
        </w:trPr>
        <w:tc>
          <w:tcPr>
            <w:tcW w:w="5520" w:type="dxa"/>
            <w:vAlign w:val="bottom"/>
          </w:tcPr>
          <w:p>
            <w:pPr>
              <w:spacing w:after="0"/>
              <w:rPr>
                <w:sz w:val="24"/>
                <w:szCs w:val="24"/>
                <w:color w:val="auto"/>
              </w:rPr>
            </w:pPr>
          </w:p>
        </w:tc>
        <w:tc>
          <w:tcPr>
            <w:tcW w:w="1660" w:type="dxa"/>
            <w:vAlign w:val="bottom"/>
          </w:tcPr>
          <w:p>
            <w:pPr>
              <w:jc w:val="right"/>
              <w:ind w:right="1379"/>
              <w:spacing w:after="0"/>
              <w:rPr>
                <w:sz w:val="20"/>
                <w:szCs w:val="20"/>
                <w:color w:val="auto"/>
              </w:rPr>
            </w:pPr>
            <w:r>
              <w:rPr>
                <w:rFonts w:ascii="Arial" w:cs="Arial" w:eastAsia="Arial" w:hAnsi="Arial"/>
                <w:sz w:val="16"/>
                <w:szCs w:val="16"/>
                <w:color w:val="auto"/>
              </w:rPr>
              <w:t>40</w:t>
            </w: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6"/>
        </w:trPr>
        <w:tc>
          <w:tcPr>
            <w:tcW w:w="55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4"/>
        </w:trPr>
        <w:tc>
          <w:tcPr>
            <w:tcW w:w="25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3440" w:type="dxa"/>
            <w:vAlign w:val="bottom"/>
            <w:gridSpan w:val="3"/>
          </w:tcPr>
          <w:p>
            <w:pPr>
              <w:jc w:val="right"/>
              <w:spacing w:after="0"/>
              <w:rPr>
                <w:sz w:val="20"/>
                <w:szCs w:val="20"/>
                <w:color w:val="auto"/>
              </w:rPr>
            </w:pPr>
            <w:r>
              <w:rPr>
                <w:rFonts w:ascii="Arial" w:cs="Arial" w:eastAsia="Arial" w:hAnsi="Arial"/>
                <w:sz w:val="16"/>
                <w:szCs w:val="16"/>
                <w:color w:val="auto"/>
              </w:rPr>
              <w:t>Three Months Ended September 30,</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3"/>
          </w:tcPr>
          <w:p>
            <w:pPr>
              <w:jc w:val="right"/>
              <w:spacing w:after="0"/>
              <w:rPr>
                <w:sz w:val="20"/>
                <w:szCs w:val="20"/>
                <w:color w:val="auto"/>
              </w:rPr>
            </w:pPr>
            <w:r>
              <w:rPr>
                <w:rFonts w:ascii="Arial" w:cs="Arial" w:eastAsia="Arial" w:hAnsi="Arial"/>
                <w:sz w:val="16"/>
                <w:szCs w:val="16"/>
                <w:color w:val="auto"/>
              </w:rPr>
              <w:t>Nine Months Ended September 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6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color w:val="auto"/>
              </w:rPr>
              <w:t>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color w:val="auto"/>
              </w:rPr>
              <w:t>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00" w:type="dxa"/>
            <w:vAlign w:val="bottom"/>
            <w:gridSpan w:val="2"/>
            <w:vMerge w:val="restart"/>
          </w:tcPr>
          <w:p>
            <w:pPr>
              <w:ind w:left="20"/>
              <w:spacing w:after="0"/>
              <w:rPr>
                <w:sz w:val="20"/>
                <w:szCs w:val="20"/>
                <w:color w:val="auto"/>
              </w:rPr>
            </w:pPr>
            <w:r>
              <w:rPr>
                <w:rFonts w:ascii="Arial" w:cs="Arial" w:eastAsia="Arial" w:hAnsi="Arial"/>
                <w:sz w:val="16"/>
                <w:szCs w:val="16"/>
                <w:color w:val="auto"/>
              </w:rPr>
              <w:t>Degree Days</w:t>
            </w: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color w:val="auto"/>
              </w:rPr>
              <w:t>Actual</w:t>
            </w:r>
          </w:p>
        </w:tc>
        <w:tc>
          <w:tcPr>
            <w:tcW w:w="1280" w:type="dxa"/>
            <w:vAlign w:val="bottom"/>
          </w:tcPr>
          <w:p>
            <w:pPr>
              <w:jc w:val="right"/>
              <w:ind w:right="139"/>
              <w:spacing w:after="0" w:line="157" w:lineRule="exact"/>
              <w:rPr>
                <w:sz w:val="20"/>
                <w:szCs w:val="20"/>
                <w:color w:val="auto"/>
              </w:rPr>
            </w:pPr>
            <w:r>
              <w:rPr>
                <w:rFonts w:ascii="Arial" w:cs="Arial" w:eastAsia="Arial" w:hAnsi="Arial"/>
                <w:sz w:val="16"/>
                <w:szCs w:val="16"/>
                <w:color w:val="auto"/>
              </w:rPr>
              <w:t>Variance from</w:t>
            </w:r>
          </w:p>
        </w:tc>
        <w:tc>
          <w:tcPr>
            <w:tcW w:w="2020" w:type="dxa"/>
            <w:vAlign w:val="bottom"/>
            <w:gridSpan w:val="2"/>
          </w:tcPr>
          <w:p>
            <w:pPr>
              <w:jc w:val="center"/>
              <w:ind w:left="759"/>
              <w:spacing w:after="0" w:line="157" w:lineRule="exact"/>
              <w:rPr>
                <w:sz w:val="20"/>
                <w:szCs w:val="20"/>
                <w:color w:val="auto"/>
              </w:rPr>
            </w:pPr>
            <w:r>
              <w:rPr>
                <w:rFonts w:ascii="Arial" w:cs="Arial" w:eastAsia="Arial" w:hAnsi="Arial"/>
                <w:sz w:val="16"/>
                <w:szCs w:val="16"/>
                <w:color w:val="auto"/>
                <w:w w:val="98"/>
              </w:rPr>
              <w:t>Variance from</w:t>
            </w:r>
          </w:p>
        </w:tc>
        <w:tc>
          <w:tcPr>
            <w:tcW w:w="140" w:type="dxa"/>
            <w:vAlign w:val="bottom"/>
          </w:tcPr>
          <w:p>
            <w:pPr>
              <w:spacing w:after="0"/>
              <w:rPr>
                <w:sz w:val="13"/>
                <w:szCs w:val="13"/>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color w:val="auto"/>
              </w:rPr>
              <w:t>Actual</w:t>
            </w:r>
          </w:p>
        </w:tc>
        <w:tc>
          <w:tcPr>
            <w:tcW w:w="1280" w:type="dxa"/>
            <w:vAlign w:val="bottom"/>
          </w:tcPr>
          <w:p>
            <w:pPr>
              <w:jc w:val="right"/>
              <w:ind w:right="139"/>
              <w:spacing w:after="0" w:line="157" w:lineRule="exact"/>
              <w:rPr>
                <w:sz w:val="20"/>
                <w:szCs w:val="20"/>
                <w:color w:val="auto"/>
              </w:rPr>
            </w:pPr>
            <w:r>
              <w:rPr>
                <w:rFonts w:ascii="Arial" w:cs="Arial" w:eastAsia="Arial" w:hAnsi="Arial"/>
                <w:sz w:val="16"/>
                <w:szCs w:val="16"/>
                <w:color w:val="auto"/>
              </w:rPr>
              <w:t>Variance from</w:t>
            </w:r>
          </w:p>
        </w:tc>
        <w:tc>
          <w:tcPr>
            <w:tcW w:w="2040" w:type="dxa"/>
            <w:vAlign w:val="bottom"/>
            <w:gridSpan w:val="2"/>
          </w:tcPr>
          <w:p>
            <w:pPr>
              <w:jc w:val="right"/>
              <w:ind w:right="19"/>
              <w:spacing w:after="0" w:line="157" w:lineRule="exact"/>
              <w:rPr>
                <w:sz w:val="20"/>
                <w:szCs w:val="20"/>
                <w:color w:val="auto"/>
              </w:rPr>
            </w:pPr>
            <w:r>
              <w:rPr>
                <w:rFonts w:ascii="Arial" w:cs="Arial" w:eastAsia="Arial" w:hAnsi="Arial"/>
                <w:sz w:val="16"/>
                <w:szCs w:val="16"/>
                <w:color w:val="auto"/>
              </w:rPr>
              <w:t>Variance from</w:t>
            </w:r>
          </w:p>
        </w:tc>
        <w:tc>
          <w:tcPr>
            <w:tcW w:w="0" w:type="dxa"/>
            <w:vAlign w:val="bottom"/>
          </w:tcPr>
          <w:p>
            <w:pPr>
              <w:spacing w:after="0"/>
              <w:rPr>
                <w:sz w:val="1"/>
                <w:szCs w:val="1"/>
                <w:color w:val="auto"/>
              </w:rPr>
            </w:pPr>
          </w:p>
        </w:tc>
      </w:tr>
      <w:tr>
        <w:trPr>
          <w:trHeight w:val="215"/>
        </w:trPr>
        <w:tc>
          <w:tcPr>
            <w:tcW w:w="25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Normal</w:t>
            </w:r>
          </w:p>
        </w:tc>
        <w:tc>
          <w:tcPr>
            <w:tcW w:w="1180" w:type="dxa"/>
            <w:vAlign w:val="bottom"/>
          </w:tcPr>
          <w:p>
            <w:pPr>
              <w:jc w:val="right"/>
              <w:ind w:right="499"/>
              <w:spacing w:after="0"/>
              <w:rPr>
                <w:sz w:val="20"/>
                <w:szCs w:val="20"/>
                <w:color w:val="auto"/>
              </w:rPr>
            </w:pPr>
            <w:r>
              <w:rPr>
                <w:rFonts w:ascii="Arial" w:cs="Arial" w:eastAsia="Arial" w:hAnsi="Arial"/>
                <w:sz w:val="16"/>
                <w:szCs w:val="16"/>
                <w:color w:val="auto"/>
              </w:rPr>
              <w:t>Actual</w:t>
            </w:r>
          </w:p>
        </w:tc>
        <w:tc>
          <w:tcPr>
            <w:tcW w:w="980" w:type="dxa"/>
            <w:vAlign w:val="bottom"/>
            <w:gridSpan w:val="2"/>
          </w:tcPr>
          <w:p>
            <w:pPr>
              <w:jc w:val="center"/>
              <w:ind w:right="420"/>
              <w:spacing w:after="0"/>
              <w:rPr>
                <w:sz w:val="20"/>
                <w:szCs w:val="20"/>
                <w:color w:val="auto"/>
              </w:rPr>
            </w:pPr>
            <w:r>
              <w:rPr>
                <w:rFonts w:ascii="Arial" w:cs="Arial" w:eastAsia="Arial" w:hAnsi="Arial"/>
                <w:sz w:val="16"/>
                <w:szCs w:val="16"/>
                <w:color w:val="auto"/>
              </w:rPr>
              <w:t>Normal</w:t>
            </w:r>
          </w:p>
        </w:tc>
        <w:tc>
          <w:tcPr>
            <w:tcW w:w="1000" w:type="dxa"/>
            <w:vAlign w:val="bottom"/>
            <w:vMerge w:val="continue"/>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Normal</w:t>
            </w:r>
          </w:p>
        </w:tc>
        <w:tc>
          <w:tcPr>
            <w:tcW w:w="1180" w:type="dxa"/>
            <w:vAlign w:val="bottom"/>
          </w:tcPr>
          <w:p>
            <w:pPr>
              <w:jc w:val="right"/>
              <w:ind w:right="499"/>
              <w:spacing w:after="0"/>
              <w:rPr>
                <w:sz w:val="20"/>
                <w:szCs w:val="20"/>
                <w:color w:val="auto"/>
              </w:rPr>
            </w:pPr>
            <w:r>
              <w:rPr>
                <w:rFonts w:ascii="Arial" w:cs="Arial" w:eastAsia="Arial" w:hAnsi="Arial"/>
                <w:sz w:val="16"/>
                <w:szCs w:val="16"/>
                <w:color w:val="auto"/>
              </w:rPr>
              <w:t>Actual</w:t>
            </w: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Normal</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Heating Degree Days:</w:t>
            </w:r>
          </w:p>
        </w:tc>
        <w:tc>
          <w:tcPr>
            <w:tcW w:w="9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Colorado Electric</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(66)%</w:t>
            </w:r>
          </w:p>
        </w:tc>
        <w:tc>
          <w:tcPr>
            <w:tcW w:w="11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22</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3,296</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4 %</w:t>
            </w:r>
          </w:p>
        </w:tc>
        <w:tc>
          <w:tcPr>
            <w:tcW w:w="11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3,348</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500" w:type="dxa"/>
            <w:vAlign w:val="bottom"/>
            <w:gridSpan w:val="2"/>
          </w:tcPr>
          <w:p>
            <w:pPr>
              <w:ind w:left="240"/>
              <w:spacing w:after="0"/>
              <w:rPr>
                <w:sz w:val="20"/>
                <w:szCs w:val="20"/>
                <w:color w:val="auto"/>
              </w:rPr>
            </w:pPr>
            <w:r>
              <w:rPr>
                <w:rFonts w:ascii="Arial" w:cs="Arial" w:eastAsia="Arial" w:hAnsi="Arial"/>
                <w:sz w:val="16"/>
                <w:szCs w:val="16"/>
                <w:color w:val="auto"/>
              </w:rPr>
              <w:t>South Dakota Electric</w:t>
            </w:r>
          </w:p>
        </w:tc>
        <w:tc>
          <w:tcPr>
            <w:tcW w:w="980" w:type="dxa"/>
            <w:vAlign w:val="bottom"/>
          </w:tcPr>
          <w:p>
            <w:pPr>
              <w:jc w:val="right"/>
              <w:spacing w:after="0"/>
              <w:rPr>
                <w:sz w:val="20"/>
                <w:szCs w:val="20"/>
                <w:color w:val="auto"/>
              </w:rPr>
            </w:pPr>
            <w:r>
              <w:rPr>
                <w:rFonts w:ascii="Arial" w:cs="Arial" w:eastAsia="Arial" w:hAnsi="Arial"/>
                <w:sz w:val="16"/>
                <w:szCs w:val="16"/>
                <w:color w:val="auto"/>
              </w:rPr>
              <w:t>91</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(57)%</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90</w:t>
            </w: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4,560</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4,462</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250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Wyoming Electric</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119</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(60)%</w:t>
            </w:r>
          </w:p>
        </w:tc>
        <w:tc>
          <w:tcPr>
            <w:tcW w:w="11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112</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4,410</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(2)%</w:t>
            </w:r>
          </w:p>
        </w:tc>
        <w:tc>
          <w:tcPr>
            <w:tcW w:w="11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4,594</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6"/>
        </w:trPr>
        <w:tc>
          <w:tcPr>
            <w:tcW w:w="2500" w:type="dxa"/>
            <w:vAlign w:val="bottom"/>
            <w:gridSpan w:val="2"/>
          </w:tcPr>
          <w:p>
            <w:pPr>
              <w:ind w:left="460"/>
              <w:spacing w:after="0" w:line="216"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6"/>
                <w:szCs w:val="16"/>
                <w:color w:val="auto"/>
              </w:rPr>
              <w:t>66</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63</w:t>
            </w: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3,952</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1 %</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3,979</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1280" w:type="dxa"/>
            <w:vAlign w:val="bottom"/>
            <w:shd w:val="clear" w:color="auto" w:fill="CEFFE7"/>
          </w:tcPr>
          <w:p>
            <w:pPr>
              <w:spacing w:after="0"/>
              <w:rPr>
                <w:sz w:val="14"/>
                <w:szCs w:val="14"/>
                <w:color w:val="auto"/>
              </w:rPr>
            </w:pPr>
          </w:p>
        </w:tc>
        <w:tc>
          <w:tcPr>
            <w:tcW w:w="1180" w:type="dxa"/>
            <w:vAlign w:val="bottom"/>
            <w:shd w:val="clear" w:color="auto" w:fill="CEFFE7"/>
          </w:tcPr>
          <w:p>
            <w:pPr>
              <w:spacing w:after="0"/>
              <w:rPr>
                <w:sz w:val="14"/>
                <w:szCs w:val="14"/>
                <w:color w:val="auto"/>
              </w:rPr>
            </w:pPr>
          </w:p>
        </w:tc>
        <w:tc>
          <w:tcPr>
            <w:tcW w:w="840" w:type="dxa"/>
            <w:vAlign w:val="bottom"/>
            <w:shd w:val="clear" w:color="auto" w:fill="CEFFE7"/>
          </w:tcPr>
          <w:p>
            <w:pPr>
              <w:spacing w:after="0"/>
              <w:rPr>
                <w:sz w:val="14"/>
                <w:szCs w:val="14"/>
                <w:color w:val="auto"/>
              </w:rPr>
            </w:pPr>
          </w:p>
        </w:tc>
        <w:tc>
          <w:tcPr>
            <w:tcW w:w="140" w:type="dxa"/>
            <w:vAlign w:val="bottom"/>
            <w:shd w:val="clear" w:color="auto" w:fill="CEFFE7"/>
          </w:tcPr>
          <w:p>
            <w:pPr>
              <w:spacing w:after="0"/>
              <w:rPr>
                <w:sz w:val="14"/>
                <w:szCs w:val="14"/>
                <w:color w:val="auto"/>
              </w:rPr>
            </w:pPr>
          </w:p>
        </w:tc>
        <w:tc>
          <w:tcPr>
            <w:tcW w:w="1000" w:type="dxa"/>
            <w:vAlign w:val="bottom"/>
            <w:shd w:val="clear" w:color="auto" w:fill="CEFFE7"/>
          </w:tcPr>
          <w:p>
            <w:pPr>
              <w:spacing w:after="0"/>
              <w:rPr>
                <w:sz w:val="14"/>
                <w:szCs w:val="14"/>
                <w:color w:val="auto"/>
              </w:rPr>
            </w:pPr>
          </w:p>
        </w:tc>
        <w:tc>
          <w:tcPr>
            <w:tcW w:w="1280" w:type="dxa"/>
            <w:vAlign w:val="bottom"/>
            <w:shd w:val="clear" w:color="auto" w:fill="CEFFE7"/>
          </w:tcPr>
          <w:p>
            <w:pPr>
              <w:spacing w:after="0"/>
              <w:rPr>
                <w:sz w:val="14"/>
                <w:szCs w:val="14"/>
                <w:color w:val="auto"/>
              </w:rPr>
            </w:pPr>
          </w:p>
        </w:tc>
        <w:tc>
          <w:tcPr>
            <w:tcW w:w="118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Cooling Degree Days:</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Colorado Electric</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1,028</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28 %</w:t>
            </w:r>
          </w:p>
        </w:tc>
        <w:tc>
          <w:tcPr>
            <w:tcW w:w="11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942</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38 %</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1,361</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27 %</w:t>
            </w:r>
          </w:p>
        </w:tc>
        <w:tc>
          <w:tcPr>
            <w:tcW w:w="11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1,242</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5"/>
        </w:trPr>
        <w:tc>
          <w:tcPr>
            <w:tcW w:w="2500" w:type="dxa"/>
            <w:vAlign w:val="bottom"/>
            <w:gridSpan w:val="2"/>
          </w:tcPr>
          <w:p>
            <w:pPr>
              <w:ind w:left="240"/>
              <w:spacing w:after="0"/>
              <w:rPr>
                <w:sz w:val="20"/>
                <w:szCs w:val="20"/>
                <w:color w:val="auto"/>
              </w:rPr>
            </w:pPr>
            <w:r>
              <w:rPr>
                <w:rFonts w:ascii="Arial" w:cs="Arial" w:eastAsia="Arial" w:hAnsi="Arial"/>
                <w:sz w:val="16"/>
                <w:szCs w:val="16"/>
                <w:color w:val="auto"/>
              </w:rPr>
              <w:t>South Dakota Electric</w:t>
            </w:r>
          </w:p>
        </w:tc>
        <w:tc>
          <w:tcPr>
            <w:tcW w:w="980" w:type="dxa"/>
            <w:vAlign w:val="bottom"/>
          </w:tcPr>
          <w:p>
            <w:pPr>
              <w:jc w:val="right"/>
              <w:spacing w:after="0"/>
              <w:rPr>
                <w:sz w:val="20"/>
                <w:szCs w:val="20"/>
                <w:color w:val="auto"/>
              </w:rPr>
            </w:pPr>
            <w:r>
              <w:rPr>
                <w:rFonts w:ascii="Arial" w:cs="Arial" w:eastAsia="Arial" w:hAnsi="Arial"/>
                <w:sz w:val="16"/>
                <w:szCs w:val="16"/>
                <w:color w:val="auto"/>
              </w:rPr>
              <w:t>707</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38 %</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649</w:t>
            </w:r>
          </w:p>
        </w:tc>
        <w:tc>
          <w:tcPr>
            <w:tcW w:w="840" w:type="dxa"/>
            <w:vAlign w:val="bottom"/>
          </w:tcPr>
          <w:p>
            <w:pPr>
              <w:jc w:val="right"/>
              <w:spacing w:after="0"/>
              <w:rPr>
                <w:sz w:val="20"/>
                <w:szCs w:val="20"/>
                <w:color w:val="auto"/>
              </w:rPr>
            </w:pPr>
            <w:r>
              <w:rPr>
                <w:rFonts w:ascii="Arial" w:cs="Arial" w:eastAsia="Arial" w:hAnsi="Arial"/>
                <w:sz w:val="16"/>
                <w:szCs w:val="16"/>
                <w:color w:val="auto"/>
              </w:rPr>
              <w:t>22 %</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814</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35 %</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816</w:t>
            </w:r>
          </w:p>
        </w:tc>
        <w:tc>
          <w:tcPr>
            <w:tcW w:w="86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7"/>
        </w:trPr>
        <w:tc>
          <w:tcPr>
            <w:tcW w:w="250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Wyoming Electric</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580</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72 %</w:t>
            </w:r>
          </w:p>
        </w:tc>
        <w:tc>
          <w:tcPr>
            <w:tcW w:w="11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487</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63 %</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701</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77 %</w:t>
            </w:r>
          </w:p>
        </w:tc>
        <w:tc>
          <w:tcPr>
            <w:tcW w:w="118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604</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85"/>
        </w:trPr>
        <w:tc>
          <w:tcPr>
            <w:tcW w:w="2500" w:type="dxa"/>
            <w:vAlign w:val="bottom"/>
            <w:gridSpan w:val="2"/>
          </w:tcPr>
          <w:p>
            <w:pPr>
              <w:ind w:left="46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6"/>
                <w:szCs w:val="16"/>
                <w:color w:val="auto"/>
              </w:rPr>
              <w:t>828</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36 %</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751</w:t>
            </w:r>
          </w:p>
        </w:tc>
        <w:tc>
          <w:tcPr>
            <w:tcW w:w="840" w:type="dxa"/>
            <w:vAlign w:val="bottom"/>
          </w:tcPr>
          <w:p>
            <w:pPr>
              <w:jc w:val="right"/>
              <w:spacing w:after="0"/>
              <w:rPr>
                <w:sz w:val="20"/>
                <w:szCs w:val="20"/>
                <w:color w:val="auto"/>
              </w:rPr>
            </w:pPr>
            <w:r>
              <w:rPr>
                <w:rFonts w:ascii="Arial" w:cs="Arial" w:eastAsia="Arial" w:hAnsi="Arial"/>
                <w:sz w:val="16"/>
                <w:szCs w:val="16"/>
                <w:color w:val="auto"/>
              </w:rPr>
              <w:t>35 %</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1,041</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34 %</w:t>
            </w: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968</w:t>
            </w:r>
          </w:p>
        </w:tc>
        <w:tc>
          <w:tcPr>
            <w:tcW w:w="86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3600" w:type="dxa"/>
            <w:vAlign w:val="bottom"/>
            <w:gridSpan w:val="2"/>
          </w:tcPr>
          <w:p>
            <w:pPr>
              <w:jc w:val="right"/>
              <w:ind w:right="239"/>
              <w:spacing w:after="0"/>
              <w:rPr>
                <w:sz w:val="20"/>
                <w:szCs w:val="20"/>
                <w:color w:val="auto"/>
              </w:rPr>
            </w:pPr>
            <w:r>
              <w:rPr>
                <w:rFonts w:ascii="Arial" w:cs="Arial" w:eastAsia="Arial" w:hAnsi="Arial"/>
                <w:sz w:val="16"/>
                <w:szCs w:val="16"/>
                <w:color w:val="auto"/>
              </w:rPr>
              <w:t>Three Months Ended September 30,</w:t>
            </w:r>
          </w:p>
        </w:tc>
        <w:tc>
          <w:tcPr>
            <w:tcW w:w="2900" w:type="dxa"/>
            <w:vAlign w:val="bottom"/>
            <w:gridSpan w:val="2"/>
          </w:tcPr>
          <w:p>
            <w:pPr>
              <w:jc w:val="right"/>
              <w:ind w:right="159"/>
              <w:spacing w:after="0"/>
              <w:rPr>
                <w:sz w:val="20"/>
                <w:szCs w:val="20"/>
                <w:color w:val="auto"/>
              </w:rPr>
            </w:pPr>
            <w:r>
              <w:rPr>
                <w:rFonts w:ascii="Arial" w:cs="Arial" w:eastAsia="Arial" w:hAnsi="Arial"/>
                <w:sz w:val="16"/>
                <w:szCs w:val="16"/>
                <w:color w:val="auto"/>
              </w:rPr>
              <w:t>Nine Months Ended September 30,</w:t>
            </w:r>
          </w:p>
        </w:tc>
      </w:tr>
      <w:tr>
        <w:trPr>
          <w:trHeight w:val="218"/>
        </w:trPr>
        <w:tc>
          <w:tcPr>
            <w:tcW w:w="4740" w:type="dxa"/>
            <w:vAlign w:val="bottom"/>
            <w:tcBorders>
              <w:bottom w:val="single" w:sz="8" w:color="auto"/>
            </w:tcBorders>
          </w:tcPr>
          <w:p>
            <w:pPr>
              <w:ind w:left="20"/>
              <w:spacing w:after="0" w:line="218"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22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2022</w:t>
            </w: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16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2022</w:t>
            </w: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r>
      <w:tr>
        <w:trPr>
          <w:trHeight w:val="210"/>
        </w:trPr>
        <w:tc>
          <w:tcPr>
            <w:tcW w:w="4740" w:type="dxa"/>
            <w:vAlign w:val="bottom"/>
            <w:shd w:val="clear" w:color="auto" w:fill="CEFFE7"/>
          </w:tcPr>
          <w:p>
            <w:pPr>
              <w:ind w:left="20"/>
              <w:spacing w:after="0" w:line="210" w:lineRule="exact"/>
              <w:rPr>
                <w:sz w:val="20"/>
                <w:szCs w:val="20"/>
                <w:color w:val="auto"/>
              </w:rPr>
            </w:pPr>
            <w:r>
              <w:rPr>
                <w:rFonts w:ascii="Arial" w:cs="Arial" w:eastAsia="Arial" w:hAnsi="Arial"/>
                <w:sz w:val="24"/>
                <w:szCs w:val="24"/>
                <w:color w:val="auto"/>
                <w:vertAlign w:val="subscript"/>
              </w:rPr>
              <w:t>Coal</w:t>
            </w:r>
            <w:r>
              <w:rPr>
                <w:rFonts w:ascii="Arial" w:cs="Arial" w:eastAsia="Arial" w:hAnsi="Arial"/>
                <w:sz w:val="9"/>
                <w:szCs w:val="9"/>
                <w:color w:val="auto"/>
              </w:rPr>
              <w:t xml:space="preserve"> (b) (c)</w:t>
            </w:r>
          </w:p>
        </w:tc>
        <w:tc>
          <w:tcPr>
            <w:tcW w:w="224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96.5 %</w:t>
            </w:r>
          </w:p>
        </w:tc>
        <w:tc>
          <w:tcPr>
            <w:tcW w:w="13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94.4 %</w:t>
            </w:r>
          </w:p>
        </w:tc>
        <w:tc>
          <w:tcPr>
            <w:tcW w:w="166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89.7 %</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88.9 %</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Natural gas and diesel oil</w:t>
            </w:r>
          </w:p>
        </w:tc>
        <w:tc>
          <w:tcPr>
            <w:tcW w:w="2240" w:type="dxa"/>
            <w:vAlign w:val="bottom"/>
          </w:tcPr>
          <w:p>
            <w:pPr>
              <w:jc w:val="right"/>
              <w:ind w:right="219"/>
              <w:spacing w:after="0"/>
              <w:rPr>
                <w:sz w:val="20"/>
                <w:szCs w:val="20"/>
                <w:color w:val="auto"/>
              </w:rPr>
            </w:pPr>
            <w:r>
              <w:rPr>
                <w:rFonts w:ascii="Arial" w:cs="Arial" w:eastAsia="Arial" w:hAnsi="Arial"/>
                <w:sz w:val="16"/>
                <w:szCs w:val="16"/>
                <w:color w:val="auto"/>
              </w:rPr>
              <w:t>97.0 %</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97.4 %</w:t>
            </w: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95.8 %</w:t>
            </w:r>
          </w:p>
        </w:tc>
        <w:tc>
          <w:tcPr>
            <w:tcW w:w="1240" w:type="dxa"/>
            <w:vAlign w:val="bottom"/>
          </w:tcPr>
          <w:p>
            <w:pPr>
              <w:jc w:val="right"/>
              <w:spacing w:after="0"/>
              <w:rPr>
                <w:sz w:val="20"/>
                <w:szCs w:val="20"/>
                <w:color w:val="auto"/>
              </w:rPr>
            </w:pPr>
            <w:r>
              <w:rPr>
                <w:rFonts w:ascii="Arial" w:cs="Arial" w:eastAsia="Arial" w:hAnsi="Arial"/>
                <w:sz w:val="16"/>
                <w:szCs w:val="16"/>
                <w:color w:val="auto"/>
              </w:rPr>
              <w:t>95.0 %</w:t>
            </w:r>
          </w:p>
        </w:tc>
      </w:tr>
      <w:tr>
        <w:trPr>
          <w:trHeight w:val="217"/>
        </w:trPr>
        <w:tc>
          <w:tcPr>
            <w:tcW w:w="4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224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94.4 %</w:t>
            </w:r>
          </w:p>
        </w:tc>
        <w:tc>
          <w:tcPr>
            <w:tcW w:w="13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96.5 %</w:t>
            </w:r>
          </w:p>
        </w:tc>
        <w:tc>
          <w:tcPr>
            <w:tcW w:w="166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94.6 %</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95.7 %</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240" w:type="dxa"/>
            <w:vAlign w:val="bottom"/>
          </w:tcPr>
          <w:p>
            <w:pPr>
              <w:jc w:val="right"/>
              <w:ind w:right="219"/>
              <w:spacing w:after="0"/>
              <w:rPr>
                <w:sz w:val="20"/>
                <w:szCs w:val="20"/>
                <w:color w:val="auto"/>
              </w:rPr>
            </w:pPr>
            <w:r>
              <w:rPr>
                <w:rFonts w:ascii="Arial" w:cs="Arial" w:eastAsia="Arial" w:hAnsi="Arial"/>
                <w:sz w:val="16"/>
                <w:szCs w:val="16"/>
                <w:color w:val="auto"/>
              </w:rPr>
              <w:t>96.4 %</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96.4 %</w:t>
            </w: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94.0 %</w:t>
            </w:r>
          </w:p>
        </w:tc>
        <w:tc>
          <w:tcPr>
            <w:tcW w:w="1240" w:type="dxa"/>
            <w:vAlign w:val="bottom"/>
          </w:tcPr>
          <w:p>
            <w:pPr>
              <w:jc w:val="right"/>
              <w:spacing w:after="0"/>
              <w:rPr>
                <w:sz w:val="20"/>
                <w:szCs w:val="20"/>
                <w:color w:val="auto"/>
              </w:rPr>
            </w:pPr>
            <w:r>
              <w:rPr>
                <w:rFonts w:ascii="Arial" w:cs="Arial" w:eastAsia="Arial" w:hAnsi="Arial"/>
                <w:sz w:val="16"/>
                <w:szCs w:val="16"/>
                <w:color w:val="auto"/>
              </w:rPr>
              <w:t>93.5 %</w:t>
            </w:r>
          </w:p>
        </w:tc>
      </w:tr>
      <w:tr>
        <w:trPr>
          <w:trHeight w:val="257"/>
        </w:trPr>
        <w:tc>
          <w:tcPr>
            <w:tcW w:w="4740" w:type="dxa"/>
            <w:vAlign w:val="bottom"/>
            <w:shd w:val="clear" w:color="auto" w:fill="CEFFE7"/>
          </w:tcPr>
          <w:p>
            <w:pPr>
              <w:spacing w:after="0"/>
              <w:rPr>
                <w:sz w:val="22"/>
                <w:szCs w:val="22"/>
                <w:color w:val="auto"/>
              </w:rPr>
            </w:pPr>
          </w:p>
        </w:tc>
        <w:tc>
          <w:tcPr>
            <w:tcW w:w="2240" w:type="dxa"/>
            <w:vAlign w:val="bottom"/>
            <w:shd w:val="clear" w:color="auto" w:fill="CEFFE7"/>
          </w:tcPr>
          <w:p>
            <w:pPr>
              <w:spacing w:after="0"/>
              <w:rPr>
                <w:sz w:val="22"/>
                <w:szCs w:val="22"/>
                <w:color w:val="auto"/>
              </w:rPr>
            </w:pPr>
          </w:p>
        </w:tc>
        <w:tc>
          <w:tcPr>
            <w:tcW w:w="1360" w:type="dxa"/>
            <w:vAlign w:val="bottom"/>
            <w:shd w:val="clear" w:color="auto" w:fill="CEFFE7"/>
          </w:tcPr>
          <w:p>
            <w:pPr>
              <w:spacing w:after="0"/>
              <w:rPr>
                <w:sz w:val="22"/>
                <w:szCs w:val="22"/>
                <w:color w:val="auto"/>
              </w:rPr>
            </w:pPr>
          </w:p>
        </w:tc>
        <w:tc>
          <w:tcPr>
            <w:tcW w:w="1660" w:type="dxa"/>
            <w:vAlign w:val="bottom"/>
            <w:shd w:val="clear" w:color="auto" w:fill="CEFFE7"/>
          </w:tcPr>
          <w:p>
            <w:pPr>
              <w:spacing w:after="0"/>
              <w:rPr>
                <w:sz w:val="22"/>
                <w:szCs w:val="22"/>
                <w:color w:val="auto"/>
              </w:rPr>
            </w:pPr>
          </w:p>
        </w:tc>
        <w:tc>
          <w:tcPr>
            <w:tcW w:w="1240" w:type="dxa"/>
            <w:vAlign w:val="bottom"/>
            <w:shd w:val="clear" w:color="auto" w:fill="CEFFE7"/>
          </w:tcPr>
          <w:p>
            <w:pPr>
              <w:spacing w:after="0"/>
              <w:rPr>
                <w:sz w:val="22"/>
                <w:szCs w:val="22"/>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2240" w:type="dxa"/>
            <w:vAlign w:val="bottom"/>
          </w:tcPr>
          <w:p>
            <w:pPr>
              <w:jc w:val="right"/>
              <w:ind w:right="219"/>
              <w:spacing w:after="0"/>
              <w:rPr>
                <w:sz w:val="20"/>
                <w:szCs w:val="20"/>
                <w:color w:val="auto"/>
              </w:rPr>
            </w:pPr>
            <w:r>
              <w:rPr>
                <w:rFonts w:ascii="Arial" w:cs="Arial" w:eastAsia="Arial" w:hAnsi="Arial"/>
                <w:sz w:val="16"/>
                <w:szCs w:val="16"/>
                <w:color w:val="auto"/>
              </w:rPr>
              <w:t>22.9 %</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26.8 %</w:t>
            </w: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34.7 %</w:t>
            </w:r>
          </w:p>
        </w:tc>
        <w:tc>
          <w:tcPr>
            <w:tcW w:w="1240" w:type="dxa"/>
            <w:vAlign w:val="bottom"/>
          </w:tcPr>
          <w:p>
            <w:pPr>
              <w:jc w:val="right"/>
              <w:spacing w:after="0"/>
              <w:rPr>
                <w:sz w:val="20"/>
                <w:szCs w:val="20"/>
                <w:color w:val="auto"/>
              </w:rPr>
            </w:pPr>
            <w:r>
              <w:rPr>
                <w:rFonts w:ascii="Arial" w:cs="Arial" w:eastAsia="Arial" w:hAnsi="Arial"/>
                <w:sz w:val="16"/>
                <w:szCs w:val="16"/>
                <w:color w:val="auto"/>
              </w:rPr>
              <w:t>30.9 %</w:t>
            </w:r>
          </w:p>
        </w:tc>
      </w:tr>
      <w:tr>
        <w:trPr>
          <w:trHeight w:val="290"/>
        </w:trPr>
        <w:tc>
          <w:tcPr>
            <w:tcW w:w="4740" w:type="dxa"/>
            <w:vAlign w:val="bottom"/>
          </w:tcPr>
          <w:p>
            <w:pPr>
              <w:spacing w:after="0"/>
              <w:rPr>
                <w:sz w:val="20"/>
                <w:szCs w:val="20"/>
                <w:color w:val="auto"/>
              </w:rPr>
            </w:pPr>
            <w:r>
              <w:rPr>
                <w:rFonts w:ascii="Arial" w:cs="Arial" w:eastAsia="Arial" w:hAnsi="Arial"/>
                <w:sz w:val="16"/>
                <w:szCs w:val="16"/>
                <w:color w:val="auto"/>
              </w:rPr>
              <w:t>__________</w:t>
            </w:r>
          </w:p>
        </w:tc>
        <w:tc>
          <w:tcPr>
            <w:tcW w:w="2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2022 included planned outages at Neil Simpson II and Wyodak Plant.</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2021 included planned outages at Neil Simpson II, Wygen, Wygen II, and Wygen III and unplanned outages at Neil Simpson II and Wyodak Plant.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340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796"/>
        </w:trPr>
        <w:tc>
          <w:tcPr>
            <w:tcW w:w="13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auto"/>
              </w:rPr>
              <w:t>Gas Utilities</w:t>
            </w:r>
          </w:p>
        </w:tc>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4"/>
        </w:trPr>
        <w:tc>
          <w:tcPr>
            <w:tcW w:w="5040" w:type="dxa"/>
            <w:vAlign w:val="bottom"/>
            <w:gridSpan w:val="6"/>
          </w:tcPr>
          <w:p>
            <w:pPr>
              <w:spacing w:after="0"/>
              <w:rPr>
                <w:sz w:val="20"/>
                <w:szCs w:val="20"/>
                <w:color w:val="auto"/>
              </w:rPr>
            </w:pPr>
            <w:r>
              <w:rPr>
                <w:rFonts w:ascii="Arial" w:cs="Arial" w:eastAsia="Arial" w:hAnsi="Arial"/>
                <w:sz w:val="16"/>
                <w:szCs w:val="16"/>
                <w:color w:val="auto"/>
              </w:rPr>
              <w:t>Operating results for the Gas Utilities were as follows (in thousands):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7"/>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6"/>
                <w:szCs w:val="16"/>
                <w:color w:val="auto"/>
              </w:rPr>
              <w:t>Three Months Ended September 30,</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5"/>
          </w:tcPr>
          <w:p>
            <w:pPr>
              <w:jc w:val="right"/>
              <w:ind w:right="619"/>
              <w:spacing w:after="0"/>
              <w:rPr>
                <w:sz w:val="20"/>
                <w:szCs w:val="20"/>
                <w:color w:val="auto"/>
              </w:rPr>
            </w:pPr>
            <w:r>
              <w:rPr>
                <w:rFonts w:ascii="Arial" w:cs="Arial" w:eastAsia="Arial" w:hAnsi="Arial"/>
                <w:sz w:val="16"/>
                <w:szCs w:val="16"/>
                <w:color w:val="auto"/>
              </w:rPr>
              <w:t>Nine Months Ended September 30,</w:t>
            </w:r>
          </w:p>
        </w:tc>
      </w:tr>
      <w:tr>
        <w:trPr>
          <w:trHeight w:val="209"/>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Variance</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r>
      <w:tr>
        <w:trPr>
          <w:trHeight w:val="196"/>
        </w:trPr>
        <w:tc>
          <w:tcPr>
            <w:tcW w:w="3400" w:type="dxa"/>
            <w:vAlign w:val="bottom"/>
            <w:gridSpan w:val="3"/>
          </w:tcPr>
          <w:p>
            <w:pPr>
              <w:ind w:left="20"/>
              <w:spacing w:after="0"/>
              <w:rPr>
                <w:sz w:val="20"/>
                <w:szCs w:val="20"/>
                <w:color w:val="auto"/>
              </w:rPr>
            </w:pPr>
            <w:r>
              <w:rPr>
                <w:rFonts w:ascii="Arial" w:cs="Arial" w:eastAsia="Arial" w:hAnsi="Arial"/>
                <w:sz w:val="16"/>
                <w:szCs w:val="16"/>
                <w:color w:val="auto"/>
              </w:rPr>
              <w:t>Revenue:</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7"/>
        </w:trPr>
        <w:tc>
          <w:tcPr>
            <w:tcW w:w="3400" w:type="dxa"/>
            <w:vAlign w:val="bottom"/>
            <w:gridSpan w:val="3"/>
            <w:shd w:val="clear" w:color="auto" w:fill="CEFFE7"/>
          </w:tcPr>
          <w:p>
            <w:pPr>
              <w:ind w:left="140"/>
              <w:spacing w:after="0"/>
              <w:rPr>
                <w:sz w:val="20"/>
                <w:szCs w:val="20"/>
                <w:color w:val="auto"/>
              </w:rPr>
            </w:pPr>
            <w:r>
              <w:rPr>
                <w:rFonts w:ascii="Arial" w:cs="Arial" w:eastAsia="Arial" w:hAnsi="Arial"/>
                <w:sz w:val="16"/>
                <w:szCs w:val="16"/>
                <w:color w:val="auto"/>
              </w:rPr>
              <w:t>Natural gas - regulated</w:t>
            </w:r>
          </w:p>
        </w:tc>
        <w:tc>
          <w:tcPr>
            <w:tcW w:w="62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192,104</w:t>
            </w:r>
          </w:p>
        </w:tc>
        <w:tc>
          <w:tcPr>
            <w:tcW w:w="38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150,075</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42,029</w:t>
            </w:r>
          </w:p>
        </w:tc>
        <w:tc>
          <w:tcPr>
            <w:tcW w:w="30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1,046,910</w:t>
            </w:r>
          </w:p>
        </w:tc>
        <w:tc>
          <w:tcPr>
            <w:tcW w:w="44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700,617</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346,293</w:t>
            </w:r>
          </w:p>
        </w:tc>
      </w:tr>
      <w:tr>
        <w:trPr>
          <w:trHeight w:val="215"/>
        </w:trPr>
        <w:tc>
          <w:tcPr>
            <w:tcW w:w="3400" w:type="dxa"/>
            <w:vAlign w:val="bottom"/>
            <w:tcBorders>
              <w:bottom w:val="single" w:sz="8" w:color="CEFFE7"/>
            </w:tcBorders>
            <w:gridSpan w:val="3"/>
          </w:tcPr>
          <w:p>
            <w:pPr>
              <w:ind w:left="140"/>
              <w:spacing w:after="0"/>
              <w:rPr>
                <w:sz w:val="20"/>
                <w:szCs w:val="20"/>
                <w:color w:val="auto"/>
              </w:rPr>
            </w:pPr>
            <w:r>
              <w:rPr>
                <w:rFonts w:ascii="Arial" w:cs="Arial" w:eastAsia="Arial" w:hAnsi="Arial"/>
                <w:sz w:val="16"/>
                <w:szCs w:val="16"/>
                <w:color w:val="auto"/>
              </w:rPr>
              <w:t>Other - non-regulated</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16,184</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14,608</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56,938</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52,635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4,303</w:t>
            </w:r>
          </w:p>
        </w:tc>
      </w:tr>
      <w:tr>
        <w:trPr>
          <w:trHeight w:val="209"/>
        </w:trPr>
        <w:tc>
          <w:tcPr>
            <w:tcW w:w="3400" w:type="dxa"/>
            <w:vAlign w:val="bottom"/>
            <w:gridSpan w:val="3"/>
            <w:shd w:val="clear" w:color="auto" w:fill="CEFFE7"/>
          </w:tcPr>
          <w:p>
            <w:pPr>
              <w:ind w:left="560"/>
              <w:spacing w:after="0"/>
              <w:rPr>
                <w:sz w:val="20"/>
                <w:szCs w:val="20"/>
                <w:color w:val="auto"/>
              </w:rPr>
            </w:pPr>
            <w:r>
              <w:rPr>
                <w:rFonts w:ascii="Arial" w:cs="Arial" w:eastAsia="Arial" w:hAnsi="Arial"/>
                <w:sz w:val="16"/>
                <w:szCs w:val="16"/>
                <w:color w:val="auto"/>
              </w:rPr>
              <w:t>Total revenue</w:t>
            </w:r>
          </w:p>
        </w:tc>
        <w:tc>
          <w:tcPr>
            <w:tcW w:w="6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208,288</w:t>
            </w:r>
          </w:p>
        </w:tc>
        <w:tc>
          <w:tcPr>
            <w:tcW w:w="3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164,683</w:t>
            </w:r>
          </w:p>
        </w:tc>
        <w:tc>
          <w:tcPr>
            <w:tcW w:w="22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43,605</w:t>
            </w:r>
          </w:p>
        </w:tc>
        <w:tc>
          <w:tcPr>
            <w:tcW w:w="100" w:type="dxa"/>
            <w:vAlign w:val="bottom"/>
            <w:tcBorders>
              <w:bottom w:val="single" w:sz="8" w:color="auto"/>
            </w:tcBorders>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1,103,849</w:t>
            </w:r>
          </w:p>
        </w:tc>
        <w:tc>
          <w:tcPr>
            <w:tcW w:w="4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753,252</w:t>
            </w:r>
          </w:p>
        </w:tc>
        <w:tc>
          <w:tcPr>
            <w:tcW w:w="26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350,597</w:t>
            </w:r>
          </w:p>
        </w:tc>
      </w:tr>
      <w:tr>
        <w:trPr>
          <w:trHeight w:val="237"/>
        </w:trPr>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34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Cost of natural gas sold:</w:t>
            </w:r>
          </w:p>
        </w:tc>
        <w:tc>
          <w:tcPr>
            <w:tcW w:w="62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r>
      <w:tr>
        <w:trPr>
          <w:trHeight w:val="215"/>
        </w:trPr>
        <w:tc>
          <w:tcPr>
            <w:tcW w:w="3400" w:type="dxa"/>
            <w:vAlign w:val="bottom"/>
            <w:gridSpan w:val="3"/>
          </w:tcPr>
          <w:p>
            <w:pPr>
              <w:ind w:left="140"/>
              <w:spacing w:after="0"/>
              <w:rPr>
                <w:sz w:val="20"/>
                <w:szCs w:val="20"/>
                <w:color w:val="auto"/>
              </w:rPr>
            </w:pPr>
            <w:r>
              <w:rPr>
                <w:rFonts w:ascii="Arial" w:cs="Arial" w:eastAsia="Arial" w:hAnsi="Arial"/>
                <w:sz w:val="16"/>
                <w:szCs w:val="16"/>
                <w:color w:val="auto"/>
              </w:rPr>
              <w:t>Natural gas - regulated</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77,590</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43,884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588,007</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289,168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298,839</w:t>
            </w:r>
          </w:p>
        </w:tc>
      </w:tr>
      <w:tr>
        <w:trPr>
          <w:trHeight w:val="217"/>
        </w:trPr>
        <w:tc>
          <w:tcPr>
            <w:tcW w:w="3400" w:type="dxa"/>
            <w:vAlign w:val="bottom"/>
            <w:gridSpan w:val="3"/>
            <w:shd w:val="clear" w:color="auto" w:fill="CEFFE7"/>
          </w:tcPr>
          <w:p>
            <w:pPr>
              <w:ind w:left="140"/>
              <w:spacing w:after="0"/>
              <w:rPr>
                <w:sz w:val="20"/>
                <w:szCs w:val="20"/>
                <w:color w:val="auto"/>
              </w:rPr>
            </w:pPr>
            <w:r>
              <w:rPr>
                <w:rFonts w:ascii="Arial" w:cs="Arial" w:eastAsia="Arial" w:hAnsi="Arial"/>
                <w:sz w:val="16"/>
                <w:szCs w:val="16"/>
                <w:color w:val="auto"/>
              </w:rPr>
              <w:t>Other - non-regulated</w:t>
            </w:r>
          </w:p>
        </w:tc>
        <w:tc>
          <w:tcPr>
            <w:tcW w:w="6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5,187</w:t>
            </w:r>
          </w:p>
        </w:tc>
        <w:tc>
          <w:tcPr>
            <w:tcW w:w="3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(750)</w:t>
            </w:r>
          </w:p>
        </w:tc>
        <w:tc>
          <w:tcPr>
            <w:tcW w:w="22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5,937</w:t>
            </w:r>
          </w:p>
        </w:tc>
        <w:tc>
          <w:tcPr>
            <w:tcW w:w="100" w:type="dxa"/>
            <w:vAlign w:val="bottom"/>
            <w:tcBorders>
              <w:bottom w:val="single" w:sz="8" w:color="auto"/>
            </w:tcBorders>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11,242</w:t>
            </w:r>
          </w:p>
        </w:tc>
        <w:tc>
          <w:tcPr>
            <w:tcW w:w="4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10,131</w:t>
            </w:r>
          </w:p>
        </w:tc>
        <w:tc>
          <w:tcPr>
            <w:tcW w:w="26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1,111</w:t>
            </w:r>
          </w:p>
        </w:tc>
      </w:tr>
      <w:tr>
        <w:trPr>
          <w:trHeight w:val="209"/>
        </w:trPr>
        <w:tc>
          <w:tcPr>
            <w:tcW w:w="3400" w:type="dxa"/>
            <w:vAlign w:val="bottom"/>
            <w:tcBorders>
              <w:bottom w:val="single" w:sz="8" w:color="CEFFE7"/>
            </w:tcBorders>
            <w:gridSpan w:val="3"/>
          </w:tcPr>
          <w:p>
            <w:pPr>
              <w:ind w:left="560"/>
              <w:spacing w:after="0"/>
              <w:rPr>
                <w:sz w:val="20"/>
                <w:szCs w:val="20"/>
                <w:color w:val="auto"/>
              </w:rPr>
            </w:pPr>
            <w:r>
              <w:rPr>
                <w:rFonts w:ascii="Arial" w:cs="Arial" w:eastAsia="Arial" w:hAnsi="Arial"/>
                <w:sz w:val="16"/>
                <w:szCs w:val="16"/>
                <w:color w:val="auto"/>
              </w:rPr>
              <w:t>Total cost of natural gas sold</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82,778</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43,134</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39,644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599,249</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299,299</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299,950</w:t>
            </w:r>
          </w:p>
        </w:tc>
      </w:tr>
      <w:tr>
        <w:trPr>
          <w:trHeight w:val="237"/>
        </w:trPr>
        <w:tc>
          <w:tcPr>
            <w:tcW w:w="1280" w:type="dxa"/>
            <w:vAlign w:val="bottom"/>
            <w:shd w:val="clear" w:color="auto" w:fill="CEFFE7"/>
          </w:tcPr>
          <w:p>
            <w:pPr>
              <w:spacing w:after="0"/>
              <w:rPr>
                <w:sz w:val="20"/>
                <w:szCs w:val="20"/>
                <w:color w:val="auto"/>
              </w:rPr>
            </w:pPr>
          </w:p>
        </w:tc>
        <w:tc>
          <w:tcPr>
            <w:tcW w:w="80" w:type="dxa"/>
            <w:vAlign w:val="bottom"/>
            <w:shd w:val="clear" w:color="auto" w:fill="CEFFE7"/>
          </w:tcPr>
          <w:p>
            <w:pPr>
              <w:spacing w:after="0"/>
              <w:rPr>
                <w:sz w:val="20"/>
                <w:szCs w:val="20"/>
                <w:color w:val="auto"/>
              </w:rPr>
            </w:pPr>
          </w:p>
        </w:tc>
        <w:tc>
          <w:tcPr>
            <w:tcW w:w="2040" w:type="dxa"/>
            <w:vAlign w:val="bottom"/>
            <w:shd w:val="clear" w:color="auto" w:fill="CEFFE7"/>
          </w:tcPr>
          <w:p>
            <w:pPr>
              <w:spacing w:after="0"/>
              <w:rPr>
                <w:sz w:val="20"/>
                <w:szCs w:val="20"/>
                <w:color w:val="auto"/>
              </w:rPr>
            </w:pPr>
          </w:p>
        </w:tc>
        <w:tc>
          <w:tcPr>
            <w:tcW w:w="620" w:type="dxa"/>
            <w:vAlign w:val="bottom"/>
            <w:tcBorders>
              <w:bottom w:val="single" w:sz="8" w:color="auto"/>
            </w:tcBorders>
            <w:shd w:val="clear" w:color="auto" w:fill="CEFFE7"/>
          </w:tcPr>
          <w:p>
            <w:pPr>
              <w:spacing w:after="0"/>
              <w:rPr>
                <w:sz w:val="20"/>
                <w:szCs w:val="20"/>
                <w:color w:val="auto"/>
              </w:rPr>
            </w:pPr>
          </w:p>
        </w:tc>
        <w:tc>
          <w:tcPr>
            <w:tcW w:w="640" w:type="dxa"/>
            <w:vAlign w:val="bottom"/>
            <w:tcBorders>
              <w:bottom w:val="single" w:sz="8" w:color="auto"/>
            </w:tcBorders>
            <w:shd w:val="clear" w:color="auto" w:fill="CEFFE7"/>
          </w:tcPr>
          <w:p>
            <w:pPr>
              <w:spacing w:after="0"/>
              <w:rPr>
                <w:sz w:val="20"/>
                <w:szCs w:val="20"/>
                <w:color w:val="auto"/>
              </w:rPr>
            </w:pPr>
          </w:p>
        </w:tc>
        <w:tc>
          <w:tcPr>
            <w:tcW w:w="380" w:type="dxa"/>
            <w:vAlign w:val="bottom"/>
            <w:tcBorders>
              <w:bottom w:val="single" w:sz="8" w:color="auto"/>
            </w:tcBorders>
            <w:shd w:val="clear" w:color="auto" w:fill="CEFFE7"/>
          </w:tcPr>
          <w:p>
            <w:pPr>
              <w:spacing w:after="0"/>
              <w:rPr>
                <w:sz w:val="20"/>
                <w:szCs w:val="20"/>
                <w:color w:val="auto"/>
              </w:rPr>
            </w:pPr>
          </w:p>
        </w:tc>
        <w:tc>
          <w:tcPr>
            <w:tcW w:w="960" w:type="dxa"/>
            <w:vAlign w:val="bottom"/>
            <w:tcBorders>
              <w:bottom w:val="single" w:sz="8" w:color="auto"/>
            </w:tcBorders>
            <w:shd w:val="clear" w:color="auto" w:fill="CEFFE7"/>
          </w:tcPr>
          <w:p>
            <w:pPr>
              <w:spacing w:after="0"/>
              <w:rPr>
                <w:sz w:val="20"/>
                <w:szCs w:val="20"/>
                <w:color w:val="auto"/>
              </w:rPr>
            </w:pPr>
          </w:p>
        </w:tc>
        <w:tc>
          <w:tcPr>
            <w:tcW w:w="22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spacing w:after="0"/>
              <w:rPr>
                <w:sz w:val="20"/>
                <w:szCs w:val="20"/>
                <w:color w:val="auto"/>
              </w:rPr>
            </w:pPr>
          </w:p>
        </w:tc>
        <w:tc>
          <w:tcPr>
            <w:tcW w:w="10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spacing w:after="0"/>
              <w:rPr>
                <w:sz w:val="20"/>
                <w:szCs w:val="20"/>
                <w:color w:val="auto"/>
              </w:rPr>
            </w:pPr>
          </w:p>
        </w:tc>
        <w:tc>
          <w:tcPr>
            <w:tcW w:w="44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spacing w:after="0"/>
              <w:rPr>
                <w:sz w:val="20"/>
                <w:szCs w:val="20"/>
                <w:color w:val="auto"/>
              </w:rPr>
            </w:pPr>
          </w:p>
        </w:tc>
      </w:tr>
      <w:tr>
        <w:trPr>
          <w:trHeight w:val="209"/>
        </w:trPr>
        <w:tc>
          <w:tcPr>
            <w:tcW w:w="340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Gas Utility margin (non-GAAP)</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125,510</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121,549</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504,600</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453,953</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50,647</w:t>
            </w:r>
          </w:p>
        </w:tc>
      </w:tr>
      <w:tr>
        <w:trPr>
          <w:trHeight w:val="237"/>
        </w:trPr>
        <w:tc>
          <w:tcPr>
            <w:tcW w:w="1280" w:type="dxa"/>
            <w:vAlign w:val="bottom"/>
            <w:shd w:val="clear" w:color="auto" w:fill="CEFFE7"/>
          </w:tcPr>
          <w:p>
            <w:pPr>
              <w:spacing w:after="0"/>
              <w:rPr>
                <w:sz w:val="20"/>
                <w:szCs w:val="20"/>
                <w:color w:val="auto"/>
              </w:rPr>
            </w:pPr>
          </w:p>
        </w:tc>
        <w:tc>
          <w:tcPr>
            <w:tcW w:w="80" w:type="dxa"/>
            <w:vAlign w:val="bottom"/>
            <w:shd w:val="clear" w:color="auto" w:fill="CEFFE7"/>
          </w:tcPr>
          <w:p>
            <w:pPr>
              <w:spacing w:after="0"/>
              <w:rPr>
                <w:sz w:val="20"/>
                <w:szCs w:val="20"/>
                <w:color w:val="auto"/>
              </w:rPr>
            </w:pPr>
          </w:p>
        </w:tc>
        <w:tc>
          <w:tcPr>
            <w:tcW w:w="2040" w:type="dxa"/>
            <w:vAlign w:val="bottom"/>
            <w:shd w:val="clear" w:color="auto" w:fill="CEFFE7"/>
          </w:tcPr>
          <w:p>
            <w:pPr>
              <w:spacing w:after="0"/>
              <w:rPr>
                <w:sz w:val="20"/>
                <w:szCs w:val="20"/>
                <w:color w:val="auto"/>
              </w:rPr>
            </w:pPr>
          </w:p>
        </w:tc>
        <w:tc>
          <w:tcPr>
            <w:tcW w:w="62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380" w:type="dxa"/>
            <w:vAlign w:val="bottom"/>
            <w:shd w:val="clear" w:color="auto" w:fill="CEFFE7"/>
          </w:tcPr>
          <w:p>
            <w:pPr>
              <w:spacing w:after="0"/>
              <w:rPr>
                <w:sz w:val="20"/>
                <w:szCs w:val="20"/>
                <w:color w:val="auto"/>
              </w:rPr>
            </w:pPr>
          </w:p>
        </w:tc>
        <w:tc>
          <w:tcPr>
            <w:tcW w:w="96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10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44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r>
      <w:tr>
        <w:trPr>
          <w:trHeight w:val="215"/>
        </w:trPr>
        <w:tc>
          <w:tcPr>
            <w:tcW w:w="3400" w:type="dxa"/>
            <w:vAlign w:val="bottom"/>
            <w:gridSpan w:val="3"/>
          </w:tcPr>
          <w:p>
            <w:pPr>
              <w:ind w:left="20"/>
              <w:spacing w:after="0"/>
              <w:rPr>
                <w:sz w:val="20"/>
                <w:szCs w:val="20"/>
                <w:color w:val="auto"/>
              </w:rPr>
            </w:pPr>
            <w:r>
              <w:rPr>
                <w:rFonts w:ascii="Arial" w:cs="Arial" w:eastAsia="Arial" w:hAnsi="Arial"/>
                <w:sz w:val="16"/>
                <w:szCs w:val="16"/>
                <w:color w:val="auto"/>
              </w:rPr>
              <w:t>Operations and maintenance</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85,311</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78,161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255,441</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237,624</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17,817</w:t>
            </w:r>
          </w:p>
        </w:tc>
      </w:tr>
      <w:tr>
        <w:trPr>
          <w:trHeight w:val="217"/>
        </w:trPr>
        <w:tc>
          <w:tcPr>
            <w:tcW w:w="34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6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29,616</w:t>
            </w:r>
          </w:p>
        </w:tc>
        <w:tc>
          <w:tcPr>
            <w:tcW w:w="3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26,131</w:t>
            </w:r>
          </w:p>
        </w:tc>
        <w:tc>
          <w:tcPr>
            <w:tcW w:w="22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3,485</w:t>
            </w:r>
          </w:p>
        </w:tc>
        <w:tc>
          <w:tcPr>
            <w:tcW w:w="100" w:type="dxa"/>
            <w:vAlign w:val="bottom"/>
            <w:tcBorders>
              <w:bottom w:val="single" w:sz="8" w:color="auto"/>
            </w:tcBorders>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86,841</w:t>
            </w:r>
          </w:p>
        </w:tc>
        <w:tc>
          <w:tcPr>
            <w:tcW w:w="4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76,993</w:t>
            </w:r>
          </w:p>
        </w:tc>
        <w:tc>
          <w:tcPr>
            <w:tcW w:w="26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9,848</w:t>
            </w:r>
          </w:p>
        </w:tc>
      </w:tr>
      <w:tr>
        <w:trPr>
          <w:trHeight w:val="209"/>
        </w:trPr>
        <w:tc>
          <w:tcPr>
            <w:tcW w:w="3400" w:type="dxa"/>
            <w:vAlign w:val="bottom"/>
            <w:tcBorders>
              <w:bottom w:val="single" w:sz="8" w:color="CEFFE7"/>
            </w:tcBorders>
            <w:gridSpan w:val="3"/>
          </w:tcPr>
          <w:p>
            <w:pPr>
              <w:ind w:left="560"/>
              <w:spacing w:after="0"/>
              <w:rPr>
                <w:sz w:val="20"/>
                <w:szCs w:val="20"/>
                <w:color w:val="auto"/>
              </w:rPr>
            </w:pPr>
            <w:r>
              <w:rPr>
                <w:rFonts w:ascii="Arial" w:cs="Arial" w:eastAsia="Arial" w:hAnsi="Arial"/>
                <w:sz w:val="16"/>
                <w:szCs w:val="16"/>
                <w:color w:val="auto"/>
              </w:rPr>
              <w:t>Total operating expenses</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114,927</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104,292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342,282</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314,617</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27,665</w:t>
            </w:r>
          </w:p>
        </w:tc>
      </w:tr>
      <w:tr>
        <w:trPr>
          <w:trHeight w:val="237"/>
        </w:trPr>
        <w:tc>
          <w:tcPr>
            <w:tcW w:w="1280" w:type="dxa"/>
            <w:vAlign w:val="bottom"/>
            <w:shd w:val="clear" w:color="auto" w:fill="CEFFE7"/>
          </w:tcPr>
          <w:p>
            <w:pPr>
              <w:spacing w:after="0"/>
              <w:rPr>
                <w:sz w:val="20"/>
                <w:szCs w:val="20"/>
                <w:color w:val="auto"/>
              </w:rPr>
            </w:pPr>
          </w:p>
        </w:tc>
        <w:tc>
          <w:tcPr>
            <w:tcW w:w="80" w:type="dxa"/>
            <w:vAlign w:val="bottom"/>
            <w:shd w:val="clear" w:color="auto" w:fill="CEFFE7"/>
          </w:tcPr>
          <w:p>
            <w:pPr>
              <w:spacing w:after="0"/>
              <w:rPr>
                <w:sz w:val="20"/>
                <w:szCs w:val="20"/>
                <w:color w:val="auto"/>
              </w:rPr>
            </w:pPr>
          </w:p>
        </w:tc>
        <w:tc>
          <w:tcPr>
            <w:tcW w:w="2040" w:type="dxa"/>
            <w:vAlign w:val="bottom"/>
            <w:shd w:val="clear" w:color="auto" w:fill="CEFFE7"/>
          </w:tcPr>
          <w:p>
            <w:pPr>
              <w:spacing w:after="0"/>
              <w:rPr>
                <w:sz w:val="20"/>
                <w:szCs w:val="20"/>
                <w:color w:val="auto"/>
              </w:rPr>
            </w:pPr>
          </w:p>
        </w:tc>
        <w:tc>
          <w:tcPr>
            <w:tcW w:w="620" w:type="dxa"/>
            <w:vAlign w:val="bottom"/>
            <w:tcBorders>
              <w:bottom w:val="single" w:sz="8" w:color="auto"/>
            </w:tcBorders>
            <w:shd w:val="clear" w:color="auto" w:fill="CEFFE7"/>
          </w:tcPr>
          <w:p>
            <w:pPr>
              <w:spacing w:after="0"/>
              <w:rPr>
                <w:sz w:val="20"/>
                <w:szCs w:val="20"/>
                <w:color w:val="auto"/>
              </w:rPr>
            </w:pPr>
          </w:p>
        </w:tc>
        <w:tc>
          <w:tcPr>
            <w:tcW w:w="640" w:type="dxa"/>
            <w:vAlign w:val="bottom"/>
            <w:tcBorders>
              <w:bottom w:val="single" w:sz="8" w:color="auto"/>
            </w:tcBorders>
            <w:shd w:val="clear" w:color="auto" w:fill="CEFFE7"/>
          </w:tcPr>
          <w:p>
            <w:pPr>
              <w:spacing w:after="0"/>
              <w:rPr>
                <w:sz w:val="20"/>
                <w:szCs w:val="20"/>
                <w:color w:val="auto"/>
              </w:rPr>
            </w:pPr>
          </w:p>
        </w:tc>
        <w:tc>
          <w:tcPr>
            <w:tcW w:w="380" w:type="dxa"/>
            <w:vAlign w:val="bottom"/>
            <w:tcBorders>
              <w:bottom w:val="single" w:sz="8" w:color="auto"/>
            </w:tcBorders>
            <w:shd w:val="clear" w:color="auto" w:fill="CEFFE7"/>
          </w:tcPr>
          <w:p>
            <w:pPr>
              <w:spacing w:after="0"/>
              <w:rPr>
                <w:sz w:val="20"/>
                <w:szCs w:val="20"/>
                <w:color w:val="auto"/>
              </w:rPr>
            </w:pPr>
          </w:p>
        </w:tc>
        <w:tc>
          <w:tcPr>
            <w:tcW w:w="960" w:type="dxa"/>
            <w:vAlign w:val="bottom"/>
            <w:tcBorders>
              <w:bottom w:val="single" w:sz="8" w:color="auto"/>
            </w:tcBorders>
            <w:shd w:val="clear" w:color="auto" w:fill="CEFFE7"/>
          </w:tcPr>
          <w:p>
            <w:pPr>
              <w:spacing w:after="0"/>
              <w:rPr>
                <w:sz w:val="20"/>
                <w:szCs w:val="20"/>
                <w:color w:val="auto"/>
              </w:rPr>
            </w:pPr>
          </w:p>
        </w:tc>
        <w:tc>
          <w:tcPr>
            <w:tcW w:w="22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spacing w:after="0"/>
              <w:rPr>
                <w:sz w:val="20"/>
                <w:szCs w:val="20"/>
                <w:color w:val="auto"/>
              </w:rPr>
            </w:pPr>
          </w:p>
        </w:tc>
        <w:tc>
          <w:tcPr>
            <w:tcW w:w="10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spacing w:after="0"/>
              <w:rPr>
                <w:sz w:val="20"/>
                <w:szCs w:val="20"/>
                <w:color w:val="auto"/>
              </w:rPr>
            </w:pPr>
          </w:p>
        </w:tc>
        <w:tc>
          <w:tcPr>
            <w:tcW w:w="44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26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spacing w:after="0"/>
              <w:rPr>
                <w:sz w:val="20"/>
                <w:szCs w:val="20"/>
                <w:color w:val="auto"/>
              </w:rPr>
            </w:pPr>
          </w:p>
        </w:tc>
      </w:tr>
      <w:tr>
        <w:trPr>
          <w:trHeight w:val="209"/>
        </w:trPr>
        <w:tc>
          <w:tcPr>
            <w:tcW w:w="340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10,583</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(6,674)</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162,318</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139,336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22,982</w:t>
            </w:r>
          </w:p>
        </w:tc>
      </w:tr>
      <w:tr>
        <w:trPr>
          <w:trHeight w:val="21"/>
        </w:trPr>
        <w:tc>
          <w:tcPr>
            <w:tcW w:w="1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00" w:type="dxa"/>
            <w:vAlign w:val="bottom"/>
            <w:tcBorders>
              <w:bottom w:val="single" w:sz="8" w:color="auto"/>
            </w:tcBorders>
            <w:gridSpan w:val="7"/>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09"/>
        </w:trPr>
        <w:tc>
          <w:tcPr>
            <w:tcW w:w="7600" w:type="dxa"/>
            <w:vAlign w:val="bottom"/>
            <w:gridSpan w:val="11"/>
          </w:tcPr>
          <w:p>
            <w:pPr>
              <w:spacing w:after="0"/>
              <w:rPr>
                <w:sz w:val="20"/>
                <w:szCs w:val="20"/>
                <w:color w:val="auto"/>
              </w:rPr>
            </w:pPr>
            <w:r>
              <w:rPr>
                <w:rFonts w:ascii="Arial" w:cs="Arial" w:eastAsia="Arial" w:hAnsi="Arial"/>
                <w:sz w:val="16"/>
                <w:szCs w:val="16"/>
                <w:color w:val="auto"/>
              </w:rPr>
              <w:t>Three Months Ended September 30, 2022 Compared to the Three Months Ended September 30, 2021:</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8"/>
        </w:trPr>
        <w:tc>
          <w:tcPr>
            <w:tcW w:w="402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Gas Utility margin increased as a result of the following:</w:t>
            </w:r>
          </w:p>
        </w:tc>
        <w:tc>
          <w:tcPr>
            <w:tcW w:w="6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6"/>
        </w:trPr>
        <w:tc>
          <w:tcPr>
            <w:tcW w:w="1280" w:type="dxa"/>
            <w:vAlign w:val="bottom"/>
            <w:tcBorders>
              <w:top w:val="single" w:sz="8" w:color="auto"/>
              <w:bottom w:val="single" w:sz="8" w:color="CEFFE7"/>
            </w:tcBorders>
          </w:tcPr>
          <w:p>
            <w:pPr>
              <w:spacing w:after="0"/>
              <w:rPr>
                <w:sz w:val="24"/>
                <w:szCs w:val="24"/>
                <w:color w:val="auto"/>
              </w:rPr>
            </w:pPr>
          </w:p>
        </w:tc>
        <w:tc>
          <w:tcPr>
            <w:tcW w:w="80" w:type="dxa"/>
            <w:vAlign w:val="bottom"/>
            <w:tcBorders>
              <w:bottom w:val="single" w:sz="8" w:color="CEFFE7"/>
            </w:tcBorders>
          </w:tcPr>
          <w:p>
            <w:pPr>
              <w:spacing w:after="0"/>
              <w:rPr>
                <w:sz w:val="24"/>
                <w:szCs w:val="24"/>
                <w:color w:val="auto"/>
              </w:rPr>
            </w:pPr>
          </w:p>
        </w:tc>
        <w:tc>
          <w:tcPr>
            <w:tcW w:w="2040" w:type="dxa"/>
            <w:vAlign w:val="bottom"/>
            <w:tcBorders>
              <w:bottom w:val="single" w:sz="8" w:color="CEFFE7"/>
            </w:tcBorders>
          </w:tcPr>
          <w:p>
            <w:pPr>
              <w:spacing w:after="0"/>
              <w:rPr>
                <w:sz w:val="24"/>
                <w:szCs w:val="24"/>
                <w:color w:val="auto"/>
              </w:rPr>
            </w:pPr>
          </w:p>
        </w:tc>
        <w:tc>
          <w:tcPr>
            <w:tcW w:w="620" w:type="dxa"/>
            <w:vAlign w:val="bottom"/>
            <w:tcBorders>
              <w:bottom w:val="single" w:sz="8" w:color="CEFFE7"/>
            </w:tcBorders>
          </w:tcPr>
          <w:p>
            <w:pPr>
              <w:spacing w:after="0"/>
              <w:rPr>
                <w:sz w:val="24"/>
                <w:szCs w:val="24"/>
                <w:color w:val="auto"/>
              </w:rPr>
            </w:pPr>
          </w:p>
        </w:tc>
        <w:tc>
          <w:tcPr>
            <w:tcW w:w="640" w:type="dxa"/>
            <w:vAlign w:val="bottom"/>
            <w:tcBorders>
              <w:bottom w:val="single" w:sz="8" w:color="CEFFE7"/>
            </w:tcBorders>
          </w:tcPr>
          <w:p>
            <w:pPr>
              <w:spacing w:after="0"/>
              <w:rPr>
                <w:sz w:val="24"/>
                <w:szCs w:val="24"/>
                <w:color w:val="auto"/>
              </w:rPr>
            </w:pPr>
          </w:p>
        </w:tc>
        <w:tc>
          <w:tcPr>
            <w:tcW w:w="380" w:type="dxa"/>
            <w:vAlign w:val="bottom"/>
            <w:tcBorders>
              <w:bottom w:val="single" w:sz="8" w:color="CEFFE7"/>
            </w:tcBorders>
          </w:tcPr>
          <w:p>
            <w:pPr>
              <w:spacing w:after="0"/>
              <w:rPr>
                <w:sz w:val="24"/>
                <w:szCs w:val="24"/>
                <w:color w:val="auto"/>
              </w:rPr>
            </w:pPr>
          </w:p>
        </w:tc>
        <w:tc>
          <w:tcPr>
            <w:tcW w:w="960" w:type="dxa"/>
            <w:vAlign w:val="bottom"/>
            <w:tcBorders>
              <w:bottom w:val="single" w:sz="8" w:color="CEFFE7"/>
            </w:tcBorders>
          </w:tcPr>
          <w:p>
            <w:pPr>
              <w:spacing w:after="0"/>
              <w:rPr>
                <w:sz w:val="24"/>
                <w:szCs w:val="24"/>
                <w:color w:val="auto"/>
              </w:rPr>
            </w:pPr>
          </w:p>
        </w:tc>
        <w:tc>
          <w:tcPr>
            <w:tcW w:w="220" w:type="dxa"/>
            <w:vAlign w:val="bottom"/>
            <w:tcBorders>
              <w:bottom w:val="single" w:sz="8" w:color="CEFFE7"/>
            </w:tcBorders>
          </w:tcPr>
          <w:p>
            <w:pPr>
              <w:spacing w:after="0"/>
              <w:rPr>
                <w:sz w:val="24"/>
                <w:szCs w:val="24"/>
                <w:color w:val="auto"/>
              </w:rPr>
            </w:pPr>
          </w:p>
        </w:tc>
        <w:tc>
          <w:tcPr>
            <w:tcW w:w="1080" w:type="dxa"/>
            <w:vAlign w:val="bottom"/>
            <w:tcBorders>
              <w:bottom w:val="single" w:sz="8" w:color="CEFFE7"/>
            </w:tcBorders>
          </w:tcPr>
          <w:p>
            <w:pPr>
              <w:spacing w:after="0"/>
              <w:rPr>
                <w:sz w:val="24"/>
                <w:szCs w:val="24"/>
                <w:color w:val="auto"/>
              </w:rPr>
            </w:pPr>
          </w:p>
        </w:tc>
        <w:tc>
          <w:tcPr>
            <w:tcW w:w="100" w:type="dxa"/>
            <w:vAlign w:val="bottom"/>
            <w:tcBorders>
              <w:bottom w:val="single" w:sz="8" w:color="CEFFE7"/>
            </w:tcBorders>
          </w:tcPr>
          <w:p>
            <w:pPr>
              <w:spacing w:after="0"/>
              <w:rPr>
                <w:sz w:val="24"/>
                <w:szCs w:val="24"/>
                <w:color w:val="auto"/>
              </w:rPr>
            </w:pPr>
          </w:p>
        </w:tc>
        <w:tc>
          <w:tcPr>
            <w:tcW w:w="200" w:type="dxa"/>
            <w:vAlign w:val="bottom"/>
            <w:tcBorders>
              <w:bottom w:val="single" w:sz="8" w:color="CEFFE7"/>
            </w:tcBorders>
          </w:tcPr>
          <w:p>
            <w:pPr>
              <w:spacing w:after="0"/>
              <w:rPr>
                <w:sz w:val="24"/>
                <w:szCs w:val="24"/>
                <w:color w:val="auto"/>
              </w:rPr>
            </w:pPr>
          </w:p>
        </w:tc>
        <w:tc>
          <w:tcPr>
            <w:tcW w:w="1000" w:type="dxa"/>
            <w:vAlign w:val="bottom"/>
            <w:tcBorders>
              <w:bottom w:val="single" w:sz="8" w:color="CEFFE7"/>
            </w:tcBorders>
          </w:tcPr>
          <w:p>
            <w:pPr>
              <w:spacing w:after="0"/>
              <w:rPr>
                <w:sz w:val="24"/>
                <w:szCs w:val="24"/>
                <w:color w:val="auto"/>
              </w:rPr>
            </w:pPr>
          </w:p>
        </w:tc>
        <w:tc>
          <w:tcPr>
            <w:tcW w:w="440" w:type="dxa"/>
            <w:vAlign w:val="bottom"/>
            <w:tcBorders>
              <w:bottom w:val="single" w:sz="8" w:color="CEFFE7"/>
            </w:tcBorders>
          </w:tcPr>
          <w:p>
            <w:pPr>
              <w:spacing w:after="0"/>
              <w:rPr>
                <w:sz w:val="24"/>
                <w:szCs w:val="24"/>
                <w:color w:val="auto"/>
              </w:rPr>
            </w:pPr>
          </w:p>
        </w:tc>
        <w:tc>
          <w:tcPr>
            <w:tcW w:w="22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color w:val="auto"/>
              </w:rPr>
              <w:t>(in millions)</w:t>
            </w:r>
          </w:p>
        </w:tc>
      </w:tr>
      <w:tr>
        <w:trPr>
          <w:trHeight w:val="211"/>
        </w:trPr>
        <w:tc>
          <w:tcPr>
            <w:tcW w:w="3400" w:type="dxa"/>
            <w:vAlign w:val="bottom"/>
            <w:gridSpan w:val="3"/>
            <w:shd w:val="clear" w:color="auto" w:fill="CEFFE7"/>
          </w:tcPr>
          <w:p>
            <w:pPr>
              <w:ind w:left="20"/>
              <w:spacing w:after="0" w:line="211" w:lineRule="exact"/>
              <w:rPr>
                <w:sz w:val="20"/>
                <w:szCs w:val="20"/>
                <w:color w:val="auto"/>
              </w:rPr>
            </w:pPr>
            <w:r>
              <w:rPr>
                <w:rFonts w:ascii="Arial" w:cs="Arial" w:eastAsia="Arial" w:hAnsi="Arial"/>
                <w:sz w:val="16"/>
                <w:szCs w:val="16"/>
                <w:color w:val="auto"/>
              </w:rPr>
              <w:t xml:space="preserve">Weather </w:t>
            </w:r>
            <w:r>
              <w:rPr>
                <w:rFonts w:ascii="Arial" w:cs="Arial" w:eastAsia="Arial" w:hAnsi="Arial"/>
                <w:sz w:val="21"/>
                <w:szCs w:val="21"/>
                <w:color w:val="auto"/>
                <w:vertAlign w:val="superscript"/>
              </w:rPr>
              <w:t>(a)</w:t>
            </w:r>
          </w:p>
        </w:tc>
        <w:tc>
          <w:tcPr>
            <w:tcW w:w="62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60" w:type="dxa"/>
            <w:vAlign w:val="bottom"/>
            <w:shd w:val="clear" w:color="auto" w:fill="CEFFE7"/>
          </w:tcPr>
          <w:p>
            <w:pPr>
              <w:jc w:val="right"/>
              <w:ind w:right="67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3400" w:type="dxa"/>
            <w:vAlign w:val="bottom"/>
            <w:gridSpan w:val="3"/>
          </w:tcPr>
          <w:p>
            <w:pPr>
              <w:ind w:left="20"/>
              <w:spacing w:after="0"/>
              <w:rPr>
                <w:sz w:val="20"/>
                <w:szCs w:val="20"/>
                <w:color w:val="auto"/>
              </w:rPr>
            </w:pPr>
            <w:r>
              <w:rPr>
                <w:rFonts w:ascii="Arial" w:cs="Arial" w:eastAsia="Arial" w:hAnsi="Arial"/>
                <w:sz w:val="16"/>
                <w:szCs w:val="16"/>
                <w:color w:val="auto"/>
              </w:rPr>
              <w:t>New rates and rider recovery</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4020" w:type="dxa"/>
            <w:vAlign w:val="bottom"/>
            <w:gridSpan w:val="4"/>
            <w:shd w:val="clear" w:color="auto" w:fill="CEFFE7"/>
          </w:tcPr>
          <w:p>
            <w:pPr>
              <w:ind w:left="20"/>
              <w:spacing w:after="0" w:line="217" w:lineRule="exact"/>
              <w:rPr>
                <w:sz w:val="20"/>
                <w:szCs w:val="20"/>
                <w:color w:val="auto"/>
              </w:rPr>
            </w:pPr>
            <w:r>
              <w:rPr>
                <w:rFonts w:ascii="Arial" w:cs="Arial" w:eastAsia="Arial" w:hAnsi="Arial"/>
                <w:sz w:val="16"/>
                <w:szCs w:val="16"/>
                <w:color w:val="auto"/>
              </w:rPr>
              <w:t xml:space="preserve">Carrying costs on Winter Storm Uri regulatory asset </w:t>
            </w:r>
            <w:r>
              <w:rPr>
                <w:rFonts w:ascii="Arial" w:cs="Arial" w:eastAsia="Arial" w:hAnsi="Arial"/>
                <w:sz w:val="21"/>
                <w:szCs w:val="21"/>
                <w:color w:val="auto"/>
                <w:vertAlign w:val="superscript"/>
              </w:rPr>
              <w:t>(b)</w:t>
            </w:r>
          </w:p>
        </w:tc>
        <w:tc>
          <w:tcPr>
            <w:tcW w:w="64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4660" w:type="dxa"/>
            <w:vAlign w:val="bottom"/>
            <w:gridSpan w:val="5"/>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340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Decreased usage per customer</w:t>
            </w:r>
          </w:p>
        </w:tc>
        <w:tc>
          <w:tcPr>
            <w:tcW w:w="62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340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Other</w:t>
            </w:r>
          </w:p>
        </w:tc>
        <w:tc>
          <w:tcPr>
            <w:tcW w:w="620" w:type="dxa"/>
            <w:vAlign w:val="bottom"/>
            <w:tcBorders>
              <w:bottom w:val="single" w:sz="8" w:color="CEFFE7"/>
            </w:tcBorders>
          </w:tcPr>
          <w:p>
            <w:pPr>
              <w:spacing w:after="0"/>
              <w:rPr>
                <w:sz w:val="18"/>
                <w:szCs w:val="18"/>
                <w:color w:val="auto"/>
              </w:rPr>
            </w:pPr>
          </w:p>
        </w:tc>
        <w:tc>
          <w:tcPr>
            <w:tcW w:w="640" w:type="dxa"/>
            <w:vAlign w:val="bottom"/>
            <w:tcBorders>
              <w:bottom w:val="single" w:sz="8" w:color="CEFFE7"/>
            </w:tcBorders>
          </w:tcPr>
          <w:p>
            <w:pPr>
              <w:spacing w:after="0"/>
              <w:rPr>
                <w:sz w:val="18"/>
                <w:szCs w:val="18"/>
                <w:color w:val="auto"/>
              </w:rPr>
            </w:pPr>
          </w:p>
        </w:tc>
        <w:tc>
          <w:tcPr>
            <w:tcW w:w="380" w:type="dxa"/>
            <w:vAlign w:val="bottom"/>
            <w:tcBorders>
              <w:bottom w:val="single" w:sz="8" w:color="CEFFE7"/>
            </w:tcBorders>
          </w:tcPr>
          <w:p>
            <w:pPr>
              <w:spacing w:after="0"/>
              <w:rPr>
                <w:sz w:val="18"/>
                <w:szCs w:val="18"/>
                <w:color w:val="auto"/>
              </w:rPr>
            </w:pPr>
          </w:p>
        </w:tc>
        <w:tc>
          <w:tcPr>
            <w:tcW w:w="960" w:type="dxa"/>
            <w:vAlign w:val="bottom"/>
            <w:tcBorders>
              <w:bottom w:val="single" w:sz="8" w:color="CEFFE7"/>
            </w:tcBorders>
          </w:tcPr>
          <w:p>
            <w:pPr>
              <w:spacing w:after="0"/>
              <w:rPr>
                <w:sz w:val="18"/>
                <w:szCs w:val="18"/>
                <w:color w:val="auto"/>
              </w:rPr>
            </w:pPr>
          </w:p>
        </w:tc>
        <w:tc>
          <w:tcPr>
            <w:tcW w:w="220" w:type="dxa"/>
            <w:vAlign w:val="bottom"/>
            <w:tcBorders>
              <w:bottom w:val="single" w:sz="8" w:color="CEFFE7"/>
            </w:tcBorders>
          </w:tcPr>
          <w:p>
            <w:pPr>
              <w:spacing w:after="0"/>
              <w:rPr>
                <w:sz w:val="18"/>
                <w:szCs w:val="18"/>
                <w:color w:val="auto"/>
              </w:rPr>
            </w:pPr>
          </w:p>
        </w:tc>
        <w:tc>
          <w:tcPr>
            <w:tcW w:w="1080" w:type="dxa"/>
            <w:vAlign w:val="bottom"/>
            <w:tcBorders>
              <w:bottom w:val="single" w:sz="8" w:color="CEFFE7"/>
            </w:tcBorders>
          </w:tcPr>
          <w:p>
            <w:pPr>
              <w:spacing w:after="0"/>
              <w:rPr>
                <w:sz w:val="18"/>
                <w:szCs w:val="18"/>
                <w:color w:val="auto"/>
              </w:rPr>
            </w:pPr>
          </w:p>
        </w:tc>
        <w:tc>
          <w:tcPr>
            <w:tcW w:w="10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1000" w:type="dxa"/>
            <w:vAlign w:val="bottom"/>
            <w:tcBorders>
              <w:bottom w:val="single" w:sz="8" w:color="CEFFE7"/>
            </w:tcBorders>
          </w:tcPr>
          <w:p>
            <w:pPr>
              <w:spacing w:after="0"/>
              <w:rPr>
                <w:sz w:val="18"/>
                <w:szCs w:val="18"/>
                <w:color w:val="auto"/>
              </w:rPr>
            </w:pPr>
          </w:p>
        </w:tc>
        <w:tc>
          <w:tcPr>
            <w:tcW w:w="440" w:type="dxa"/>
            <w:vAlign w:val="bottom"/>
            <w:tcBorders>
              <w:bottom w:val="single" w:sz="8" w:color="CEFFE7"/>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340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Total increase in Gas Utility margin</w:t>
            </w:r>
          </w:p>
        </w:tc>
        <w:tc>
          <w:tcPr>
            <w:tcW w:w="620" w:type="dxa"/>
            <w:vAlign w:val="bottom"/>
            <w:tcBorders>
              <w:bottom w:val="single" w:sz="8" w:color="CEFFE7"/>
            </w:tcBorders>
            <w:shd w:val="clear" w:color="auto" w:fill="CEFFE7"/>
          </w:tcPr>
          <w:p>
            <w:pPr>
              <w:spacing w:after="0"/>
              <w:rPr>
                <w:sz w:val="20"/>
                <w:szCs w:val="20"/>
                <w:color w:val="auto"/>
              </w:rPr>
            </w:pPr>
          </w:p>
        </w:tc>
        <w:tc>
          <w:tcPr>
            <w:tcW w:w="640" w:type="dxa"/>
            <w:vAlign w:val="bottom"/>
            <w:tcBorders>
              <w:bottom w:val="single" w:sz="8" w:color="CEFFE7"/>
            </w:tcBorders>
            <w:shd w:val="clear" w:color="auto" w:fill="CEFFE7"/>
          </w:tcPr>
          <w:p>
            <w:pPr>
              <w:spacing w:after="0"/>
              <w:rPr>
                <w:sz w:val="20"/>
                <w:szCs w:val="20"/>
                <w:color w:val="auto"/>
              </w:rPr>
            </w:pPr>
          </w:p>
        </w:tc>
        <w:tc>
          <w:tcPr>
            <w:tcW w:w="38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20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shd w:val="clear" w:color="auto" w:fill="CEFFE7"/>
          </w:tcPr>
          <w:p>
            <w:pPr>
              <w:spacing w:after="0"/>
              <w:rPr>
                <w:sz w:val="20"/>
                <w:szCs w:val="20"/>
                <w:color w:val="auto"/>
              </w:rPr>
            </w:pPr>
          </w:p>
        </w:tc>
        <w:tc>
          <w:tcPr>
            <w:tcW w:w="44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jc w:val="right"/>
              <w:ind w:right="67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128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40" w:type="dxa"/>
            <w:vAlign w:val="bottom"/>
            <w:tcBorders>
              <w:top w:val="single" w:sz="8" w:color="CEFFE7"/>
            </w:tcBorders>
          </w:tcPr>
          <w:p>
            <w:pPr>
              <w:spacing w:after="0" w:line="20" w:lineRule="exact"/>
              <w:rPr>
                <w:sz w:val="1"/>
                <w:szCs w:val="1"/>
                <w:color w:val="auto"/>
              </w:rPr>
            </w:pPr>
          </w:p>
        </w:tc>
        <w:tc>
          <w:tcPr>
            <w:tcW w:w="62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tcBorders>
          </w:tcPr>
          <w:p>
            <w:pPr>
              <w:spacing w:after="0" w:line="20" w:lineRule="exact"/>
              <w:rPr>
                <w:sz w:val="1"/>
                <w:szCs w:val="1"/>
                <w:color w:val="auto"/>
              </w:rPr>
            </w:pPr>
          </w:p>
        </w:tc>
        <w:tc>
          <w:tcPr>
            <w:tcW w:w="108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44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right="540" w:hanging="332"/>
        <w:spacing w:after="0" w:line="241" w:lineRule="auto"/>
        <w:tabs>
          <w:tab w:leader="none" w:pos="3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Weather impacts for the three months ended September 30, 2022 compared to the same period in the prior year include $3.8 million of increased irrigation loads to agriculture customers in our Nebraska Gas service territory.</w:t>
      </w:r>
    </w:p>
    <w:p>
      <w:pPr>
        <w:ind w:left="340" w:right="80" w:hanging="332"/>
        <w:spacing w:after="0" w:line="264" w:lineRule="auto"/>
        <w:tabs>
          <w:tab w:leader="none" w:pos="3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In certain jurisdictions, we have Commission approval to recover carrying costs on Winter Storm Uri regulatory assets which offset increased interest expense.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Condensed Consolidated Financial Statements for additional information.</w:t>
      </w:r>
    </w:p>
    <w:p>
      <w:pPr>
        <w:spacing w:after="0" w:line="20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increased bad debt expense primarily attributable to higher customer billings, higher outside services and materials expenses, and higher vehicle expenses due to higher fuel costs partially offset by lower employee costs.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2022 Compared to the Nine Months Ended September 30,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as a result of the following:</w:t>
      </w:r>
    </w:p>
    <w:p>
      <w:pPr>
        <w:spacing w:after="0" w:line="113" w:lineRule="exact"/>
        <w:rPr>
          <w:sz w:val="20"/>
          <w:szCs w:val="20"/>
          <w:color w:val="auto"/>
        </w:rPr>
      </w:pPr>
    </w:p>
    <w:p>
      <w:pPr>
        <w:jc w:val="right"/>
        <w:ind w:right="70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Carrying costs on Winter Storm Uri regulatory asset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28" w:lineRule="auto"/>
        <w:rPr>
          <w:sz w:val="20"/>
          <w:szCs w:val="20"/>
          <w:color w:val="auto"/>
        </w:rPr>
      </w:pPr>
      <w:r>
        <w:rPr>
          <w:rFonts w:ascii="Arial" w:cs="Arial" w:eastAsia="Arial" w:hAnsi="Arial"/>
          <w:sz w:val="15"/>
          <w:szCs w:val="15"/>
          <w:color w:val="auto"/>
        </w:rPr>
        <w:t xml:space="preserve">Prior year Black Hills Energy Services Winter Storm Uri costs </w:t>
      </w:r>
      <w:r>
        <w:rPr>
          <w:rFonts w:ascii="Arial" w:cs="Arial" w:eastAsia="Arial" w:hAnsi="Arial"/>
          <w:sz w:val="20"/>
          <w:szCs w:val="20"/>
          <w:color w:val="auto"/>
          <w:vertAlign w:val="superscript"/>
        </w:rPr>
        <w:t>(b)</w:t>
      </w:r>
    </w:p>
    <w:p>
      <w:pPr>
        <w:ind w:left="20"/>
        <w:spacing w:after="0"/>
        <w:rPr>
          <w:sz w:val="20"/>
          <w:szCs w:val="20"/>
          <w:color w:val="auto"/>
        </w:rPr>
      </w:pPr>
      <w:r>
        <w:rPr>
          <w:rFonts w:ascii="Arial" w:cs="Arial" w:eastAsia="Arial" w:hAnsi="Arial"/>
          <w:sz w:val="16"/>
          <w:szCs w:val="16"/>
          <w:color w:val="auto"/>
        </w:rPr>
        <w:t>Customer growth and increased usage per customer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Weather </w:t>
      </w:r>
      <w:r>
        <w:rPr>
          <w:rFonts w:ascii="Arial" w:cs="Arial" w:eastAsia="Arial" w:hAnsi="Arial"/>
          <w:sz w:val="21"/>
          <w:szCs w:val="2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Increased transportation and transmission volumes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Current and prior year TCJA-related bill credits </w:t>
      </w:r>
      <w:r>
        <w:rPr>
          <w:rFonts w:ascii="Arial" w:cs="Arial" w:eastAsia="Arial" w:hAnsi="Arial"/>
          <w:sz w:val="21"/>
          <w:szCs w:val="21"/>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Mark-to-market on non-utility natural gas commodity contracts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increase in Gas Utility margin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21.0</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16.5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4.8</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3.4</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1.1</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0.8</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(3.4)</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46355</wp:posOffset>
            </wp:positionV>
            <wp:extent cx="1397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p>
      <w:pPr>
        <w:ind w:left="340" w:right="20" w:hanging="332"/>
        <w:spacing w:after="0" w:line="258" w:lineRule="auto"/>
        <w:tabs>
          <w:tab w:leader="none" w:pos="3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In certain jurisdictions, we have Commission approval to recover carrying costs on Winter Storm Uri regulatory assets which offset increased interest expense. Additionally, the carrying costs accrued during the nine months ended September 30, 2022 included a one-time, $10.3 million true-up to reflect Commission authorized rates. See </w:t>
      </w:r>
      <w:r>
        <w:rPr>
          <w:rFonts w:ascii="Arial" w:cs="Arial" w:eastAsia="Arial" w:hAnsi="Arial"/>
          <w:sz w:val="14"/>
          <w:szCs w:val="14"/>
          <w:u w:val="single" w:color="auto"/>
          <w:color w:val="0000FF"/>
        </w:rPr>
        <w:t>Note</w:t>
      </w:r>
      <w:r>
        <w:rPr>
          <w:rFonts w:ascii="Arial" w:cs="Arial" w:eastAsia="Arial" w:hAnsi="Arial"/>
          <w:sz w:val="14"/>
          <w:szCs w:val="14"/>
          <w:color w:val="auto"/>
        </w:rPr>
        <w:t xml:space="preserve"> </w:t>
      </w:r>
      <w:r>
        <w:rPr>
          <w:rFonts w:ascii="Arial" w:cs="Arial" w:eastAsia="Arial" w:hAnsi="Arial"/>
          <w:sz w:val="14"/>
          <w:szCs w:val="14"/>
          <w:u w:val="single" w:color="auto"/>
          <w:color w:val="0000FF"/>
        </w:rPr>
        <w:t>2</w:t>
      </w:r>
      <w:r>
        <w:rPr>
          <w:rFonts w:ascii="Arial" w:cs="Arial" w:eastAsia="Arial" w:hAnsi="Arial"/>
          <w:sz w:val="14"/>
          <w:szCs w:val="14"/>
          <w:color w:val="0000FF"/>
        </w:rPr>
        <w:t xml:space="preserve"> </w:t>
      </w:r>
      <w:r>
        <w:rPr>
          <w:rFonts w:ascii="Arial" w:cs="Arial" w:eastAsia="Arial" w:hAnsi="Arial"/>
          <w:sz w:val="14"/>
          <w:szCs w:val="14"/>
          <w:color w:val="000000"/>
        </w:rPr>
        <w:t>of the Notes to Condensed Consolidated Financial Statements for additional information.</w:t>
      </w:r>
    </w:p>
    <w:p>
      <w:pPr>
        <w:ind w:left="340" w:right="240" w:hanging="332"/>
        <w:spacing w:after="0" w:line="261" w:lineRule="auto"/>
        <w:tabs>
          <w:tab w:leader="none" w:pos="3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Black Hills Energy Services offers fixed contract pricing for non-regulated gas supply services to our regulated natural gas customers. The increased cost of natural gas sold during Winter Storm Uri was not recoverable through a regulatory mechanism.</w:t>
      </w:r>
    </w:p>
    <w:p>
      <w:pPr>
        <w:ind w:left="340" w:hanging="332"/>
        <w:spacing w:after="0" w:line="251" w:lineRule="auto"/>
        <w:tabs>
          <w:tab w:leader="none" w:pos="2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Weather impacts for the nine months ended September 30, 2022 compared to the same period in the prior year include $4.3 million of increased irrigation loads to agriculture customers in our Nebraska Gas service territory.</w:t>
      </w:r>
    </w:p>
    <w:p>
      <w:pPr>
        <w:ind w:left="340" w:right="180" w:hanging="332"/>
        <w:spacing w:after="0" w:line="272" w:lineRule="auto"/>
        <w:tabs>
          <w:tab w:leader="none" w:pos="3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June 2021, Nebraska Gas provided $2.9 million TCJA-related bill credits to its customers. For the nine months ended September 30, 2022, Kansas Gas provided $2.1 million of TCJA and state tax reform bill credits to customers. These bill credits were offset by a reduction in income tax expense and resulted in a minimal impact to Net income.</w:t>
      </w:r>
    </w:p>
    <w:p>
      <w:pPr>
        <w:spacing w:after="0" w:line="20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increased bad debt expense primarily attributable to higher customer billings, higher cloud computing licensing costs, higher outside services and materials expenses, higher vehicle expenses due to higher fuel costs and increased property taxes due to a higher asset base partially offset by lower employee costs.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Revenue (in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Quantities Sold and Transported (Dth)</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3"/>
          </w:tcPr>
          <w:p>
            <w:pPr>
              <w:jc w:val="right"/>
              <w:ind w:right="368"/>
              <w:spacing w:after="0" w:line="146" w:lineRule="exact"/>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2"/>
                <w:szCs w:val="12"/>
                <w:color w:val="auto"/>
              </w:rPr>
            </w:pPr>
          </w:p>
        </w:tc>
        <w:tc>
          <w:tcPr>
            <w:tcW w:w="2120" w:type="dxa"/>
            <w:vAlign w:val="bottom"/>
            <w:gridSpan w:val="4"/>
          </w:tcPr>
          <w:p>
            <w:pPr>
              <w:jc w:val="center"/>
              <w:ind w:right="340"/>
              <w:spacing w:after="0" w:line="146" w:lineRule="exact"/>
              <w:rPr>
                <w:sz w:val="20"/>
                <w:szCs w:val="20"/>
                <w:color w:val="auto"/>
              </w:rPr>
            </w:pPr>
            <w:r>
              <w:rPr>
                <w:rFonts w:ascii="Arial" w:cs="Arial" w:eastAsia="Arial" w:hAnsi="Arial"/>
                <w:sz w:val="14"/>
                <w:szCs w:val="14"/>
                <w:color w:val="auto"/>
              </w:rPr>
              <w:t>Nine Months Ended</w:t>
            </w:r>
          </w:p>
        </w:tc>
        <w:tc>
          <w:tcPr>
            <w:tcW w:w="2380" w:type="dxa"/>
            <w:vAlign w:val="bottom"/>
            <w:gridSpan w:val="2"/>
          </w:tcPr>
          <w:p>
            <w:pPr>
              <w:jc w:val="right"/>
              <w:ind w:right="508"/>
              <w:spacing w:after="0" w:line="146" w:lineRule="exact"/>
              <w:rPr>
                <w:sz w:val="20"/>
                <w:szCs w:val="20"/>
                <w:color w:val="auto"/>
              </w:rPr>
            </w:pPr>
            <w:r>
              <w:rPr>
                <w:rFonts w:ascii="Arial" w:cs="Arial" w:eastAsia="Arial" w:hAnsi="Arial"/>
                <w:sz w:val="14"/>
                <w:szCs w:val="14"/>
                <w:color w:val="auto"/>
              </w:rPr>
              <w:t>Three Months Ended</w:t>
            </w:r>
          </w:p>
        </w:tc>
        <w:tc>
          <w:tcPr>
            <w:tcW w:w="2160" w:type="dxa"/>
            <w:vAlign w:val="bottom"/>
            <w:gridSpan w:val="2"/>
          </w:tcPr>
          <w:p>
            <w:pPr>
              <w:jc w:val="right"/>
              <w:ind w:right="428"/>
              <w:spacing w:after="0" w:line="146"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3"/>
          </w:tcPr>
          <w:p>
            <w:pPr>
              <w:jc w:val="right"/>
              <w:ind w:right="568"/>
              <w:spacing w:after="0"/>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6"/>
                <w:szCs w:val="16"/>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color w:val="auto"/>
              </w:rPr>
              <w:t>September 30,</w:t>
            </w:r>
          </w:p>
        </w:tc>
        <w:tc>
          <w:tcPr>
            <w:tcW w:w="2380" w:type="dxa"/>
            <w:vAlign w:val="bottom"/>
            <w:gridSpan w:val="2"/>
          </w:tcPr>
          <w:p>
            <w:pPr>
              <w:jc w:val="right"/>
              <w:ind w:right="708"/>
              <w:spacing w:after="0"/>
              <w:rPr>
                <w:sz w:val="20"/>
                <w:szCs w:val="20"/>
                <w:color w:val="auto"/>
              </w:rPr>
            </w:pPr>
            <w:r>
              <w:rPr>
                <w:rFonts w:ascii="Arial" w:cs="Arial" w:eastAsia="Arial" w:hAnsi="Arial"/>
                <w:sz w:val="14"/>
                <w:szCs w:val="14"/>
                <w:color w:val="auto"/>
              </w:rPr>
              <w:t>September 30,</w:t>
            </w:r>
          </w:p>
        </w:tc>
        <w:tc>
          <w:tcPr>
            <w:tcW w:w="2160" w:type="dxa"/>
            <w:vAlign w:val="bottom"/>
            <w:gridSpan w:val="2"/>
          </w:tcPr>
          <w:p>
            <w:pPr>
              <w:jc w:val="right"/>
              <w:ind w:right="58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97"/>
        </w:trPr>
        <w:tc>
          <w:tcPr>
            <w:tcW w:w="2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EFFE7"/>
            </w:tcBorders>
          </w:tcPr>
          <w:p>
            <w:pPr>
              <w:spacing w:after="0"/>
              <w:rPr>
                <w:sz w:val="17"/>
                <w:szCs w:val="17"/>
                <w:color w:val="auto"/>
              </w:rPr>
            </w:pPr>
          </w:p>
        </w:tc>
        <w:tc>
          <w:tcPr>
            <w:tcW w:w="12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0"/>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85,398</w:t>
            </w:r>
          </w:p>
        </w:tc>
        <w:tc>
          <w:tcPr>
            <w:tcW w:w="2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68,646</w:t>
            </w:r>
          </w:p>
        </w:tc>
        <w:tc>
          <w:tcPr>
            <w:tcW w:w="2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604,568</w:t>
            </w:r>
          </w:p>
        </w:tc>
        <w:tc>
          <w:tcPr>
            <w:tcW w:w="2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401,413</w:t>
            </w:r>
          </w:p>
        </w:tc>
        <w:tc>
          <w:tcPr>
            <w:tcW w:w="100" w:type="dxa"/>
            <w:vAlign w:val="bottom"/>
            <w:shd w:val="clear" w:color="auto" w:fill="CEFFE7"/>
          </w:tcPr>
          <w:p>
            <w:pPr>
              <w:spacing w:after="0"/>
              <w:rPr>
                <w:sz w:val="17"/>
                <w:szCs w:val="17"/>
                <w:color w:val="auto"/>
              </w:rPr>
            </w:pPr>
          </w:p>
        </w:tc>
        <w:tc>
          <w:tcPr>
            <w:tcW w:w="12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3,572,971</w:t>
            </w:r>
          </w:p>
        </w:tc>
        <w:tc>
          <w:tcPr>
            <w:tcW w:w="110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3,564,722</w:t>
            </w:r>
          </w:p>
        </w:tc>
        <w:tc>
          <w:tcPr>
            <w:tcW w:w="120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43,910,976</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42,708,511</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36,819</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27,038</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256,643</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155,015</w:t>
            </w:r>
          </w:p>
        </w:tc>
        <w:tc>
          <w:tcPr>
            <w:tcW w:w="100" w:type="dxa"/>
            <w:vAlign w:val="bottom"/>
          </w:tcPr>
          <w:p>
            <w:pPr>
              <w:spacing w:after="0"/>
              <w:rPr>
                <w:sz w:val="17"/>
                <w:szCs w:val="17"/>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2,374,179</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2,426,019</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21,505,127</w:t>
            </w:r>
          </w:p>
        </w:tc>
        <w:tc>
          <w:tcPr>
            <w:tcW w:w="960" w:type="dxa"/>
            <w:vAlign w:val="bottom"/>
          </w:tcPr>
          <w:p>
            <w:pPr>
              <w:jc w:val="right"/>
              <w:spacing w:after="0"/>
              <w:rPr>
                <w:sz w:val="20"/>
                <w:szCs w:val="20"/>
                <w:color w:val="auto"/>
              </w:rPr>
            </w:pPr>
            <w:r>
              <w:rPr>
                <w:rFonts w:ascii="Arial" w:cs="Arial" w:eastAsia="Arial" w:hAnsi="Arial"/>
                <w:sz w:val="14"/>
                <w:szCs w:val="14"/>
                <w:color w:val="auto"/>
              </w:rPr>
              <w:t>20,732,271</w:t>
            </w:r>
          </w:p>
        </w:tc>
        <w:tc>
          <w:tcPr>
            <w:tcW w:w="0" w:type="dxa"/>
            <w:vAlign w:val="bottom"/>
          </w:tcPr>
          <w:p>
            <w:pPr>
              <w:spacing w:after="0"/>
              <w:rPr>
                <w:sz w:val="1"/>
                <w:szCs w:val="1"/>
                <w:color w:val="auto"/>
              </w:rPr>
            </w:pPr>
          </w:p>
        </w:tc>
      </w:tr>
      <w:tr>
        <w:trPr>
          <w:trHeight w:val="207"/>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Industrial</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26,155</w:t>
            </w:r>
          </w:p>
        </w:tc>
        <w:tc>
          <w:tcPr>
            <w:tcW w:w="260" w:type="dxa"/>
            <w:vAlign w:val="bottom"/>
            <w:shd w:val="clear" w:color="auto" w:fill="CEFFE7"/>
          </w:tcPr>
          <w:p>
            <w:pPr>
              <w:spacing w:after="0"/>
              <w:rPr>
                <w:sz w:val="17"/>
                <w:szCs w:val="17"/>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13,863</w:t>
            </w:r>
          </w:p>
        </w:tc>
        <w:tc>
          <w:tcPr>
            <w:tcW w:w="28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52,268</w:t>
            </w:r>
          </w:p>
        </w:tc>
        <w:tc>
          <w:tcPr>
            <w:tcW w:w="280" w:type="dxa"/>
            <w:vAlign w:val="bottom"/>
            <w:shd w:val="clear" w:color="auto" w:fill="CEFFE7"/>
          </w:tcPr>
          <w:p>
            <w:pPr>
              <w:spacing w:after="0"/>
              <w:rPr>
                <w:sz w:val="17"/>
                <w:szCs w:val="17"/>
                <w:color w:val="auto"/>
              </w:rPr>
            </w:pPr>
          </w:p>
        </w:tc>
        <w:tc>
          <w:tcPr>
            <w:tcW w:w="8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24,576</w:t>
            </w:r>
          </w:p>
        </w:tc>
        <w:tc>
          <w:tcPr>
            <w:tcW w:w="100" w:type="dxa"/>
            <w:vAlign w:val="bottom"/>
            <w:shd w:val="clear" w:color="auto" w:fill="CEFFE7"/>
          </w:tcPr>
          <w:p>
            <w:pPr>
              <w:spacing w:after="0"/>
              <w:rPr>
                <w:sz w:val="17"/>
                <w:szCs w:val="17"/>
                <w:color w:val="auto"/>
              </w:rPr>
            </w:pPr>
          </w:p>
        </w:tc>
        <w:tc>
          <w:tcPr>
            <w:tcW w:w="12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3,153,641</w:t>
            </w:r>
          </w:p>
        </w:tc>
        <w:tc>
          <w:tcPr>
            <w:tcW w:w="110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2,873,540</w:t>
            </w:r>
          </w:p>
        </w:tc>
        <w:tc>
          <w:tcPr>
            <w:tcW w:w="120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6,468,756</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5,109,501</w:t>
            </w:r>
          </w:p>
        </w:tc>
        <w:tc>
          <w:tcPr>
            <w:tcW w:w="0" w:type="dxa"/>
            <w:vAlign w:val="bottom"/>
          </w:tcPr>
          <w:p>
            <w:pPr>
              <w:spacing w:after="0"/>
              <w:rPr>
                <w:sz w:val="1"/>
                <w:szCs w:val="1"/>
                <w:color w:val="auto"/>
              </w:rPr>
            </w:pPr>
          </w:p>
        </w:tc>
      </w:tr>
      <w:tr>
        <w:trPr>
          <w:trHeight w:val="198"/>
        </w:trPr>
        <w:tc>
          <w:tcPr>
            <w:tcW w:w="20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2,566</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2,706</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7,638</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1,816</w:t>
            </w:r>
          </w:p>
        </w:tc>
        <w:tc>
          <w:tcPr>
            <w:tcW w:w="100" w:type="dxa"/>
            <w:vAlign w:val="bottom"/>
            <w:tcBorders>
              <w:bottom w:val="single" w:sz="8" w:color="CEFFE7"/>
            </w:tcBorders>
          </w:tcPr>
          <w:p>
            <w:pPr>
              <w:spacing w:after="0"/>
              <w:rPr>
                <w:sz w:val="17"/>
                <w:szCs w:val="17"/>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6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Total Distribution</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150,937</w:t>
            </w:r>
          </w:p>
        </w:tc>
        <w:tc>
          <w:tcPr>
            <w:tcW w:w="260" w:type="dxa"/>
            <w:vAlign w:val="bottom"/>
            <w:shd w:val="clear" w:color="auto" w:fill="CEFFE7"/>
          </w:tcPr>
          <w:p>
            <w:pPr>
              <w:spacing w:after="0"/>
              <w:rPr>
                <w:sz w:val="17"/>
                <w:szCs w:val="17"/>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112,253</w:t>
            </w:r>
          </w:p>
        </w:tc>
        <w:tc>
          <w:tcPr>
            <w:tcW w:w="28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921,117</w:t>
            </w:r>
          </w:p>
        </w:tc>
        <w:tc>
          <w:tcPr>
            <w:tcW w:w="280" w:type="dxa"/>
            <w:vAlign w:val="bottom"/>
            <w:shd w:val="clear" w:color="auto" w:fill="CEFFE7"/>
          </w:tcPr>
          <w:p>
            <w:pPr>
              <w:spacing w:after="0"/>
              <w:rPr>
                <w:sz w:val="17"/>
                <w:szCs w:val="17"/>
                <w:color w:val="auto"/>
              </w:rPr>
            </w:pPr>
          </w:p>
        </w:tc>
        <w:tc>
          <w:tcPr>
            <w:tcW w:w="8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582,820</w:t>
            </w:r>
          </w:p>
        </w:tc>
        <w:tc>
          <w:tcPr>
            <w:tcW w:w="100" w:type="dxa"/>
            <w:vAlign w:val="bottom"/>
            <w:shd w:val="clear" w:color="auto" w:fill="CEFFE7"/>
          </w:tcPr>
          <w:p>
            <w:pPr>
              <w:spacing w:after="0"/>
              <w:rPr>
                <w:sz w:val="17"/>
                <w:szCs w:val="17"/>
                <w:color w:val="auto"/>
              </w:rPr>
            </w:pPr>
          </w:p>
        </w:tc>
        <w:tc>
          <w:tcPr>
            <w:tcW w:w="12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9,100,791</w:t>
            </w:r>
          </w:p>
        </w:tc>
        <w:tc>
          <w:tcPr>
            <w:tcW w:w="110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8,864,281</w:t>
            </w:r>
          </w:p>
        </w:tc>
        <w:tc>
          <w:tcPr>
            <w:tcW w:w="120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71,884,859</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68,550,283</w:t>
            </w:r>
          </w:p>
        </w:tc>
        <w:tc>
          <w:tcPr>
            <w:tcW w:w="0" w:type="dxa"/>
            <w:vAlign w:val="bottom"/>
          </w:tcPr>
          <w:p>
            <w:pPr>
              <w:spacing w:after="0"/>
              <w:rPr>
                <w:sz w:val="1"/>
                <w:szCs w:val="1"/>
                <w:color w:val="auto"/>
              </w:rPr>
            </w:pPr>
          </w:p>
        </w:tc>
      </w:tr>
      <w:tr>
        <w:trPr>
          <w:trHeight w:val="148"/>
        </w:trPr>
        <w:tc>
          <w:tcPr>
            <w:tcW w:w="2060" w:type="dxa"/>
            <w:vAlign w:val="bottom"/>
          </w:tcPr>
          <w:p>
            <w:pPr>
              <w:ind w:left="20"/>
              <w:spacing w:after="0" w:line="149" w:lineRule="exact"/>
              <w:rPr>
                <w:sz w:val="20"/>
                <w:szCs w:val="20"/>
                <w:color w:val="auto"/>
              </w:rPr>
            </w:pPr>
            <w:r>
              <w:rPr>
                <w:rFonts w:ascii="Arial" w:cs="Arial" w:eastAsia="Arial" w:hAnsi="Arial"/>
                <w:sz w:val="14"/>
                <w:szCs w:val="14"/>
                <w:color w:val="auto"/>
              </w:rPr>
              <w:t>Transportation and</w:t>
            </w: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41,166</w:t>
            </w: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37,822</w:t>
            </w:r>
          </w:p>
        </w:tc>
        <w:tc>
          <w:tcPr>
            <w:tcW w:w="2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125,794</w:t>
            </w:r>
          </w:p>
        </w:tc>
        <w:tc>
          <w:tcPr>
            <w:tcW w:w="28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117,797</w:t>
            </w:r>
          </w:p>
        </w:tc>
        <w:tc>
          <w:tcPr>
            <w:tcW w:w="100" w:type="dxa"/>
            <w:vAlign w:val="bottom"/>
          </w:tcPr>
          <w:p>
            <w:pPr>
              <w:spacing w:after="0"/>
              <w:rPr>
                <w:sz w:val="12"/>
                <w:szCs w:val="12"/>
                <w:color w:val="auto"/>
              </w:rPr>
            </w:pPr>
          </w:p>
        </w:tc>
        <w:tc>
          <w:tcPr>
            <w:tcW w:w="1280" w:type="dxa"/>
            <w:vAlign w:val="bottom"/>
            <w:vMerge w:val="restart"/>
          </w:tcPr>
          <w:p>
            <w:pPr>
              <w:jc w:val="right"/>
              <w:ind w:right="128"/>
              <w:spacing w:after="0"/>
              <w:rPr>
                <w:sz w:val="20"/>
                <w:szCs w:val="20"/>
                <w:color w:val="auto"/>
              </w:rPr>
            </w:pPr>
            <w:r>
              <w:rPr>
                <w:rFonts w:ascii="Arial" w:cs="Arial" w:eastAsia="Arial" w:hAnsi="Arial"/>
                <w:sz w:val="14"/>
                <w:szCs w:val="14"/>
                <w:color w:val="auto"/>
              </w:rPr>
              <w:t>35,302,591</w:t>
            </w: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color w:val="auto"/>
              </w:rPr>
              <w:t>34,735,601</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auto"/>
              </w:rPr>
              <w:t>117,971,404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114,124,253</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Transmission</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EFFE7"/>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Total Regulated</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192,104</w:t>
            </w:r>
          </w:p>
        </w:tc>
        <w:tc>
          <w:tcPr>
            <w:tcW w:w="260" w:type="dxa"/>
            <w:vAlign w:val="bottom"/>
            <w:shd w:val="clear" w:color="auto" w:fill="CEFFE7"/>
          </w:tcPr>
          <w:p>
            <w:pPr>
              <w:spacing w:after="0"/>
              <w:rPr>
                <w:sz w:val="17"/>
                <w:szCs w:val="17"/>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150,075</w:t>
            </w:r>
          </w:p>
        </w:tc>
        <w:tc>
          <w:tcPr>
            <w:tcW w:w="28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1,046,910</w:t>
            </w:r>
          </w:p>
        </w:tc>
        <w:tc>
          <w:tcPr>
            <w:tcW w:w="280" w:type="dxa"/>
            <w:vAlign w:val="bottom"/>
            <w:shd w:val="clear" w:color="auto" w:fill="CEFFE7"/>
          </w:tcPr>
          <w:p>
            <w:pPr>
              <w:spacing w:after="0"/>
              <w:rPr>
                <w:sz w:val="17"/>
                <w:szCs w:val="17"/>
                <w:color w:val="auto"/>
              </w:rPr>
            </w:pPr>
          </w:p>
        </w:tc>
        <w:tc>
          <w:tcPr>
            <w:tcW w:w="8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700,617</w:t>
            </w:r>
          </w:p>
        </w:tc>
        <w:tc>
          <w:tcPr>
            <w:tcW w:w="100" w:type="dxa"/>
            <w:vAlign w:val="bottom"/>
            <w:shd w:val="clear" w:color="auto" w:fill="CEFFE7"/>
          </w:tcPr>
          <w:p>
            <w:pPr>
              <w:spacing w:after="0"/>
              <w:rPr>
                <w:sz w:val="17"/>
                <w:szCs w:val="17"/>
                <w:color w:val="auto"/>
              </w:rPr>
            </w:pPr>
          </w:p>
        </w:tc>
        <w:tc>
          <w:tcPr>
            <w:tcW w:w="12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44,403,382</w:t>
            </w:r>
          </w:p>
        </w:tc>
        <w:tc>
          <w:tcPr>
            <w:tcW w:w="110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43,599,882</w:t>
            </w:r>
          </w:p>
        </w:tc>
        <w:tc>
          <w:tcPr>
            <w:tcW w:w="120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189,856,263</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182,674,536</w:t>
            </w:r>
          </w:p>
        </w:tc>
        <w:tc>
          <w:tcPr>
            <w:tcW w:w="0" w:type="dxa"/>
            <w:vAlign w:val="bottom"/>
          </w:tcPr>
          <w:p>
            <w:pPr>
              <w:spacing w:after="0"/>
              <w:rPr>
                <w:sz w:val="1"/>
                <w:szCs w:val="1"/>
                <w:color w:val="auto"/>
              </w:rPr>
            </w:pPr>
          </w:p>
        </w:tc>
      </w:tr>
      <w:tr>
        <w:trPr>
          <w:trHeight w:val="198"/>
        </w:trPr>
        <w:tc>
          <w:tcPr>
            <w:tcW w:w="20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Non-regulated Services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16,184</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14,608</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56,938</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52,635</w:t>
            </w:r>
          </w:p>
        </w:tc>
        <w:tc>
          <w:tcPr>
            <w:tcW w:w="100" w:type="dxa"/>
            <w:vAlign w:val="bottom"/>
            <w:tcBorders>
              <w:bottom w:val="single" w:sz="8" w:color="CEFFE7"/>
            </w:tcBorders>
          </w:tcPr>
          <w:p>
            <w:pPr>
              <w:spacing w:after="0"/>
              <w:rPr>
                <w:sz w:val="17"/>
                <w:szCs w:val="17"/>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060" w:type="dxa"/>
            <w:vAlign w:val="bottom"/>
            <w:shd w:val="clear" w:color="auto" w:fill="CEFFE7"/>
          </w:tcPr>
          <w:p>
            <w:pPr>
              <w:ind w:left="220"/>
              <w:spacing w:after="0" w:line="133" w:lineRule="exact"/>
              <w:rPr>
                <w:sz w:val="20"/>
                <w:szCs w:val="20"/>
                <w:color w:val="auto"/>
              </w:rPr>
            </w:pPr>
            <w:r>
              <w:rPr>
                <w:rFonts w:ascii="Arial" w:cs="Arial" w:eastAsia="Arial" w:hAnsi="Arial"/>
                <w:sz w:val="14"/>
                <w:szCs w:val="14"/>
                <w:color w:val="auto"/>
              </w:rPr>
              <w:t>Total Revenue and</w:t>
            </w:r>
          </w:p>
        </w:tc>
        <w:tc>
          <w:tcPr>
            <w:tcW w:w="260" w:type="dxa"/>
            <w:vAlign w:val="bottom"/>
            <w:vMerge w:val="restart"/>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208,288</w:t>
            </w:r>
          </w:p>
        </w:tc>
        <w:tc>
          <w:tcPr>
            <w:tcW w:w="260" w:type="dxa"/>
            <w:vAlign w:val="bottom"/>
            <w:vMerge w:val="restart"/>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164,683</w:t>
            </w:r>
          </w:p>
        </w:tc>
        <w:tc>
          <w:tcPr>
            <w:tcW w:w="280" w:type="dxa"/>
            <w:vAlign w:val="bottom"/>
            <w:vMerge w:val="restart"/>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1,103,849</w:t>
            </w:r>
          </w:p>
        </w:tc>
        <w:tc>
          <w:tcPr>
            <w:tcW w:w="280" w:type="dxa"/>
            <w:vAlign w:val="bottom"/>
            <w:vMerge w:val="restart"/>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EFFE7"/>
          </w:tcPr>
          <w:p>
            <w:pPr>
              <w:jc w:val="right"/>
              <w:ind w:right="8"/>
              <w:spacing w:after="0"/>
              <w:rPr>
                <w:sz w:val="20"/>
                <w:szCs w:val="20"/>
                <w:color w:val="auto"/>
              </w:rPr>
            </w:pPr>
            <w:r>
              <w:rPr>
                <w:rFonts w:ascii="Arial" w:cs="Arial" w:eastAsia="Arial" w:hAnsi="Arial"/>
                <w:sz w:val="14"/>
                <w:szCs w:val="14"/>
                <w:color w:val="auto"/>
              </w:rPr>
              <w:t>753,252</w:t>
            </w:r>
          </w:p>
        </w:tc>
        <w:tc>
          <w:tcPr>
            <w:tcW w:w="100" w:type="dxa"/>
            <w:vAlign w:val="bottom"/>
            <w:shd w:val="clear" w:color="auto" w:fill="CEFFE7"/>
          </w:tcPr>
          <w:p>
            <w:pPr>
              <w:spacing w:after="0"/>
              <w:rPr>
                <w:sz w:val="11"/>
                <w:szCs w:val="11"/>
                <w:color w:val="auto"/>
              </w:rPr>
            </w:pPr>
          </w:p>
        </w:tc>
        <w:tc>
          <w:tcPr>
            <w:tcW w:w="1280" w:type="dxa"/>
            <w:vAlign w:val="bottom"/>
            <w:vMerge w:val="restart"/>
            <w:shd w:val="clear" w:color="auto" w:fill="CEFFE7"/>
          </w:tcPr>
          <w:p>
            <w:pPr>
              <w:jc w:val="right"/>
              <w:ind w:right="128"/>
              <w:spacing w:after="0"/>
              <w:rPr>
                <w:sz w:val="20"/>
                <w:szCs w:val="20"/>
                <w:color w:val="auto"/>
              </w:rPr>
            </w:pPr>
            <w:r>
              <w:rPr>
                <w:rFonts w:ascii="Arial" w:cs="Arial" w:eastAsia="Arial" w:hAnsi="Arial"/>
                <w:sz w:val="14"/>
                <w:szCs w:val="14"/>
                <w:color w:val="auto"/>
              </w:rPr>
              <w:t>44,403,382</w:t>
            </w:r>
          </w:p>
        </w:tc>
        <w:tc>
          <w:tcPr>
            <w:tcW w:w="1100" w:type="dxa"/>
            <w:vAlign w:val="bottom"/>
            <w:vMerge w:val="restart"/>
            <w:shd w:val="clear" w:color="auto" w:fill="CEFFE7"/>
          </w:tcPr>
          <w:p>
            <w:pPr>
              <w:jc w:val="right"/>
              <w:ind w:right="108"/>
              <w:spacing w:after="0"/>
              <w:rPr>
                <w:sz w:val="20"/>
                <w:szCs w:val="20"/>
                <w:color w:val="auto"/>
              </w:rPr>
            </w:pPr>
            <w:r>
              <w:rPr>
                <w:rFonts w:ascii="Arial" w:cs="Arial" w:eastAsia="Arial" w:hAnsi="Arial"/>
                <w:sz w:val="14"/>
                <w:szCs w:val="14"/>
                <w:color w:val="auto"/>
              </w:rPr>
              <w:t>43,599,882</w:t>
            </w:r>
          </w:p>
        </w:tc>
        <w:tc>
          <w:tcPr>
            <w:tcW w:w="1200" w:type="dxa"/>
            <w:vAlign w:val="bottom"/>
            <w:vMerge w:val="restart"/>
            <w:shd w:val="clear" w:color="auto" w:fill="CEFFE7"/>
          </w:tcPr>
          <w:p>
            <w:pPr>
              <w:jc w:val="right"/>
              <w:ind w:right="168"/>
              <w:spacing w:after="0"/>
              <w:rPr>
                <w:sz w:val="20"/>
                <w:szCs w:val="20"/>
                <w:color w:val="auto"/>
              </w:rPr>
            </w:pPr>
            <w:r>
              <w:rPr>
                <w:rFonts w:ascii="Arial" w:cs="Arial" w:eastAsia="Arial" w:hAnsi="Arial"/>
                <w:sz w:val="14"/>
                <w:szCs w:val="14"/>
                <w:color w:val="auto"/>
              </w:rPr>
              <w:t>189,856,263</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182,674,536</w:t>
            </w:r>
          </w:p>
        </w:tc>
        <w:tc>
          <w:tcPr>
            <w:tcW w:w="0" w:type="dxa"/>
            <w:vAlign w:val="bottom"/>
          </w:tcPr>
          <w:p>
            <w:pPr>
              <w:spacing w:after="0"/>
              <w:rPr>
                <w:sz w:val="1"/>
                <w:szCs w:val="1"/>
                <w:color w:val="auto"/>
              </w:rPr>
            </w:pPr>
          </w:p>
        </w:tc>
      </w:tr>
      <w:tr>
        <w:trPr>
          <w:trHeight w:val="182"/>
        </w:trPr>
        <w:tc>
          <w:tcPr>
            <w:tcW w:w="20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4"/>
                <w:szCs w:val="14"/>
                <w:color w:val="auto"/>
              </w:rPr>
              <w:t>Quantities Sold</w:t>
            </w:r>
          </w:p>
        </w:tc>
        <w:tc>
          <w:tcPr>
            <w:tcW w:w="260" w:type="dxa"/>
            <w:vAlign w:val="bottom"/>
            <w:tcBorders>
              <w:bottom w:val="single" w:sz="8" w:color="auto"/>
            </w:tcBorders>
            <w:vMerge w:val="continue"/>
            <w:shd w:val="clear" w:color="auto" w:fill="CEFFE7"/>
          </w:tcPr>
          <w:p>
            <w:pPr>
              <w:spacing w:after="0"/>
              <w:rPr>
                <w:sz w:val="15"/>
                <w:szCs w:val="15"/>
                <w:color w:val="auto"/>
              </w:rPr>
            </w:pPr>
          </w:p>
        </w:tc>
        <w:tc>
          <w:tcPr>
            <w:tcW w:w="840" w:type="dxa"/>
            <w:vAlign w:val="bottom"/>
            <w:tcBorders>
              <w:bottom w:val="single" w:sz="8" w:color="auto"/>
            </w:tcBorders>
            <w:vMerge w:val="continue"/>
            <w:shd w:val="clear" w:color="auto" w:fill="CEFFE7"/>
          </w:tcPr>
          <w:p>
            <w:pPr>
              <w:spacing w:after="0"/>
              <w:rPr>
                <w:sz w:val="15"/>
                <w:szCs w:val="15"/>
                <w:color w:val="auto"/>
              </w:rPr>
            </w:pPr>
          </w:p>
        </w:tc>
        <w:tc>
          <w:tcPr>
            <w:tcW w:w="260" w:type="dxa"/>
            <w:vAlign w:val="bottom"/>
            <w:tcBorders>
              <w:bottom w:val="single" w:sz="8" w:color="auto"/>
            </w:tcBorders>
            <w:vMerge w:val="continue"/>
            <w:shd w:val="clear" w:color="auto" w:fill="CEFFE7"/>
          </w:tcPr>
          <w:p>
            <w:pPr>
              <w:spacing w:after="0"/>
              <w:rPr>
                <w:sz w:val="15"/>
                <w:szCs w:val="15"/>
                <w:color w:val="auto"/>
              </w:rPr>
            </w:pPr>
          </w:p>
        </w:tc>
        <w:tc>
          <w:tcPr>
            <w:tcW w:w="880" w:type="dxa"/>
            <w:vAlign w:val="bottom"/>
            <w:tcBorders>
              <w:bottom w:val="single" w:sz="8" w:color="auto"/>
            </w:tcBorders>
            <w:vMerge w:val="continue"/>
            <w:shd w:val="clear" w:color="auto" w:fill="CEFFE7"/>
          </w:tcPr>
          <w:p>
            <w:pPr>
              <w:spacing w:after="0"/>
              <w:rPr>
                <w:sz w:val="15"/>
                <w:szCs w:val="15"/>
                <w:color w:val="auto"/>
              </w:rPr>
            </w:pPr>
          </w:p>
        </w:tc>
        <w:tc>
          <w:tcPr>
            <w:tcW w:w="280" w:type="dxa"/>
            <w:vAlign w:val="bottom"/>
            <w:tcBorders>
              <w:bottom w:val="single" w:sz="8" w:color="auto"/>
            </w:tcBorders>
            <w:vMerge w:val="continue"/>
            <w:shd w:val="clear" w:color="auto" w:fill="CEFFE7"/>
          </w:tcPr>
          <w:p>
            <w:pPr>
              <w:spacing w:after="0"/>
              <w:rPr>
                <w:sz w:val="15"/>
                <w:szCs w:val="15"/>
                <w:color w:val="auto"/>
              </w:rPr>
            </w:pPr>
          </w:p>
        </w:tc>
        <w:tc>
          <w:tcPr>
            <w:tcW w:w="860" w:type="dxa"/>
            <w:vAlign w:val="bottom"/>
            <w:tcBorders>
              <w:bottom w:val="single" w:sz="8" w:color="auto"/>
            </w:tcBorders>
            <w:vMerge w:val="continue"/>
            <w:shd w:val="clear" w:color="auto" w:fill="CEFFE7"/>
          </w:tcPr>
          <w:p>
            <w:pPr>
              <w:spacing w:after="0"/>
              <w:rPr>
                <w:sz w:val="15"/>
                <w:szCs w:val="15"/>
                <w:color w:val="auto"/>
              </w:rPr>
            </w:pPr>
          </w:p>
        </w:tc>
        <w:tc>
          <w:tcPr>
            <w:tcW w:w="280" w:type="dxa"/>
            <w:vAlign w:val="bottom"/>
            <w:tcBorders>
              <w:bottom w:val="single" w:sz="8" w:color="auto"/>
            </w:tcBorders>
            <w:vMerge w:val="continue"/>
            <w:shd w:val="clear" w:color="auto" w:fill="CEFFE7"/>
          </w:tcPr>
          <w:p>
            <w:pPr>
              <w:spacing w:after="0"/>
              <w:rPr>
                <w:sz w:val="15"/>
                <w:szCs w:val="15"/>
                <w:color w:val="auto"/>
              </w:rPr>
            </w:pPr>
          </w:p>
        </w:tc>
        <w:tc>
          <w:tcPr>
            <w:tcW w:w="880" w:type="dxa"/>
            <w:vAlign w:val="bottom"/>
            <w:tcBorders>
              <w:bottom w:val="single" w:sz="8" w:color="auto"/>
            </w:tcBorders>
            <w:vMerge w:val="continue"/>
            <w:shd w:val="clear" w:color="auto" w:fill="CEFFE7"/>
          </w:tcPr>
          <w:p>
            <w:pPr>
              <w:spacing w:after="0"/>
              <w:rPr>
                <w:sz w:val="15"/>
                <w:szCs w:val="15"/>
                <w:color w:val="auto"/>
              </w:rPr>
            </w:pPr>
          </w:p>
        </w:tc>
        <w:tc>
          <w:tcPr>
            <w:tcW w:w="100" w:type="dxa"/>
            <w:vAlign w:val="bottom"/>
            <w:tcBorders>
              <w:bottom w:val="single" w:sz="8" w:color="CEFFE7"/>
            </w:tcBorders>
            <w:shd w:val="clear" w:color="auto" w:fill="CEFFE7"/>
          </w:tcPr>
          <w:p>
            <w:pPr>
              <w:spacing w:after="0"/>
              <w:rPr>
                <w:sz w:val="15"/>
                <w:szCs w:val="15"/>
                <w:color w:val="auto"/>
              </w:rPr>
            </w:pPr>
          </w:p>
        </w:tc>
        <w:tc>
          <w:tcPr>
            <w:tcW w:w="1280" w:type="dxa"/>
            <w:vAlign w:val="bottom"/>
            <w:tcBorders>
              <w:bottom w:val="single" w:sz="8" w:color="auto"/>
            </w:tcBorders>
            <w:vMerge w:val="continue"/>
            <w:shd w:val="clear" w:color="auto" w:fill="CEFFE7"/>
          </w:tcPr>
          <w:p>
            <w:pPr>
              <w:spacing w:after="0"/>
              <w:rPr>
                <w:sz w:val="15"/>
                <w:szCs w:val="15"/>
                <w:color w:val="auto"/>
              </w:rPr>
            </w:pPr>
          </w:p>
        </w:tc>
        <w:tc>
          <w:tcPr>
            <w:tcW w:w="1100" w:type="dxa"/>
            <w:vAlign w:val="bottom"/>
            <w:tcBorders>
              <w:bottom w:val="single" w:sz="8" w:color="auto"/>
            </w:tcBorders>
            <w:vMerge w:val="continue"/>
            <w:shd w:val="clear" w:color="auto" w:fill="CEFFE7"/>
          </w:tcPr>
          <w:p>
            <w:pPr>
              <w:spacing w:after="0"/>
              <w:rPr>
                <w:sz w:val="15"/>
                <w:szCs w:val="15"/>
                <w:color w:val="auto"/>
              </w:rPr>
            </w:pPr>
          </w:p>
        </w:tc>
        <w:tc>
          <w:tcPr>
            <w:tcW w:w="1200" w:type="dxa"/>
            <w:vAlign w:val="bottom"/>
            <w:tcBorders>
              <w:bottom w:val="single" w:sz="8" w:color="auto"/>
            </w:tcBorders>
            <w:vMerge w:val="continue"/>
            <w:shd w:val="clear" w:color="auto" w:fill="CEFFE7"/>
          </w:tcPr>
          <w:p>
            <w:pPr>
              <w:spacing w:after="0"/>
              <w:rPr>
                <w:sz w:val="15"/>
                <w:szCs w:val="15"/>
                <w:color w:val="auto"/>
              </w:rPr>
            </w:pPr>
          </w:p>
        </w:tc>
        <w:tc>
          <w:tcPr>
            <w:tcW w:w="960" w:type="dxa"/>
            <w:vAlign w:val="bottom"/>
            <w:tcBorders>
              <w:bottom w:val="single" w:sz="8" w:color="auto"/>
            </w:tcBorders>
            <w:vMerge w:val="continue"/>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Revenue (in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Quantities Sold &amp; Transported (Dth)</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3"/>
          </w:tcPr>
          <w:p>
            <w:pPr>
              <w:jc w:val="right"/>
              <w:ind w:right="368"/>
              <w:spacing w:after="0" w:line="146" w:lineRule="exact"/>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2"/>
                <w:szCs w:val="12"/>
                <w:color w:val="auto"/>
              </w:rPr>
            </w:pPr>
          </w:p>
        </w:tc>
        <w:tc>
          <w:tcPr>
            <w:tcW w:w="2120" w:type="dxa"/>
            <w:vAlign w:val="bottom"/>
            <w:gridSpan w:val="4"/>
          </w:tcPr>
          <w:p>
            <w:pPr>
              <w:jc w:val="center"/>
              <w:ind w:right="340"/>
              <w:spacing w:after="0" w:line="146" w:lineRule="exact"/>
              <w:rPr>
                <w:sz w:val="20"/>
                <w:szCs w:val="20"/>
                <w:color w:val="auto"/>
              </w:rPr>
            </w:pPr>
            <w:r>
              <w:rPr>
                <w:rFonts w:ascii="Arial" w:cs="Arial" w:eastAsia="Arial" w:hAnsi="Arial"/>
                <w:sz w:val="14"/>
                <w:szCs w:val="14"/>
                <w:color w:val="auto"/>
              </w:rPr>
              <w:t>Nine Months Ended</w:t>
            </w:r>
          </w:p>
        </w:tc>
        <w:tc>
          <w:tcPr>
            <w:tcW w:w="2380" w:type="dxa"/>
            <w:vAlign w:val="bottom"/>
            <w:gridSpan w:val="2"/>
          </w:tcPr>
          <w:p>
            <w:pPr>
              <w:jc w:val="right"/>
              <w:ind w:right="508"/>
              <w:spacing w:after="0" w:line="146" w:lineRule="exact"/>
              <w:rPr>
                <w:sz w:val="20"/>
                <w:szCs w:val="20"/>
                <w:color w:val="auto"/>
              </w:rPr>
            </w:pPr>
            <w:r>
              <w:rPr>
                <w:rFonts w:ascii="Arial" w:cs="Arial" w:eastAsia="Arial" w:hAnsi="Arial"/>
                <w:sz w:val="14"/>
                <w:szCs w:val="14"/>
                <w:color w:val="auto"/>
              </w:rPr>
              <w:t>Three Months Ended</w:t>
            </w:r>
          </w:p>
        </w:tc>
        <w:tc>
          <w:tcPr>
            <w:tcW w:w="2160" w:type="dxa"/>
            <w:vAlign w:val="bottom"/>
            <w:gridSpan w:val="2"/>
          </w:tcPr>
          <w:p>
            <w:pPr>
              <w:jc w:val="right"/>
              <w:ind w:right="428"/>
              <w:spacing w:after="0" w:line="146"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3"/>
          </w:tcPr>
          <w:p>
            <w:pPr>
              <w:jc w:val="right"/>
              <w:ind w:right="568"/>
              <w:spacing w:after="0"/>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6"/>
                <w:szCs w:val="16"/>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color w:val="auto"/>
              </w:rPr>
              <w:t>September 30,</w:t>
            </w:r>
          </w:p>
        </w:tc>
        <w:tc>
          <w:tcPr>
            <w:tcW w:w="2380" w:type="dxa"/>
            <w:vAlign w:val="bottom"/>
            <w:gridSpan w:val="2"/>
          </w:tcPr>
          <w:p>
            <w:pPr>
              <w:jc w:val="right"/>
              <w:ind w:right="708"/>
              <w:spacing w:after="0"/>
              <w:rPr>
                <w:sz w:val="20"/>
                <w:szCs w:val="20"/>
                <w:color w:val="auto"/>
              </w:rPr>
            </w:pPr>
            <w:r>
              <w:rPr>
                <w:rFonts w:ascii="Arial" w:cs="Arial" w:eastAsia="Arial" w:hAnsi="Arial"/>
                <w:sz w:val="14"/>
                <w:szCs w:val="14"/>
                <w:color w:val="auto"/>
              </w:rPr>
              <w:t>September 30,</w:t>
            </w:r>
          </w:p>
        </w:tc>
        <w:tc>
          <w:tcPr>
            <w:tcW w:w="2160" w:type="dxa"/>
            <w:vAlign w:val="bottom"/>
            <w:gridSpan w:val="2"/>
          </w:tcPr>
          <w:p>
            <w:pPr>
              <w:jc w:val="right"/>
              <w:ind w:right="588"/>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97"/>
        </w:trPr>
        <w:tc>
          <w:tcPr>
            <w:tcW w:w="2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2022</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2021</w:t>
            </w: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6"/>
        </w:trPr>
        <w:tc>
          <w:tcPr>
            <w:tcW w:w="2060" w:type="dxa"/>
            <w:vAlign w:val="bottom"/>
          </w:tcPr>
          <w:p>
            <w:pPr>
              <w:ind w:left="20"/>
              <w:spacing w:after="0"/>
              <w:rPr>
                <w:sz w:val="20"/>
                <w:szCs w:val="20"/>
                <w:color w:val="auto"/>
              </w:rPr>
            </w:pPr>
            <w:r>
              <w:rPr>
                <w:rFonts w:ascii="Arial" w:cs="Arial" w:eastAsia="Arial" w:hAnsi="Arial"/>
                <w:sz w:val="14"/>
                <w:szCs w:val="14"/>
                <w:color w:val="auto"/>
              </w:rPr>
              <w:t>Arkansas Gas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30,663</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25,188</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210,287</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145,176</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4,396,388</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4,319,944</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22,769,574</w:t>
            </w:r>
          </w:p>
        </w:tc>
        <w:tc>
          <w:tcPr>
            <w:tcW w:w="1000" w:type="dxa"/>
            <w:vAlign w:val="bottom"/>
          </w:tcPr>
          <w:p>
            <w:pPr>
              <w:jc w:val="right"/>
              <w:spacing w:after="0"/>
              <w:rPr>
                <w:sz w:val="20"/>
                <w:szCs w:val="20"/>
                <w:color w:val="auto"/>
              </w:rPr>
            </w:pPr>
            <w:r>
              <w:rPr>
                <w:rFonts w:ascii="Arial" w:cs="Arial" w:eastAsia="Arial" w:hAnsi="Arial"/>
                <w:sz w:val="14"/>
                <w:szCs w:val="14"/>
                <w:color w:val="auto"/>
              </w:rPr>
              <w:t>23,345,095</w:t>
            </w:r>
          </w:p>
        </w:tc>
        <w:tc>
          <w:tcPr>
            <w:tcW w:w="0" w:type="dxa"/>
            <w:vAlign w:val="bottom"/>
          </w:tcPr>
          <w:p>
            <w:pPr>
              <w:spacing w:after="0"/>
              <w:rPr>
                <w:sz w:val="1"/>
                <w:szCs w:val="1"/>
                <w:color w:val="auto"/>
              </w:rPr>
            </w:pPr>
          </w:p>
        </w:tc>
      </w:tr>
      <w:tr>
        <w:trPr>
          <w:trHeight w:val="207"/>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Colorado Gas</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32,239</w:t>
            </w:r>
          </w:p>
        </w:tc>
        <w:tc>
          <w:tcPr>
            <w:tcW w:w="260" w:type="dxa"/>
            <w:vAlign w:val="bottom"/>
            <w:shd w:val="clear" w:color="auto" w:fill="CEFFE7"/>
          </w:tcPr>
          <w:p>
            <w:pPr>
              <w:spacing w:after="0"/>
              <w:rPr>
                <w:sz w:val="17"/>
                <w:szCs w:val="17"/>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22,452</w:t>
            </w:r>
          </w:p>
        </w:tc>
        <w:tc>
          <w:tcPr>
            <w:tcW w:w="28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202,620</w:t>
            </w:r>
          </w:p>
        </w:tc>
        <w:tc>
          <w:tcPr>
            <w:tcW w:w="280" w:type="dxa"/>
            <w:vAlign w:val="bottom"/>
            <w:shd w:val="clear" w:color="auto" w:fill="CEFFE7"/>
          </w:tcPr>
          <w:p>
            <w:pPr>
              <w:spacing w:after="0"/>
              <w:rPr>
                <w:sz w:val="17"/>
                <w:szCs w:val="17"/>
                <w:color w:val="auto"/>
              </w:rPr>
            </w:pPr>
          </w:p>
        </w:tc>
        <w:tc>
          <w:tcPr>
            <w:tcW w:w="8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135,764</w:t>
            </w:r>
          </w:p>
        </w:tc>
        <w:tc>
          <w:tcPr>
            <w:tcW w:w="100" w:type="dxa"/>
            <w:vAlign w:val="bottom"/>
            <w:shd w:val="clear" w:color="auto" w:fill="CEFFE7"/>
          </w:tcPr>
          <w:p>
            <w:pPr>
              <w:spacing w:after="0"/>
              <w:rPr>
                <w:sz w:val="17"/>
                <w:szCs w:val="17"/>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3,408,420</w:t>
            </w:r>
          </w:p>
        </w:tc>
        <w:tc>
          <w:tcPr>
            <w:tcW w:w="128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3,798,587</w:t>
            </w:r>
          </w:p>
        </w:tc>
        <w:tc>
          <w:tcPr>
            <w:tcW w:w="116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23,192,881</w:t>
            </w: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23,121,887</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Iowa Gas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24,580</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22,015</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187,209</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108,600</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5,103,212</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5,810,932</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28,658,007</w:t>
            </w:r>
          </w:p>
        </w:tc>
        <w:tc>
          <w:tcPr>
            <w:tcW w:w="1000" w:type="dxa"/>
            <w:vAlign w:val="bottom"/>
          </w:tcPr>
          <w:p>
            <w:pPr>
              <w:jc w:val="right"/>
              <w:spacing w:after="0"/>
              <w:rPr>
                <w:sz w:val="20"/>
                <w:szCs w:val="20"/>
                <w:color w:val="auto"/>
              </w:rPr>
            </w:pPr>
            <w:r>
              <w:rPr>
                <w:rFonts w:ascii="Arial" w:cs="Arial" w:eastAsia="Arial" w:hAnsi="Arial"/>
                <w:sz w:val="14"/>
                <w:szCs w:val="14"/>
                <w:color w:val="auto"/>
              </w:rPr>
              <w:t>27,141,518</w:t>
            </w:r>
          </w:p>
        </w:tc>
        <w:tc>
          <w:tcPr>
            <w:tcW w:w="0" w:type="dxa"/>
            <w:vAlign w:val="bottom"/>
          </w:tcPr>
          <w:p>
            <w:pPr>
              <w:spacing w:after="0"/>
              <w:rPr>
                <w:sz w:val="1"/>
                <w:szCs w:val="1"/>
                <w:color w:val="auto"/>
              </w:rPr>
            </w:pPr>
          </w:p>
        </w:tc>
      </w:tr>
      <w:tr>
        <w:trPr>
          <w:trHeight w:val="207"/>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Kansas Gas</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38,029</w:t>
            </w:r>
          </w:p>
        </w:tc>
        <w:tc>
          <w:tcPr>
            <w:tcW w:w="260" w:type="dxa"/>
            <w:vAlign w:val="bottom"/>
            <w:shd w:val="clear" w:color="auto" w:fill="CEFFE7"/>
          </w:tcPr>
          <w:p>
            <w:pPr>
              <w:spacing w:after="0"/>
              <w:rPr>
                <w:sz w:val="17"/>
                <w:szCs w:val="17"/>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25,972</w:t>
            </w:r>
          </w:p>
        </w:tc>
        <w:tc>
          <w:tcPr>
            <w:tcW w:w="28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132,362</w:t>
            </w:r>
          </w:p>
        </w:tc>
        <w:tc>
          <w:tcPr>
            <w:tcW w:w="280" w:type="dxa"/>
            <w:vAlign w:val="bottom"/>
            <w:shd w:val="clear" w:color="auto" w:fill="CEFFE7"/>
          </w:tcPr>
          <w:p>
            <w:pPr>
              <w:spacing w:after="0"/>
              <w:rPr>
                <w:sz w:val="17"/>
                <w:szCs w:val="17"/>
                <w:color w:val="auto"/>
              </w:rPr>
            </w:pPr>
          </w:p>
        </w:tc>
        <w:tc>
          <w:tcPr>
            <w:tcW w:w="88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87,198</w:t>
            </w:r>
          </w:p>
        </w:tc>
        <w:tc>
          <w:tcPr>
            <w:tcW w:w="100" w:type="dxa"/>
            <w:vAlign w:val="bottom"/>
            <w:shd w:val="clear" w:color="auto" w:fill="CEFFE7"/>
          </w:tcPr>
          <w:p>
            <w:pPr>
              <w:spacing w:after="0"/>
              <w:rPr>
                <w:sz w:val="17"/>
                <w:szCs w:val="17"/>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9,202,701</w:t>
            </w:r>
          </w:p>
        </w:tc>
        <w:tc>
          <w:tcPr>
            <w:tcW w:w="128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9,075,960</w:t>
            </w:r>
          </w:p>
        </w:tc>
        <w:tc>
          <w:tcPr>
            <w:tcW w:w="116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28,954,575</w:t>
            </w: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26,694,184</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Nebraska Gas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61,588</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51,538</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258,159</w:t>
            </w:r>
          </w:p>
        </w:tc>
        <w:tc>
          <w:tcPr>
            <w:tcW w:w="28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187,673</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17,237,325</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16,174,821</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61,287,579</w:t>
            </w:r>
          </w:p>
        </w:tc>
        <w:tc>
          <w:tcPr>
            <w:tcW w:w="1000" w:type="dxa"/>
            <w:vAlign w:val="bottom"/>
          </w:tcPr>
          <w:p>
            <w:pPr>
              <w:jc w:val="right"/>
              <w:spacing w:after="0"/>
              <w:rPr>
                <w:sz w:val="20"/>
                <w:szCs w:val="20"/>
                <w:color w:val="auto"/>
              </w:rPr>
            </w:pPr>
            <w:r>
              <w:rPr>
                <w:rFonts w:ascii="Arial" w:cs="Arial" w:eastAsia="Arial" w:hAnsi="Arial"/>
                <w:sz w:val="14"/>
                <w:szCs w:val="14"/>
                <w:color w:val="auto"/>
              </w:rPr>
              <w:t>59,281,802</w:t>
            </w:r>
          </w:p>
        </w:tc>
        <w:tc>
          <w:tcPr>
            <w:tcW w:w="0" w:type="dxa"/>
            <w:vAlign w:val="bottom"/>
          </w:tcPr>
          <w:p>
            <w:pPr>
              <w:spacing w:after="0"/>
              <w:rPr>
                <w:sz w:val="1"/>
                <w:szCs w:val="1"/>
                <w:color w:val="auto"/>
              </w:rPr>
            </w:pPr>
          </w:p>
        </w:tc>
      </w:tr>
      <w:tr>
        <w:trPr>
          <w:trHeight w:val="207"/>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Wyoming Gas</w:t>
            </w:r>
          </w:p>
        </w:tc>
        <w:tc>
          <w:tcPr>
            <w:tcW w:w="260" w:type="dxa"/>
            <w:vAlign w:val="bottom"/>
            <w:tcBorders>
              <w:bottom w:val="single" w:sz="8" w:color="auto"/>
            </w:tcBorders>
            <w:shd w:val="clear" w:color="auto" w:fill="CEFFE7"/>
          </w:tcPr>
          <w:p>
            <w:pPr>
              <w:spacing w:after="0"/>
              <w:rPr>
                <w:sz w:val="17"/>
                <w:szCs w:val="17"/>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21,189</w:t>
            </w:r>
          </w:p>
        </w:tc>
        <w:tc>
          <w:tcPr>
            <w:tcW w:w="260" w:type="dxa"/>
            <w:vAlign w:val="bottom"/>
            <w:tcBorders>
              <w:bottom w:val="single" w:sz="8" w:color="auto"/>
            </w:tcBorders>
            <w:shd w:val="clear" w:color="auto" w:fill="CEFFE7"/>
          </w:tcPr>
          <w:p>
            <w:pPr>
              <w:spacing w:after="0"/>
              <w:rPr>
                <w:sz w:val="17"/>
                <w:szCs w:val="17"/>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17,518</w:t>
            </w:r>
          </w:p>
        </w:tc>
        <w:tc>
          <w:tcPr>
            <w:tcW w:w="28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113,212</w:t>
            </w:r>
          </w:p>
        </w:tc>
        <w:tc>
          <w:tcPr>
            <w:tcW w:w="280" w:type="dxa"/>
            <w:vAlign w:val="bottom"/>
            <w:tcBorders>
              <w:bottom w:val="single" w:sz="8" w:color="auto"/>
            </w:tcBorders>
            <w:shd w:val="clear" w:color="auto" w:fill="CEFFE7"/>
          </w:tcPr>
          <w:p>
            <w:pPr>
              <w:spacing w:after="0"/>
              <w:rPr>
                <w:sz w:val="17"/>
                <w:szCs w:val="17"/>
                <w:color w:val="auto"/>
              </w:rPr>
            </w:pPr>
          </w:p>
        </w:tc>
        <w:tc>
          <w:tcPr>
            <w:tcW w:w="88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88,841</w:t>
            </w:r>
          </w:p>
        </w:tc>
        <w:tc>
          <w:tcPr>
            <w:tcW w:w="100" w:type="dxa"/>
            <w:vAlign w:val="bottom"/>
            <w:shd w:val="clear" w:color="auto" w:fill="CEFFE7"/>
          </w:tcPr>
          <w:p>
            <w:pPr>
              <w:spacing w:after="0"/>
              <w:rPr>
                <w:sz w:val="17"/>
                <w:szCs w:val="17"/>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5,055,336</w:t>
            </w:r>
          </w:p>
        </w:tc>
        <w:tc>
          <w:tcPr>
            <w:tcW w:w="1280" w:type="dxa"/>
            <w:vAlign w:val="bottom"/>
            <w:tcBorders>
              <w:bottom w:val="single" w:sz="8" w:color="auto"/>
            </w:tcBorders>
            <w:shd w:val="clear" w:color="auto" w:fill="CEFFE7"/>
          </w:tcPr>
          <w:p>
            <w:pPr>
              <w:jc w:val="right"/>
              <w:ind w:right="108"/>
              <w:spacing w:after="0"/>
              <w:rPr>
                <w:sz w:val="20"/>
                <w:szCs w:val="20"/>
                <w:color w:val="auto"/>
              </w:rPr>
            </w:pPr>
            <w:r>
              <w:rPr>
                <w:rFonts w:ascii="Arial" w:cs="Arial" w:eastAsia="Arial" w:hAnsi="Arial"/>
                <w:sz w:val="14"/>
                <w:szCs w:val="14"/>
                <w:color w:val="auto"/>
              </w:rPr>
              <w:t>4,419,638</w:t>
            </w:r>
          </w:p>
        </w:tc>
        <w:tc>
          <w:tcPr>
            <w:tcW w:w="116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24,993,647</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23,090,050</w:t>
            </w:r>
          </w:p>
        </w:tc>
        <w:tc>
          <w:tcPr>
            <w:tcW w:w="0" w:type="dxa"/>
            <w:vAlign w:val="bottom"/>
          </w:tcPr>
          <w:p>
            <w:pPr>
              <w:spacing w:after="0"/>
              <w:rPr>
                <w:sz w:val="1"/>
                <w:szCs w:val="1"/>
                <w:color w:val="auto"/>
              </w:rPr>
            </w:pPr>
          </w:p>
        </w:tc>
      </w:tr>
      <w:tr>
        <w:trPr>
          <w:trHeight w:val="128"/>
        </w:trPr>
        <w:tc>
          <w:tcPr>
            <w:tcW w:w="2060" w:type="dxa"/>
            <w:vAlign w:val="bottom"/>
          </w:tcPr>
          <w:p>
            <w:pPr>
              <w:ind w:left="240"/>
              <w:spacing w:after="0" w:line="129" w:lineRule="exact"/>
              <w:rPr>
                <w:sz w:val="20"/>
                <w:szCs w:val="20"/>
                <w:color w:val="auto"/>
              </w:rPr>
            </w:pPr>
            <w:r>
              <w:rPr>
                <w:rFonts w:ascii="Arial" w:cs="Arial" w:eastAsia="Arial" w:hAnsi="Arial"/>
                <w:sz w:val="14"/>
                <w:szCs w:val="14"/>
                <w:color w:val="auto"/>
              </w:rPr>
              <w:t>Total Revenue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208,288</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164,683</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1,103,849</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753,252</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44,403,382</w:t>
            </w: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43,599,882</w:t>
            </w: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auto"/>
              </w:rPr>
              <w:t>189,856,263</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182,674,536</w:t>
            </w:r>
          </w:p>
        </w:tc>
        <w:tc>
          <w:tcPr>
            <w:tcW w:w="0" w:type="dxa"/>
            <w:vAlign w:val="bottom"/>
          </w:tcPr>
          <w:p>
            <w:pPr>
              <w:spacing w:after="0"/>
              <w:rPr>
                <w:sz w:val="1"/>
                <w:szCs w:val="1"/>
                <w:color w:val="auto"/>
              </w:rPr>
            </w:pPr>
          </w:p>
        </w:tc>
      </w:tr>
      <w:tr>
        <w:trPr>
          <w:trHeight w:val="167"/>
        </w:trPr>
        <w:tc>
          <w:tcPr>
            <w:tcW w:w="2060" w:type="dxa"/>
            <w:vAlign w:val="bottom"/>
          </w:tcPr>
          <w:p>
            <w:pPr>
              <w:ind w:left="240"/>
              <w:spacing w:after="0"/>
              <w:rPr>
                <w:sz w:val="20"/>
                <w:szCs w:val="20"/>
                <w:color w:val="auto"/>
              </w:rPr>
            </w:pPr>
            <w:r>
              <w:rPr>
                <w:rFonts w:ascii="Arial" w:cs="Arial" w:eastAsia="Arial" w:hAnsi="Arial"/>
                <w:sz w:val="14"/>
                <w:szCs w:val="14"/>
                <w:color w:val="auto"/>
              </w:rPr>
              <w:t>Quantities Sold</w:t>
            </w:r>
          </w:p>
        </w:tc>
        <w:tc>
          <w:tcPr>
            <w:tcW w:w="2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93" w:lineRule="exact"/>
        <w:rPr>
          <w:sz w:val="20"/>
          <w:szCs w:val="20"/>
          <w:color w:val="auto"/>
        </w:rPr>
      </w:pPr>
    </w:p>
    <w:p>
      <w:pPr>
        <w:jc w:val="center"/>
        <w:ind w:left="2440"/>
        <w:spacing w:after="0"/>
        <w:rPr>
          <w:sz w:val="20"/>
          <w:szCs w:val="20"/>
          <w:color w:val="auto"/>
        </w:rPr>
      </w:pPr>
      <w:r>
        <w:rPr>
          <w:rFonts w:ascii="Arial" w:cs="Arial" w:eastAsia="Arial" w:hAnsi="Arial"/>
          <w:sz w:val="16"/>
          <w:szCs w:val="16"/>
          <w:color w:val="auto"/>
        </w:rPr>
        <w:t>Three Months Ended September 30,</w:t>
      </w:r>
    </w:p>
    <w:p>
      <w:pPr>
        <w:spacing w:after="0" w:line="32" w:lineRule="exact"/>
        <w:rPr>
          <w:sz w:val="20"/>
          <w:szCs w:val="20"/>
          <w:color w:val="auto"/>
        </w:rPr>
      </w:pPr>
    </w:p>
    <w:p>
      <w:pPr>
        <w:ind w:left="3560"/>
        <w:spacing w:after="0"/>
        <w:tabs>
          <w:tab w:leader="none" w:pos="5640" w:val="left"/>
        </w:tabs>
        <w:rPr>
          <w:sz w:val="20"/>
          <w:szCs w:val="20"/>
          <w:color w:val="auto"/>
        </w:rPr>
      </w:pPr>
      <w:r>
        <w:rPr>
          <w:rFonts w:ascii="Arial" w:cs="Arial" w:eastAsia="Arial" w:hAnsi="Arial"/>
          <w:sz w:val="16"/>
          <w:szCs w:val="16"/>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w:t>
      </w:r>
    </w:p>
    <w:p>
      <w:pPr>
        <w:spacing w:after="0" w:line="32" w:lineRule="exact"/>
        <w:rPr>
          <w:sz w:val="20"/>
          <w:szCs w:val="20"/>
          <w:color w:val="auto"/>
        </w:rPr>
      </w:pPr>
    </w:p>
    <w:p>
      <w:pPr>
        <w:ind w:left="40"/>
        <w:spacing w:after="0"/>
        <w:tabs>
          <w:tab w:leader="none" w:pos="2120" w:val="left"/>
        </w:tabs>
        <w:rPr>
          <w:sz w:val="20"/>
          <w:szCs w:val="20"/>
          <w:color w:val="auto"/>
        </w:rPr>
      </w:pPr>
      <w:r>
        <w:rPr>
          <w:rFonts w:ascii="Arial" w:cs="Arial" w:eastAsia="Arial" w:hAnsi="Arial"/>
          <w:sz w:val="16"/>
          <w:szCs w:val="16"/>
          <w:color w:val="auto"/>
        </w:rPr>
        <w:t>2022</w:t>
      </w:r>
      <w:r>
        <w:rPr>
          <w:sz w:val="20"/>
          <w:szCs w:val="20"/>
          <w:color w:val="auto"/>
        </w:rPr>
        <w:tab/>
      </w:r>
      <w:r>
        <w:rPr>
          <w:rFonts w:ascii="Arial" w:cs="Arial" w:eastAsia="Arial" w:hAnsi="Arial"/>
          <w:sz w:val="16"/>
          <w:szCs w:val="16"/>
          <w:color w:val="auto"/>
        </w:rPr>
        <w:t>2021</w:t>
      </w:r>
    </w:p>
    <w:p>
      <w:pPr>
        <w:spacing w:after="0" w:line="31" w:lineRule="exact"/>
        <w:rPr>
          <w:sz w:val="20"/>
          <w:szCs w:val="20"/>
          <w:color w:val="auto"/>
        </w:rPr>
      </w:pPr>
    </w:p>
    <w:p>
      <w:pPr>
        <w:sectPr>
          <w:pgSz w:w="11900" w:h="16838" w:orient="portrait"/>
          <w:cols w:equalWidth="0" w:num="2">
            <w:col w:w="7140" w:space="720"/>
            <w:col w:w="3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Heating Degree Days</w:t>
            </w:r>
          </w:p>
        </w:tc>
        <w:tc>
          <w:tcPr>
            <w:tcW w:w="940" w:type="dxa"/>
            <w:vAlign w:val="bottom"/>
            <w:tcBorders>
              <w:top w:val="single" w:sz="8" w:color="auto"/>
            </w:tcBorders>
            <w:vMerge w:val="restart"/>
          </w:tcPr>
          <w:p>
            <w:pPr>
              <w:ind w:left="300"/>
              <w:spacing w:after="0"/>
              <w:rPr>
                <w:sz w:val="20"/>
                <w:szCs w:val="20"/>
                <w:color w:val="auto"/>
              </w:rPr>
            </w:pPr>
            <w:r>
              <w:rPr>
                <w:rFonts w:ascii="Arial" w:cs="Arial" w:eastAsia="Arial" w:hAnsi="Arial"/>
                <w:sz w:val="16"/>
                <w:szCs w:val="16"/>
                <w:color w:val="auto"/>
              </w:rPr>
              <w:t>Actual</w:t>
            </w:r>
          </w:p>
        </w:tc>
        <w:tc>
          <w:tcPr>
            <w:tcW w:w="12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rPr>
              <w:t>Variance</w:t>
            </w:r>
          </w:p>
        </w:tc>
        <w:tc>
          <w:tcPr>
            <w:tcW w:w="8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color w:val="auto"/>
              </w:rPr>
              <w:t>Actual</w:t>
            </w:r>
          </w:p>
        </w:tc>
        <w:tc>
          <w:tcPr>
            <w:tcW w:w="1180" w:type="dxa"/>
            <w:vAlign w:val="bottom"/>
            <w:tcBorders>
              <w:top w:val="single" w:sz="8" w:color="auto"/>
            </w:tcBorders>
          </w:tcPr>
          <w:p>
            <w:pPr>
              <w:jc w:val="center"/>
              <w:ind w:left="39"/>
              <w:spacing w:after="0" w:line="158" w:lineRule="exact"/>
              <w:rPr>
                <w:sz w:val="20"/>
                <w:szCs w:val="20"/>
                <w:color w:val="auto"/>
              </w:rPr>
            </w:pPr>
            <w:r>
              <w:rPr>
                <w:rFonts w:ascii="Arial" w:cs="Arial" w:eastAsia="Arial" w:hAnsi="Arial"/>
                <w:sz w:val="16"/>
                <w:szCs w:val="16"/>
                <w:color w:val="auto"/>
                <w:w w:val="98"/>
              </w:rPr>
              <w:t>Variance</w:t>
            </w:r>
          </w:p>
        </w:tc>
        <w:tc>
          <w:tcPr>
            <w:tcW w:w="120" w:type="dxa"/>
            <w:vAlign w:val="bottom"/>
          </w:tcPr>
          <w:p>
            <w:pPr>
              <w:spacing w:after="0"/>
              <w:rPr>
                <w:sz w:val="13"/>
                <w:szCs w:val="13"/>
                <w:color w:val="auto"/>
              </w:rPr>
            </w:pPr>
          </w:p>
        </w:tc>
        <w:tc>
          <w:tcPr>
            <w:tcW w:w="960" w:type="dxa"/>
            <w:vAlign w:val="bottom"/>
            <w:tcBorders>
              <w:top w:val="single" w:sz="8" w:color="auto"/>
            </w:tcBorders>
            <w:vMerge w:val="restart"/>
          </w:tcPr>
          <w:p>
            <w:pPr>
              <w:ind w:left="300"/>
              <w:spacing w:after="0"/>
              <w:rPr>
                <w:sz w:val="20"/>
                <w:szCs w:val="20"/>
                <w:color w:val="auto"/>
              </w:rPr>
            </w:pPr>
            <w:r>
              <w:rPr>
                <w:rFonts w:ascii="Arial" w:cs="Arial" w:eastAsia="Arial" w:hAnsi="Arial"/>
                <w:sz w:val="16"/>
                <w:szCs w:val="16"/>
                <w:color w:val="auto"/>
              </w:rPr>
              <w:t>Actual</w:t>
            </w:r>
          </w:p>
        </w:tc>
        <w:tc>
          <w:tcPr>
            <w:tcW w:w="12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98"/>
              </w:rPr>
              <w:t>Variance</w:t>
            </w:r>
          </w:p>
        </w:tc>
        <w:tc>
          <w:tcPr>
            <w:tcW w:w="84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color w:val="auto"/>
              </w:rPr>
              <w:t>Actual</w:t>
            </w:r>
          </w:p>
        </w:tc>
        <w:tc>
          <w:tcPr>
            <w:tcW w:w="1160" w:type="dxa"/>
            <w:vAlign w:val="bottom"/>
            <w:tcBorders>
              <w:top w:val="single" w:sz="8" w:color="auto"/>
            </w:tcBorders>
          </w:tcPr>
          <w:p>
            <w:pPr>
              <w:jc w:val="center"/>
              <w:ind w:left="19"/>
              <w:spacing w:after="0" w:line="158" w:lineRule="exact"/>
              <w:rPr>
                <w:sz w:val="20"/>
                <w:szCs w:val="20"/>
                <w:color w:val="auto"/>
              </w:rPr>
            </w:pPr>
            <w:r>
              <w:rPr>
                <w:rFonts w:ascii="Arial" w:cs="Arial" w:eastAsia="Arial" w:hAnsi="Arial"/>
                <w:sz w:val="16"/>
                <w:szCs w:val="16"/>
                <w:color w:val="auto"/>
                <w:w w:val="98"/>
              </w:rPr>
              <w:t>Variance</w:t>
            </w:r>
          </w:p>
        </w:tc>
        <w:tc>
          <w:tcPr>
            <w:tcW w:w="0" w:type="dxa"/>
            <w:vAlign w:val="bottom"/>
          </w:tcPr>
          <w:p>
            <w:pPr>
              <w:spacing w:after="0"/>
              <w:rPr>
                <w:sz w:val="1"/>
                <w:szCs w:val="1"/>
                <w:color w:val="auto"/>
              </w:rPr>
            </w:pPr>
          </w:p>
        </w:tc>
      </w:tr>
      <w:tr>
        <w:trPr>
          <w:trHeight w:val="215"/>
        </w:trPr>
        <w:tc>
          <w:tcPr>
            <w:tcW w:w="26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from Normal</w:t>
            </w:r>
          </w:p>
        </w:tc>
        <w:tc>
          <w:tcPr>
            <w:tcW w:w="820" w:type="dxa"/>
            <w:vAlign w:val="bottom"/>
            <w:vMerge w:val="continue"/>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color w:val="auto"/>
              </w:rPr>
              <w:t>from Normal</w:t>
            </w:r>
          </w:p>
        </w:tc>
        <w:tc>
          <w:tcPr>
            <w:tcW w:w="960" w:type="dxa"/>
            <w:vAlign w:val="bottom"/>
            <w:vMerge w:val="continue"/>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from Normal</w:t>
            </w:r>
          </w:p>
        </w:tc>
        <w:tc>
          <w:tcPr>
            <w:tcW w:w="840" w:type="dxa"/>
            <w:vAlign w:val="bottom"/>
            <w:vMerge w:val="continue"/>
          </w:tcPr>
          <w:p>
            <w:pPr>
              <w:spacing w:after="0"/>
              <w:rPr>
                <w:sz w:val="18"/>
                <w:szCs w:val="18"/>
                <w:color w:val="auto"/>
              </w:rPr>
            </w:pPr>
          </w:p>
        </w:tc>
        <w:tc>
          <w:tcPr>
            <w:tcW w:w="1160" w:type="dxa"/>
            <w:vAlign w:val="bottom"/>
          </w:tcPr>
          <w:p>
            <w:pPr>
              <w:jc w:val="center"/>
              <w:ind w:left="19"/>
              <w:spacing w:after="0"/>
              <w:rPr>
                <w:sz w:val="20"/>
                <w:szCs w:val="20"/>
                <w:color w:val="auto"/>
              </w:rPr>
            </w:pPr>
            <w:r>
              <w:rPr>
                <w:rFonts w:ascii="Arial" w:cs="Arial" w:eastAsia="Arial" w:hAnsi="Arial"/>
                <w:sz w:val="16"/>
                <w:szCs w:val="16"/>
                <w:color w:val="auto"/>
              </w:rPr>
              <w:t>from Normal</w:t>
            </w:r>
          </w:p>
        </w:tc>
        <w:tc>
          <w:tcPr>
            <w:tcW w:w="0" w:type="dxa"/>
            <w:vAlign w:val="bottom"/>
          </w:tcPr>
          <w:p>
            <w:pPr>
              <w:spacing w:after="0"/>
              <w:rPr>
                <w:sz w:val="1"/>
                <w:szCs w:val="1"/>
                <w:color w:val="auto"/>
              </w:rPr>
            </w:pPr>
          </w:p>
        </w:tc>
      </w:tr>
      <w:tr>
        <w:trPr>
          <w:trHeight w:val="210"/>
        </w:trPr>
        <w:tc>
          <w:tcPr>
            <w:tcW w:w="2680" w:type="dxa"/>
            <w:vAlign w:val="bottom"/>
            <w:tcBorders>
              <w:top w:val="single" w:sz="8" w:color="auto"/>
            </w:tcBorders>
            <w:shd w:val="clear" w:color="auto" w:fill="CEFFE7"/>
          </w:tcPr>
          <w:p>
            <w:pPr>
              <w:ind w:left="40"/>
              <w:spacing w:after="0" w:line="210"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940" w:type="dxa"/>
            <w:vAlign w:val="bottom"/>
            <w:tcBorders>
              <w:top w:val="single" w:sz="8" w:color="auto"/>
            </w:tcBorders>
            <w:shd w:val="clear" w:color="auto" w:fill="CEFFE7"/>
          </w:tcPr>
          <w:p>
            <w:pPr>
              <w:jc w:val="center"/>
              <w:ind w:left="39"/>
              <w:spacing w:after="0"/>
              <w:rPr>
                <w:sz w:val="20"/>
                <w:szCs w:val="20"/>
                <w:color w:val="auto"/>
              </w:rPr>
            </w:pPr>
            <w:r>
              <w:rPr>
                <w:rFonts w:ascii="Arial" w:cs="Arial" w:eastAsia="Arial" w:hAnsi="Arial"/>
                <w:sz w:val="16"/>
                <w:szCs w:val="16"/>
                <w:color w:val="auto"/>
              </w:rPr>
              <w:t>16</w:t>
            </w:r>
          </w:p>
        </w:tc>
        <w:tc>
          <w:tcPr>
            <w:tcW w:w="128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(63)%</w:t>
            </w:r>
          </w:p>
        </w:tc>
        <w:tc>
          <w:tcPr>
            <w:tcW w:w="82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11</w:t>
            </w:r>
          </w:p>
        </w:tc>
        <w:tc>
          <w:tcPr>
            <w:tcW w:w="1180" w:type="dxa"/>
            <w:vAlign w:val="bottom"/>
            <w:tcBorders>
              <w:top w:val="single" w:sz="8" w:color="auto"/>
            </w:tcBorders>
            <w:shd w:val="clear" w:color="auto" w:fill="CEFFE7"/>
          </w:tcPr>
          <w:p>
            <w:pPr>
              <w:jc w:val="center"/>
              <w:ind w:left="39"/>
              <w:spacing w:after="0"/>
              <w:rPr>
                <w:sz w:val="20"/>
                <w:szCs w:val="20"/>
                <w:color w:val="auto"/>
              </w:rPr>
            </w:pPr>
            <w:r>
              <w:rPr>
                <w:rFonts w:ascii="Arial" w:cs="Arial" w:eastAsia="Arial" w:hAnsi="Arial"/>
                <w:sz w:val="16"/>
                <w:szCs w:val="16"/>
                <w:color w:val="auto"/>
                <w:w w:val="98"/>
              </w:rPr>
              <w:t>(74)%</w:t>
            </w:r>
          </w:p>
        </w:tc>
        <w:tc>
          <w:tcPr>
            <w:tcW w:w="120" w:type="dxa"/>
            <w:vAlign w:val="bottom"/>
            <w:tcBorders>
              <w:top w:val="single" w:sz="8" w:color="CEFFE7"/>
            </w:tcBorders>
            <w:shd w:val="clear" w:color="auto" w:fill="CEFFE7"/>
          </w:tcPr>
          <w:p>
            <w:pPr>
              <w:spacing w:after="0"/>
              <w:rPr>
                <w:sz w:val="18"/>
                <w:szCs w:val="18"/>
                <w:color w:val="auto"/>
              </w:rPr>
            </w:pPr>
          </w:p>
        </w:tc>
        <w:tc>
          <w:tcPr>
            <w:tcW w:w="960" w:type="dxa"/>
            <w:vAlign w:val="bottom"/>
            <w:tcBorders>
              <w:top w:val="single" w:sz="8" w:color="auto"/>
            </w:tcBorders>
            <w:shd w:val="clear" w:color="auto" w:fill="CEFFE7"/>
          </w:tcPr>
          <w:p>
            <w:pPr>
              <w:ind w:left="340"/>
              <w:spacing w:after="0"/>
              <w:rPr>
                <w:sz w:val="20"/>
                <w:szCs w:val="20"/>
                <w:color w:val="auto"/>
              </w:rPr>
            </w:pPr>
            <w:r>
              <w:rPr>
                <w:rFonts w:ascii="Arial" w:cs="Arial" w:eastAsia="Arial" w:hAnsi="Arial"/>
                <w:sz w:val="16"/>
                <w:szCs w:val="16"/>
                <w:color w:val="auto"/>
              </w:rPr>
              <w:t>2,386</w:t>
            </w:r>
          </w:p>
        </w:tc>
        <w:tc>
          <w:tcPr>
            <w:tcW w:w="126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(4)%</w:t>
            </w:r>
          </w:p>
        </w:tc>
        <w:tc>
          <w:tcPr>
            <w:tcW w:w="840" w:type="dxa"/>
            <w:vAlign w:val="bottom"/>
            <w:tcBorders>
              <w:top w:val="single" w:sz="8" w:color="auto"/>
            </w:tcBorders>
            <w:shd w:val="clear" w:color="auto" w:fill="CEFFE7"/>
          </w:tcPr>
          <w:p>
            <w:pPr>
              <w:ind w:left="220"/>
              <w:spacing w:after="0"/>
              <w:rPr>
                <w:sz w:val="20"/>
                <w:szCs w:val="20"/>
                <w:color w:val="auto"/>
              </w:rPr>
            </w:pPr>
            <w:r>
              <w:rPr>
                <w:rFonts w:ascii="Arial" w:cs="Arial" w:eastAsia="Arial" w:hAnsi="Arial"/>
                <w:sz w:val="16"/>
                <w:szCs w:val="16"/>
                <w:color w:val="auto"/>
              </w:rPr>
              <w:t>2,515</w:t>
            </w:r>
          </w:p>
        </w:tc>
        <w:tc>
          <w:tcPr>
            <w:tcW w:w="1160" w:type="dxa"/>
            <w:vAlign w:val="bottom"/>
            <w:tcBorders>
              <w:top w:val="single" w:sz="8" w:color="auto"/>
            </w:tcBorders>
            <w:shd w:val="clear" w:color="auto" w:fill="CEFFE7"/>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680" w:type="dxa"/>
            <w:vAlign w:val="bottom"/>
          </w:tcPr>
          <w:p>
            <w:pPr>
              <w:ind w:left="40"/>
              <w:spacing w:after="0"/>
              <w:rPr>
                <w:sz w:val="20"/>
                <w:szCs w:val="20"/>
                <w:color w:val="auto"/>
              </w:rPr>
            </w:pPr>
            <w:r>
              <w:rPr>
                <w:rFonts w:ascii="Arial" w:cs="Arial" w:eastAsia="Arial" w:hAnsi="Arial"/>
                <w:sz w:val="16"/>
                <w:szCs w:val="16"/>
                <w:color w:val="auto"/>
              </w:rPr>
              <w:t>Colorado Gas</w:t>
            </w:r>
          </w:p>
        </w:tc>
        <w:tc>
          <w:tcPr>
            <w:tcW w:w="940" w:type="dxa"/>
            <w:vAlign w:val="bottom"/>
          </w:tcPr>
          <w:p>
            <w:pPr>
              <w:jc w:val="center"/>
              <w:ind w:left="39"/>
              <w:spacing w:after="0"/>
              <w:rPr>
                <w:sz w:val="20"/>
                <w:szCs w:val="20"/>
                <w:color w:val="auto"/>
              </w:rPr>
            </w:pPr>
            <w:r>
              <w:rPr>
                <w:rFonts w:ascii="Arial" w:cs="Arial" w:eastAsia="Arial" w:hAnsi="Arial"/>
                <w:sz w:val="16"/>
                <w:szCs w:val="16"/>
                <w:color w:val="auto"/>
              </w:rPr>
              <w:t>84</w:t>
            </w:r>
          </w:p>
        </w:tc>
        <w:tc>
          <w:tcPr>
            <w:tcW w:w="1280" w:type="dxa"/>
            <w:vAlign w:val="bottom"/>
          </w:tcPr>
          <w:p>
            <w:pPr>
              <w:jc w:val="center"/>
              <w:spacing w:after="0"/>
              <w:rPr>
                <w:sz w:val="20"/>
                <w:szCs w:val="20"/>
                <w:color w:val="auto"/>
              </w:rPr>
            </w:pPr>
            <w:r>
              <w:rPr>
                <w:rFonts w:ascii="Arial" w:cs="Arial" w:eastAsia="Arial" w:hAnsi="Arial"/>
                <w:sz w:val="16"/>
                <w:szCs w:val="16"/>
                <w:color w:val="auto"/>
              </w:rPr>
              <w:t>(61)%</w:t>
            </w:r>
          </w:p>
        </w:tc>
        <w:tc>
          <w:tcPr>
            <w:tcW w:w="820" w:type="dxa"/>
            <w:vAlign w:val="bottom"/>
          </w:tcPr>
          <w:p>
            <w:pPr>
              <w:jc w:val="center"/>
              <w:spacing w:after="0"/>
              <w:rPr>
                <w:sz w:val="20"/>
                <w:szCs w:val="20"/>
                <w:color w:val="auto"/>
              </w:rPr>
            </w:pPr>
            <w:r>
              <w:rPr>
                <w:rFonts w:ascii="Arial" w:cs="Arial" w:eastAsia="Arial" w:hAnsi="Arial"/>
                <w:sz w:val="16"/>
                <w:szCs w:val="16"/>
                <w:color w:val="auto"/>
              </w:rPr>
              <w:t>92</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w w:val="98"/>
              </w:rPr>
              <w:t>(51)%</w:t>
            </w:r>
          </w:p>
        </w:tc>
        <w:tc>
          <w:tcPr>
            <w:tcW w:w="12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rPr>
              <w:t>3,847</w:t>
            </w:r>
          </w:p>
        </w:tc>
        <w:tc>
          <w:tcPr>
            <w:tcW w:w="1260" w:type="dxa"/>
            <w:vAlign w:val="bottom"/>
          </w:tcPr>
          <w:p>
            <w:pPr>
              <w:jc w:val="center"/>
              <w:spacing w:after="0"/>
              <w:rPr>
                <w:sz w:val="20"/>
                <w:szCs w:val="20"/>
                <w:color w:val="auto"/>
              </w:rPr>
            </w:pPr>
            <w:r>
              <w:rPr>
                <w:rFonts w:ascii="Arial" w:cs="Arial" w:eastAsia="Arial" w:hAnsi="Arial"/>
                <w:sz w:val="16"/>
                <w:szCs w:val="16"/>
                <w:color w:val="auto"/>
              </w:rPr>
              <w:t>(6)%</w:t>
            </w:r>
          </w:p>
        </w:tc>
        <w:tc>
          <w:tcPr>
            <w:tcW w:w="840" w:type="dxa"/>
            <w:vAlign w:val="bottom"/>
          </w:tcPr>
          <w:p>
            <w:pPr>
              <w:ind w:left="220"/>
              <w:spacing w:after="0"/>
              <w:rPr>
                <w:sz w:val="20"/>
                <w:szCs w:val="20"/>
                <w:color w:val="auto"/>
              </w:rPr>
            </w:pPr>
            <w:r>
              <w:rPr>
                <w:rFonts w:ascii="Arial" w:cs="Arial" w:eastAsia="Arial" w:hAnsi="Arial"/>
                <w:sz w:val="16"/>
                <w:szCs w:val="16"/>
                <w:color w:val="auto"/>
              </w:rPr>
              <w:t>3,922</w:t>
            </w:r>
          </w:p>
        </w:tc>
        <w:tc>
          <w:tcPr>
            <w:tcW w:w="1160" w:type="dxa"/>
            <w:vAlign w:val="bottom"/>
          </w:tcPr>
          <w:p>
            <w:pPr>
              <w:jc w:val="center"/>
              <w:ind w:lef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2680" w:type="dxa"/>
            <w:vAlign w:val="bottom"/>
            <w:shd w:val="clear" w:color="auto" w:fill="CEFFE7"/>
          </w:tcPr>
          <w:p>
            <w:pPr>
              <w:ind w:left="40"/>
              <w:spacing w:after="0"/>
              <w:rPr>
                <w:sz w:val="20"/>
                <w:szCs w:val="20"/>
                <w:color w:val="auto"/>
              </w:rPr>
            </w:pPr>
            <w:r>
              <w:rPr>
                <w:rFonts w:ascii="Arial" w:cs="Arial" w:eastAsia="Arial" w:hAnsi="Arial"/>
                <w:sz w:val="16"/>
                <w:szCs w:val="16"/>
                <w:color w:val="auto"/>
              </w:rPr>
              <w:t>Iowa Gas</w:t>
            </w:r>
          </w:p>
        </w:tc>
        <w:tc>
          <w:tcPr>
            <w:tcW w:w="94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92</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(34)%</w:t>
            </w:r>
          </w:p>
        </w:tc>
        <w:tc>
          <w:tcPr>
            <w:tcW w:w="8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42</w:t>
            </w:r>
          </w:p>
        </w:tc>
        <w:tc>
          <w:tcPr>
            <w:tcW w:w="11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8"/>
              </w:rPr>
              <w:t>(70)%</w:t>
            </w:r>
          </w:p>
        </w:tc>
        <w:tc>
          <w:tcPr>
            <w:tcW w:w="120" w:type="dxa"/>
            <w:vAlign w:val="bottom"/>
            <w:shd w:val="clear" w:color="auto" w:fill="CEFFE7"/>
          </w:tcPr>
          <w:p>
            <w:pPr>
              <w:spacing w:after="0"/>
              <w:rPr>
                <w:sz w:val="18"/>
                <w:szCs w:val="18"/>
                <w:color w:val="auto"/>
              </w:rPr>
            </w:pPr>
          </w:p>
        </w:tc>
        <w:tc>
          <w:tcPr>
            <w:tcW w:w="9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4,474</w:t>
            </w:r>
          </w:p>
        </w:tc>
        <w:tc>
          <w:tcPr>
            <w:tcW w:w="12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4"/>
              </w:rPr>
              <w:t>7%</w:t>
            </w:r>
          </w:p>
        </w:tc>
        <w:tc>
          <w:tcPr>
            <w:tcW w:w="8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4,155</w:t>
            </w:r>
          </w:p>
        </w:tc>
        <w:tc>
          <w:tcPr>
            <w:tcW w:w="116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68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940" w:type="dxa"/>
            <w:vAlign w:val="bottom"/>
          </w:tcPr>
          <w:p>
            <w:pPr>
              <w:jc w:val="center"/>
              <w:ind w:left="39"/>
              <w:spacing w:after="0"/>
              <w:rPr>
                <w:sz w:val="20"/>
                <w:szCs w:val="20"/>
                <w:color w:val="auto"/>
              </w:rPr>
            </w:pPr>
            <w:r>
              <w:rPr>
                <w:rFonts w:ascii="Arial" w:cs="Arial" w:eastAsia="Arial" w:hAnsi="Arial"/>
                <w:sz w:val="16"/>
                <w:szCs w:val="16"/>
                <w:color w:val="auto"/>
              </w:rPr>
              <w:t>23</w:t>
            </w:r>
          </w:p>
        </w:tc>
        <w:tc>
          <w:tcPr>
            <w:tcW w:w="1280" w:type="dxa"/>
            <w:vAlign w:val="bottom"/>
          </w:tcPr>
          <w:p>
            <w:pPr>
              <w:jc w:val="center"/>
              <w:spacing w:after="0"/>
              <w:rPr>
                <w:sz w:val="20"/>
                <w:szCs w:val="20"/>
                <w:color w:val="auto"/>
              </w:rPr>
            </w:pPr>
            <w:r>
              <w:rPr>
                <w:rFonts w:ascii="Arial" w:cs="Arial" w:eastAsia="Arial" w:hAnsi="Arial"/>
                <w:sz w:val="16"/>
                <w:szCs w:val="16"/>
                <w:color w:val="auto"/>
              </w:rPr>
              <w:t>(58)%</w:t>
            </w:r>
          </w:p>
        </w:tc>
        <w:tc>
          <w:tcPr>
            <w:tcW w:w="820" w:type="dxa"/>
            <w:vAlign w:val="bottom"/>
          </w:tcPr>
          <w:p>
            <w:pPr>
              <w:jc w:val="center"/>
              <w:spacing w:after="0"/>
              <w:rPr>
                <w:sz w:val="20"/>
                <w:szCs w:val="20"/>
                <w:color w:val="auto"/>
              </w:rPr>
            </w:pPr>
            <w:r>
              <w:rPr>
                <w:rFonts w:ascii="Arial" w:cs="Arial" w:eastAsia="Arial" w:hAnsi="Arial"/>
                <w:sz w:val="16"/>
                <w:szCs w:val="16"/>
                <w:color w:val="auto"/>
              </w:rPr>
              <w:t>10</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w w:val="98"/>
              </w:rPr>
              <w:t>(82)%</w:t>
            </w:r>
          </w:p>
        </w:tc>
        <w:tc>
          <w:tcPr>
            <w:tcW w:w="12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rPr>
              <w:t>3,043</w:t>
            </w: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840" w:type="dxa"/>
            <w:vAlign w:val="bottom"/>
          </w:tcPr>
          <w:p>
            <w:pPr>
              <w:ind w:left="220"/>
              <w:spacing w:after="0"/>
              <w:rPr>
                <w:sz w:val="20"/>
                <w:szCs w:val="20"/>
                <w:color w:val="auto"/>
              </w:rPr>
            </w:pPr>
            <w:r>
              <w:rPr>
                <w:rFonts w:ascii="Arial" w:cs="Arial" w:eastAsia="Arial" w:hAnsi="Arial"/>
                <w:sz w:val="16"/>
                <w:szCs w:val="16"/>
                <w:color w:val="auto"/>
              </w:rPr>
              <w:t>3,079</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2680" w:type="dxa"/>
            <w:vAlign w:val="bottom"/>
            <w:shd w:val="clear" w:color="auto" w:fill="CEFFE7"/>
          </w:tcPr>
          <w:p>
            <w:pPr>
              <w:ind w:left="40"/>
              <w:spacing w:after="0"/>
              <w:rPr>
                <w:sz w:val="20"/>
                <w:szCs w:val="20"/>
                <w:color w:val="auto"/>
              </w:rPr>
            </w:pPr>
            <w:r>
              <w:rPr>
                <w:rFonts w:ascii="Arial" w:cs="Arial" w:eastAsia="Arial" w:hAnsi="Arial"/>
                <w:sz w:val="16"/>
                <w:szCs w:val="16"/>
                <w:color w:val="auto"/>
              </w:rPr>
              <w:t>Nebraska Gas</w:t>
            </w:r>
          </w:p>
        </w:tc>
        <w:tc>
          <w:tcPr>
            <w:tcW w:w="94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48</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(56)%</w:t>
            </w:r>
          </w:p>
        </w:tc>
        <w:tc>
          <w:tcPr>
            <w:tcW w:w="8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33</w:t>
            </w:r>
          </w:p>
        </w:tc>
        <w:tc>
          <w:tcPr>
            <w:tcW w:w="11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8"/>
              </w:rPr>
              <w:t>(70)%</w:t>
            </w:r>
          </w:p>
        </w:tc>
        <w:tc>
          <w:tcPr>
            <w:tcW w:w="120" w:type="dxa"/>
            <w:vAlign w:val="bottom"/>
            <w:shd w:val="clear" w:color="auto" w:fill="CEFFE7"/>
          </w:tcPr>
          <w:p>
            <w:pPr>
              <w:spacing w:after="0"/>
              <w:rPr>
                <w:sz w:val="18"/>
                <w:szCs w:val="18"/>
                <w:color w:val="auto"/>
              </w:rPr>
            </w:pPr>
          </w:p>
        </w:tc>
        <w:tc>
          <w:tcPr>
            <w:tcW w:w="9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3,768</w:t>
            </w:r>
          </w:p>
        </w:tc>
        <w:tc>
          <w:tcPr>
            <w:tcW w:w="12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3,754</w:t>
            </w:r>
          </w:p>
        </w:tc>
        <w:tc>
          <w:tcPr>
            <w:tcW w:w="116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680" w:type="dxa"/>
            <w:vAlign w:val="bottom"/>
          </w:tcPr>
          <w:p>
            <w:pPr>
              <w:ind w:left="40"/>
              <w:spacing w:after="0"/>
              <w:rPr>
                <w:sz w:val="20"/>
                <w:szCs w:val="20"/>
                <w:color w:val="auto"/>
              </w:rPr>
            </w:pPr>
            <w:r>
              <w:rPr>
                <w:rFonts w:ascii="Arial" w:cs="Arial" w:eastAsia="Arial" w:hAnsi="Arial"/>
                <w:sz w:val="16"/>
                <w:szCs w:val="16"/>
                <w:color w:val="auto"/>
              </w:rPr>
              <w:t>Wyoming Gas</w:t>
            </w:r>
          </w:p>
        </w:tc>
        <w:tc>
          <w:tcPr>
            <w:tcW w:w="940" w:type="dxa"/>
            <w:vAlign w:val="bottom"/>
          </w:tcPr>
          <w:p>
            <w:pPr>
              <w:jc w:val="center"/>
              <w:ind w:left="39"/>
              <w:spacing w:after="0"/>
              <w:rPr>
                <w:sz w:val="20"/>
                <w:szCs w:val="20"/>
                <w:color w:val="auto"/>
              </w:rPr>
            </w:pPr>
            <w:r>
              <w:rPr>
                <w:rFonts w:ascii="Arial" w:cs="Arial" w:eastAsia="Arial" w:hAnsi="Arial"/>
                <w:sz w:val="16"/>
                <w:szCs w:val="16"/>
                <w:color w:val="auto"/>
                <w:w w:val="97"/>
              </w:rPr>
              <w:t>140</w:t>
            </w:r>
          </w:p>
        </w:tc>
        <w:tc>
          <w:tcPr>
            <w:tcW w:w="1280" w:type="dxa"/>
            <w:vAlign w:val="bottom"/>
          </w:tcPr>
          <w:p>
            <w:pPr>
              <w:jc w:val="center"/>
              <w:spacing w:after="0"/>
              <w:rPr>
                <w:sz w:val="20"/>
                <w:szCs w:val="20"/>
                <w:color w:val="auto"/>
              </w:rPr>
            </w:pPr>
            <w:r>
              <w:rPr>
                <w:rFonts w:ascii="Arial" w:cs="Arial" w:eastAsia="Arial" w:hAnsi="Arial"/>
                <w:sz w:val="16"/>
                <w:szCs w:val="16"/>
                <w:color w:val="auto"/>
              </w:rPr>
              <w:t>(55)%</w:t>
            </w:r>
          </w:p>
        </w:tc>
        <w:tc>
          <w:tcPr>
            <w:tcW w:w="820" w:type="dxa"/>
            <w:vAlign w:val="bottom"/>
          </w:tcPr>
          <w:p>
            <w:pPr>
              <w:jc w:val="center"/>
              <w:spacing w:after="0"/>
              <w:rPr>
                <w:sz w:val="20"/>
                <w:szCs w:val="20"/>
                <w:color w:val="auto"/>
              </w:rPr>
            </w:pPr>
            <w:r>
              <w:rPr>
                <w:rFonts w:ascii="Arial" w:cs="Arial" w:eastAsia="Arial" w:hAnsi="Arial"/>
                <w:sz w:val="16"/>
                <w:szCs w:val="16"/>
                <w:color w:val="auto"/>
                <w:w w:val="97"/>
              </w:rPr>
              <w:t>153</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w w:val="98"/>
              </w:rPr>
              <w:t>(50)%</w:t>
            </w:r>
          </w:p>
        </w:tc>
        <w:tc>
          <w:tcPr>
            <w:tcW w:w="12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rPr>
              <w:t>4,738</w:t>
            </w: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840" w:type="dxa"/>
            <w:vAlign w:val="bottom"/>
          </w:tcPr>
          <w:p>
            <w:pPr>
              <w:ind w:left="220"/>
              <w:spacing w:after="0"/>
              <w:rPr>
                <w:sz w:val="20"/>
                <w:szCs w:val="20"/>
                <w:color w:val="auto"/>
              </w:rPr>
            </w:pPr>
            <w:r>
              <w:rPr>
                <w:rFonts w:ascii="Arial" w:cs="Arial" w:eastAsia="Arial" w:hAnsi="Arial"/>
                <w:sz w:val="16"/>
                <w:szCs w:val="16"/>
                <w:color w:val="auto"/>
              </w:rPr>
              <w:t>4,778</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680" w:type="dxa"/>
            <w:vAlign w:val="bottom"/>
            <w:shd w:val="clear" w:color="auto" w:fill="CEFFE7"/>
          </w:tcPr>
          <w:p>
            <w:pPr>
              <w:ind w:left="26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94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70</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(53)%</w:t>
            </w:r>
          </w:p>
        </w:tc>
        <w:tc>
          <w:tcPr>
            <w:tcW w:w="8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53</w:t>
            </w:r>
          </w:p>
        </w:tc>
        <w:tc>
          <w:tcPr>
            <w:tcW w:w="11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8"/>
              </w:rPr>
              <w:t>(61)%</w:t>
            </w:r>
          </w:p>
        </w:tc>
        <w:tc>
          <w:tcPr>
            <w:tcW w:w="120" w:type="dxa"/>
            <w:vAlign w:val="bottom"/>
            <w:shd w:val="clear" w:color="auto" w:fill="CEFFE7"/>
          </w:tcPr>
          <w:p>
            <w:pPr>
              <w:spacing w:after="0"/>
              <w:rPr>
                <w:sz w:val="18"/>
                <w:szCs w:val="18"/>
                <w:color w:val="auto"/>
              </w:rPr>
            </w:pPr>
          </w:p>
        </w:tc>
        <w:tc>
          <w:tcPr>
            <w:tcW w:w="9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4,003</w:t>
            </w:r>
          </w:p>
        </w:tc>
        <w:tc>
          <w:tcPr>
            <w:tcW w:w="12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w:t>
            </w:r>
          </w:p>
        </w:tc>
        <w:tc>
          <w:tcPr>
            <w:tcW w:w="8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3,978</w:t>
            </w:r>
          </w:p>
        </w:tc>
        <w:tc>
          <w:tcPr>
            <w:tcW w:w="116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4" w:lineRule="exact"/>
        <w:rPr>
          <w:rFonts w:ascii="Arial" w:cs="Arial" w:eastAsia="Arial" w:hAnsi="Arial"/>
          <w:sz w:val="14"/>
          <w:szCs w:val="14"/>
          <w:color w:val="auto"/>
        </w:rPr>
      </w:pPr>
    </w:p>
    <w:p>
      <w:pPr>
        <w:ind w:left="340" w:right="520" w:hanging="332"/>
        <w:spacing w:after="0" w:line="284" w:lineRule="auto"/>
        <w:tabs>
          <w:tab w:leader="none" w:pos="349"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color w:val="auto"/>
              </w:rPr>
              <w:t>Three Months Ended September 30,</w:t>
            </w:r>
          </w:p>
        </w:tc>
        <w:tc>
          <w:tcPr>
            <w:tcW w:w="240" w:type="dxa"/>
            <w:vAlign w:val="bottom"/>
          </w:tcPr>
          <w:p>
            <w:pPr>
              <w:spacing w:after="0"/>
              <w:rPr>
                <w:sz w:val="18"/>
                <w:szCs w:val="18"/>
                <w:color w:val="auto"/>
              </w:rPr>
            </w:pPr>
          </w:p>
        </w:tc>
        <w:tc>
          <w:tcPr>
            <w:tcW w:w="3160" w:type="dxa"/>
            <w:vAlign w:val="bottom"/>
            <w:gridSpan w:val="5"/>
          </w:tcPr>
          <w:p>
            <w:pPr>
              <w:jc w:val="center"/>
              <w:ind w:right="159"/>
              <w:spacing w:after="0"/>
              <w:rPr>
                <w:sz w:val="20"/>
                <w:szCs w:val="20"/>
                <w:color w:val="auto"/>
              </w:rPr>
            </w:pPr>
            <w:r>
              <w:rPr>
                <w:rFonts w:ascii="Arial" w:cs="Arial" w:eastAsia="Arial" w:hAnsi="Arial"/>
                <w:sz w:val="16"/>
                <w:szCs w:val="16"/>
                <w:color w:val="auto"/>
              </w:rPr>
              <w:t>Nine Months Ended September 30,</w:t>
            </w:r>
          </w:p>
        </w:tc>
      </w:tr>
      <w:tr>
        <w:trPr>
          <w:trHeight w:val="217"/>
        </w:trPr>
        <w:tc>
          <w:tcPr>
            <w:tcW w:w="444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r>
      <w:tr>
        <w:trPr>
          <w:trHeight w:val="235"/>
        </w:trPr>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(loss)</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(587)</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(363)</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(2,552)</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(3,527)</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975</w:t>
            </w:r>
          </w:p>
        </w:tc>
      </w:tr>
      <w:tr>
        <w:trPr>
          <w:trHeight w:val="20"/>
        </w:trPr>
        <w:tc>
          <w:tcPr>
            <w:tcW w:w="444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2022 Compared to the Three Months Ended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same period in the prior year.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2022 Compared to the Nine Months Ended September 30, 2021:</w:t>
      </w:r>
    </w:p>
    <w:p>
      <w:pPr>
        <w:spacing w:after="0" w:line="26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decrease in Operating (loss) was primarily due to an allocation of a 2020 employee cost true-up in the first quarter of 2021, which was offset in our business segments.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44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96"/>
        </w:trPr>
        <w:tc>
          <w:tcPr>
            <w:tcW w:w="5560" w:type="dxa"/>
            <w:vAlign w:val="bottom"/>
            <w:gridSpan w:val="4"/>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4"/>
        </w:trPr>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5"/>
          </w:tcPr>
          <w:p>
            <w:pPr>
              <w:ind w:left="140"/>
              <w:spacing w:after="0"/>
              <w:rPr>
                <w:sz w:val="20"/>
                <w:szCs w:val="20"/>
                <w:color w:val="auto"/>
              </w:rPr>
            </w:pPr>
            <w:r>
              <w:rPr>
                <w:rFonts w:ascii="Arial" w:cs="Arial" w:eastAsia="Arial" w:hAnsi="Arial"/>
                <w:sz w:val="16"/>
                <w:szCs w:val="16"/>
                <w:color w:val="auto"/>
              </w:rPr>
              <w:t>Three Months Ended September 30,</w:t>
            </w:r>
          </w:p>
        </w:tc>
        <w:tc>
          <w:tcPr>
            <w:tcW w:w="240" w:type="dxa"/>
            <w:vAlign w:val="bottom"/>
          </w:tcPr>
          <w:p>
            <w:pPr>
              <w:spacing w:after="0"/>
              <w:rPr>
                <w:sz w:val="24"/>
                <w:szCs w:val="24"/>
                <w:color w:val="auto"/>
              </w:rPr>
            </w:pPr>
          </w:p>
        </w:tc>
        <w:tc>
          <w:tcPr>
            <w:tcW w:w="3160" w:type="dxa"/>
            <w:vAlign w:val="bottom"/>
            <w:gridSpan w:val="5"/>
          </w:tcPr>
          <w:p>
            <w:pPr>
              <w:ind w:left="200"/>
              <w:spacing w:after="0"/>
              <w:rPr>
                <w:sz w:val="20"/>
                <w:szCs w:val="20"/>
                <w:color w:val="auto"/>
              </w:rPr>
            </w:pPr>
            <w:r>
              <w:rPr>
                <w:rFonts w:ascii="Arial" w:cs="Arial" w:eastAsia="Arial" w:hAnsi="Arial"/>
                <w:sz w:val="16"/>
                <w:szCs w:val="16"/>
                <w:color w:val="auto"/>
              </w:rPr>
              <w:t>Nine Months Ended September 30,</w:t>
            </w:r>
          </w:p>
        </w:tc>
      </w:tr>
      <w:tr>
        <w:trPr>
          <w:trHeight w:val="217"/>
        </w:trPr>
        <w:tc>
          <w:tcPr>
            <w:tcW w:w="13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Variance</w:t>
            </w:r>
          </w:p>
        </w:tc>
      </w:tr>
      <w:tr>
        <w:trPr>
          <w:trHeight w:val="210"/>
        </w:trPr>
        <w:tc>
          <w:tcPr>
            <w:tcW w:w="1360" w:type="dxa"/>
            <w:vAlign w:val="bottom"/>
            <w:tcBorders>
              <w:bottom w:val="single" w:sz="8" w:color="CEFFE7"/>
            </w:tcBorders>
          </w:tcPr>
          <w:p>
            <w:pPr>
              <w:spacing w:after="0"/>
              <w:rPr>
                <w:sz w:val="18"/>
                <w:szCs w:val="18"/>
                <w:color w:val="auto"/>
              </w:rPr>
            </w:pPr>
          </w:p>
        </w:tc>
        <w:tc>
          <w:tcPr>
            <w:tcW w:w="308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4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(40,019)</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(38,018)</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center"/>
              <w:ind w:left="319"/>
              <w:spacing w:after="0"/>
              <w:rPr>
                <w:sz w:val="20"/>
                <w:szCs w:val="20"/>
                <w:color w:val="auto"/>
              </w:rPr>
            </w:pPr>
            <w:r>
              <w:rPr>
                <w:rFonts w:ascii="Arial" w:cs="Arial" w:eastAsia="Arial" w:hAnsi="Arial"/>
                <w:sz w:val="16"/>
                <w:szCs w:val="16"/>
                <w:color w:val="auto"/>
              </w:rPr>
              <w:t>(2,001)</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(117,328)</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(113,820)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center"/>
              <w:ind w:left="319"/>
              <w:spacing w:after="0"/>
              <w:rPr>
                <w:sz w:val="20"/>
                <w:szCs w:val="20"/>
                <w:color w:val="auto"/>
              </w:rPr>
            </w:pPr>
            <w:r>
              <w:rPr>
                <w:rFonts w:ascii="Arial" w:cs="Arial" w:eastAsia="Arial" w:hAnsi="Arial"/>
                <w:sz w:val="16"/>
                <w:szCs w:val="16"/>
                <w:color w:val="auto"/>
              </w:rPr>
              <w:t>(3,508)</w:t>
            </w: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319"/>
              <w:spacing w:after="0"/>
              <w:rPr>
                <w:sz w:val="20"/>
                <w:szCs w:val="20"/>
                <w:color w:val="auto"/>
              </w:rPr>
            </w:pPr>
            <w:r>
              <w:rPr>
                <w:rFonts w:ascii="Arial" w:cs="Arial" w:eastAsia="Arial" w:hAnsi="Arial"/>
                <w:sz w:val="16"/>
                <w:szCs w:val="16"/>
                <w:color w:val="auto"/>
              </w:rPr>
              <w:t>(1,096)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2,731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319"/>
              <w:spacing w:after="0"/>
              <w:rPr>
                <w:sz w:val="20"/>
                <w:szCs w:val="20"/>
                <w:color w:val="auto"/>
              </w:rPr>
            </w:pPr>
            <w:r>
              <w:rPr>
                <w:rFonts w:ascii="Arial" w:cs="Arial" w:eastAsia="Arial" w:hAnsi="Arial"/>
                <w:sz w:val="16"/>
                <w:szCs w:val="16"/>
                <w:color w:val="auto"/>
                <w:w w:val="99"/>
              </w:rPr>
              <w:t>1,096</w:t>
            </w:r>
          </w:p>
        </w:tc>
      </w:tr>
      <w:tr>
        <w:trPr>
          <w:trHeight w:val="217"/>
        </w:trPr>
        <w:tc>
          <w:tcPr>
            <w:tcW w:w="44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shd w:val="clear" w:color="auto" w:fill="CEFFE7"/>
          </w:tcPr>
          <w:p>
            <w:pPr>
              <w:spacing w:after="0"/>
              <w:rPr>
                <w:sz w:val="18"/>
                <w:szCs w:val="18"/>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(2,090)</w:t>
            </w:r>
          </w:p>
        </w:tc>
        <w:tc>
          <w:tcPr>
            <w:tcW w:w="260" w:type="dxa"/>
            <w:vAlign w:val="bottom"/>
            <w:shd w:val="clear" w:color="auto" w:fill="CEFFE7"/>
          </w:tcPr>
          <w:p>
            <w:pPr>
              <w:spacing w:after="0"/>
              <w:rPr>
                <w:sz w:val="18"/>
                <w:szCs w:val="18"/>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(5,253)</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center"/>
              <w:ind w:left="319"/>
              <w:spacing w:after="0"/>
              <w:rPr>
                <w:sz w:val="20"/>
                <w:szCs w:val="20"/>
                <w:color w:val="auto"/>
              </w:rPr>
            </w:pPr>
            <w:r>
              <w:rPr>
                <w:rFonts w:ascii="Arial" w:cs="Arial" w:eastAsia="Arial" w:hAnsi="Arial"/>
                <w:sz w:val="16"/>
                <w:szCs w:val="16"/>
                <w:color w:val="auto"/>
                <w:w w:val="99"/>
              </w:rPr>
              <w:t>3,163</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(15,920)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(6,333)</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center"/>
              <w:ind w:left="319"/>
              <w:spacing w:after="0"/>
              <w:rPr>
                <w:sz w:val="20"/>
                <w:szCs w:val="20"/>
                <w:color w:val="auto"/>
              </w:rPr>
            </w:pPr>
            <w:r>
              <w:rPr>
                <w:rFonts w:ascii="Arial" w:cs="Arial" w:eastAsia="Arial" w:hAnsi="Arial"/>
                <w:sz w:val="16"/>
                <w:szCs w:val="16"/>
                <w:color w:val="auto"/>
              </w:rPr>
              <w:t>(9,587)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2022 Compared to the Three Months Ended September 30, 2021:</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net was due to higher interest rates and higher short-term debt balances.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net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Other income, net was primarily driven by a prior year recognition of death benefits from Company-owned life insurance.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26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 xml:space="preserve">Income tax expense decreased primarily due to lower pre-tax income partially offset by lower effective tax rate. For the three months ended September 30, 2022, the effective tax rate was 5.2% compared to 9.8% for the same period in 2021.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Notes to Condensed Consolidated Financial Statements for discussion of effective tax rate variances.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2022 Compared to the Nine Months Ended September 30, 2021:</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net was due to higher interest rates and higher short-term and long-term debt balances.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net</w:t>
      </w:r>
    </w:p>
    <w:p>
      <w:pPr>
        <w:spacing w:after="0" w:line="24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increase in Other income, net was due to lower costs for our non-qualified benefit plans which were driven by market performance and a prior year recognition of death benefits from Company-owned life insurance partially offset by higher non-service pension costs primarily driven by a higher discount rate.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2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Income tax expense increased due to higher pre-tax income and a higher effective tax rate. For the nine months ended September 30, 2022, the effective tax rate was 7.6% compared to 3.5% for the same period in 2021.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Notes to Condensed Consolidated Financial Statements for discussion of effective tax rate variances.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2021 Annual Report on Form 10-K except as described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nine months ended September 30,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provided by (used in):</w:t>
            </w:r>
          </w:p>
        </w:tc>
        <w:tc>
          <w:tcPr>
            <w:tcW w:w="2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r>
      <w:tr>
        <w:trPr>
          <w:trHeight w:val="210"/>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activities</w:t>
            </w:r>
          </w:p>
        </w:tc>
        <w:tc>
          <w:tcPr>
            <w:tcW w:w="29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494,287</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rPr>
              <w:t>(144,760)</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639,047</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(466,321)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199"/>
              <w:spacing w:after="0"/>
              <w:rPr>
                <w:sz w:val="20"/>
                <w:szCs w:val="20"/>
                <w:color w:val="auto"/>
              </w:rPr>
            </w:pPr>
            <w:r>
              <w:rPr>
                <w:rFonts w:ascii="Arial" w:cs="Arial" w:eastAsia="Arial" w:hAnsi="Arial"/>
                <w:sz w:val="16"/>
                <w:szCs w:val="16"/>
                <w:color w:val="auto"/>
              </w:rPr>
              <w:t>(484,106)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17,785</w:t>
            </w:r>
          </w:p>
        </w:tc>
      </w:tr>
      <w:tr>
        <w:trPr>
          <w:trHeight w:val="217"/>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Financing activities</w:t>
            </w:r>
          </w:p>
        </w:tc>
        <w:tc>
          <w:tcPr>
            <w:tcW w:w="29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(24,684)</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633,061</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(657,745)</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2022 Compared to the Nine Months Ended September 30,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6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Net cash provided by (used in) operating activities was $639 million higher than the same period in 2021. The variance to the prior year was primarily attributable to:</w:t>
      </w:r>
    </w:p>
    <w:p>
      <w:pPr>
        <w:spacing w:after="0" w:line="196" w:lineRule="exact"/>
        <w:rPr>
          <w:sz w:val="20"/>
          <w:szCs w:val="20"/>
          <w:color w:val="auto"/>
        </w:rPr>
      </w:pPr>
    </w:p>
    <w:p>
      <w:pPr>
        <w:ind w:left="660" w:right="40" w:hanging="328"/>
        <w:spacing w:after="0" w:line="26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earnings (net income plus non-cash adjustments) were $28 million higher for the nine months ended September 30, 2022 compared to the same period in the prior year primarily due to increased Electric and Gas Utility margins driven by new rates and increased rider revenues and prior year impacts from Winter Storm Uri.</w:t>
      </w:r>
    </w:p>
    <w:p>
      <w:pPr>
        <w:spacing w:after="0" w:line="211"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$622 million higher, primarily attributable to:</w:t>
      </w:r>
    </w:p>
    <w:p>
      <w:pPr>
        <w:spacing w:after="0" w:line="248" w:lineRule="exact"/>
        <w:rPr>
          <w:rFonts w:ascii="Arial" w:cs="Arial" w:eastAsia="Arial" w:hAnsi="Arial"/>
          <w:sz w:val="16"/>
          <w:szCs w:val="16"/>
          <w:color w:val="auto"/>
        </w:rPr>
      </w:pPr>
    </w:p>
    <w:p>
      <w:pPr>
        <w:ind w:left="1140" w:hanging="322"/>
        <w:spacing w:after="0" w:line="275" w:lineRule="auto"/>
        <w:tabs>
          <w:tab w:leader="none" w:pos="11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Cash inflows increased by $687 million as a result of changes in our regulatory assets and liabilities primarily driven by prior year incremental fuel, purchased power and natural gas costs due to Winter Storm Uri and current year recovery of a portion of Winter Storm Uri incremental and carrying costs from customers;</w:t>
      </w:r>
    </w:p>
    <w:p>
      <w:pPr>
        <w:spacing w:after="0" w:line="191" w:lineRule="exact"/>
        <w:rPr>
          <w:rFonts w:ascii="Arial" w:cs="Arial" w:eastAsia="Arial" w:hAnsi="Arial"/>
          <w:sz w:val="16"/>
          <w:szCs w:val="16"/>
          <w:color w:val="auto"/>
        </w:rPr>
      </w:pPr>
    </w:p>
    <w:p>
      <w:pPr>
        <w:ind w:left="1140" w:right="400" w:hanging="322"/>
        <w:spacing w:after="0" w:line="304" w:lineRule="auto"/>
        <w:tabs>
          <w:tab w:leader="none" w:pos="11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Cash inflows decreased by $92 million as a result of changes in accounts receivable and other current assets primarily driven by higher pass-through revenues reflecting higher commodity prices; and</w:t>
      </w:r>
    </w:p>
    <w:p>
      <w:pPr>
        <w:spacing w:after="0" w:line="168" w:lineRule="exact"/>
        <w:rPr>
          <w:rFonts w:ascii="Arial" w:cs="Arial" w:eastAsia="Arial" w:hAnsi="Arial"/>
          <w:sz w:val="16"/>
          <w:szCs w:val="16"/>
          <w:color w:val="auto"/>
        </w:rPr>
      </w:pPr>
    </w:p>
    <w:p>
      <w:pPr>
        <w:ind w:left="1140" w:right="40" w:hanging="322"/>
        <w:spacing w:after="0" w:line="286" w:lineRule="auto"/>
        <w:tabs>
          <w:tab w:leader="none" w:pos="11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Cash outflows decreased by $26 million as a result of changes in accounts payable and accrued liabilities primarily driven by payment timing of natural gas and power purchases and other working capital requirements.</w:t>
      </w:r>
    </w:p>
    <w:p>
      <w:pPr>
        <w:spacing w:after="0" w:line="196" w:lineRule="exact"/>
        <w:rPr>
          <w:rFonts w:ascii="Arial" w:cs="Arial" w:eastAsia="Arial" w:hAnsi="Arial"/>
          <w:sz w:val="16"/>
          <w:szCs w:val="16"/>
          <w:color w:val="auto"/>
        </w:rPr>
      </w:pPr>
    </w:p>
    <w:p>
      <w:pPr>
        <w:ind w:left="660" w:right="100" w:hanging="328"/>
        <w:spacing w:after="0" w:line="286"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outflows increased by $10 million for other operating activities primarily due to higher cloud computing licensing costs and preliminary survey charges.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$18 million lower than the same period in 2021. The variance to the prior year was primarily attributable to:</w:t>
      </w:r>
    </w:p>
    <w:p>
      <w:pPr>
        <w:spacing w:after="0" w:line="248" w:lineRule="exact"/>
        <w:rPr>
          <w:sz w:val="20"/>
          <w:szCs w:val="20"/>
          <w:color w:val="auto"/>
        </w:rPr>
      </w:pPr>
    </w:p>
    <w:p>
      <w:pPr>
        <w:ind w:left="660" w:right="60" w:hanging="328"/>
        <w:spacing w:after="0" w:line="30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Capital expenditures of $466 million for the nine months ended September 30, 2022 compared to $498 million for the same period in the prior year. Lower current year expenditures were driven by lower programmatic safety, reliability and integrity spending at our Gas and Electric Utilities; and</w:t>
      </w:r>
    </w:p>
    <w:p>
      <w:pPr>
        <w:spacing w:after="0" w:line="168" w:lineRule="exact"/>
        <w:rPr>
          <w:rFonts w:ascii="Arial" w:cs="Arial" w:eastAsia="Arial" w:hAnsi="Arial"/>
          <w:sz w:val="16"/>
          <w:szCs w:val="16"/>
          <w:color w:val="auto"/>
        </w:rPr>
      </w:pPr>
    </w:p>
    <w:p>
      <w:pPr>
        <w:ind w:left="660" w:right="560" w:hanging="328"/>
        <w:spacing w:after="0" w:line="304"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inflows decreased by $14 million for other investing activities which was primarily driven by prior year sales of transmission assets and facilities, none of which were individually material.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48"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Net cash provided by (used in) financing activities was $658 million higher than the same period in 2021. The variance to the prior year was primarily attributable to:</w:t>
      </w:r>
    </w:p>
    <w:p>
      <w:pPr>
        <w:spacing w:after="0" w:line="168" w:lineRule="exact"/>
        <w:rPr>
          <w:sz w:val="20"/>
          <w:szCs w:val="20"/>
          <w:color w:val="auto"/>
        </w:rPr>
      </w:pPr>
    </w:p>
    <w:p>
      <w:pPr>
        <w:ind w:left="660" w:right="380" w:hanging="328"/>
        <w:spacing w:after="0" w:line="304"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inflows decreased $609 million due to decreases in short-term and long-term borrowings primarily driven by prior year financing activities related to Winter Storm Uri;</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inflows decreased $43 million due to decreased issuances of common stock;</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outflows increased $8.9 million due to increased dividends paid on common stock; 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inflows increased by $4.4 million for other financing activities.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CP Program had the following borrowings, outstanding letters of credit and available capacity: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color w:val="auto"/>
              </w:rPr>
              <w:t>Current</w:t>
            </w:r>
          </w:p>
        </w:tc>
        <w:tc>
          <w:tcPr>
            <w:tcW w:w="220" w:type="dxa"/>
            <w:vAlign w:val="bottom"/>
          </w:tcPr>
          <w:p>
            <w:pPr>
              <w:spacing w:after="0"/>
              <w:rPr>
                <w:sz w:val="21"/>
                <w:szCs w:val="21"/>
                <w:color w:val="auto"/>
              </w:rPr>
            </w:pPr>
          </w:p>
        </w:tc>
        <w:tc>
          <w:tcPr>
            <w:tcW w:w="2160" w:type="dxa"/>
            <w:vAlign w:val="bottom"/>
          </w:tcPr>
          <w:p>
            <w:pPr>
              <w:jc w:val="center"/>
              <w:ind w:right="99"/>
              <w:spacing w:after="0"/>
              <w:rPr>
                <w:sz w:val="20"/>
                <w:szCs w:val="20"/>
                <w:color w:val="auto"/>
              </w:rPr>
            </w:pPr>
            <w:r>
              <w:rPr>
                <w:rFonts w:ascii="Arial" w:cs="Arial" w:eastAsia="Arial" w:hAnsi="Arial"/>
                <w:sz w:val="16"/>
                <w:szCs w:val="16"/>
                <w:color w:val="auto"/>
              </w:rPr>
              <w:t>Short-term borrowings at</w:t>
            </w:r>
          </w:p>
        </w:tc>
        <w:tc>
          <w:tcPr>
            <w:tcW w:w="200" w:type="dxa"/>
            <w:vAlign w:val="bottom"/>
          </w:tcPr>
          <w:p>
            <w:pPr>
              <w:spacing w:after="0"/>
              <w:rPr>
                <w:sz w:val="21"/>
                <w:szCs w:val="21"/>
                <w:color w:val="auto"/>
              </w:rPr>
            </w:pPr>
          </w:p>
        </w:tc>
        <w:tc>
          <w:tcPr>
            <w:tcW w:w="1760" w:type="dxa"/>
            <w:vAlign w:val="bottom"/>
          </w:tcPr>
          <w:p>
            <w:pPr>
              <w:ind w:left="60"/>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at</w:t>
            </w:r>
          </w:p>
        </w:tc>
        <w:tc>
          <w:tcPr>
            <w:tcW w:w="240" w:type="dxa"/>
            <w:vAlign w:val="bottom"/>
          </w:tcPr>
          <w:p>
            <w:pPr>
              <w:spacing w:after="0"/>
              <w:rPr>
                <w:sz w:val="21"/>
                <w:szCs w:val="21"/>
                <w:color w:val="auto"/>
              </w:rPr>
            </w:pPr>
          </w:p>
        </w:tc>
        <w:tc>
          <w:tcPr>
            <w:tcW w:w="1940" w:type="dxa"/>
            <w:vAlign w:val="bottom"/>
          </w:tcPr>
          <w:p>
            <w:pPr>
              <w:ind w:left="120"/>
              <w:spacing w:after="0"/>
              <w:rPr>
                <w:sz w:val="20"/>
                <w:szCs w:val="20"/>
                <w:color w:val="auto"/>
              </w:rPr>
            </w:pPr>
            <w:r>
              <w:rPr>
                <w:rFonts w:ascii="Arial" w:cs="Arial" w:eastAsia="Arial" w:hAnsi="Arial"/>
                <w:sz w:val="16"/>
                <w:szCs w:val="16"/>
                <w:color w:val="auto"/>
              </w:rPr>
              <w:t>Available Capacity at</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Capacity</w:t>
            </w: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September 30, 2022</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September 30, 2022</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September 30, 2022</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3"/>
          </w:tcPr>
          <w:p>
            <w:pPr>
              <w:jc w:val="right"/>
              <w:ind w:right="1179"/>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EFFE5"/>
          </w:tcPr>
          <w:p>
            <w:pPr>
              <w:ind w:left="20"/>
              <w:spacing w:after="0" w:line="163" w:lineRule="exact"/>
              <w:rPr>
                <w:sz w:val="20"/>
                <w:szCs w:val="20"/>
                <w:color w:val="auto"/>
              </w:rPr>
            </w:pPr>
            <w:r>
              <w:rPr>
                <w:rFonts w:ascii="Arial" w:cs="Arial" w:eastAsia="Arial" w:hAnsi="Arial"/>
                <w:sz w:val="16"/>
                <w:szCs w:val="16"/>
                <w:color w:val="auto"/>
              </w:rPr>
              <w:t>Revolving Credit Facility and</w:t>
            </w:r>
          </w:p>
        </w:tc>
        <w:tc>
          <w:tcPr>
            <w:tcW w:w="1240" w:type="dxa"/>
            <w:vAlign w:val="bottom"/>
            <w:vMerge w:val="restart"/>
            <w:shd w:val="clear" w:color="auto" w:fill="CEFFE5"/>
          </w:tcPr>
          <w:p>
            <w:pPr>
              <w:jc w:val="center"/>
              <w:spacing w:after="0"/>
              <w:rPr>
                <w:sz w:val="20"/>
                <w:szCs w:val="20"/>
                <w:color w:val="auto"/>
              </w:rPr>
            </w:pPr>
            <w:r>
              <w:rPr>
                <w:rFonts w:ascii="Arial" w:cs="Arial" w:eastAsia="Arial" w:hAnsi="Arial"/>
                <w:sz w:val="16"/>
                <w:szCs w:val="16"/>
                <w:color w:val="auto"/>
              </w:rPr>
              <w:t>July 19, 2026</w:t>
            </w:r>
          </w:p>
        </w:tc>
        <w:tc>
          <w:tcPr>
            <w:tcW w:w="260" w:type="dxa"/>
            <w:vAlign w:val="bottom"/>
            <w:vMerge w:val="restart"/>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EFFE5"/>
          </w:tcPr>
          <w:p>
            <w:pPr>
              <w:jc w:val="right"/>
              <w:spacing w:after="0"/>
              <w:rPr>
                <w:sz w:val="20"/>
                <w:szCs w:val="20"/>
                <w:color w:val="auto"/>
              </w:rPr>
            </w:pPr>
            <w:r>
              <w:rPr>
                <w:rFonts w:ascii="Arial" w:cs="Arial" w:eastAsia="Arial" w:hAnsi="Arial"/>
                <w:sz w:val="16"/>
                <w:szCs w:val="16"/>
                <w:color w:val="auto"/>
              </w:rPr>
              <w:t>750</w:t>
            </w:r>
          </w:p>
        </w:tc>
        <w:tc>
          <w:tcPr>
            <w:tcW w:w="220" w:type="dxa"/>
            <w:vAlign w:val="bottom"/>
            <w:vMerge w:val="restart"/>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2160" w:type="dxa"/>
            <w:vAlign w:val="bottom"/>
            <w:vMerge w:val="restart"/>
            <w:shd w:val="clear" w:color="auto" w:fill="CEFFE5"/>
          </w:tcPr>
          <w:p>
            <w:pPr>
              <w:jc w:val="right"/>
              <w:spacing w:after="0"/>
              <w:rPr>
                <w:sz w:val="20"/>
                <w:szCs w:val="20"/>
                <w:color w:val="auto"/>
              </w:rPr>
            </w:pPr>
            <w:r>
              <w:rPr>
                <w:rFonts w:ascii="Arial" w:cs="Arial" w:eastAsia="Arial" w:hAnsi="Arial"/>
                <w:sz w:val="16"/>
                <w:szCs w:val="16"/>
                <w:color w:val="auto"/>
              </w:rPr>
              <w:t>501</w:t>
            </w:r>
          </w:p>
        </w:tc>
        <w:tc>
          <w:tcPr>
            <w:tcW w:w="200" w:type="dxa"/>
            <w:vAlign w:val="bottom"/>
            <w:vMerge w:val="restart"/>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1760" w:type="dxa"/>
            <w:vAlign w:val="bottom"/>
            <w:vMerge w:val="restart"/>
            <w:shd w:val="clear" w:color="auto" w:fill="CEFFE5"/>
          </w:tcPr>
          <w:p>
            <w:pPr>
              <w:jc w:val="right"/>
              <w:spacing w:after="0"/>
              <w:rPr>
                <w:sz w:val="20"/>
                <w:szCs w:val="20"/>
                <w:color w:val="auto"/>
              </w:rPr>
            </w:pPr>
            <w:r>
              <w:rPr>
                <w:rFonts w:ascii="Arial" w:cs="Arial" w:eastAsia="Arial" w:hAnsi="Arial"/>
                <w:sz w:val="16"/>
                <w:szCs w:val="16"/>
                <w:color w:val="auto"/>
              </w:rPr>
              <w:t>20</w:t>
            </w:r>
          </w:p>
        </w:tc>
        <w:tc>
          <w:tcPr>
            <w:tcW w:w="240" w:type="dxa"/>
            <w:vAlign w:val="bottom"/>
            <w:vMerge w:val="restart"/>
            <w:shd w:val="clear" w:color="auto" w:fill="CEFFE5"/>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vMerge w:val="restart"/>
            <w:shd w:val="clear" w:color="auto" w:fill="CEFFE5"/>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6"/>
        </w:trPr>
        <w:tc>
          <w:tcPr>
            <w:tcW w:w="2240" w:type="dxa"/>
            <w:vAlign w:val="bottom"/>
            <w:shd w:val="clear" w:color="auto" w:fill="CEFFE5"/>
          </w:tcPr>
          <w:p>
            <w:pPr>
              <w:ind w:left="20"/>
              <w:spacing w:after="0"/>
              <w:rPr>
                <w:sz w:val="20"/>
                <w:szCs w:val="20"/>
                <w:color w:val="auto"/>
              </w:rPr>
            </w:pPr>
            <w:r>
              <w:rPr>
                <w:rFonts w:ascii="Arial" w:cs="Arial" w:eastAsia="Arial" w:hAnsi="Arial"/>
                <w:sz w:val="16"/>
                <w:szCs w:val="16"/>
                <w:color w:val="auto"/>
              </w:rPr>
              <w:t>CP Program</w:t>
            </w:r>
          </w:p>
        </w:tc>
        <w:tc>
          <w:tcPr>
            <w:tcW w:w="1240" w:type="dxa"/>
            <w:vAlign w:val="bottom"/>
            <w:vMerge w:val="continue"/>
            <w:shd w:val="clear" w:color="auto" w:fill="CEFFE5"/>
          </w:tcPr>
          <w:p>
            <w:pPr>
              <w:spacing w:after="0"/>
              <w:rPr>
                <w:sz w:val="18"/>
                <w:szCs w:val="18"/>
                <w:color w:val="auto"/>
              </w:rPr>
            </w:pPr>
          </w:p>
        </w:tc>
        <w:tc>
          <w:tcPr>
            <w:tcW w:w="260" w:type="dxa"/>
            <w:vAlign w:val="bottom"/>
            <w:vMerge w:val="continue"/>
            <w:shd w:val="clear" w:color="auto" w:fill="CEFFE5"/>
          </w:tcPr>
          <w:p>
            <w:pPr>
              <w:spacing w:after="0"/>
              <w:rPr>
                <w:sz w:val="18"/>
                <w:szCs w:val="18"/>
                <w:color w:val="auto"/>
              </w:rPr>
            </w:pPr>
          </w:p>
        </w:tc>
        <w:tc>
          <w:tcPr>
            <w:tcW w:w="980" w:type="dxa"/>
            <w:vAlign w:val="bottom"/>
            <w:vMerge w:val="continue"/>
            <w:shd w:val="clear" w:color="auto" w:fill="CEFFE5"/>
          </w:tcPr>
          <w:p>
            <w:pPr>
              <w:spacing w:after="0"/>
              <w:rPr>
                <w:sz w:val="18"/>
                <w:szCs w:val="18"/>
                <w:color w:val="auto"/>
              </w:rPr>
            </w:pPr>
          </w:p>
        </w:tc>
        <w:tc>
          <w:tcPr>
            <w:tcW w:w="220" w:type="dxa"/>
            <w:vAlign w:val="bottom"/>
            <w:vMerge w:val="continue"/>
            <w:shd w:val="clear" w:color="auto" w:fill="CEFFE5"/>
          </w:tcPr>
          <w:p>
            <w:pPr>
              <w:spacing w:after="0"/>
              <w:rPr>
                <w:sz w:val="18"/>
                <w:szCs w:val="18"/>
                <w:color w:val="auto"/>
              </w:rPr>
            </w:pPr>
          </w:p>
        </w:tc>
        <w:tc>
          <w:tcPr>
            <w:tcW w:w="2160" w:type="dxa"/>
            <w:vAlign w:val="bottom"/>
            <w:vMerge w:val="continue"/>
            <w:shd w:val="clear" w:color="auto" w:fill="CEFFE5"/>
          </w:tcPr>
          <w:p>
            <w:pPr>
              <w:spacing w:after="0"/>
              <w:rPr>
                <w:sz w:val="18"/>
                <w:szCs w:val="18"/>
                <w:color w:val="auto"/>
              </w:rPr>
            </w:pPr>
          </w:p>
        </w:tc>
        <w:tc>
          <w:tcPr>
            <w:tcW w:w="200" w:type="dxa"/>
            <w:vAlign w:val="bottom"/>
            <w:vMerge w:val="continue"/>
            <w:shd w:val="clear" w:color="auto" w:fill="CEFFE5"/>
          </w:tcPr>
          <w:p>
            <w:pPr>
              <w:spacing w:after="0"/>
              <w:rPr>
                <w:sz w:val="18"/>
                <w:szCs w:val="18"/>
                <w:color w:val="auto"/>
              </w:rPr>
            </w:pPr>
          </w:p>
        </w:tc>
        <w:tc>
          <w:tcPr>
            <w:tcW w:w="1760" w:type="dxa"/>
            <w:vAlign w:val="bottom"/>
            <w:vMerge w:val="continue"/>
            <w:shd w:val="clear" w:color="auto" w:fill="CEFFE5"/>
          </w:tcPr>
          <w:p>
            <w:pPr>
              <w:spacing w:after="0"/>
              <w:rPr>
                <w:sz w:val="18"/>
                <w:szCs w:val="18"/>
                <w:color w:val="auto"/>
              </w:rPr>
            </w:pPr>
          </w:p>
        </w:tc>
        <w:tc>
          <w:tcPr>
            <w:tcW w:w="240" w:type="dxa"/>
            <w:vAlign w:val="bottom"/>
            <w:vMerge w:val="continue"/>
            <w:shd w:val="clear" w:color="auto" w:fill="CEFFE5"/>
          </w:tcPr>
          <w:p>
            <w:pPr>
              <w:spacing w:after="0"/>
              <w:rPr>
                <w:sz w:val="18"/>
                <w:szCs w:val="18"/>
                <w:color w:val="auto"/>
              </w:rPr>
            </w:pPr>
          </w:p>
        </w:tc>
        <w:tc>
          <w:tcPr>
            <w:tcW w:w="1940" w:type="dxa"/>
            <w:vAlign w:val="bottom"/>
            <w:vMerge w:val="continue"/>
            <w:shd w:val="clear" w:color="auto" w:fill="CEFFE5"/>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right="100" w:firstLine="8"/>
        <w:spacing w:after="0" w:line="274" w:lineRule="auto"/>
        <w:tabs>
          <w:tab w:leader="none" w:pos="336"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Letters of credit are off-balance sheet commitments that reduce the borrowing capacity available on our corporate Revolving Credit Facility. For more information on these letters of credit, see </w:t>
      </w:r>
      <w:r>
        <w:rPr>
          <w:rFonts w:ascii="Arial" w:cs="Arial" w:eastAsia="Arial" w:hAnsi="Arial"/>
          <w:sz w:val="14"/>
          <w:szCs w:val="14"/>
          <w:u w:val="single" w:color="auto"/>
          <w:color w:val="0000FF"/>
        </w:rPr>
        <w:t>Note 5</w:t>
      </w:r>
      <w:r>
        <w:rPr>
          <w:rFonts w:ascii="Arial" w:cs="Arial" w:eastAsia="Arial" w:hAnsi="Arial"/>
          <w:sz w:val="14"/>
          <w:szCs w:val="14"/>
          <w:color w:val="auto"/>
        </w:rPr>
        <w:t xml:space="preserve"> of the Notes to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on short-term borrowings at September 30, 2022 was 3.35%. Short-term borrowing activity for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was: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(dollars in millions)</w:t>
            </w:r>
          </w:p>
        </w:tc>
      </w:tr>
      <w:tr>
        <w:trPr>
          <w:trHeight w:val="211"/>
        </w:trPr>
        <w:tc>
          <w:tcPr>
            <w:tcW w:w="6960" w:type="dxa"/>
            <w:vAlign w:val="bottom"/>
            <w:shd w:val="clear" w:color="auto" w:fill="CEFFE7"/>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508</w:t>
            </w: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19"/>
              <w:spacing w:after="0"/>
              <w:rPr>
                <w:sz w:val="20"/>
                <w:szCs w:val="20"/>
                <w:color w:val="auto"/>
              </w:rPr>
            </w:pPr>
            <w:r>
              <w:rPr>
                <w:rFonts w:ascii="Arial" w:cs="Arial" w:eastAsia="Arial" w:hAnsi="Arial"/>
                <w:sz w:val="16"/>
                <w:szCs w:val="16"/>
                <w:color w:val="auto"/>
              </w:rPr>
              <w:t>347</w:t>
            </w:r>
          </w:p>
        </w:tc>
      </w:tr>
      <w:tr>
        <w:trPr>
          <w:trHeight w:val="217"/>
        </w:trPr>
        <w:tc>
          <w:tcPr>
            <w:tcW w:w="69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interest rates</w:t>
            </w:r>
          </w:p>
        </w:tc>
        <w:tc>
          <w:tcPr>
            <w:tcW w:w="2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September 30, 2022.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Notes to Condensed Consolidated Financial Statements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Notes to Condensed Consolidated Financial Statements for information related to common stock issuances under the ATM.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the issuance of common stock under our ATM program or in an opportunistic block trade, or through a non-controlling investment by a third party in certain operating assets. We plan to re-finance our $525 million, 4.25%, senior unsecured notes due November 30, 2023, at or before maturity date.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4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After assessing the current operating performance, liquidity and credit ratings of the Company, management believes that the Company will have access to the capital markets at prevailing market rates for companies with comparable credit ratings.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outlook and risk profile of BHC at September 30,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5540" w:type="dxa"/>
            <w:vAlign w:val="bottom"/>
            <w:tcBorders>
              <w:bottom w:val="single" w:sz="8" w:color="auto"/>
            </w:tcBorders>
          </w:tcPr>
          <w:p>
            <w:pPr>
              <w:jc w:val="center"/>
              <w:ind w:left="2359"/>
              <w:spacing w:after="0"/>
              <w:rPr>
                <w:sz w:val="20"/>
                <w:szCs w:val="20"/>
                <w:color w:val="auto"/>
              </w:rPr>
            </w:pPr>
            <w:r>
              <w:rPr>
                <w:rFonts w:ascii="Arial" w:cs="Arial" w:eastAsia="Arial" w:hAnsi="Arial"/>
                <w:sz w:val="16"/>
                <w:szCs w:val="16"/>
                <w:b w:val="1"/>
                <w:bCs w:val="1"/>
                <w:color w:val="auto"/>
              </w:rPr>
              <w:t>Senior Unsecured Rating</w:t>
            </w:r>
          </w:p>
        </w:tc>
        <w:tc>
          <w:tcPr>
            <w:tcW w:w="15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Outlook</w:t>
            </w:r>
          </w:p>
        </w:tc>
      </w:tr>
      <w:tr>
        <w:trPr>
          <w:trHeight w:val="210"/>
        </w:trPr>
        <w:tc>
          <w:tcPr>
            <w:tcW w:w="4180" w:type="dxa"/>
            <w:vAlign w:val="bottom"/>
            <w:shd w:val="clear" w:color="auto" w:fill="CEFFE7"/>
          </w:tcPr>
          <w:p>
            <w:pPr>
              <w:ind w:left="20"/>
              <w:spacing w:after="0" w:line="210"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5540" w:type="dxa"/>
            <w:vAlign w:val="bottom"/>
          </w:tcPr>
          <w:p>
            <w:pPr>
              <w:jc w:val="center"/>
              <w:ind w:left="2359"/>
              <w:spacing w:after="0"/>
              <w:rPr>
                <w:sz w:val="20"/>
                <w:szCs w:val="20"/>
                <w:color w:val="auto"/>
              </w:rPr>
            </w:pPr>
            <w:r>
              <w:rPr>
                <w:rFonts w:ascii="Arial" w:cs="Arial" w:eastAsia="Arial" w:hAnsi="Arial"/>
                <w:sz w:val="16"/>
                <w:szCs w:val="16"/>
                <w:color w:val="auto"/>
              </w:rPr>
              <w:t>Baa2</w:t>
            </w:r>
          </w:p>
        </w:tc>
        <w:tc>
          <w:tcPr>
            <w:tcW w:w="1520" w:type="dxa"/>
            <w:vAlign w:val="bottom"/>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88"/>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55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August 26, 2022, S&amp;P reported BBB+ rating and maintained a Stable outlook.</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December 20, 2021, Moody’s reported Baa2 rating and maintained a Stable outlook.</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October 6, 2022, Fitch reported BBB+ rating and maintained a Stable outlook.</w:t>
      </w:r>
    </w:p>
    <w:p>
      <w:pPr>
        <w:sectPr>
          <w:pgSz w:w="11900" w:h="16838" w:orient="portrait"/>
          <w:cols w:equalWidth="0" w:num="1">
            <w:col w:w="11240"/>
          </w:cols>
          <w:pgMar w:left="320" w:top="125"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September 30, 2022:</w:t>
            </w:r>
          </w:p>
        </w:tc>
        <w:tc>
          <w:tcPr>
            <w:tcW w:w="3420" w:type="dxa"/>
            <w:vAlign w:val="bottom"/>
          </w:tcPr>
          <w:p>
            <w:pPr>
              <w:spacing w:after="0"/>
              <w:rPr>
                <w:sz w:val="18"/>
                <w:szCs w:val="18"/>
                <w:color w:val="auto"/>
              </w:rPr>
            </w:pPr>
          </w:p>
        </w:tc>
      </w:tr>
      <w:tr>
        <w:trPr>
          <w:trHeight w:val="474"/>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34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Senior Secured Rating</w:t>
            </w:r>
          </w:p>
        </w:tc>
      </w:tr>
      <w:tr>
        <w:trPr>
          <w:trHeight w:val="210"/>
        </w:trPr>
        <w:tc>
          <w:tcPr>
            <w:tcW w:w="7820" w:type="dxa"/>
            <w:vAlign w:val="bottom"/>
            <w:shd w:val="clear" w:color="auto" w:fill="CEFFE7"/>
          </w:tcPr>
          <w:p>
            <w:pPr>
              <w:ind w:left="20"/>
              <w:spacing w:after="0" w:line="210"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34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A</w:t>
            </w:r>
          </w:p>
        </w:tc>
      </w:tr>
      <w:tr>
        <w:trPr>
          <w:trHeight w:val="285"/>
        </w:trPr>
        <w:tc>
          <w:tcPr>
            <w:tcW w:w="7820" w:type="dxa"/>
            <w:vAlign w:val="bottom"/>
          </w:tcPr>
          <w:p>
            <w:pPr>
              <w:ind w:left="20"/>
              <w:spacing w:after="0"/>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3420" w:type="dxa"/>
            <w:vAlign w:val="bottom"/>
          </w:tcPr>
          <w:p>
            <w:pPr>
              <w:jc w:val="center"/>
              <w:ind w:left="39"/>
              <w:spacing w:after="0"/>
              <w:rPr>
                <w:sz w:val="20"/>
                <w:szCs w:val="20"/>
                <w:color w:val="auto"/>
              </w:rPr>
            </w:pPr>
            <w:r>
              <w:rPr>
                <w:rFonts w:ascii="Arial" w:cs="Arial" w:eastAsia="Arial" w:hAnsi="Arial"/>
                <w:sz w:val="16"/>
                <w:szCs w:val="16"/>
                <w:color w:val="auto"/>
                <w:w w:val="93"/>
              </w:rPr>
              <w:t>A</w:t>
            </w:r>
          </w:p>
        </w:tc>
      </w:tr>
      <w:tr>
        <w:trPr>
          <w:trHeight w:val="219"/>
        </w:trPr>
        <w:tc>
          <w:tcPr>
            <w:tcW w:w="7820" w:type="dxa"/>
            <w:vAlign w:val="bottom"/>
          </w:tcPr>
          <w:p>
            <w:pPr>
              <w:spacing w:after="0"/>
              <w:rPr>
                <w:sz w:val="20"/>
                <w:szCs w:val="20"/>
                <w:color w:val="auto"/>
              </w:rPr>
            </w:pPr>
            <w:r>
              <w:rPr>
                <w:rFonts w:ascii="Arial" w:cs="Arial" w:eastAsia="Arial" w:hAnsi="Arial"/>
                <w:sz w:val="16"/>
                <w:szCs w:val="16"/>
                <w:color w:val="auto"/>
              </w:rPr>
              <w:t>__________</w:t>
            </w:r>
          </w:p>
        </w:tc>
        <w:tc>
          <w:tcPr>
            <w:tcW w:w="3420" w:type="dxa"/>
            <w:vAlign w:val="bottom"/>
          </w:tcPr>
          <w:p>
            <w:pPr>
              <w:spacing w:after="0"/>
              <w:rPr>
                <w:sz w:val="19"/>
                <w:szCs w:val="19"/>
                <w:color w:val="auto"/>
              </w:rPr>
            </w:pPr>
          </w:p>
        </w:tc>
      </w:tr>
    </w:tbl>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March 31, 2022, S&amp;P reported A rating.</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October 6, 2022, Fitch reported A rating.</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Actual</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 xml:space="preserve">Forecasted </w:t>
            </w:r>
            <w:r>
              <w:rPr>
                <w:rFonts w:ascii="Arial" w:cs="Arial" w:eastAsia="Arial" w:hAnsi="Arial"/>
                <w:sz w:val="21"/>
                <w:szCs w:val="21"/>
                <w:b w:val="1"/>
                <w:bCs w:val="1"/>
                <w:color w:val="auto"/>
                <w:w w:val="95"/>
                <w:vertAlign w:val="superscript"/>
              </w:rPr>
              <w:t>(c)</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vMerge w:val="restart"/>
          </w:tcPr>
          <w:p>
            <w:pPr>
              <w:ind w:left="20"/>
              <w:spacing w:after="0"/>
              <w:rPr>
                <w:sz w:val="20"/>
                <w:szCs w:val="20"/>
                <w:color w:val="auto"/>
              </w:rPr>
            </w:pPr>
            <w:r>
              <w:rPr>
                <w:rFonts w:ascii="Arial" w:cs="Arial" w:eastAsia="Arial" w:hAnsi="Arial"/>
                <w:sz w:val="16"/>
                <w:szCs w:val="16"/>
                <w:color w:val="auto"/>
              </w:rPr>
              <w:t>Capital Expenditures by Segment</w:t>
            </w:r>
          </w:p>
        </w:tc>
        <w:tc>
          <w:tcPr>
            <w:tcW w:w="18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jc w:val="center"/>
              <w:ind w:right="99"/>
              <w:spacing w:after="0" w:line="155" w:lineRule="exact"/>
              <w:rPr>
                <w:sz w:val="20"/>
                <w:szCs w:val="20"/>
                <w:color w:val="auto"/>
              </w:rPr>
            </w:pPr>
            <w:r>
              <w:rPr>
                <w:rFonts w:ascii="Arial" w:cs="Arial" w:eastAsia="Arial" w:hAnsi="Arial"/>
                <w:sz w:val="16"/>
                <w:szCs w:val="16"/>
                <w:color w:val="auto"/>
              </w:rPr>
              <w:t>Nine Months Ended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color w:val="auto"/>
              </w:rPr>
              <w:t xml:space="preserve">2022 </w:t>
            </w:r>
            <w:r>
              <w:rPr>
                <w:rFonts w:ascii="Arial" w:cs="Arial" w:eastAsia="Arial" w:hAnsi="Arial"/>
                <w:sz w:val="21"/>
                <w:szCs w:val="21"/>
                <w:color w:val="auto"/>
                <w:vertAlign w:val="superscript"/>
              </w:rPr>
              <w:t>(b)</w:t>
            </w: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2023</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color w:val="auto"/>
              </w:rPr>
              <w:t>2024</w:t>
            </w: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2025</w:t>
            </w: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300"/>
              <w:spacing w:after="0" w:line="216" w:lineRule="exact"/>
              <w:rPr>
                <w:sz w:val="20"/>
                <w:szCs w:val="20"/>
                <w:color w:val="auto"/>
              </w:rPr>
            </w:pPr>
            <w:r>
              <w:rPr>
                <w:rFonts w:ascii="Arial" w:cs="Arial" w:eastAsia="Arial" w:hAnsi="Arial"/>
                <w:sz w:val="16"/>
                <w:szCs w:val="16"/>
                <w:color w:val="auto"/>
                <w:w w:val="98"/>
              </w:rPr>
              <w:t xml:space="preserve">September 30, 2022 </w:t>
            </w:r>
            <w:r>
              <w:rPr>
                <w:rFonts w:ascii="Arial" w:cs="Arial" w:eastAsia="Arial" w:hAnsi="Arial"/>
                <w:sz w:val="21"/>
                <w:szCs w:val="21"/>
                <w:color w:val="auto"/>
                <w:w w:val="98"/>
                <w:vertAlign w:val="superscript"/>
              </w:rPr>
              <w:t>(a)</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Borders>
              <w:top w:val="single" w:sz="8" w:color="auto"/>
            </w:tcBorders>
            <w:shd w:val="clear" w:color="auto" w:fill="CEFFE7"/>
          </w:tcPr>
          <w:p>
            <w:pPr>
              <w:spacing w:after="0"/>
              <w:rPr>
                <w:sz w:val="17"/>
                <w:szCs w:val="17"/>
                <w:color w:val="auto"/>
              </w:rPr>
            </w:pPr>
          </w:p>
        </w:tc>
        <w:tc>
          <w:tcPr>
            <w:tcW w:w="1960" w:type="dxa"/>
            <w:vAlign w:val="bottom"/>
            <w:tcBorders>
              <w:top w:val="single" w:sz="8" w:color="auto"/>
            </w:tcBorders>
            <w:shd w:val="clear" w:color="auto" w:fill="CEFFE7"/>
          </w:tcPr>
          <w:p>
            <w:pPr>
              <w:spacing w:after="0"/>
              <w:rPr>
                <w:sz w:val="17"/>
                <w:szCs w:val="17"/>
                <w:color w:val="auto"/>
              </w:rPr>
            </w:pPr>
          </w:p>
        </w:tc>
        <w:tc>
          <w:tcPr>
            <w:tcW w:w="100" w:type="dxa"/>
            <w:vAlign w:val="bottom"/>
            <w:tcBorders>
              <w:top w:val="single" w:sz="8" w:color="CEFFE7"/>
            </w:tcBorders>
            <w:shd w:val="clear" w:color="auto" w:fill="CEFFE7"/>
          </w:tcPr>
          <w:p>
            <w:pPr>
              <w:spacing w:after="0"/>
              <w:rPr>
                <w:sz w:val="17"/>
                <w:szCs w:val="17"/>
                <w:color w:val="auto"/>
              </w:rPr>
            </w:pPr>
          </w:p>
        </w:tc>
        <w:tc>
          <w:tcPr>
            <w:tcW w:w="240" w:type="dxa"/>
            <w:vAlign w:val="bottom"/>
            <w:tcBorders>
              <w:top w:val="single" w:sz="8" w:color="auto"/>
            </w:tcBorders>
            <w:shd w:val="clear" w:color="auto" w:fill="CEFFE7"/>
          </w:tcPr>
          <w:p>
            <w:pPr>
              <w:spacing w:after="0"/>
              <w:rPr>
                <w:sz w:val="17"/>
                <w:szCs w:val="17"/>
                <w:color w:val="auto"/>
              </w:rPr>
            </w:pPr>
          </w:p>
        </w:tc>
        <w:tc>
          <w:tcPr>
            <w:tcW w:w="104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160" w:type="dxa"/>
            <w:vAlign w:val="bottom"/>
            <w:tcBorders>
              <w:top w:val="single" w:sz="8" w:color="auto"/>
            </w:tcBorders>
            <w:shd w:val="clear" w:color="auto" w:fill="CEFFE7"/>
          </w:tcPr>
          <w:p>
            <w:pPr>
              <w:spacing w:after="0"/>
              <w:rPr>
                <w:sz w:val="17"/>
                <w:szCs w:val="17"/>
                <w:color w:val="auto"/>
              </w:rPr>
            </w:pPr>
          </w:p>
        </w:tc>
        <w:tc>
          <w:tcPr>
            <w:tcW w:w="116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1020" w:type="dxa"/>
            <w:vAlign w:val="bottom"/>
            <w:tcBorders>
              <w:top w:val="single" w:sz="8" w:color="auto"/>
            </w:tcBorders>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226</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7"/>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180" w:type="dxa"/>
            <w:vAlign w:val="bottom"/>
            <w:shd w:val="clear" w:color="auto" w:fill="CEFFE7"/>
          </w:tcPr>
          <w:p>
            <w:pPr>
              <w:spacing w:after="0"/>
              <w:rPr>
                <w:sz w:val="18"/>
                <w:szCs w:val="18"/>
                <w:color w:val="auto"/>
              </w:rPr>
            </w:pPr>
          </w:p>
        </w:tc>
        <w:tc>
          <w:tcPr>
            <w:tcW w:w="1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364</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w:t>
            </w:r>
          </w:p>
        </w:tc>
        <w:tc>
          <w:tcPr>
            <w:tcW w:w="160" w:type="dxa"/>
            <w:vAlign w:val="bottom"/>
            <w:shd w:val="clear" w:color="auto" w:fill="CEFFE7"/>
          </w:tcPr>
          <w:p>
            <w:pPr>
              <w:spacing w:after="0"/>
              <w:rPr>
                <w:sz w:val="18"/>
                <w:szCs w:val="18"/>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452</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412</w:t>
            </w:r>
          </w:p>
        </w:tc>
        <w:tc>
          <w:tcPr>
            <w:tcW w:w="32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2460" w:type="dxa"/>
            <w:vAlign w:val="bottom"/>
            <w:shd w:val="clear" w:color="auto" w:fill="CEFFE7"/>
          </w:tcPr>
          <w:p>
            <w:pPr>
              <w:ind w:left="20"/>
              <w:spacing w:after="0" w:line="217"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(d)</w:t>
            </w:r>
          </w:p>
        </w:tc>
        <w:tc>
          <w:tcPr>
            <w:tcW w:w="180" w:type="dxa"/>
            <w:vAlign w:val="bottom"/>
            <w:shd w:val="clear" w:color="auto" w:fill="CEFFE7"/>
          </w:tcPr>
          <w:p>
            <w:pPr>
              <w:spacing w:after="0"/>
              <w:rPr>
                <w:sz w:val="18"/>
                <w:szCs w:val="18"/>
                <w:color w:val="auto"/>
              </w:rPr>
            </w:pPr>
          </w:p>
        </w:tc>
        <w:tc>
          <w:tcPr>
            <w:tcW w:w="206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8"/>
                <w:szCs w:val="18"/>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8"/>
                <w:szCs w:val="18"/>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right="200" w:hanging="332"/>
        <w:spacing w:after="0" w:line="256" w:lineRule="auto"/>
        <w:tabs>
          <w:tab w:leader="none" w:pos="3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Condensed Consolidated Statements of Cash Flows</w:t>
      </w:r>
      <w:r>
        <w:rPr>
          <w:rFonts w:ascii="Arial" w:cs="Arial" w:eastAsia="Arial" w:hAnsi="Arial"/>
          <w:sz w:val="14"/>
          <w:szCs w:val="14"/>
          <w:color w:val="auto"/>
        </w:rPr>
        <w:t xml:space="preserve"> in the Condensed Consolidated Financial Statements.</w:t>
      </w: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actual capital expenditures for the nine months ended September 30, 2022.</w:t>
      </w:r>
    </w:p>
    <w:p>
      <w:pPr>
        <w:spacing w:after="0" w:line="14" w:lineRule="exact"/>
        <w:rPr>
          <w:rFonts w:ascii="Arial" w:cs="Arial" w:eastAsia="Arial" w:hAnsi="Arial"/>
          <w:sz w:val="14"/>
          <w:szCs w:val="14"/>
          <w:color w:val="auto"/>
        </w:rPr>
      </w:pPr>
    </w:p>
    <w:p>
      <w:pPr>
        <w:ind w:left="340" w:right="60" w:hanging="332"/>
        <w:spacing w:after="0" w:line="261" w:lineRule="auto"/>
        <w:tabs>
          <w:tab w:leader="none" w:pos="341"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increase in forecasted capital expenditures is primarily driven by RNG projects at our Gas Utilities. Additionally, we have identified various other projects at our Electric and Gas Utilities that we previously disclosed as incremental.</w:t>
      </w: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4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Dividends paid on our common stock totaled $116 million for the nine months ended September 30, 2022, or $0.595 per share per quarter. On October 25, 2022, our board of directors declared a quarterly dividend of $0.625 per share payable December 1, 2022, equivalent to an annual dividend of $2.50 per share. The amount of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 for recent updates to our purchase obligations.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6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There have been no material changes in our critical accounting estimates from those reported in our 2021 Annual Report on Form 10-K. We are closely monitoring the impacts of recent macroeconomic trends and Winter Storm Uri on our critical accounting estimates including, but not limited to, collectibility of customer receivables, cost recoverability through regulatory assets, impairment risk of goodwill and long-lived assets, valuation of pension assets and liabilities and contingent liabilities. For more information on our critical accounting estimates, see Part II, Item 7 of our 2021 Annual Report on Form 10-K.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26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 xml:space="preserve">Other than the pronouncements reported in our 2021 Annual Report on Form 10-K and those discussed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Condensed Consolidated Financial Statements, there have been no new accounting pronouncements that are expected to have a material effect on our financial position, results of operations or cash flows.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Annual Report on Form 10-K.</w:t>
      </w:r>
    </w:p>
    <w:p>
      <w:pPr>
        <w:spacing w:after="0" w:line="200" w:lineRule="exact"/>
        <w:rPr>
          <w:sz w:val="20"/>
          <w:szCs w:val="20"/>
          <w:color w:val="auto"/>
        </w:rPr>
      </w:pP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September 30, 2022. Based on their evaluation, they have concluded that our disclosure controls and procedures were effective at September 30, 2022.</w:t>
      </w:r>
    </w:p>
    <w:p>
      <w:pPr>
        <w:spacing w:after="0" w:line="19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During the quarter ended September 30, 2022, there have been no changes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7"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 xml:space="preserve">For information regarding legal proceedings, see Note 3 in Item 8 of our 2021 Annual Report on Form 10-K and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2021 Annual Report on Form 10-K.</w:t>
      </w:r>
    </w:p>
    <w:p>
      <w:pPr>
        <w:spacing w:after="0" w:line="200" w:lineRule="exact"/>
        <w:rPr>
          <w:sz w:val="20"/>
          <w:szCs w:val="20"/>
          <w:color w:val="auto"/>
        </w:rPr>
      </w:pPr>
    </w:p>
    <w:p>
      <w:pPr>
        <w:spacing w:after="0" w:line="3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September 30,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Approximate Dollar Value)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vMerge w:val="restart"/>
          </w:tcPr>
          <w:p>
            <w:pPr>
              <w:jc w:val="right"/>
              <w:ind w:right="79"/>
              <w:spacing w:after="0"/>
              <w:rPr>
                <w:sz w:val="20"/>
                <w:szCs w:val="20"/>
                <w:color w:val="auto"/>
              </w:rPr>
            </w:pPr>
            <w:r>
              <w:rPr>
                <w:rFonts w:ascii="Arial" w:cs="Arial" w:eastAsia="Arial" w:hAnsi="Arial"/>
                <w:sz w:val="16"/>
                <w:szCs w:val="16"/>
                <w:color w:val="auto"/>
              </w:rPr>
              <w:t>Total Number of Shares</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Average Price Paid</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w w:val="99"/>
              </w:rPr>
              <w:t>of Shares That May Yet</w:t>
            </w:r>
          </w:p>
        </w:tc>
        <w:tc>
          <w:tcPr>
            <w:tcW w:w="0" w:type="dxa"/>
            <w:vAlign w:val="bottom"/>
          </w:tcPr>
          <w:p>
            <w:pPr>
              <w:spacing w:after="0"/>
              <w:rPr>
                <w:sz w:val="1"/>
                <w:szCs w:val="1"/>
                <w:color w:val="auto"/>
              </w:rPr>
            </w:pPr>
          </w:p>
        </w:tc>
      </w:tr>
      <w:tr>
        <w:trPr>
          <w:trHeight w:val="162"/>
        </w:trPr>
        <w:tc>
          <w:tcPr>
            <w:tcW w:w="376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02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Publicly Announced Plans</w:t>
            </w: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Be Purchased Under the</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jc w:val="right"/>
              <w:ind w:right="459"/>
              <w:spacing w:after="0" w:line="216"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Plans or Programs</w:t>
            </w:r>
          </w:p>
        </w:tc>
        <w:tc>
          <w:tcPr>
            <w:tcW w:w="0" w:type="dxa"/>
            <w:vAlign w:val="bottom"/>
          </w:tcPr>
          <w:p>
            <w:pPr>
              <w:spacing w:after="0"/>
              <w:rPr>
                <w:sz w:val="1"/>
                <w:szCs w:val="1"/>
                <w:color w:val="auto"/>
              </w:rPr>
            </w:pPr>
          </w:p>
        </w:tc>
      </w:tr>
      <w:tr>
        <w:trPr>
          <w:trHeight w:val="209"/>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July 1, 2022 - July 31, 2022</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75.59</w:t>
            </w:r>
          </w:p>
        </w:tc>
        <w:tc>
          <w:tcPr>
            <w:tcW w:w="1940" w:type="dxa"/>
            <w:vAlign w:val="bottom"/>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August 1, 2022 - August 31, 2022</w:t>
            </w:r>
          </w:p>
        </w:tc>
        <w:tc>
          <w:tcPr>
            <w:tcW w:w="2020" w:type="dxa"/>
            <w:vAlign w:val="bottom"/>
          </w:tcPr>
          <w:p>
            <w:pPr>
              <w:jc w:val="right"/>
              <w:spacing w:after="0"/>
              <w:rPr>
                <w:sz w:val="20"/>
                <w:szCs w:val="20"/>
                <w:color w:val="auto"/>
              </w:rPr>
            </w:pPr>
            <w:r>
              <w:rPr>
                <w:rFonts w:ascii="Arial" w:cs="Arial" w:eastAsia="Arial" w:hAnsi="Arial"/>
                <w:sz w:val="16"/>
                <w:szCs w:val="16"/>
                <w:color w:val="auto"/>
              </w:rPr>
              <w:t>341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74.67</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September 1, 2022 - September 30, 2022</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76.42</w:t>
            </w:r>
          </w:p>
        </w:tc>
        <w:tc>
          <w:tcPr>
            <w:tcW w:w="1940" w:type="dxa"/>
            <w:vAlign w:val="bottom"/>
            <w:tcBorders>
              <w:bottom w:val="single" w:sz="8" w:color="auto"/>
            </w:tcBorders>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60" w:type="dxa"/>
            <w:vAlign w:val="bottom"/>
          </w:tcPr>
          <w:p>
            <w:pPr>
              <w:ind w:left="17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74.69</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860" w:hanging="332"/>
        <w:spacing w:after="0" w:line="284" w:lineRule="auto"/>
        <w:tabs>
          <w:tab w:leader="none" w:pos="352" w:val="left"/>
        </w:tabs>
        <w:numPr>
          <w:ilvl w:val="0"/>
          <w:numId w:val="44"/>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Omnibus Incentive Plan for payment of taxes associated with the vesting of various equity compensation plans.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0" w:lineRule="exact"/>
        <w:rPr>
          <w:sz w:val="20"/>
          <w:szCs w:val="20"/>
          <w:color w:val="auto"/>
        </w:rPr>
      </w:pP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8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Description</w:t>
            </w:r>
          </w:p>
        </w:tc>
      </w:tr>
      <w:tr>
        <w:trPr>
          <w:trHeight w:val="142"/>
        </w:trPr>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31.1*</w:t>
            </w:r>
          </w:p>
        </w:tc>
        <w:tc>
          <w:tcPr>
            <w:tcW w:w="990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380" w:type="dxa"/>
            <w:vAlign w:val="bottom"/>
            <w:tcBorders>
              <w:top w:val="single" w:sz="8" w:color="0000FF"/>
            </w:tcBorders>
            <w:gridSpan w:val="5"/>
            <w:shd w:val="clear" w:color="auto" w:fill="CEFFE7"/>
          </w:tcPr>
          <w:p>
            <w:pPr>
              <w:spacing w:after="0" w:line="142"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r>
      <w:tr>
        <w:trPr>
          <w:trHeight w:val="20"/>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860" w:type="dxa"/>
            <w:vAlign w:val="bottom"/>
            <w:tcBorders>
              <w:top w:val="single" w:sz="8" w:color="0000FF"/>
            </w:tcBorders>
            <w:shd w:val="clear" w:color="auto" w:fill="CEFFE7"/>
          </w:tcPr>
          <w:p>
            <w:pPr>
              <w:spacing w:after="0" w:line="20" w:lineRule="exact"/>
              <w:rPr>
                <w:sz w:val="1"/>
                <w:szCs w:val="1"/>
                <w:color w:val="auto"/>
              </w:rPr>
            </w:pPr>
          </w:p>
        </w:tc>
        <w:tc>
          <w:tcPr>
            <w:tcW w:w="26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56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0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r>
      <w:tr>
        <w:trPr>
          <w:trHeight w:val="142"/>
        </w:trPr>
        <w:tc>
          <w:tcPr>
            <w:tcW w:w="1340" w:type="dxa"/>
            <w:vAlign w:val="bottom"/>
          </w:tcPr>
          <w:p>
            <w:pPr>
              <w:spacing w:after="0"/>
              <w:rPr>
                <w:sz w:val="12"/>
                <w:szCs w:val="12"/>
                <w:color w:val="auto"/>
              </w:rPr>
            </w:pPr>
          </w:p>
        </w:tc>
        <w:tc>
          <w:tcPr>
            <w:tcW w:w="932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32.1*</w:t>
            </w:r>
          </w:p>
        </w:tc>
        <w:tc>
          <w:tcPr>
            <w:tcW w:w="990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 Oxley</w:t>
            </w:r>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860" w:type="dxa"/>
            <w:vAlign w:val="bottom"/>
            <w:tcBorders>
              <w:top w:val="single" w:sz="8" w:color="0000FF"/>
              <w:bottom w:val="single" w:sz="8" w:color="0000FF"/>
            </w:tcBorders>
            <w:shd w:val="clear" w:color="auto" w:fill="CEFFE7"/>
          </w:tcPr>
          <w:p>
            <w:pPr>
              <w:spacing w:after="0" w:line="142" w:lineRule="exact"/>
              <w:rPr>
                <w:sz w:val="20"/>
                <w:szCs w:val="20"/>
                <w:color w:val="auto"/>
              </w:rPr>
            </w:pPr>
            <w:r>
              <w:rPr>
                <w:rFonts w:ascii="Arial" w:cs="Arial" w:eastAsia="Arial" w:hAnsi="Arial"/>
                <w:sz w:val="16"/>
                <w:szCs w:val="16"/>
                <w:color w:val="0000FF"/>
                <w:w w:val="98"/>
              </w:rPr>
              <w:t>Act of 2002.</w:t>
            </w:r>
          </w:p>
        </w:tc>
        <w:tc>
          <w:tcPr>
            <w:tcW w:w="8840" w:type="dxa"/>
            <w:vAlign w:val="bottom"/>
            <w:tcBorders>
              <w:top w:val="single" w:sz="8" w:color="0000FF"/>
              <w:bottom w:val="single" w:sz="8" w:color="CEFFE7"/>
            </w:tcBorders>
            <w:gridSpan w:val="6"/>
            <w:shd w:val="clear" w:color="auto" w:fill="CEFFE7"/>
          </w:tcPr>
          <w:p>
            <w:pPr>
              <w:spacing w:after="0"/>
              <w:rPr>
                <w:sz w:val="14"/>
                <w:szCs w:val="14"/>
                <w:color w:val="auto"/>
              </w:rPr>
            </w:pPr>
          </w:p>
        </w:tc>
        <w:tc>
          <w:tcPr>
            <w:tcW w:w="20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6"/>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32.2*</w:t>
            </w:r>
          </w:p>
        </w:tc>
        <w:tc>
          <w:tcPr>
            <w:tcW w:w="990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r>
      <w:tr>
        <w:trPr>
          <w:trHeight w:val="142"/>
        </w:trPr>
        <w:tc>
          <w:tcPr>
            <w:tcW w:w="1340" w:type="dxa"/>
            <w:vAlign w:val="bottom"/>
          </w:tcPr>
          <w:p>
            <w:pPr>
              <w:spacing w:after="0"/>
              <w:rPr>
                <w:sz w:val="12"/>
                <w:szCs w:val="12"/>
                <w:color w:val="auto"/>
              </w:rPr>
            </w:pPr>
          </w:p>
        </w:tc>
        <w:tc>
          <w:tcPr>
            <w:tcW w:w="966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Act of 2002.</w:t>
            </w:r>
          </w:p>
        </w:tc>
        <w:tc>
          <w:tcPr>
            <w:tcW w:w="240" w:type="dxa"/>
            <w:vAlign w:val="bottom"/>
            <w:gridSpan w:val="2"/>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95*</w:t>
            </w:r>
          </w:p>
        </w:tc>
        <w:tc>
          <w:tcPr>
            <w:tcW w:w="990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rPr>
              <w:t>Mine Safety and Health Administration Safety Data.</w:t>
            </w: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860" w:type="dxa"/>
            <w:vAlign w:val="bottom"/>
            <w:tcBorders>
              <w:top w:val="single" w:sz="8" w:color="0000FF"/>
            </w:tcBorders>
            <w:shd w:val="clear" w:color="auto" w:fill="CEFFE7"/>
          </w:tcPr>
          <w:p>
            <w:pPr>
              <w:spacing w:after="0" w:line="20" w:lineRule="exact"/>
              <w:rPr>
                <w:sz w:val="1"/>
                <w:szCs w:val="1"/>
                <w:color w:val="auto"/>
              </w:rPr>
            </w:pPr>
          </w:p>
        </w:tc>
        <w:tc>
          <w:tcPr>
            <w:tcW w:w="26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56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Arial" w:cs="Arial" w:eastAsia="Arial" w:hAnsi="Arial"/>
                <w:sz w:val="16"/>
                <w:szCs w:val="16"/>
                <w:color w:val="auto"/>
              </w:rPr>
              <w:t>101.INS*</w:t>
            </w:r>
          </w:p>
        </w:tc>
        <w:tc>
          <w:tcPr>
            <w:tcW w:w="9900" w:type="dxa"/>
            <w:vAlign w:val="bottom"/>
            <w:gridSpan w:val="8"/>
          </w:tcPr>
          <w:p>
            <w:pPr>
              <w:spacing w:after="0" w:line="162"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340" w:type="dxa"/>
            <w:vAlign w:val="bottom"/>
          </w:tcPr>
          <w:p>
            <w:pPr>
              <w:spacing w:after="0"/>
              <w:rPr>
                <w:sz w:val="18"/>
                <w:szCs w:val="18"/>
                <w:color w:val="auto"/>
              </w:rPr>
            </w:pPr>
          </w:p>
        </w:tc>
        <w:tc>
          <w:tcPr>
            <w:tcW w:w="9900" w:type="dxa"/>
            <w:vAlign w:val="bottom"/>
            <w:gridSpan w:val="8"/>
          </w:tcPr>
          <w:p>
            <w:pPr>
              <w:spacing w:after="0"/>
              <w:rPr>
                <w:sz w:val="20"/>
                <w:szCs w:val="20"/>
                <w:color w:val="auto"/>
              </w:rPr>
            </w:pPr>
            <w:r>
              <w:rPr>
                <w:rFonts w:ascii="Arial" w:cs="Arial" w:eastAsia="Arial" w:hAnsi="Arial"/>
                <w:sz w:val="16"/>
                <w:szCs w:val="16"/>
                <w:color w:val="auto"/>
              </w:rPr>
              <w:t>within the Inline XBRL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101.SCH*</w:t>
            </w:r>
          </w:p>
        </w:tc>
        <w:tc>
          <w:tcPr>
            <w:tcW w:w="9900" w:type="dxa"/>
            <w:vAlign w:val="bottom"/>
            <w:gridSpan w:val="8"/>
            <w:shd w:val="clear" w:color="auto" w:fill="CEFFE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101.CAL*</w:t>
            </w:r>
          </w:p>
        </w:tc>
        <w:tc>
          <w:tcPr>
            <w:tcW w:w="990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101.DEF*</w:t>
            </w:r>
          </w:p>
        </w:tc>
        <w:tc>
          <w:tcPr>
            <w:tcW w:w="9900" w:type="dxa"/>
            <w:vAlign w:val="bottom"/>
            <w:gridSpan w:val="8"/>
            <w:shd w:val="clear" w:color="auto" w:fill="CEFFE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101.LAB*</w:t>
            </w:r>
          </w:p>
        </w:tc>
        <w:tc>
          <w:tcPr>
            <w:tcW w:w="990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101.PRE*</w:t>
            </w:r>
          </w:p>
        </w:tc>
        <w:tc>
          <w:tcPr>
            <w:tcW w:w="9900" w:type="dxa"/>
            <w:vAlign w:val="bottom"/>
            <w:gridSpan w:val="8"/>
            <w:shd w:val="clear" w:color="auto" w:fill="CEFFE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104*</w:t>
            </w:r>
          </w:p>
        </w:tc>
        <w:tc>
          <w:tcPr>
            <w:tcW w:w="9900" w:type="dxa"/>
            <w:vAlign w:val="bottom"/>
            <w:gridSpan w:val="8"/>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620"/>
        </w:trPr>
        <w:tc>
          <w:tcPr>
            <w:tcW w:w="1340" w:type="dxa"/>
            <w:vAlign w:val="bottom"/>
          </w:tcPr>
          <w:p>
            <w:pPr>
              <w:spacing w:after="0"/>
              <w:rPr>
                <w:sz w:val="24"/>
                <w:szCs w:val="24"/>
                <w:color w:val="auto"/>
              </w:rPr>
            </w:pPr>
          </w:p>
        </w:tc>
        <w:tc>
          <w:tcPr>
            <w:tcW w:w="9320" w:type="dxa"/>
            <w:vAlign w:val="bottom"/>
            <w:gridSpan w:val="4"/>
          </w:tcPr>
          <w:p>
            <w:pPr>
              <w:ind w:left="4200"/>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0"/>
        </w:trPr>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91"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BLACK HILLS CORPORATION</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20955</wp:posOffset>
            </wp:positionV>
            <wp:extent cx="3703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20955</wp:posOffset>
            </wp:positionV>
            <wp:extent cx="3703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Richard W. Kinzley, Senior Vice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19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November 3, 2022</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000"/>
          </w:cols>
          <w:pgMar w:left="320" w:top="125" w:right="57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31.1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383" w:lineRule="exact"/>
        <w:rPr>
          <w:sz w:val="20"/>
          <w:szCs w:val="20"/>
          <w:color w:val="auto"/>
        </w:rPr>
      </w:pPr>
    </w:p>
    <w:p>
      <w:pPr>
        <w:ind w:left="800" w:hanging="774"/>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34"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6"/>
          <w:szCs w:val="16"/>
          <w:color w:val="auto"/>
        </w:rPr>
      </w:pPr>
    </w:p>
    <w:p>
      <w:pPr>
        <w:ind w:left="800" w:right="80" w:hanging="774"/>
        <w:spacing w:after="0" w:line="251"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jc w:val="both"/>
        <w:ind w:left="800" w:right="80" w:hanging="774"/>
        <w:spacing w:after="0" w:line="234"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6"/>
          <w:szCs w:val="16"/>
          <w:color w:val="auto"/>
        </w:rPr>
      </w:pPr>
    </w:p>
    <w:p>
      <w:pPr>
        <w:ind w:left="1600" w:right="160" w:hanging="791"/>
        <w:spacing w:after="0" w:line="234"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1600" w:right="220" w:hanging="791"/>
        <w:spacing w:after="0" w:line="234"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6"/>
          <w:szCs w:val="16"/>
          <w:color w:val="auto"/>
        </w:rPr>
      </w:pPr>
    </w:p>
    <w:p>
      <w:pPr>
        <w:ind w:left="1600" w:right="180" w:hanging="791"/>
        <w:spacing w:after="0" w:line="234"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6"/>
          <w:szCs w:val="16"/>
          <w:color w:val="auto"/>
        </w:rPr>
      </w:pPr>
    </w:p>
    <w:p>
      <w:pPr>
        <w:ind w:left="1600" w:right="60" w:hanging="791"/>
        <w:spacing w:after="0" w:line="234"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3" w:lineRule="exact"/>
        <w:rPr>
          <w:rFonts w:ascii="Arial" w:cs="Arial" w:eastAsia="Arial" w:hAnsi="Arial"/>
          <w:sz w:val="16"/>
          <w:szCs w:val="16"/>
          <w:color w:val="auto"/>
        </w:rPr>
      </w:pPr>
    </w:p>
    <w:p>
      <w:pPr>
        <w:ind w:left="800" w:right="100" w:hanging="774"/>
        <w:spacing w:after="0" w:line="251"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6"/>
          <w:szCs w:val="16"/>
          <w:color w:val="auto"/>
        </w:rPr>
      </w:pPr>
    </w:p>
    <w:p>
      <w:pPr>
        <w:ind w:left="1600" w:right="340" w:hanging="791"/>
        <w:spacing w:after="0" w:line="251"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600" w:right="560" w:hanging="791"/>
        <w:spacing w:after="0" w:line="251"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2022</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20955</wp:posOffset>
            </wp:positionV>
            <wp:extent cx="29317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31.2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383" w:lineRule="exact"/>
        <w:rPr>
          <w:sz w:val="20"/>
          <w:szCs w:val="20"/>
          <w:color w:val="auto"/>
        </w:rPr>
      </w:pPr>
    </w:p>
    <w:p>
      <w:pPr>
        <w:ind w:left="800" w:hanging="774"/>
        <w:spacing w:after="0"/>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34" w:lineRule="auto"/>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6"/>
          <w:szCs w:val="16"/>
          <w:color w:val="auto"/>
        </w:rPr>
      </w:pPr>
    </w:p>
    <w:p>
      <w:pPr>
        <w:ind w:left="800" w:right="80" w:hanging="774"/>
        <w:spacing w:after="0" w:line="251" w:lineRule="auto"/>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jc w:val="both"/>
        <w:ind w:left="800" w:right="80" w:hanging="774"/>
        <w:spacing w:after="0" w:line="234" w:lineRule="auto"/>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6"/>
          <w:szCs w:val="16"/>
          <w:color w:val="auto"/>
        </w:rPr>
      </w:pPr>
    </w:p>
    <w:p>
      <w:pPr>
        <w:ind w:left="1600" w:right="160" w:hanging="791"/>
        <w:spacing w:after="0" w:line="234" w:lineRule="auto"/>
        <w:tabs>
          <w:tab w:leader="none" w:pos="1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1600" w:right="220" w:hanging="791"/>
        <w:spacing w:after="0" w:line="234" w:lineRule="auto"/>
        <w:tabs>
          <w:tab w:leader="none" w:pos="1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6"/>
          <w:szCs w:val="16"/>
          <w:color w:val="auto"/>
        </w:rPr>
      </w:pPr>
    </w:p>
    <w:p>
      <w:pPr>
        <w:ind w:left="1600" w:right="180" w:hanging="791"/>
        <w:spacing w:after="0" w:line="234" w:lineRule="auto"/>
        <w:tabs>
          <w:tab w:leader="none" w:pos="1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6"/>
          <w:szCs w:val="16"/>
          <w:color w:val="auto"/>
        </w:rPr>
      </w:pPr>
    </w:p>
    <w:p>
      <w:pPr>
        <w:ind w:left="1600" w:right="60" w:hanging="791"/>
        <w:spacing w:after="0" w:line="234" w:lineRule="auto"/>
        <w:tabs>
          <w:tab w:leader="none" w:pos="1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3" w:lineRule="exact"/>
        <w:rPr>
          <w:rFonts w:ascii="Arial" w:cs="Arial" w:eastAsia="Arial" w:hAnsi="Arial"/>
          <w:sz w:val="16"/>
          <w:szCs w:val="16"/>
          <w:color w:val="auto"/>
        </w:rPr>
      </w:pPr>
    </w:p>
    <w:p>
      <w:pPr>
        <w:ind w:left="800" w:right="100" w:hanging="774"/>
        <w:spacing w:after="0" w:line="251" w:lineRule="auto"/>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6"/>
          <w:szCs w:val="16"/>
          <w:color w:val="auto"/>
        </w:rPr>
      </w:pPr>
    </w:p>
    <w:p>
      <w:pPr>
        <w:ind w:left="1600" w:right="340" w:hanging="791"/>
        <w:spacing w:after="0" w:line="251" w:lineRule="auto"/>
        <w:tabs>
          <w:tab w:leader="none" w:pos="1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600" w:right="560" w:hanging="791"/>
        <w:spacing w:after="0" w:line="251" w:lineRule="auto"/>
        <w:tabs>
          <w:tab w:leader="none" w:pos="1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2022</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20955</wp:posOffset>
            </wp:positionV>
            <wp:extent cx="29317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32.1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2022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78" w:lineRule="exact"/>
        <w:rPr>
          <w:sz w:val="20"/>
          <w:szCs w:val="20"/>
          <w:color w:val="auto"/>
        </w:rPr>
      </w:pPr>
    </w:p>
    <w:p>
      <w:pPr>
        <w:ind w:left="1600" w:hanging="791"/>
        <w:spacing w:after="0"/>
        <w:tabs>
          <w:tab w:leader="none" w:pos="1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51" w:lineRule="auto"/>
        <w:tabs>
          <w:tab w:leader="none" w:pos="1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2022</w:t>
      </w:r>
    </w:p>
    <w:p>
      <w:pPr>
        <w:spacing w:after="0" w:line="30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20955</wp:posOffset>
            </wp:positionV>
            <wp:extent cx="29317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32.2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September 30, 2022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178" w:lineRule="exact"/>
        <w:rPr>
          <w:sz w:val="20"/>
          <w:szCs w:val="20"/>
          <w:color w:val="auto"/>
        </w:rPr>
      </w:pPr>
    </w:p>
    <w:p>
      <w:pPr>
        <w:ind w:left="1600" w:hanging="791"/>
        <w:spacing w:after="0"/>
        <w:tabs>
          <w:tab w:leader="none" w:pos="1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51" w:lineRule="auto"/>
        <w:tabs>
          <w:tab w:leader="none" w:pos="1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3, 2022</w:t>
      </w:r>
    </w:p>
    <w:p>
      <w:pPr>
        <w:spacing w:after="0" w:line="30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20955</wp:posOffset>
            </wp:positionV>
            <wp:extent cx="29317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2022.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217" w:lineRule="exact"/>
        <w:rPr>
          <w:sz w:val="20"/>
          <w:szCs w:val="20"/>
          <w:color w:val="auto"/>
        </w:rPr>
      </w:pPr>
    </w:p>
    <w:p>
      <w:pPr>
        <w:ind w:left="660" w:right="100" w:hanging="328"/>
        <w:spacing w:after="0" w:line="28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w:t>
      </w:r>
    </w:p>
    <w:p>
      <w:pPr>
        <w:spacing w:after="0" w:line="261" w:lineRule="exact"/>
        <w:rPr>
          <w:rFonts w:ascii="Arial" w:cs="Arial" w:eastAsia="Arial" w:hAnsi="Arial"/>
          <w:sz w:val="16"/>
          <w:szCs w:val="16"/>
          <w:color w:val="auto"/>
        </w:rPr>
      </w:pPr>
    </w:p>
    <w:p>
      <w:pPr>
        <w:ind w:left="660" w:right="360" w:hanging="328"/>
        <w:spacing w:after="0" w:line="286"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number of imminent danger orders issued under section 107(a) of the Mine Act; 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dollar value of proposed assessments from MSHA under the Mine Act.</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table below sets forth the total number of citations and/or orders issued by MSHA to WRDC under the indicated provisions of the Mine Act, together with the total dollar value of proposed MSHA assessments received during the three months ended September 30, 2022 and legal actions pending before the Federal Mine Safety and Health Review Commission, together with the Administrative Law Judges thereof, for WRDC, our only mining complex. All citations were abated within 24 hours of issue.</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7"/>
              </w:rPr>
              <w:t>Mine Act Section</w:t>
            </w:r>
          </w:p>
        </w:tc>
        <w:tc>
          <w:tcPr>
            <w:tcW w:w="6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4"/>
              </w:rPr>
              <w:t>Legal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104 S&amp;S Citations</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0"/>
                <w:szCs w:val="10"/>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Mine Act</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Section</w:t>
            </w:r>
          </w:p>
        </w:tc>
        <w:tc>
          <w:tcPr>
            <w:tcW w:w="32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8"/>
              </w:rPr>
              <w:t>Total Dollar Value Total Number Received Notice of</w:t>
            </w: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Actions</w:t>
            </w: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issued during</w:t>
            </w:r>
          </w:p>
        </w:tc>
        <w:tc>
          <w:tcPr>
            <w:tcW w:w="640" w:type="dxa"/>
            <w:vAlign w:val="bottom"/>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960" w:type="dxa"/>
            <w:vAlign w:val="bottom"/>
            <w:vMerge w:val="continue"/>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107(a)</w:t>
            </w:r>
          </w:p>
        </w:tc>
        <w:tc>
          <w:tcPr>
            <w:tcW w:w="3220" w:type="dxa"/>
            <w:vAlign w:val="bottom"/>
            <w:gridSpan w:val="4"/>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Pending as</w:t>
            </w: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Actions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21"/>
        </w:trPr>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Mine/ MSHA</w:t>
            </w: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three months</w:t>
            </w:r>
          </w:p>
        </w:tc>
        <w:tc>
          <w:tcPr>
            <w:tcW w:w="6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104(d)</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Section 110(b)</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Imminent</w:t>
            </w:r>
          </w:p>
        </w:tc>
        <w:tc>
          <w:tcPr>
            <w:tcW w:w="18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of Proposed</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Mining</w:t>
            </w:r>
          </w:p>
        </w:tc>
        <w:tc>
          <w:tcPr>
            <w:tcW w:w="11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Potential to Have</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Last Day</w:t>
            </w: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Initiated</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3"/>
              </w:rPr>
              <w:t>ended</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Citations and</w:t>
            </w:r>
          </w:p>
        </w:tc>
        <w:tc>
          <w:tcPr>
            <w:tcW w:w="960" w:type="dxa"/>
            <w:vAlign w:val="bottom"/>
          </w:tcPr>
          <w:p>
            <w:pPr>
              <w:jc w:val="right"/>
              <w:ind w:right="377"/>
              <w:spacing w:after="0"/>
              <w:rPr>
                <w:sz w:val="20"/>
                <w:szCs w:val="20"/>
                <w:color w:val="auto"/>
              </w:rPr>
            </w:pPr>
            <w:r>
              <w:rPr>
                <w:rFonts w:ascii="Arial" w:cs="Arial" w:eastAsia="Arial" w:hAnsi="Arial"/>
                <w:sz w:val="13"/>
                <w:szCs w:val="13"/>
                <w:b w:val="1"/>
                <w:bCs w:val="1"/>
                <w:color w:val="auto"/>
              </w:rPr>
              <w:t>(2)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Danger</w:t>
            </w:r>
          </w:p>
        </w:tc>
        <w:tc>
          <w:tcPr>
            <w:tcW w:w="18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9"/>
              </w:rPr>
              <w:t>MSHA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Related</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Pattern Under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During</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35"/>
        </w:trPr>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September 30,</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Violations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80" w:type="dxa"/>
            <w:vAlign w:val="bottom"/>
          </w:tcPr>
          <w:p>
            <w:pPr>
              <w:spacing w:after="0"/>
              <w:rPr>
                <w:sz w:val="11"/>
                <w:szCs w:val="11"/>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7"/>
              </w:rPr>
              <w:t>Assessments</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 104(e)</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Period (#) (a)</w:t>
            </w:r>
          </w:p>
        </w:tc>
        <w:tc>
          <w:tcPr>
            <w:tcW w:w="7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Period (#)</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(yes/no)</w:t>
            </w:r>
          </w:p>
        </w:tc>
        <w:tc>
          <w:tcPr>
            <w:tcW w:w="8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120" w:type="dxa"/>
            <w:vAlign w:val="bottom"/>
          </w:tcPr>
          <w:p>
            <w:pPr>
              <w:ind w:left="20"/>
              <w:spacing w:after="0" w:line="128" w:lineRule="exact"/>
              <w:rPr>
                <w:sz w:val="20"/>
                <w:szCs w:val="20"/>
                <w:color w:val="auto"/>
              </w:rPr>
            </w:pPr>
            <w:r>
              <w:rPr>
                <w:rFonts w:ascii="Arial" w:cs="Arial" w:eastAsia="Arial" w:hAnsi="Arial"/>
                <w:sz w:val="13"/>
                <w:szCs w:val="13"/>
                <w:color w:val="auto"/>
                <w:w w:val="98"/>
              </w:rPr>
              <w:t>Wyodak Coal Mine</w:t>
            </w: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20" w:type="dxa"/>
            <w:vAlign w:val="bottom"/>
          </w:tcPr>
          <w:p>
            <w:pPr>
              <w:ind w:left="20"/>
              <w:spacing w:after="0"/>
              <w:rPr>
                <w:sz w:val="20"/>
                <w:szCs w:val="20"/>
                <w:color w:val="auto"/>
              </w:rPr>
            </w:pPr>
            <w:r>
              <w:rPr>
                <w:rFonts w:ascii="Arial" w:cs="Arial" w:eastAsia="Arial" w:hAnsi="Arial"/>
                <w:sz w:val="13"/>
                <w:szCs w:val="13"/>
                <w:color w:val="auto"/>
              </w:rPr>
              <w:t>- 4800083</w:t>
            </w:r>
          </w:p>
        </w:tc>
        <w:tc>
          <w:tcPr>
            <w:tcW w:w="11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266</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880" w:type="dxa"/>
            <w:vAlign w:val="bottom"/>
          </w:tcPr>
          <w:p>
            <w:pPr>
              <w:ind w:left="640"/>
              <w:spacing w:after="0"/>
              <w:rPr>
                <w:sz w:val="20"/>
                <w:szCs w:val="20"/>
                <w:color w:val="auto"/>
              </w:rPr>
            </w:pPr>
            <w:r>
              <w:rPr>
                <w:rFonts w:ascii="Arial" w:cs="Arial" w:eastAsia="Arial" w:hAnsi="Arial"/>
                <w:sz w:val="13"/>
                <w:szCs w:val="13"/>
                <w:color w:val="auto"/>
              </w:rPr>
              <w:t>—</w:t>
            </w:r>
          </w:p>
        </w:tc>
        <w:tc>
          <w:tcPr>
            <w:tcW w:w="78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2" w:lineRule="exact"/>
        <w:rPr>
          <w:sz w:val="20"/>
          <w:szCs w:val="20"/>
          <w:color w:val="auto"/>
        </w:rPr>
      </w:pPr>
    </w:p>
    <w:p>
      <w:pPr>
        <w:ind w:left="340" w:right="340" w:hanging="332"/>
        <w:spacing w:after="0" w:line="273" w:lineRule="auto"/>
        <w:tabs>
          <w:tab w:leader="none" w:pos="349"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1)"/>
      <w:numFmt w:val="decimal"/>
      <w:start w:val="4"/>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1)"/>
      <w:numFmt w:val="decimal"/>
      <w:start w:val="6"/>
    </w:lvl>
  </w:abstractNum>
  <w:abstractNum w:abstractNumId="9">
    <w:nsid w:val="8138641"/>
    <w:multiLevelType w:val="hybridMultilevel"/>
    <w:lvl w:ilvl="0">
      <w:lvlJc w:val="left"/>
      <w:lvlText w:val="(%1)"/>
      <w:numFmt w:val="decimal"/>
      <w:start w:val="7"/>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decimal"/>
      <w:start w:val="8"/>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decimal"/>
      <w:start w:val="9"/>
    </w:lvl>
  </w:abstractNum>
  <w:abstractNum w:abstractNumId="17">
    <w:nsid w:val="614FD4A1"/>
    <w:multiLevelType w:val="hybridMultilevel"/>
    <w:lvl w:ilvl="0">
      <w:lvlJc w:val="left"/>
      <w:lvlText w:val="(%1)"/>
      <w:numFmt w:val="decimal"/>
      <w:start w:val="10"/>
    </w:lvl>
  </w:abstractNum>
  <w:abstractNum w:abstractNumId="18">
    <w:nsid w:val="419AC241"/>
    <w:multiLevelType w:val="hybridMultilevel"/>
    <w:lvl w:ilvl="0">
      <w:lvlJc w:val="left"/>
      <w:lvlText w:val="(%1)"/>
      <w:numFmt w:val="decimal"/>
      <w:start w:val="11"/>
    </w:lvl>
  </w:abstractNum>
  <w:abstractNum w:abstractNumId="19">
    <w:nsid w:val="5577F8E1"/>
    <w:multiLevelType w:val="hybridMultilevel"/>
    <w:lvl w:ilvl="0">
      <w:lvlJc w:val="left"/>
      <w:lvlText w:val="(%1)"/>
      <w:numFmt w:val="decimal"/>
      <w:start w:val="12"/>
    </w:lvl>
  </w:abstractNum>
  <w:abstractNum w:abstractNumId="20">
    <w:nsid w:val="440BADFC"/>
    <w:multiLevelType w:val="hybridMultilevel"/>
    <w:lvl w:ilvl="0">
      <w:lvlJc w:val="left"/>
      <w:lvlText w:val="(%1)"/>
      <w:numFmt w:val="decimal"/>
      <w:start w:val="13"/>
    </w:lvl>
  </w:abstractNum>
  <w:abstractNum w:abstractNumId="21">
    <w:nsid w:val="5072367"/>
    <w:multiLevelType w:val="hybridMultilevel"/>
    <w:lvl w:ilvl="0">
      <w:lvlJc w:val="left"/>
      <w:lvlText w:val="(%1)"/>
      <w:numFmt w:val="decimal"/>
      <w:start w:val="14"/>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
      <w:numFmt w:val="bullet"/>
      <w:start w:val="1"/>
    </w:lvl>
    <w:lvl w:ilvl="1">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2022-11-03T10:57:44Z</dcterms:created>
  <dcterms:modified xsi:type="dcterms:W3CDTF">2022-11-03T10:57:44Z</dcterms:modified>
</cp:coreProperties>
</file>